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AFB0E">
      <w:pPr>
        <w:jc w:val="center"/>
        <w:rPr>
          <w:rFonts w:hint="eastAsia" w:ascii="方正小标宋简体" w:hAnsi="宋体" w:eastAsia="方正小标宋简体" w:cs="宋体"/>
          <w:b/>
          <w:color w:val="auto"/>
          <w:sz w:val="52"/>
          <w:szCs w:val="52"/>
          <w:highlight w:val="none"/>
          <w:lang w:eastAsia="zh-CN"/>
        </w:rPr>
      </w:pPr>
      <w:r>
        <w:rPr>
          <w:rFonts w:hint="eastAsia" w:ascii="方正小标宋简体" w:hAnsi="宋体" w:eastAsia="方正小标宋简体" w:cs="宋体"/>
          <w:b/>
          <w:color w:val="auto"/>
          <w:sz w:val="52"/>
          <w:szCs w:val="52"/>
          <w:highlight w:val="none"/>
          <w:lang w:eastAsia="zh-CN"/>
        </w:rPr>
        <w:t>广西德友招标代理有限公司</w:t>
      </w:r>
    </w:p>
    <w:p w14:paraId="243362B1">
      <w:pPr>
        <w:rPr>
          <w:rFonts w:ascii="方正小标宋简体" w:hAnsi="Malgun Gothic" w:eastAsia="方正小标宋简体" w:cs="宋体"/>
          <w:b/>
          <w:color w:val="auto"/>
          <w:szCs w:val="21"/>
          <w:highlight w:val="none"/>
        </w:rPr>
      </w:pPr>
      <w:r>
        <w:rPr>
          <w:rFonts w:hint="eastAsia" w:ascii="方正小标宋简体" w:hAnsi="宋体" w:eastAsia="方正小标宋简体" w:cs="宋体"/>
          <w:b/>
          <w:color w:val="auto"/>
          <w:szCs w:val="21"/>
          <w:highlight w:val="none"/>
        </w:rPr>
        <w:t xml:space="preserve">          </w:t>
      </w:r>
    </w:p>
    <w:p w14:paraId="7FDDB3C9">
      <w:pPr>
        <w:tabs>
          <w:tab w:val="left" w:pos="998"/>
          <w:tab w:val="center" w:pos="5815"/>
        </w:tabs>
        <w:spacing w:line="360" w:lineRule="auto"/>
        <w:jc w:val="left"/>
        <w:rPr>
          <w:rFonts w:ascii="方正小标宋简体" w:hAnsi="Malgun Gothic" w:eastAsia="方正小标宋简体" w:cs="宋体"/>
          <w:b/>
          <w:color w:val="auto"/>
          <w:sz w:val="52"/>
          <w:szCs w:val="52"/>
          <w:highlight w:val="none"/>
        </w:rPr>
      </w:pPr>
      <w:r>
        <w:rPr>
          <w:rFonts w:hint="eastAsia"/>
          <w:color w:val="auto"/>
          <w:highlight w:val="none"/>
        </w:rPr>
        <w:tab/>
      </w:r>
    </w:p>
    <w:p w14:paraId="486EBB66">
      <w:pPr>
        <w:tabs>
          <w:tab w:val="left" w:pos="998"/>
          <w:tab w:val="center" w:pos="5815"/>
        </w:tabs>
        <w:spacing w:line="360" w:lineRule="auto"/>
        <w:jc w:val="left"/>
        <w:rPr>
          <w:rFonts w:ascii="方正小标宋简体" w:hAnsi="Malgun Gothic" w:eastAsia="方正小标宋简体" w:cs="宋体"/>
          <w:b/>
          <w:color w:val="auto"/>
          <w:sz w:val="52"/>
          <w:szCs w:val="52"/>
          <w:highlight w:val="none"/>
        </w:rPr>
      </w:pPr>
      <w:r>
        <w:rPr>
          <w:rFonts w:hint="eastAsia" w:ascii="方正小标宋简体" w:hAnsi="Malgun Gothic" w:eastAsia="方正小标宋简体" w:cs="宋体"/>
          <w:b/>
          <w:color w:val="auto"/>
          <w:sz w:val="52"/>
          <w:szCs w:val="52"/>
          <w:highlight w:val="none"/>
        </w:rPr>
        <w:t xml:space="preserve">   </w:t>
      </w:r>
    </w:p>
    <w:p w14:paraId="12DA5ED4">
      <w:pPr>
        <w:pStyle w:val="17"/>
        <w:jc w:val="center"/>
        <w:rPr>
          <w:rFonts w:hAnsi="宋体"/>
          <w:b/>
          <w:color w:val="auto"/>
          <w:spacing w:val="-18"/>
          <w:sz w:val="96"/>
          <w:highlight w:val="none"/>
        </w:rPr>
      </w:pPr>
      <w:r>
        <w:rPr>
          <w:rFonts w:hint="eastAsia" w:hAnsi="宋体"/>
          <w:b/>
          <w:color w:val="auto"/>
          <w:spacing w:val="-18"/>
          <w:sz w:val="96"/>
          <w:highlight w:val="none"/>
        </w:rPr>
        <w:t>竞争性</w:t>
      </w:r>
      <w:r>
        <w:rPr>
          <w:rFonts w:hint="eastAsia" w:hAnsi="宋体"/>
          <w:b/>
          <w:color w:val="auto"/>
          <w:spacing w:val="-18"/>
          <w:sz w:val="96"/>
          <w:highlight w:val="none"/>
          <w:lang w:val="en-US" w:eastAsia="zh-CN"/>
        </w:rPr>
        <w:t>磋商</w:t>
      </w:r>
      <w:r>
        <w:rPr>
          <w:rFonts w:hint="eastAsia" w:hAnsi="宋体"/>
          <w:b/>
          <w:color w:val="auto"/>
          <w:spacing w:val="-18"/>
          <w:sz w:val="96"/>
          <w:highlight w:val="none"/>
        </w:rPr>
        <w:t>文件</w:t>
      </w:r>
    </w:p>
    <w:p w14:paraId="4E0DE019">
      <w:pPr>
        <w:spacing w:line="440" w:lineRule="exact"/>
        <w:jc w:val="center"/>
        <w:rPr>
          <w:rFonts w:ascii="宋体" w:hAnsi="宋体"/>
          <w:b/>
          <w:color w:val="auto"/>
          <w:sz w:val="32"/>
          <w:szCs w:val="32"/>
          <w:highlight w:val="none"/>
        </w:rPr>
      </w:pPr>
    </w:p>
    <w:p w14:paraId="6D529715">
      <w:pPr>
        <w:spacing w:line="440" w:lineRule="exact"/>
        <w:jc w:val="center"/>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w:t>
      </w:r>
      <w:r>
        <w:rPr>
          <w:rFonts w:hint="eastAsia" w:ascii="宋体" w:hAnsi="宋体"/>
          <w:b/>
          <w:color w:val="auto"/>
          <w:sz w:val="32"/>
          <w:szCs w:val="32"/>
          <w:highlight w:val="none"/>
          <w:lang w:val="en-US" w:eastAsia="zh-CN"/>
        </w:rPr>
        <w:t>全流程电子标</w:t>
      </w:r>
      <w:r>
        <w:rPr>
          <w:rFonts w:hint="eastAsia" w:ascii="宋体" w:hAnsi="宋体"/>
          <w:b/>
          <w:color w:val="auto"/>
          <w:sz w:val="32"/>
          <w:szCs w:val="32"/>
          <w:highlight w:val="none"/>
          <w:lang w:eastAsia="zh-CN"/>
        </w:rPr>
        <w:t>）</w:t>
      </w:r>
    </w:p>
    <w:p w14:paraId="160A3EC1">
      <w:pPr>
        <w:spacing w:line="440" w:lineRule="exact"/>
        <w:jc w:val="center"/>
        <w:rPr>
          <w:rFonts w:hint="eastAsia" w:ascii="宋体" w:hAnsi="宋体"/>
          <w:b/>
          <w:color w:val="auto"/>
          <w:sz w:val="32"/>
          <w:szCs w:val="32"/>
          <w:highlight w:val="none"/>
          <w:lang w:eastAsia="zh-CN"/>
        </w:rPr>
      </w:pPr>
    </w:p>
    <w:p w14:paraId="1C856301">
      <w:pPr>
        <w:spacing w:line="440" w:lineRule="exact"/>
        <w:rPr>
          <w:rFonts w:ascii="宋体" w:hAnsi="宋体"/>
          <w:b/>
          <w:color w:val="auto"/>
          <w:sz w:val="30"/>
          <w:szCs w:val="30"/>
          <w:highlight w:val="none"/>
        </w:rPr>
      </w:pPr>
    </w:p>
    <w:p w14:paraId="089049BA">
      <w:pPr>
        <w:spacing w:line="440" w:lineRule="exact"/>
        <w:jc w:val="center"/>
        <w:rPr>
          <w:rFonts w:ascii="宋体" w:hAnsi="宋体"/>
          <w:b/>
          <w:color w:val="auto"/>
          <w:sz w:val="28"/>
          <w:szCs w:val="28"/>
          <w:highlight w:val="none"/>
        </w:rPr>
      </w:pPr>
    </w:p>
    <w:p w14:paraId="4D8C2B17">
      <w:pPr>
        <w:spacing w:line="440" w:lineRule="exact"/>
        <w:ind w:left="2105" w:hanging="2105" w:hangingChars="749"/>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rPr>
        <w:t xml:space="preserve">        项目名称：</w:t>
      </w:r>
      <w:r>
        <w:rPr>
          <w:rFonts w:hint="eastAsia" w:ascii="宋体" w:hAnsi="宋体"/>
          <w:b/>
          <w:color w:val="auto"/>
          <w:sz w:val="28"/>
          <w:szCs w:val="28"/>
          <w:highlight w:val="none"/>
          <w:lang w:eastAsia="zh-CN"/>
        </w:rPr>
        <w:t>玉林市现状耕地和潜力耕地地块实际利用情况调查摸底工作底图制作以及市级复核与数据库成果汇总等工作项目（重）</w:t>
      </w:r>
    </w:p>
    <w:p w14:paraId="7062E12D">
      <w:pPr>
        <w:spacing w:line="440" w:lineRule="exact"/>
        <w:ind w:firstLine="1532" w:firstLineChars="545"/>
        <w:rPr>
          <w:rFonts w:ascii="宋体" w:hAnsi="宋体"/>
          <w:b/>
          <w:color w:val="auto"/>
          <w:sz w:val="28"/>
          <w:szCs w:val="28"/>
          <w:highlight w:val="none"/>
        </w:rPr>
      </w:pPr>
    </w:p>
    <w:p w14:paraId="5BD323ED">
      <w:pPr>
        <w:spacing w:line="440" w:lineRule="exact"/>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rPr>
        <w:t xml:space="preserve">           项目编号：</w:t>
      </w:r>
      <w:r>
        <w:rPr>
          <w:rFonts w:hint="eastAsia" w:ascii="宋体" w:hAnsi="宋体"/>
          <w:b/>
          <w:color w:val="auto"/>
          <w:sz w:val="28"/>
          <w:szCs w:val="28"/>
          <w:highlight w:val="none"/>
          <w:lang w:eastAsia="zh-CN"/>
        </w:rPr>
        <w:t>YLZC2025-C3-990317-DYGS</w:t>
      </w:r>
    </w:p>
    <w:p w14:paraId="57AE051A">
      <w:pPr>
        <w:spacing w:line="440" w:lineRule="exact"/>
        <w:jc w:val="center"/>
        <w:rPr>
          <w:rFonts w:ascii="宋体" w:hAnsi="宋体"/>
          <w:b/>
          <w:color w:val="auto"/>
          <w:sz w:val="32"/>
          <w:szCs w:val="32"/>
          <w:highlight w:val="none"/>
        </w:rPr>
      </w:pPr>
    </w:p>
    <w:p w14:paraId="6537A2F6">
      <w:pPr>
        <w:spacing w:line="440" w:lineRule="exact"/>
        <w:jc w:val="both"/>
        <w:rPr>
          <w:rFonts w:ascii="宋体" w:hAnsi="宋体"/>
          <w:b/>
          <w:color w:val="auto"/>
          <w:sz w:val="32"/>
          <w:szCs w:val="32"/>
          <w:highlight w:val="none"/>
        </w:rPr>
      </w:pPr>
    </w:p>
    <w:p w14:paraId="4F6D1528">
      <w:pPr>
        <w:spacing w:line="440" w:lineRule="exact"/>
        <w:jc w:val="center"/>
        <w:rPr>
          <w:rFonts w:ascii="宋体" w:hAnsi="宋体"/>
          <w:b/>
          <w:color w:val="auto"/>
          <w:sz w:val="32"/>
          <w:szCs w:val="32"/>
          <w:highlight w:val="none"/>
        </w:rPr>
      </w:pPr>
    </w:p>
    <w:p w14:paraId="011A6B09">
      <w:pPr>
        <w:spacing w:line="440" w:lineRule="exact"/>
        <w:ind w:firstLine="790" w:firstLineChars="246"/>
        <w:rPr>
          <w:rFonts w:ascii="宋体" w:hAnsi="宋体"/>
          <w:b/>
          <w:color w:val="auto"/>
          <w:sz w:val="32"/>
          <w:szCs w:val="32"/>
          <w:highlight w:val="none"/>
        </w:rPr>
      </w:pPr>
    </w:p>
    <w:p w14:paraId="6AEBD81A">
      <w:pPr>
        <w:spacing w:line="440" w:lineRule="exact"/>
        <w:ind w:firstLine="951" w:firstLineChars="296"/>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采购人(盖章)：玉林市自然资源局</w:t>
      </w:r>
    </w:p>
    <w:p w14:paraId="5C25C21A">
      <w:pPr>
        <w:spacing w:line="440" w:lineRule="exact"/>
        <w:ind w:firstLine="790" w:firstLineChars="246"/>
        <w:rPr>
          <w:rFonts w:ascii="宋体" w:hAnsi="宋体"/>
          <w:b/>
          <w:color w:val="auto"/>
          <w:sz w:val="32"/>
          <w:szCs w:val="32"/>
          <w:highlight w:val="none"/>
        </w:rPr>
      </w:pPr>
    </w:p>
    <w:p w14:paraId="02C43E3B">
      <w:pPr>
        <w:pStyle w:val="13"/>
        <w:spacing w:line="600" w:lineRule="exact"/>
        <w:ind w:right="-260" w:rightChars="-124" w:firstLine="964" w:firstLineChars="300"/>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 xml:space="preserve">采购代理机构（盖章）： </w:t>
      </w:r>
      <w:r>
        <w:rPr>
          <w:rFonts w:hint="eastAsia" w:ascii="宋体" w:hAnsi="宋体"/>
          <w:b/>
          <w:color w:val="auto"/>
          <w:sz w:val="32"/>
          <w:szCs w:val="32"/>
          <w:highlight w:val="none"/>
          <w:lang w:eastAsia="zh-CN"/>
        </w:rPr>
        <w:t>广西德友招标代理有限公司</w:t>
      </w:r>
    </w:p>
    <w:p w14:paraId="51BE8EBD">
      <w:pPr>
        <w:spacing w:line="440" w:lineRule="exact"/>
        <w:rPr>
          <w:rFonts w:hint="eastAsia" w:ascii="宋体" w:hAnsi="宋体"/>
          <w:b/>
          <w:color w:val="auto"/>
          <w:sz w:val="32"/>
          <w:szCs w:val="32"/>
          <w:highlight w:val="none"/>
        </w:rPr>
      </w:pPr>
    </w:p>
    <w:p w14:paraId="4923563A">
      <w:pPr>
        <w:spacing w:line="360" w:lineRule="auto"/>
        <w:jc w:val="center"/>
        <w:rPr>
          <w:color w:val="auto"/>
          <w:highlight w:val="none"/>
        </w:rPr>
      </w:pPr>
      <w:r>
        <w:rPr>
          <w:rFonts w:hint="eastAsia" w:ascii="宋体" w:hAnsi="宋体"/>
          <w:b/>
          <w:color w:val="auto"/>
          <w:sz w:val="32"/>
          <w:szCs w:val="32"/>
          <w:highlight w:val="none"/>
        </w:rPr>
        <w:t>日期：20</w:t>
      </w:r>
      <w:r>
        <w:rPr>
          <w:rFonts w:hint="eastAsia" w:ascii="宋体" w:hAnsi="宋体"/>
          <w:b/>
          <w:color w:val="auto"/>
          <w:sz w:val="32"/>
          <w:szCs w:val="32"/>
          <w:highlight w:val="none"/>
          <w:lang w:val="en-US" w:eastAsia="zh-CN"/>
        </w:rPr>
        <w:t>25</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09</w:t>
      </w:r>
      <w:r>
        <w:rPr>
          <w:rFonts w:hint="eastAsia" w:ascii="宋体" w:hAnsi="宋体"/>
          <w:b/>
          <w:color w:val="auto"/>
          <w:sz w:val="32"/>
          <w:szCs w:val="32"/>
          <w:highlight w:val="none"/>
        </w:rPr>
        <w:t>月</w:t>
      </w:r>
    </w:p>
    <w:p w14:paraId="4B6E75F5">
      <w:pPr>
        <w:spacing w:line="360" w:lineRule="auto"/>
        <w:jc w:val="center"/>
        <w:rPr>
          <w:rFonts w:hint="eastAsia" w:ascii="宋体" w:hAnsi="宋体"/>
          <w:b/>
          <w:color w:val="auto"/>
          <w:sz w:val="44"/>
          <w:szCs w:val="44"/>
          <w:highlight w:val="none"/>
        </w:rPr>
        <w:sectPr>
          <w:headerReference r:id="rId3" w:type="default"/>
          <w:footerReference r:id="rId4" w:type="default"/>
          <w:pgSz w:w="11906" w:h="16838"/>
          <w:pgMar w:top="1440" w:right="1286" w:bottom="1440" w:left="1380" w:header="851" w:footer="992" w:gutter="0"/>
          <w:pgNumType w:start="1"/>
          <w:cols w:space="425" w:num="1"/>
          <w:docGrid w:type="lines" w:linePitch="312" w:charSpace="0"/>
        </w:sectPr>
      </w:pPr>
    </w:p>
    <w:p w14:paraId="2A91A8AE">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40943037">
      <w:pPr>
        <w:spacing w:line="400" w:lineRule="exact"/>
        <w:jc w:val="center"/>
        <w:rPr>
          <w:rFonts w:hint="eastAsia" w:ascii="宋体" w:hAnsi="宋体"/>
          <w:b/>
          <w:color w:val="auto"/>
          <w:sz w:val="44"/>
          <w:szCs w:val="44"/>
          <w:highlight w:val="none"/>
        </w:rPr>
      </w:pPr>
    </w:p>
    <w:p w14:paraId="68F91C5A">
      <w:pPr>
        <w:pStyle w:val="23"/>
        <w:tabs>
          <w:tab w:val="right" w:leader="dot" w:pos="8869"/>
        </w:tabs>
        <w:snapToGrid w:val="0"/>
        <w:spacing w:line="500" w:lineRule="atLeast"/>
        <w:rPr>
          <w:rFonts w:ascii="宋体" w:hAnsi="宋体"/>
          <w:b/>
          <w:color w:val="auto"/>
          <w:sz w:val="24"/>
          <w:highlight w:val="none"/>
          <w:lang w:val="en-US" w:eastAsia="zh-CN"/>
        </w:rPr>
      </w:pPr>
      <w:r>
        <w:rPr>
          <w:rFonts w:ascii="宋体" w:hAnsi="宋体"/>
          <w:b/>
          <w:color w:val="auto"/>
          <w:sz w:val="24"/>
          <w:highlight w:val="none"/>
        </w:rPr>
        <w:fldChar w:fldCharType="begin"/>
      </w:r>
      <w:r>
        <w:rPr>
          <w:rFonts w:ascii="宋体" w:hAnsi="宋体"/>
          <w:b/>
          <w:color w:val="auto"/>
          <w:sz w:val="24"/>
          <w:highlight w:val="none"/>
        </w:rPr>
        <w:instrText xml:space="preserve"> </w:instrText>
      </w:r>
      <w:r>
        <w:rPr>
          <w:rFonts w:hint="eastAsia" w:ascii="宋体" w:hAnsi="宋体"/>
          <w:b/>
          <w:color w:val="auto"/>
          <w:sz w:val="24"/>
          <w:highlight w:val="none"/>
        </w:rPr>
        <w:instrText xml:space="preserve">TOC \o "1-3" \h \z \u</w:instrText>
      </w:r>
      <w:r>
        <w:rPr>
          <w:rFonts w:ascii="宋体" w:hAnsi="宋体"/>
          <w:b/>
          <w:color w:val="auto"/>
          <w:sz w:val="24"/>
          <w:highlight w:val="none"/>
        </w:rPr>
        <w:instrText xml:space="preserve"> </w:instrText>
      </w:r>
      <w:r>
        <w:rPr>
          <w:rFonts w:ascii="宋体" w:hAnsi="宋体"/>
          <w:b/>
          <w:color w:val="auto"/>
          <w:sz w:val="24"/>
          <w:highlight w:val="none"/>
        </w:rPr>
        <w:fldChar w:fldCharType="separate"/>
      </w:r>
      <w:r>
        <w:rPr>
          <w:color w:val="auto"/>
          <w:highlight w:val="none"/>
        </w:rPr>
        <w:fldChar w:fldCharType="begin"/>
      </w:r>
      <w:r>
        <w:rPr>
          <w:color w:val="auto"/>
          <w:highlight w:val="none"/>
        </w:rPr>
        <w:instrText xml:space="preserve"> HYPERLINK \l "_Toc74323456" </w:instrText>
      </w:r>
      <w:r>
        <w:rPr>
          <w:color w:val="auto"/>
          <w:highlight w:val="none"/>
        </w:rPr>
        <w:fldChar w:fldCharType="separate"/>
      </w:r>
      <w:r>
        <w:rPr>
          <w:rStyle w:val="33"/>
          <w:rFonts w:hint="eastAsia" w:ascii="宋体" w:hAnsi="宋体"/>
          <w:b/>
          <w:color w:val="auto"/>
          <w:sz w:val="24"/>
          <w:highlight w:val="none"/>
          <w:lang w:val="en-US" w:eastAsia="zh-CN"/>
        </w:rPr>
        <w:t>第一章</w:t>
      </w:r>
      <w:r>
        <w:rPr>
          <w:rStyle w:val="33"/>
          <w:rFonts w:ascii="宋体" w:hAnsi="宋体"/>
          <w:b/>
          <w:color w:val="auto"/>
          <w:sz w:val="24"/>
          <w:highlight w:val="none"/>
          <w:lang w:val="en-US" w:eastAsia="zh-CN"/>
        </w:rPr>
        <w:t xml:space="preserve"> </w:t>
      </w:r>
      <w:r>
        <w:rPr>
          <w:rStyle w:val="33"/>
          <w:rFonts w:hint="eastAsia" w:ascii="宋体" w:hAnsi="宋体"/>
          <w:b/>
          <w:color w:val="auto"/>
          <w:sz w:val="24"/>
          <w:highlight w:val="none"/>
          <w:lang w:val="en-US" w:eastAsia="zh-CN"/>
        </w:rPr>
        <w:t>竞争性磋商公告</w:t>
      </w:r>
      <w:r>
        <w:rPr>
          <w:rFonts w:ascii="宋体" w:hAnsi="宋体"/>
          <w:b/>
          <w:color w:val="auto"/>
          <w:sz w:val="24"/>
          <w:highlight w:val="none"/>
          <w:lang w:val="en-US" w:eastAsia="zh-CN"/>
        </w:rPr>
        <w:tab/>
      </w:r>
      <w:r>
        <w:rPr>
          <w:rFonts w:ascii="宋体" w:hAnsi="宋体"/>
          <w:b/>
          <w:color w:val="auto"/>
          <w:sz w:val="24"/>
          <w:highlight w:val="none"/>
          <w:lang w:val="en-US" w:eastAsia="zh-CN"/>
        </w:rPr>
        <w:fldChar w:fldCharType="begin"/>
      </w:r>
      <w:r>
        <w:rPr>
          <w:rFonts w:ascii="宋体" w:hAnsi="宋体"/>
          <w:b/>
          <w:color w:val="auto"/>
          <w:sz w:val="24"/>
          <w:highlight w:val="none"/>
          <w:lang w:val="en-US" w:eastAsia="zh-CN"/>
        </w:rPr>
        <w:instrText xml:space="preserve"> PAGEREF _Toc74323456 \h </w:instrText>
      </w:r>
      <w:r>
        <w:rPr>
          <w:rFonts w:ascii="宋体" w:hAnsi="宋体"/>
          <w:b/>
          <w:color w:val="auto"/>
          <w:sz w:val="24"/>
          <w:highlight w:val="none"/>
          <w:lang w:val="en-US" w:eastAsia="zh-CN"/>
        </w:rPr>
        <w:fldChar w:fldCharType="separate"/>
      </w:r>
      <w:r>
        <w:rPr>
          <w:rFonts w:ascii="宋体" w:hAnsi="宋体"/>
          <w:b/>
          <w:color w:val="auto"/>
          <w:sz w:val="24"/>
          <w:highlight w:val="none"/>
          <w:lang w:val="en-US" w:eastAsia="zh-CN"/>
        </w:rPr>
        <w:t>2</w:t>
      </w:r>
      <w:r>
        <w:rPr>
          <w:rFonts w:ascii="宋体" w:hAnsi="宋体"/>
          <w:b/>
          <w:color w:val="auto"/>
          <w:sz w:val="24"/>
          <w:highlight w:val="none"/>
          <w:lang w:val="en-US" w:eastAsia="zh-CN"/>
        </w:rPr>
        <w:fldChar w:fldCharType="end"/>
      </w:r>
      <w:r>
        <w:rPr>
          <w:rFonts w:ascii="宋体" w:hAnsi="宋体"/>
          <w:b/>
          <w:color w:val="auto"/>
          <w:sz w:val="24"/>
          <w:highlight w:val="none"/>
          <w:lang w:val="en-US" w:eastAsia="zh-CN"/>
        </w:rPr>
        <w:fldChar w:fldCharType="end"/>
      </w:r>
    </w:p>
    <w:p w14:paraId="1E37FC55">
      <w:pPr>
        <w:pStyle w:val="23"/>
        <w:tabs>
          <w:tab w:val="right" w:leader="dot" w:pos="8869"/>
        </w:tabs>
        <w:snapToGrid w:val="0"/>
        <w:spacing w:line="500" w:lineRule="atLeast"/>
        <w:rPr>
          <w:rFonts w:ascii="宋体" w:hAnsi="宋体"/>
          <w:b/>
          <w:color w:val="auto"/>
          <w:sz w:val="24"/>
          <w:highlight w:val="none"/>
          <w:lang w:val="en-US" w:eastAsia="zh-CN"/>
        </w:rPr>
      </w:pPr>
      <w:r>
        <w:rPr>
          <w:color w:val="auto"/>
          <w:highlight w:val="none"/>
        </w:rPr>
        <w:fldChar w:fldCharType="begin"/>
      </w:r>
      <w:r>
        <w:rPr>
          <w:color w:val="auto"/>
          <w:highlight w:val="none"/>
        </w:rPr>
        <w:instrText xml:space="preserve"> HYPERLINK \l "_Toc74323457" </w:instrText>
      </w:r>
      <w:r>
        <w:rPr>
          <w:color w:val="auto"/>
          <w:highlight w:val="none"/>
        </w:rPr>
        <w:fldChar w:fldCharType="separate"/>
      </w:r>
      <w:r>
        <w:rPr>
          <w:rStyle w:val="33"/>
          <w:rFonts w:hint="eastAsia" w:ascii="宋体" w:hAnsi="宋体"/>
          <w:b/>
          <w:color w:val="auto"/>
          <w:sz w:val="24"/>
          <w:highlight w:val="none"/>
          <w:lang w:val="en-US" w:eastAsia="zh-CN"/>
        </w:rPr>
        <w:t>第二章</w:t>
      </w:r>
      <w:r>
        <w:rPr>
          <w:rStyle w:val="33"/>
          <w:rFonts w:ascii="宋体" w:hAnsi="宋体"/>
          <w:b/>
          <w:color w:val="auto"/>
          <w:sz w:val="24"/>
          <w:highlight w:val="none"/>
          <w:lang w:val="en-US" w:eastAsia="zh-CN"/>
        </w:rPr>
        <w:t xml:space="preserve"> </w:t>
      </w:r>
      <w:r>
        <w:rPr>
          <w:rStyle w:val="33"/>
          <w:rFonts w:hint="eastAsia" w:ascii="宋体" w:hAnsi="宋体"/>
          <w:b/>
          <w:color w:val="auto"/>
          <w:sz w:val="24"/>
          <w:highlight w:val="none"/>
          <w:lang w:val="en-US" w:eastAsia="zh-CN"/>
        </w:rPr>
        <w:t>供应</w:t>
      </w:r>
      <w:bookmarkStart w:id="0" w:name="_Hlt82161237"/>
      <w:r>
        <w:rPr>
          <w:rStyle w:val="33"/>
          <w:rFonts w:hint="eastAsia" w:ascii="宋体" w:hAnsi="宋体"/>
          <w:b/>
          <w:color w:val="auto"/>
          <w:sz w:val="24"/>
          <w:highlight w:val="none"/>
          <w:lang w:val="en-US" w:eastAsia="zh-CN"/>
        </w:rPr>
        <w:t>商</w:t>
      </w:r>
      <w:bookmarkEnd w:id="0"/>
      <w:r>
        <w:rPr>
          <w:rStyle w:val="33"/>
          <w:rFonts w:hint="eastAsia" w:ascii="宋体" w:hAnsi="宋体"/>
          <w:b/>
          <w:color w:val="auto"/>
          <w:sz w:val="24"/>
          <w:highlight w:val="none"/>
          <w:lang w:val="en-US" w:eastAsia="zh-CN"/>
        </w:rPr>
        <w:t>须知</w:t>
      </w:r>
      <w:r>
        <w:rPr>
          <w:rFonts w:ascii="宋体" w:hAnsi="宋体"/>
          <w:b/>
          <w:color w:val="auto"/>
          <w:sz w:val="24"/>
          <w:highlight w:val="none"/>
          <w:lang w:val="en-US" w:eastAsia="zh-CN"/>
        </w:rPr>
        <w:tab/>
      </w:r>
      <w:r>
        <w:rPr>
          <w:rFonts w:ascii="宋体" w:hAnsi="宋体"/>
          <w:b/>
          <w:color w:val="auto"/>
          <w:sz w:val="24"/>
          <w:highlight w:val="none"/>
          <w:lang w:val="en-US" w:eastAsia="zh-CN"/>
        </w:rPr>
        <w:fldChar w:fldCharType="begin"/>
      </w:r>
      <w:r>
        <w:rPr>
          <w:rFonts w:ascii="宋体" w:hAnsi="宋体"/>
          <w:b/>
          <w:color w:val="auto"/>
          <w:sz w:val="24"/>
          <w:highlight w:val="none"/>
          <w:lang w:val="en-US" w:eastAsia="zh-CN"/>
        </w:rPr>
        <w:instrText xml:space="preserve"> PAGEREF _Toc74323457 \h </w:instrText>
      </w:r>
      <w:r>
        <w:rPr>
          <w:rFonts w:ascii="宋体" w:hAnsi="宋体"/>
          <w:b/>
          <w:color w:val="auto"/>
          <w:sz w:val="24"/>
          <w:highlight w:val="none"/>
          <w:lang w:val="en-US" w:eastAsia="zh-CN"/>
        </w:rPr>
        <w:fldChar w:fldCharType="separate"/>
      </w:r>
      <w:r>
        <w:rPr>
          <w:rFonts w:ascii="宋体" w:hAnsi="宋体"/>
          <w:b/>
          <w:color w:val="auto"/>
          <w:sz w:val="24"/>
          <w:highlight w:val="none"/>
          <w:lang w:val="en-US" w:eastAsia="zh-CN"/>
        </w:rPr>
        <w:t>5</w:t>
      </w:r>
      <w:r>
        <w:rPr>
          <w:rFonts w:ascii="宋体" w:hAnsi="宋体"/>
          <w:b/>
          <w:color w:val="auto"/>
          <w:sz w:val="24"/>
          <w:highlight w:val="none"/>
          <w:lang w:val="en-US" w:eastAsia="zh-CN"/>
        </w:rPr>
        <w:fldChar w:fldCharType="end"/>
      </w:r>
      <w:r>
        <w:rPr>
          <w:rFonts w:ascii="宋体" w:hAnsi="宋体"/>
          <w:b/>
          <w:color w:val="auto"/>
          <w:sz w:val="24"/>
          <w:highlight w:val="none"/>
          <w:lang w:val="en-US" w:eastAsia="zh-CN"/>
        </w:rPr>
        <w:fldChar w:fldCharType="end"/>
      </w:r>
    </w:p>
    <w:p w14:paraId="71196F8C">
      <w:pPr>
        <w:pStyle w:val="23"/>
        <w:tabs>
          <w:tab w:val="right" w:leader="dot" w:pos="8869"/>
        </w:tabs>
        <w:snapToGrid w:val="0"/>
        <w:spacing w:line="500" w:lineRule="atLeast"/>
        <w:rPr>
          <w:rFonts w:ascii="宋体" w:hAnsi="宋体"/>
          <w:b/>
          <w:color w:val="auto"/>
          <w:sz w:val="24"/>
          <w:highlight w:val="none"/>
          <w:lang w:val="en-US" w:eastAsia="zh-CN"/>
        </w:rPr>
      </w:pPr>
      <w:r>
        <w:rPr>
          <w:color w:val="auto"/>
          <w:highlight w:val="none"/>
        </w:rPr>
        <w:fldChar w:fldCharType="begin"/>
      </w:r>
      <w:r>
        <w:rPr>
          <w:color w:val="auto"/>
          <w:highlight w:val="none"/>
        </w:rPr>
        <w:instrText xml:space="preserve"> HYPERLINK \l "_Toc74323458" </w:instrText>
      </w:r>
      <w:r>
        <w:rPr>
          <w:color w:val="auto"/>
          <w:highlight w:val="none"/>
        </w:rPr>
        <w:fldChar w:fldCharType="separate"/>
      </w:r>
      <w:r>
        <w:rPr>
          <w:rStyle w:val="33"/>
          <w:rFonts w:hint="eastAsia" w:ascii="宋体" w:hAnsi="宋体"/>
          <w:b/>
          <w:color w:val="auto"/>
          <w:sz w:val="24"/>
          <w:highlight w:val="none"/>
          <w:lang w:val="en-US" w:eastAsia="zh-CN"/>
        </w:rPr>
        <w:t>第三章</w:t>
      </w:r>
      <w:r>
        <w:rPr>
          <w:rStyle w:val="33"/>
          <w:rFonts w:ascii="宋体" w:hAnsi="宋体"/>
          <w:b/>
          <w:color w:val="auto"/>
          <w:sz w:val="24"/>
          <w:highlight w:val="none"/>
          <w:lang w:val="en-US" w:eastAsia="zh-CN"/>
        </w:rPr>
        <w:t xml:space="preserve"> </w:t>
      </w:r>
      <w:r>
        <w:rPr>
          <w:rStyle w:val="33"/>
          <w:rFonts w:hint="eastAsia" w:ascii="宋体" w:hAnsi="宋体"/>
          <w:b/>
          <w:color w:val="auto"/>
          <w:sz w:val="24"/>
          <w:highlight w:val="none"/>
          <w:lang w:val="en-US" w:eastAsia="zh-CN"/>
        </w:rPr>
        <w:t>采购需</w:t>
      </w:r>
      <w:bookmarkStart w:id="1" w:name="_Hlt82166940"/>
      <w:r>
        <w:rPr>
          <w:rStyle w:val="33"/>
          <w:rFonts w:hint="eastAsia" w:ascii="宋体" w:hAnsi="宋体"/>
          <w:b/>
          <w:color w:val="auto"/>
          <w:sz w:val="24"/>
          <w:highlight w:val="none"/>
          <w:lang w:val="en-US" w:eastAsia="zh-CN"/>
        </w:rPr>
        <w:t>求</w:t>
      </w:r>
      <w:bookmarkEnd w:id="1"/>
      <w:r>
        <w:rPr>
          <w:rFonts w:ascii="宋体" w:hAnsi="宋体"/>
          <w:b/>
          <w:color w:val="auto"/>
          <w:sz w:val="24"/>
          <w:highlight w:val="none"/>
          <w:lang w:val="en-US" w:eastAsia="zh-CN"/>
        </w:rPr>
        <w:tab/>
      </w:r>
      <w:r>
        <w:rPr>
          <w:rFonts w:ascii="宋体" w:hAnsi="宋体"/>
          <w:b/>
          <w:color w:val="auto"/>
          <w:sz w:val="24"/>
          <w:highlight w:val="none"/>
          <w:lang w:val="en-US" w:eastAsia="zh-CN"/>
        </w:rPr>
        <w:fldChar w:fldCharType="begin"/>
      </w:r>
      <w:r>
        <w:rPr>
          <w:rFonts w:ascii="宋体" w:hAnsi="宋体"/>
          <w:b/>
          <w:color w:val="auto"/>
          <w:sz w:val="24"/>
          <w:highlight w:val="none"/>
          <w:lang w:val="en-US" w:eastAsia="zh-CN"/>
        </w:rPr>
        <w:instrText xml:space="preserve"> PAGEREF _Toc74323458 \h </w:instrText>
      </w:r>
      <w:r>
        <w:rPr>
          <w:rFonts w:ascii="宋体" w:hAnsi="宋体"/>
          <w:b/>
          <w:color w:val="auto"/>
          <w:sz w:val="24"/>
          <w:highlight w:val="none"/>
          <w:lang w:val="en-US" w:eastAsia="zh-CN"/>
        </w:rPr>
        <w:fldChar w:fldCharType="separate"/>
      </w:r>
      <w:r>
        <w:rPr>
          <w:rFonts w:ascii="宋体" w:hAnsi="宋体"/>
          <w:b/>
          <w:color w:val="auto"/>
          <w:sz w:val="24"/>
          <w:highlight w:val="none"/>
          <w:lang w:val="en-US" w:eastAsia="zh-CN"/>
        </w:rPr>
        <w:t>21</w:t>
      </w:r>
      <w:r>
        <w:rPr>
          <w:rFonts w:ascii="宋体" w:hAnsi="宋体"/>
          <w:b/>
          <w:color w:val="auto"/>
          <w:sz w:val="24"/>
          <w:highlight w:val="none"/>
          <w:lang w:val="en-US" w:eastAsia="zh-CN"/>
        </w:rPr>
        <w:fldChar w:fldCharType="end"/>
      </w:r>
      <w:r>
        <w:rPr>
          <w:rFonts w:ascii="宋体" w:hAnsi="宋体"/>
          <w:b/>
          <w:color w:val="auto"/>
          <w:sz w:val="24"/>
          <w:highlight w:val="none"/>
          <w:lang w:val="en-US" w:eastAsia="zh-CN"/>
        </w:rPr>
        <w:fldChar w:fldCharType="end"/>
      </w:r>
    </w:p>
    <w:p w14:paraId="65CFD4FB">
      <w:pPr>
        <w:pStyle w:val="23"/>
        <w:tabs>
          <w:tab w:val="right" w:leader="dot" w:pos="8869"/>
        </w:tabs>
        <w:snapToGrid w:val="0"/>
        <w:spacing w:line="500" w:lineRule="atLeast"/>
        <w:rPr>
          <w:rFonts w:ascii="宋体" w:hAnsi="宋体"/>
          <w:b/>
          <w:color w:val="auto"/>
          <w:sz w:val="24"/>
          <w:highlight w:val="none"/>
          <w:lang w:val="en-US" w:eastAsia="zh-CN"/>
        </w:rPr>
      </w:pPr>
      <w:r>
        <w:rPr>
          <w:color w:val="auto"/>
          <w:highlight w:val="none"/>
        </w:rPr>
        <w:fldChar w:fldCharType="begin"/>
      </w:r>
      <w:r>
        <w:rPr>
          <w:color w:val="auto"/>
          <w:highlight w:val="none"/>
        </w:rPr>
        <w:instrText xml:space="preserve"> HYPERLINK \l "_Toc74323459" </w:instrText>
      </w:r>
      <w:r>
        <w:rPr>
          <w:color w:val="auto"/>
          <w:highlight w:val="none"/>
        </w:rPr>
        <w:fldChar w:fldCharType="separate"/>
      </w:r>
      <w:r>
        <w:rPr>
          <w:rStyle w:val="33"/>
          <w:rFonts w:hint="eastAsia" w:ascii="宋体" w:hAnsi="宋体"/>
          <w:b/>
          <w:color w:val="auto"/>
          <w:sz w:val="24"/>
          <w:highlight w:val="none"/>
          <w:lang w:val="en-US" w:eastAsia="zh-CN"/>
        </w:rPr>
        <w:t>第四章</w:t>
      </w:r>
      <w:r>
        <w:rPr>
          <w:rStyle w:val="33"/>
          <w:rFonts w:ascii="宋体" w:hAnsi="宋体"/>
          <w:b/>
          <w:color w:val="auto"/>
          <w:sz w:val="24"/>
          <w:highlight w:val="none"/>
          <w:lang w:val="en-US" w:eastAsia="zh-CN"/>
        </w:rPr>
        <w:t xml:space="preserve"> </w:t>
      </w:r>
      <w:r>
        <w:rPr>
          <w:rStyle w:val="33"/>
          <w:rFonts w:hint="eastAsia" w:ascii="宋体" w:hAnsi="宋体"/>
          <w:b/>
          <w:color w:val="auto"/>
          <w:sz w:val="24"/>
          <w:highlight w:val="none"/>
          <w:lang w:val="en-US" w:eastAsia="zh-CN"/>
        </w:rPr>
        <w:t>评审程序、</w:t>
      </w:r>
      <w:bookmarkStart w:id="2" w:name="_Hlt82166000"/>
      <w:r>
        <w:rPr>
          <w:rStyle w:val="33"/>
          <w:rFonts w:hint="eastAsia" w:ascii="宋体" w:hAnsi="宋体"/>
          <w:b/>
          <w:color w:val="auto"/>
          <w:sz w:val="24"/>
          <w:highlight w:val="none"/>
          <w:lang w:val="en-US" w:eastAsia="zh-CN"/>
        </w:rPr>
        <w:t>评</w:t>
      </w:r>
      <w:bookmarkEnd w:id="2"/>
      <w:r>
        <w:rPr>
          <w:rStyle w:val="33"/>
          <w:rFonts w:hint="eastAsia" w:ascii="宋体" w:hAnsi="宋体"/>
          <w:b/>
          <w:color w:val="auto"/>
          <w:sz w:val="24"/>
          <w:highlight w:val="none"/>
          <w:lang w:val="en-US" w:eastAsia="zh-CN"/>
        </w:rPr>
        <w:t>审方法和评审标准</w:t>
      </w:r>
      <w:r>
        <w:rPr>
          <w:rFonts w:ascii="宋体" w:hAnsi="宋体"/>
          <w:b/>
          <w:color w:val="auto"/>
          <w:sz w:val="24"/>
          <w:highlight w:val="none"/>
          <w:lang w:val="en-US" w:eastAsia="zh-CN"/>
        </w:rPr>
        <w:tab/>
      </w:r>
      <w:r>
        <w:rPr>
          <w:rFonts w:ascii="宋体" w:hAnsi="宋体"/>
          <w:b/>
          <w:color w:val="auto"/>
          <w:sz w:val="24"/>
          <w:highlight w:val="none"/>
          <w:lang w:val="en-US" w:eastAsia="zh-CN"/>
        </w:rPr>
        <w:fldChar w:fldCharType="begin"/>
      </w:r>
      <w:r>
        <w:rPr>
          <w:rFonts w:ascii="宋体" w:hAnsi="宋体"/>
          <w:b/>
          <w:color w:val="auto"/>
          <w:sz w:val="24"/>
          <w:highlight w:val="none"/>
          <w:lang w:val="en-US" w:eastAsia="zh-CN"/>
        </w:rPr>
        <w:instrText xml:space="preserve"> PAGEREF _Toc74323459 \h </w:instrText>
      </w:r>
      <w:r>
        <w:rPr>
          <w:rFonts w:ascii="宋体" w:hAnsi="宋体"/>
          <w:b/>
          <w:color w:val="auto"/>
          <w:sz w:val="24"/>
          <w:highlight w:val="none"/>
          <w:lang w:val="en-US" w:eastAsia="zh-CN"/>
        </w:rPr>
        <w:fldChar w:fldCharType="separate"/>
      </w:r>
      <w:r>
        <w:rPr>
          <w:rFonts w:ascii="宋体" w:hAnsi="宋体"/>
          <w:b/>
          <w:color w:val="auto"/>
          <w:sz w:val="24"/>
          <w:highlight w:val="none"/>
          <w:lang w:val="en-US" w:eastAsia="zh-CN"/>
        </w:rPr>
        <w:t>24</w:t>
      </w:r>
      <w:r>
        <w:rPr>
          <w:rFonts w:ascii="宋体" w:hAnsi="宋体"/>
          <w:b/>
          <w:color w:val="auto"/>
          <w:sz w:val="24"/>
          <w:highlight w:val="none"/>
          <w:lang w:val="en-US" w:eastAsia="zh-CN"/>
        </w:rPr>
        <w:fldChar w:fldCharType="end"/>
      </w:r>
      <w:r>
        <w:rPr>
          <w:rFonts w:ascii="宋体" w:hAnsi="宋体"/>
          <w:b/>
          <w:color w:val="auto"/>
          <w:sz w:val="24"/>
          <w:highlight w:val="none"/>
          <w:lang w:val="en-US" w:eastAsia="zh-CN"/>
        </w:rPr>
        <w:fldChar w:fldCharType="end"/>
      </w:r>
    </w:p>
    <w:p w14:paraId="124402C4">
      <w:pPr>
        <w:pStyle w:val="23"/>
        <w:tabs>
          <w:tab w:val="right" w:leader="dot" w:pos="8869"/>
        </w:tabs>
        <w:snapToGrid w:val="0"/>
        <w:spacing w:line="500" w:lineRule="atLeast"/>
        <w:rPr>
          <w:rFonts w:ascii="宋体" w:hAnsi="宋体"/>
          <w:b/>
          <w:color w:val="auto"/>
          <w:sz w:val="24"/>
          <w:highlight w:val="none"/>
          <w:lang w:val="en-US" w:eastAsia="zh-CN"/>
        </w:rPr>
      </w:pPr>
      <w:r>
        <w:rPr>
          <w:color w:val="auto"/>
          <w:highlight w:val="none"/>
        </w:rPr>
        <w:fldChar w:fldCharType="begin"/>
      </w:r>
      <w:r>
        <w:rPr>
          <w:color w:val="auto"/>
          <w:highlight w:val="none"/>
        </w:rPr>
        <w:instrText xml:space="preserve"> HYPERLINK \l "_Toc74323460" </w:instrText>
      </w:r>
      <w:r>
        <w:rPr>
          <w:color w:val="auto"/>
          <w:highlight w:val="none"/>
        </w:rPr>
        <w:fldChar w:fldCharType="separate"/>
      </w:r>
      <w:r>
        <w:rPr>
          <w:rStyle w:val="33"/>
          <w:rFonts w:hint="eastAsia" w:ascii="宋体" w:hAnsi="宋体"/>
          <w:b/>
          <w:color w:val="auto"/>
          <w:sz w:val="24"/>
          <w:highlight w:val="none"/>
          <w:lang w:val="en-US" w:eastAsia="zh-CN"/>
        </w:rPr>
        <w:t>第五章</w:t>
      </w:r>
      <w:r>
        <w:rPr>
          <w:rStyle w:val="33"/>
          <w:rFonts w:ascii="宋体" w:hAnsi="宋体"/>
          <w:b/>
          <w:color w:val="auto"/>
          <w:sz w:val="24"/>
          <w:highlight w:val="none"/>
          <w:lang w:val="en-US" w:eastAsia="zh-CN"/>
        </w:rPr>
        <w:t xml:space="preserve"> </w:t>
      </w:r>
      <w:r>
        <w:rPr>
          <w:rStyle w:val="33"/>
          <w:rFonts w:hint="eastAsia" w:ascii="宋体" w:hAnsi="宋体"/>
          <w:b/>
          <w:color w:val="auto"/>
          <w:sz w:val="24"/>
          <w:highlight w:val="none"/>
          <w:lang w:val="en-US" w:eastAsia="zh-CN"/>
        </w:rPr>
        <w:t>响应文件格式</w:t>
      </w:r>
      <w:r>
        <w:rPr>
          <w:rFonts w:ascii="宋体" w:hAnsi="宋体"/>
          <w:b/>
          <w:color w:val="auto"/>
          <w:sz w:val="24"/>
          <w:highlight w:val="none"/>
          <w:lang w:val="en-US" w:eastAsia="zh-CN"/>
        </w:rPr>
        <w:tab/>
      </w:r>
      <w:r>
        <w:rPr>
          <w:rFonts w:ascii="宋体" w:hAnsi="宋体"/>
          <w:b/>
          <w:color w:val="auto"/>
          <w:sz w:val="24"/>
          <w:highlight w:val="none"/>
          <w:lang w:val="en-US" w:eastAsia="zh-CN"/>
        </w:rPr>
        <w:fldChar w:fldCharType="begin"/>
      </w:r>
      <w:r>
        <w:rPr>
          <w:rFonts w:ascii="宋体" w:hAnsi="宋体"/>
          <w:b/>
          <w:color w:val="auto"/>
          <w:sz w:val="24"/>
          <w:highlight w:val="none"/>
          <w:lang w:val="en-US" w:eastAsia="zh-CN"/>
        </w:rPr>
        <w:instrText xml:space="preserve"> PAGEREF _Toc74323460 \h </w:instrText>
      </w:r>
      <w:r>
        <w:rPr>
          <w:rFonts w:ascii="宋体" w:hAnsi="宋体"/>
          <w:b/>
          <w:color w:val="auto"/>
          <w:sz w:val="24"/>
          <w:highlight w:val="none"/>
          <w:lang w:val="en-US" w:eastAsia="zh-CN"/>
        </w:rPr>
        <w:fldChar w:fldCharType="separate"/>
      </w:r>
      <w:r>
        <w:rPr>
          <w:rFonts w:ascii="宋体" w:hAnsi="宋体"/>
          <w:b/>
          <w:color w:val="auto"/>
          <w:sz w:val="24"/>
          <w:highlight w:val="none"/>
          <w:lang w:val="en-US" w:eastAsia="zh-CN"/>
        </w:rPr>
        <w:t>33</w:t>
      </w:r>
      <w:r>
        <w:rPr>
          <w:rFonts w:ascii="宋体" w:hAnsi="宋体"/>
          <w:b/>
          <w:color w:val="auto"/>
          <w:sz w:val="24"/>
          <w:highlight w:val="none"/>
          <w:lang w:val="en-US" w:eastAsia="zh-CN"/>
        </w:rPr>
        <w:fldChar w:fldCharType="end"/>
      </w:r>
      <w:r>
        <w:rPr>
          <w:rFonts w:ascii="宋体" w:hAnsi="宋体"/>
          <w:b/>
          <w:color w:val="auto"/>
          <w:sz w:val="24"/>
          <w:highlight w:val="none"/>
          <w:lang w:val="en-US" w:eastAsia="zh-CN"/>
        </w:rPr>
        <w:fldChar w:fldCharType="end"/>
      </w:r>
    </w:p>
    <w:p w14:paraId="46175058">
      <w:pPr>
        <w:pStyle w:val="23"/>
        <w:tabs>
          <w:tab w:val="right" w:leader="dot" w:pos="8869"/>
        </w:tabs>
        <w:snapToGrid w:val="0"/>
        <w:spacing w:line="500" w:lineRule="atLeast"/>
        <w:rPr>
          <w:rFonts w:ascii="宋体" w:hAnsi="宋体"/>
          <w:color w:val="auto"/>
          <w:sz w:val="24"/>
          <w:highlight w:val="none"/>
          <w:lang w:val="en-US" w:eastAsia="zh-CN"/>
        </w:rPr>
      </w:pPr>
      <w:r>
        <w:rPr>
          <w:color w:val="auto"/>
          <w:highlight w:val="none"/>
        </w:rPr>
        <w:fldChar w:fldCharType="begin"/>
      </w:r>
      <w:r>
        <w:rPr>
          <w:color w:val="auto"/>
          <w:highlight w:val="none"/>
        </w:rPr>
        <w:instrText xml:space="preserve"> HYPERLINK \l "_Toc74323461" </w:instrText>
      </w:r>
      <w:r>
        <w:rPr>
          <w:color w:val="auto"/>
          <w:highlight w:val="none"/>
        </w:rPr>
        <w:fldChar w:fldCharType="separate"/>
      </w:r>
      <w:r>
        <w:rPr>
          <w:rStyle w:val="33"/>
          <w:rFonts w:hint="eastAsia" w:ascii="宋体" w:hAnsi="宋体"/>
          <w:b/>
          <w:color w:val="auto"/>
          <w:sz w:val="24"/>
          <w:highlight w:val="none"/>
          <w:lang w:val="en-US" w:eastAsia="zh-CN"/>
        </w:rPr>
        <w:t>第六章</w:t>
      </w:r>
      <w:r>
        <w:rPr>
          <w:rStyle w:val="33"/>
          <w:rFonts w:ascii="宋体" w:hAnsi="宋体"/>
          <w:b/>
          <w:color w:val="auto"/>
          <w:sz w:val="24"/>
          <w:highlight w:val="none"/>
          <w:lang w:val="en-US" w:eastAsia="zh-CN"/>
        </w:rPr>
        <w:t xml:space="preserve"> </w:t>
      </w:r>
      <w:r>
        <w:rPr>
          <w:rStyle w:val="33"/>
          <w:rFonts w:hint="eastAsia" w:ascii="宋体" w:hAnsi="宋体"/>
          <w:b/>
          <w:color w:val="auto"/>
          <w:sz w:val="24"/>
          <w:highlight w:val="none"/>
          <w:lang w:val="en-US" w:eastAsia="zh-CN"/>
        </w:rPr>
        <w:t>合同文本</w:t>
      </w:r>
      <w:r>
        <w:rPr>
          <w:rFonts w:ascii="宋体" w:hAnsi="宋体"/>
          <w:b/>
          <w:color w:val="auto"/>
          <w:sz w:val="24"/>
          <w:highlight w:val="none"/>
          <w:lang w:val="en-US" w:eastAsia="zh-CN"/>
        </w:rPr>
        <w:tab/>
      </w:r>
      <w:r>
        <w:rPr>
          <w:rFonts w:ascii="宋体" w:hAnsi="宋体"/>
          <w:b/>
          <w:color w:val="auto"/>
          <w:sz w:val="24"/>
          <w:highlight w:val="none"/>
          <w:lang w:val="en-US" w:eastAsia="zh-CN"/>
        </w:rPr>
        <w:fldChar w:fldCharType="begin"/>
      </w:r>
      <w:r>
        <w:rPr>
          <w:rFonts w:ascii="宋体" w:hAnsi="宋体"/>
          <w:b/>
          <w:color w:val="auto"/>
          <w:sz w:val="24"/>
          <w:highlight w:val="none"/>
          <w:lang w:val="en-US" w:eastAsia="zh-CN"/>
        </w:rPr>
        <w:instrText xml:space="preserve"> PAGEREF _Toc74323461 \h </w:instrText>
      </w:r>
      <w:r>
        <w:rPr>
          <w:rFonts w:ascii="宋体" w:hAnsi="宋体"/>
          <w:b/>
          <w:color w:val="auto"/>
          <w:sz w:val="24"/>
          <w:highlight w:val="none"/>
          <w:lang w:val="en-US" w:eastAsia="zh-CN"/>
        </w:rPr>
        <w:fldChar w:fldCharType="separate"/>
      </w:r>
      <w:r>
        <w:rPr>
          <w:rFonts w:ascii="宋体" w:hAnsi="宋体"/>
          <w:b/>
          <w:color w:val="auto"/>
          <w:sz w:val="24"/>
          <w:highlight w:val="none"/>
          <w:lang w:val="en-US" w:eastAsia="zh-CN"/>
        </w:rPr>
        <w:t>58</w:t>
      </w:r>
      <w:r>
        <w:rPr>
          <w:rFonts w:ascii="宋体" w:hAnsi="宋体"/>
          <w:b/>
          <w:color w:val="auto"/>
          <w:sz w:val="24"/>
          <w:highlight w:val="none"/>
          <w:lang w:val="en-US" w:eastAsia="zh-CN"/>
        </w:rPr>
        <w:fldChar w:fldCharType="end"/>
      </w:r>
      <w:r>
        <w:rPr>
          <w:rFonts w:ascii="宋体" w:hAnsi="宋体"/>
          <w:b/>
          <w:color w:val="auto"/>
          <w:sz w:val="24"/>
          <w:highlight w:val="none"/>
          <w:lang w:val="en-US" w:eastAsia="zh-CN"/>
        </w:rPr>
        <w:fldChar w:fldCharType="end"/>
      </w:r>
    </w:p>
    <w:p w14:paraId="027F42A9">
      <w:pPr>
        <w:pStyle w:val="24"/>
        <w:tabs>
          <w:tab w:val="right" w:leader="dot" w:pos="8931"/>
          <w:tab w:val="clear" w:pos="8296"/>
        </w:tabs>
        <w:snapToGrid w:val="0"/>
        <w:spacing w:line="500" w:lineRule="atLeast"/>
        <w:ind w:left="0" w:leftChars="0"/>
        <w:rPr>
          <w:rFonts w:hint="eastAsia" w:ascii="宋体" w:hAnsi="宋体"/>
          <w:b/>
          <w:color w:val="auto"/>
          <w:sz w:val="24"/>
          <w:highlight w:val="none"/>
          <w:lang w:val="en-US" w:eastAsia="zh-CN"/>
        </w:rPr>
      </w:pPr>
      <w:r>
        <w:rPr>
          <w:rFonts w:ascii="宋体" w:hAnsi="宋体"/>
          <w:b/>
          <w:color w:val="auto"/>
          <w:sz w:val="24"/>
          <w:highlight w:val="none"/>
        </w:rPr>
        <w:fldChar w:fldCharType="end"/>
      </w:r>
    </w:p>
    <w:p w14:paraId="5976159B">
      <w:pPr>
        <w:spacing w:line="400" w:lineRule="exact"/>
        <w:jc w:val="left"/>
        <w:rPr>
          <w:rFonts w:hint="eastAsia" w:ascii="宋体" w:hAnsi="宋体"/>
          <w:b/>
          <w:color w:val="auto"/>
          <w:sz w:val="32"/>
          <w:szCs w:val="32"/>
          <w:highlight w:val="none"/>
        </w:rPr>
      </w:pPr>
    </w:p>
    <w:p w14:paraId="01DA1BF3">
      <w:pPr>
        <w:spacing w:line="400" w:lineRule="exact"/>
        <w:jc w:val="center"/>
        <w:rPr>
          <w:rFonts w:hint="eastAsia" w:ascii="宋体" w:hAnsi="宋体"/>
          <w:b/>
          <w:color w:val="auto"/>
          <w:sz w:val="32"/>
          <w:szCs w:val="32"/>
          <w:highlight w:val="none"/>
        </w:rPr>
      </w:pPr>
    </w:p>
    <w:p w14:paraId="78A2F43E">
      <w:pPr>
        <w:spacing w:line="400" w:lineRule="exact"/>
        <w:jc w:val="center"/>
        <w:rPr>
          <w:rFonts w:hint="eastAsia" w:ascii="宋体" w:hAnsi="宋体"/>
          <w:b/>
          <w:color w:val="auto"/>
          <w:sz w:val="32"/>
          <w:szCs w:val="32"/>
          <w:highlight w:val="none"/>
        </w:rPr>
      </w:pPr>
    </w:p>
    <w:p w14:paraId="1812AEFC">
      <w:pPr>
        <w:spacing w:line="400" w:lineRule="exact"/>
        <w:jc w:val="center"/>
        <w:rPr>
          <w:rFonts w:hint="eastAsia" w:ascii="宋体" w:hAnsi="宋体"/>
          <w:b/>
          <w:color w:val="auto"/>
          <w:sz w:val="32"/>
          <w:szCs w:val="32"/>
          <w:highlight w:val="none"/>
        </w:rPr>
      </w:pPr>
    </w:p>
    <w:p w14:paraId="5CE4F64F">
      <w:pPr>
        <w:spacing w:line="400" w:lineRule="exact"/>
        <w:jc w:val="center"/>
        <w:rPr>
          <w:rFonts w:hint="eastAsia" w:ascii="宋体" w:hAnsi="宋体"/>
          <w:b/>
          <w:color w:val="auto"/>
          <w:sz w:val="32"/>
          <w:szCs w:val="32"/>
          <w:highlight w:val="none"/>
        </w:rPr>
      </w:pPr>
    </w:p>
    <w:p w14:paraId="3F5AF802">
      <w:pPr>
        <w:spacing w:line="400" w:lineRule="exact"/>
        <w:rPr>
          <w:rFonts w:hint="eastAsia" w:ascii="宋体" w:hAnsi="宋体"/>
          <w:b/>
          <w:color w:val="auto"/>
          <w:sz w:val="32"/>
          <w:szCs w:val="32"/>
          <w:highlight w:val="none"/>
        </w:rPr>
        <w:sectPr>
          <w:footerReference r:id="rId5" w:type="default"/>
          <w:pgSz w:w="11906" w:h="16838"/>
          <w:pgMar w:top="1440" w:right="1286" w:bottom="1440" w:left="1380" w:header="851" w:footer="992" w:gutter="0"/>
          <w:pgNumType w:start="1"/>
          <w:cols w:space="425" w:num="1"/>
          <w:docGrid w:type="lines" w:linePitch="312" w:charSpace="0"/>
        </w:sectPr>
      </w:pPr>
    </w:p>
    <w:p w14:paraId="368392C7">
      <w:pPr>
        <w:pStyle w:val="2"/>
        <w:keepNext/>
        <w:keepLines/>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bookmarkStart w:id="3" w:name="_Toc74323456"/>
      <w:r>
        <w:rPr>
          <w:rFonts w:hint="eastAsia"/>
          <w:color w:val="auto"/>
          <w:highlight w:val="none"/>
        </w:rPr>
        <w:t>第一章 竞争性磋商公告</w:t>
      </w:r>
      <w:bookmarkEnd w:id="3"/>
    </w:p>
    <w:p w14:paraId="253ECF63">
      <w:pPr>
        <w:keepNext w:val="0"/>
        <w:keepLines w:val="0"/>
        <w:pageBreakBefore w:val="0"/>
        <w:kinsoku/>
        <w:overflowPunct/>
        <w:topLinePunct w:val="0"/>
        <w:autoSpaceDE/>
        <w:autoSpaceDN/>
        <w:bidi w:val="0"/>
        <w:adjustRightInd/>
        <w:spacing w:line="400" w:lineRule="exact"/>
        <w:ind w:firstLine="482" w:firstLineChars="200"/>
        <w:jc w:val="center"/>
        <w:textAlignment w:val="auto"/>
        <w:rPr>
          <w:rFonts w:hint="eastAsia" w:ascii="宋体" w:hAnsi="宋体" w:eastAsia="宋体"/>
          <w:b/>
          <w:bCs/>
          <w:color w:val="auto"/>
          <w:sz w:val="24"/>
          <w:szCs w:val="24"/>
          <w:highlight w:val="none"/>
          <w:lang w:eastAsia="zh-CN"/>
        </w:rPr>
      </w:pPr>
      <w:r>
        <w:rPr>
          <w:rFonts w:hint="eastAsia" w:ascii="宋体" w:hAnsi="宋体"/>
          <w:b/>
          <w:bCs/>
          <w:color w:val="auto"/>
          <w:sz w:val="24"/>
          <w:szCs w:val="24"/>
          <w:highlight w:val="none"/>
          <w:lang w:eastAsia="zh-CN"/>
        </w:rPr>
        <w:t>广西德友招标代理有限公司</w:t>
      </w:r>
    </w:p>
    <w:p w14:paraId="2D2DE452">
      <w:pPr>
        <w:keepNext w:val="0"/>
        <w:keepLines w:val="0"/>
        <w:pageBreakBefore w:val="0"/>
        <w:kinsoku/>
        <w:overflowPunct/>
        <w:topLinePunct w:val="0"/>
        <w:autoSpaceDE/>
        <w:autoSpaceDN/>
        <w:bidi w:val="0"/>
        <w:adjustRightInd/>
        <w:spacing w:line="400" w:lineRule="exact"/>
        <w:ind w:firstLine="482" w:firstLineChars="200"/>
        <w:jc w:val="center"/>
        <w:textAlignment w:val="auto"/>
        <w:rPr>
          <w:rFonts w:hint="eastAsia" w:ascii="宋体" w:hAnsi="宋体"/>
          <w:b/>
          <w:bCs/>
          <w:color w:val="auto"/>
          <w:sz w:val="24"/>
          <w:szCs w:val="24"/>
          <w:highlight w:val="none"/>
          <w:lang w:eastAsia="zh-CN"/>
        </w:rPr>
      </w:pPr>
      <w:r>
        <w:rPr>
          <w:rFonts w:hint="eastAsia" w:ascii="宋体" w:hAnsi="宋体"/>
          <w:b/>
          <w:bCs/>
          <w:color w:val="auto"/>
          <w:sz w:val="24"/>
          <w:szCs w:val="24"/>
          <w:highlight w:val="none"/>
          <w:lang w:eastAsia="zh-CN"/>
        </w:rPr>
        <w:t>玉林市现状耕地和潜力耕地地块实际利用情况调查摸底工作底图制作以及市级复核与数据库成果汇总等工作项目（重）</w:t>
      </w:r>
    </w:p>
    <w:p w14:paraId="2E4BDE55">
      <w:pPr>
        <w:keepNext w:val="0"/>
        <w:keepLines w:val="0"/>
        <w:pageBreakBefore w:val="0"/>
        <w:kinsoku/>
        <w:overflowPunct/>
        <w:topLinePunct w:val="0"/>
        <w:autoSpaceDE/>
        <w:autoSpaceDN/>
        <w:bidi w:val="0"/>
        <w:adjustRightInd/>
        <w:spacing w:line="400" w:lineRule="exact"/>
        <w:ind w:firstLine="482" w:firstLineChars="200"/>
        <w:jc w:val="center"/>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项目编号：</w:t>
      </w:r>
      <w:r>
        <w:rPr>
          <w:rFonts w:hint="eastAsia" w:ascii="宋体" w:hAnsi="宋体"/>
          <w:b/>
          <w:bCs/>
          <w:color w:val="auto"/>
          <w:sz w:val="24"/>
          <w:szCs w:val="24"/>
          <w:highlight w:val="none"/>
          <w:lang w:eastAsia="zh-CN"/>
        </w:rPr>
        <w:t>YLZC2025-C3-990317-DYGS</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竞争性磋商公告</w:t>
      </w:r>
    </w:p>
    <w:p w14:paraId="5910E71D">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pacing w:line="400" w:lineRule="exact"/>
        <w:textAlignment w:val="auto"/>
        <w:rPr>
          <w:rFonts w:ascii="宋体" w:hAnsi="宋体"/>
          <w:color w:val="auto"/>
          <w:szCs w:val="21"/>
          <w:highlight w:val="none"/>
        </w:rPr>
      </w:pPr>
      <w:bookmarkStart w:id="4" w:name="_Hlk37430271"/>
      <w:r>
        <w:rPr>
          <w:rFonts w:hint="eastAsia" w:ascii="宋体" w:hAnsi="宋体"/>
          <w:color w:val="auto"/>
          <w:szCs w:val="21"/>
          <w:highlight w:val="none"/>
        </w:rPr>
        <w:t>项目概况</w:t>
      </w:r>
    </w:p>
    <w:p w14:paraId="5EC4049C">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u w:val="single"/>
          <w:lang w:eastAsia="zh-CN"/>
        </w:rPr>
        <w:t>玉林市现状耕地和潜力耕地地块实际利用情况调查摸底工作底图制作以及市级复核与数据库成果汇总等工作项目（重）</w:t>
      </w:r>
      <w:r>
        <w:rPr>
          <w:rFonts w:hint="eastAsia" w:ascii="宋体" w:hAnsi="宋体"/>
          <w:color w:val="auto"/>
          <w:szCs w:val="21"/>
          <w:highlight w:val="none"/>
        </w:rPr>
        <w:t xml:space="preserve"> 采购项目的潜在供应商应在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w:t>
      </w:r>
      <w:r>
        <w:rPr>
          <w:rFonts w:hint="eastAsia" w:ascii="宋体" w:hAnsi="宋体"/>
          <w:color w:val="auto"/>
          <w:szCs w:val="21"/>
          <w:highlight w:val="none"/>
          <w:lang w:eastAsia="zh-CN"/>
        </w:rPr>
        <w:t>https://www.gcy.zfcg.gxzf.gov.cn/</w:t>
      </w:r>
      <w:r>
        <w:rPr>
          <w:rFonts w:hint="eastAsia" w:ascii="宋体" w:hAnsi="宋体"/>
          <w:color w:val="auto"/>
          <w:szCs w:val="21"/>
          <w:highlight w:val="none"/>
        </w:rPr>
        <w:t>）获取竞争性磋商文件，并于</w:t>
      </w:r>
      <w:r>
        <w:rPr>
          <w:rFonts w:hint="eastAsia" w:ascii="宋体" w:hAnsi="宋体"/>
          <w:color w:val="auto"/>
          <w:szCs w:val="21"/>
          <w:highlight w:val="none"/>
          <w:u w:val="single"/>
          <w:lang w:eastAsia="zh-CN"/>
        </w:rPr>
        <w:t>2025年10月16日9时00分</w:t>
      </w:r>
      <w:r>
        <w:rPr>
          <w:rFonts w:hint="eastAsia" w:ascii="宋体" w:hAnsi="宋体"/>
          <w:bCs/>
          <w:color w:val="auto"/>
          <w:szCs w:val="21"/>
          <w:highlight w:val="none"/>
          <w:u w:val="single"/>
        </w:rPr>
        <w:t>（</w:t>
      </w:r>
      <w:r>
        <w:rPr>
          <w:rFonts w:hint="eastAsia" w:ascii="宋体" w:hAnsi="宋体"/>
          <w:bCs/>
          <w:color w:val="auto"/>
          <w:szCs w:val="21"/>
          <w:highlight w:val="none"/>
        </w:rPr>
        <w:t>北京时间）前提交</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506D20DF">
      <w:pPr>
        <w:keepNext w:val="0"/>
        <w:keepLines w:val="0"/>
        <w:pageBreakBefore w:val="0"/>
        <w:kinsoku/>
        <w:overflowPunct/>
        <w:topLinePunct w:val="0"/>
        <w:autoSpaceDE/>
        <w:autoSpaceDN/>
        <w:bidi w:val="0"/>
        <w:adjustRightInd/>
        <w:spacing w:line="400" w:lineRule="exact"/>
        <w:ind w:firstLine="354" w:firstLineChars="147"/>
        <w:textAlignment w:val="auto"/>
        <w:rPr>
          <w:rFonts w:ascii="黑体" w:hAnsi="黑体" w:eastAsia="黑体"/>
          <w:b/>
          <w:color w:val="auto"/>
          <w:sz w:val="24"/>
          <w:highlight w:val="none"/>
        </w:rPr>
      </w:pPr>
      <w:bookmarkStart w:id="5" w:name="_Toc71365905"/>
      <w:bookmarkStart w:id="6" w:name="_Toc44229878"/>
      <w:bookmarkStart w:id="7" w:name="_Toc35393629"/>
      <w:bookmarkStart w:id="8" w:name="_Toc28359089"/>
      <w:bookmarkStart w:id="9" w:name="_Toc35393798"/>
      <w:bookmarkStart w:id="10" w:name="_Toc28359012"/>
      <w:r>
        <w:rPr>
          <w:rFonts w:hint="eastAsia" w:ascii="黑体" w:hAnsi="黑体" w:eastAsia="黑体"/>
          <w:b/>
          <w:color w:val="auto"/>
          <w:sz w:val="24"/>
          <w:highlight w:val="none"/>
        </w:rPr>
        <w:t>一、项目基本情况</w:t>
      </w:r>
      <w:bookmarkEnd w:id="5"/>
      <w:bookmarkEnd w:id="6"/>
      <w:bookmarkEnd w:id="7"/>
      <w:bookmarkEnd w:id="8"/>
      <w:bookmarkEnd w:id="9"/>
      <w:bookmarkEnd w:id="10"/>
    </w:p>
    <w:p w14:paraId="3B7A0EBE">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YLZC2025-C3-990317-DYGS</w:t>
      </w:r>
    </w:p>
    <w:p w14:paraId="73CABFB0">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olor w:val="auto"/>
          <w:szCs w:val="21"/>
          <w:highlight w:val="none"/>
          <w:u w:val="singl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玉林市现状耕地和潜力耕地地块实际利用情况调查摸底工作底图制作以及市级复核与数据库成果汇总等工作项目（重）</w:t>
      </w:r>
    </w:p>
    <w:p w14:paraId="33F87611">
      <w:pPr>
        <w:keepNext w:val="0"/>
        <w:keepLines w:val="0"/>
        <w:pageBreakBefore w:val="0"/>
        <w:kinsoku/>
        <w:overflowPunct/>
        <w:topLinePunct w:val="0"/>
        <w:autoSpaceDE/>
        <w:autoSpaceDN/>
        <w:bidi w:val="0"/>
        <w:adjustRightIn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采购方式：竞争性磋商</w:t>
      </w:r>
    </w:p>
    <w:p w14:paraId="4CC1456D">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预算金额（元）：</w:t>
      </w:r>
      <w:r>
        <w:rPr>
          <w:rFonts w:hint="eastAsia" w:ascii="宋体" w:hAnsi="宋体"/>
          <w:iCs/>
          <w:color w:val="auto"/>
          <w:szCs w:val="21"/>
          <w:highlight w:val="none"/>
          <w:u w:val="single"/>
          <w:lang w:eastAsia="zh-CN"/>
        </w:rPr>
        <w:t>662900.00</w:t>
      </w:r>
    </w:p>
    <w:p w14:paraId="5805FD83">
      <w:pPr>
        <w:keepNext w:val="0"/>
        <w:keepLines w:val="0"/>
        <w:pageBreakBefore w:val="0"/>
        <w:kinsoku/>
        <w:overflowPunct/>
        <w:topLinePunct w:val="0"/>
        <w:autoSpaceDE/>
        <w:autoSpaceDN/>
        <w:bidi w:val="0"/>
        <w:adjustRightIn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最高限价（如有）：/</w:t>
      </w:r>
    </w:p>
    <w:p w14:paraId="3B48C2C9">
      <w:pPr>
        <w:keepNext w:val="0"/>
        <w:keepLines w:val="0"/>
        <w:pageBreakBefore w:val="0"/>
        <w:kinsoku/>
        <w:overflowPunct/>
        <w:topLinePunct w:val="0"/>
        <w:autoSpaceDE/>
        <w:autoSpaceDN/>
        <w:bidi w:val="0"/>
        <w:adjustRightIn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tbl>
      <w:tblPr>
        <w:tblStyle w:val="28"/>
        <w:tblW w:w="984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2135"/>
        <w:gridCol w:w="791"/>
        <w:gridCol w:w="6483"/>
      </w:tblGrid>
      <w:tr w14:paraId="3B581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4" w:type="dxa"/>
            <w:tcBorders>
              <w:top w:val="single" w:color="auto" w:sz="4" w:space="0"/>
              <w:left w:val="single" w:color="auto" w:sz="4" w:space="0"/>
              <w:bottom w:val="single" w:color="auto" w:sz="4" w:space="0"/>
              <w:right w:val="single" w:color="auto" w:sz="4" w:space="0"/>
            </w:tcBorders>
            <w:vAlign w:val="center"/>
          </w:tcPr>
          <w:p w14:paraId="4496F80E">
            <w:pPr>
              <w:keepNext w:val="0"/>
              <w:keepLines w:val="0"/>
              <w:pageBreakBefore w:val="0"/>
              <w:kinsoku/>
              <w:wordWrap w:val="0"/>
              <w:overflowPunct/>
              <w:topLinePunct w:val="0"/>
              <w:autoSpaceDE/>
              <w:autoSpaceDN/>
              <w:bidi w:val="0"/>
              <w:adjustRightInd/>
              <w:snapToGrid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序号</w:t>
            </w:r>
          </w:p>
        </w:tc>
        <w:tc>
          <w:tcPr>
            <w:tcW w:w="2135" w:type="dxa"/>
            <w:tcBorders>
              <w:top w:val="single" w:color="auto" w:sz="4" w:space="0"/>
              <w:left w:val="single" w:color="auto" w:sz="4" w:space="0"/>
              <w:bottom w:val="single" w:color="auto" w:sz="4" w:space="0"/>
              <w:right w:val="single" w:color="auto" w:sz="4" w:space="0"/>
            </w:tcBorders>
            <w:vAlign w:val="center"/>
          </w:tcPr>
          <w:p w14:paraId="31191248">
            <w:pPr>
              <w:keepNext w:val="0"/>
              <w:keepLines w:val="0"/>
              <w:pageBreakBefore w:val="0"/>
              <w:kinsoku/>
              <w:wordWrap w:val="0"/>
              <w:overflowPunct/>
              <w:topLinePunct w:val="0"/>
              <w:autoSpaceDE/>
              <w:autoSpaceDN/>
              <w:bidi w:val="0"/>
              <w:adjustRightInd/>
              <w:snapToGrid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标的的名称</w:t>
            </w:r>
          </w:p>
        </w:tc>
        <w:tc>
          <w:tcPr>
            <w:tcW w:w="791" w:type="dxa"/>
            <w:tcBorders>
              <w:top w:val="single" w:color="auto" w:sz="4" w:space="0"/>
              <w:left w:val="single" w:color="auto" w:sz="4" w:space="0"/>
              <w:bottom w:val="single" w:color="auto" w:sz="4" w:space="0"/>
              <w:right w:val="single" w:color="auto" w:sz="4" w:space="0"/>
            </w:tcBorders>
            <w:vAlign w:val="center"/>
          </w:tcPr>
          <w:p w14:paraId="6C9BC098">
            <w:pPr>
              <w:keepNext w:val="0"/>
              <w:keepLines w:val="0"/>
              <w:pageBreakBefore w:val="0"/>
              <w:kinsoku/>
              <w:wordWrap w:val="0"/>
              <w:overflowPunct/>
              <w:topLinePunct w:val="0"/>
              <w:autoSpaceDE/>
              <w:autoSpaceDN/>
              <w:bidi w:val="0"/>
              <w:adjustRightInd/>
              <w:snapToGrid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数量及单位</w:t>
            </w:r>
          </w:p>
        </w:tc>
        <w:tc>
          <w:tcPr>
            <w:tcW w:w="6483" w:type="dxa"/>
            <w:tcBorders>
              <w:top w:val="single" w:color="auto" w:sz="4" w:space="0"/>
              <w:left w:val="single" w:color="auto" w:sz="4" w:space="0"/>
              <w:bottom w:val="single" w:color="auto" w:sz="4" w:space="0"/>
              <w:right w:val="single" w:color="auto" w:sz="4" w:space="0"/>
            </w:tcBorders>
            <w:vAlign w:val="center"/>
          </w:tcPr>
          <w:p w14:paraId="3F348B3E">
            <w:pPr>
              <w:keepNext w:val="0"/>
              <w:keepLines w:val="0"/>
              <w:pageBreakBefore w:val="0"/>
              <w:kinsoku/>
              <w:wordWrap w:val="0"/>
              <w:overflowPunct/>
              <w:topLinePunct w:val="0"/>
              <w:autoSpaceDE/>
              <w:autoSpaceDN/>
              <w:bidi w:val="0"/>
              <w:adjustRightInd/>
              <w:snapToGrid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简要技术需求或者服务要求</w:t>
            </w:r>
          </w:p>
        </w:tc>
      </w:tr>
      <w:tr w14:paraId="0A54A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4" w:type="dxa"/>
            <w:tcBorders>
              <w:top w:val="single" w:color="auto" w:sz="4" w:space="0"/>
              <w:left w:val="single" w:color="auto" w:sz="4" w:space="0"/>
              <w:bottom w:val="single" w:color="auto" w:sz="4" w:space="0"/>
              <w:right w:val="single" w:color="auto" w:sz="4" w:space="0"/>
            </w:tcBorders>
            <w:vAlign w:val="center"/>
          </w:tcPr>
          <w:p w14:paraId="3B7B0151">
            <w:pPr>
              <w:keepNext w:val="0"/>
              <w:keepLines w:val="0"/>
              <w:pageBreakBefore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2135" w:type="dxa"/>
            <w:tcBorders>
              <w:top w:val="single" w:color="auto" w:sz="4" w:space="0"/>
              <w:left w:val="single" w:color="auto" w:sz="4" w:space="0"/>
              <w:bottom w:val="single" w:color="auto" w:sz="4" w:space="0"/>
              <w:right w:val="single" w:color="auto" w:sz="4" w:space="0"/>
            </w:tcBorders>
            <w:vAlign w:val="center"/>
          </w:tcPr>
          <w:p w14:paraId="453A3E79">
            <w:pPr>
              <w:keepNext w:val="0"/>
              <w:keepLines w:val="0"/>
              <w:pageBreakBefore w:val="0"/>
              <w:kinsoku/>
              <w:wordWrap w:val="0"/>
              <w:overflowPunct/>
              <w:topLinePunct w:val="0"/>
              <w:autoSpaceDE/>
              <w:autoSpaceDN/>
              <w:bidi w:val="0"/>
              <w:adjustRightInd/>
              <w:snapToGrid w:val="0"/>
              <w:spacing w:line="400" w:lineRule="exact"/>
              <w:jc w:val="center"/>
              <w:textAlignment w:val="auto"/>
              <w:rPr>
                <w:rFonts w:ascii="宋体" w:hAnsi="宋体" w:cs="宋体"/>
                <w:color w:val="auto"/>
                <w:szCs w:val="21"/>
                <w:highlight w:val="none"/>
              </w:rPr>
            </w:pPr>
            <w:r>
              <w:rPr>
                <w:rFonts w:hint="eastAsia" w:ascii="宋体" w:hAnsi="宋体"/>
                <w:color w:val="auto"/>
                <w:szCs w:val="21"/>
                <w:highlight w:val="none"/>
                <w:lang w:eastAsia="zh-CN"/>
              </w:rPr>
              <w:t>玉林市现状耕地和潜力耕地地块实际利用情况调查摸底工作底图制作以及市级复核与数据库成果汇总等工作项目</w:t>
            </w:r>
          </w:p>
        </w:tc>
        <w:tc>
          <w:tcPr>
            <w:tcW w:w="791" w:type="dxa"/>
            <w:tcBorders>
              <w:top w:val="single" w:color="auto" w:sz="4" w:space="0"/>
              <w:left w:val="single" w:color="auto" w:sz="4" w:space="0"/>
              <w:bottom w:val="single" w:color="auto" w:sz="4" w:space="0"/>
              <w:right w:val="single" w:color="auto" w:sz="4" w:space="0"/>
            </w:tcBorders>
            <w:vAlign w:val="center"/>
          </w:tcPr>
          <w:p w14:paraId="5EF91850">
            <w:pPr>
              <w:keepNext w:val="0"/>
              <w:keepLines w:val="0"/>
              <w:pageBreakBefore w:val="0"/>
              <w:kinsoku/>
              <w:wordWrap w:val="0"/>
              <w:overflowPunct/>
              <w:topLinePunct w:val="0"/>
              <w:autoSpaceDE/>
              <w:autoSpaceDN/>
              <w:bidi w:val="0"/>
              <w:adjustRightInd/>
              <w:snapToGrid w:val="0"/>
              <w:spacing w:line="400" w:lineRule="exact"/>
              <w:jc w:val="center"/>
              <w:textAlignment w:val="auto"/>
              <w:rPr>
                <w:rFonts w:ascii="宋体" w:hAnsi="宋体" w:cs="宋体"/>
                <w:color w:val="auto"/>
                <w:szCs w:val="21"/>
                <w:highlight w:val="none"/>
              </w:rPr>
            </w:pPr>
            <w:r>
              <w:rPr>
                <w:rFonts w:hint="eastAsia" w:ascii="宋体" w:hAnsi="宋体" w:cs="宋体"/>
                <w:bCs/>
                <w:color w:val="auto"/>
                <w:szCs w:val="21"/>
                <w:highlight w:val="none"/>
              </w:rPr>
              <w:t>1项</w:t>
            </w:r>
          </w:p>
        </w:tc>
        <w:tc>
          <w:tcPr>
            <w:tcW w:w="6483" w:type="dxa"/>
            <w:tcBorders>
              <w:top w:val="single" w:color="auto" w:sz="4" w:space="0"/>
              <w:left w:val="single" w:color="auto" w:sz="4" w:space="0"/>
              <w:bottom w:val="single" w:color="auto" w:sz="4" w:space="0"/>
              <w:right w:val="single" w:color="auto" w:sz="4" w:space="0"/>
            </w:tcBorders>
            <w:vAlign w:val="center"/>
          </w:tcPr>
          <w:p w14:paraId="1FA361CE">
            <w:pPr>
              <w:keepNext w:val="0"/>
              <w:keepLines w:val="0"/>
              <w:pageBreakBefore w:val="0"/>
              <w:kinsoku/>
              <w:wordWrap w:val="0"/>
              <w:overflowPunct/>
              <w:topLinePunct w:val="0"/>
              <w:autoSpaceDE/>
              <w:autoSpaceDN/>
              <w:bidi w:val="0"/>
              <w:adjustRightInd/>
              <w:snapToGrid w:val="0"/>
              <w:spacing w:line="400" w:lineRule="exact"/>
              <w:ind w:firstLine="210" w:firstLineChars="100"/>
              <w:textAlignment w:val="auto"/>
              <w:rPr>
                <w:rFonts w:ascii="宋体" w:hAnsi="宋体"/>
                <w:color w:val="auto"/>
                <w:kern w:val="0"/>
                <w:szCs w:val="21"/>
                <w:highlight w:val="none"/>
              </w:rPr>
            </w:pPr>
            <w:r>
              <w:rPr>
                <w:rFonts w:hint="eastAsia" w:ascii="Times New Roman" w:hAnsi="Times New Roman" w:cs="Times New Roman"/>
                <w:color w:val="auto"/>
                <w:sz w:val="21"/>
                <w:szCs w:val="21"/>
                <w:highlight w:val="none"/>
                <w:lang w:val="en-US" w:eastAsia="zh-CN"/>
              </w:rPr>
              <w:t>根据《广西壮族自治区自然资源厅办公室关于开展现状耕地和潜力耕地地块实际利用情况调查摸底工作的通知》（桂自然资办﹝2025﹞69号）文件，为有效衔接国家耕地保护政策变化，亟需对现状耕地和潜力耕地进行摸底调查，科学、合理确定耕地“认定一批、恢复一批、置换一批”的区域，稳妥有序实施过渡期整改恢复工作。结合玉林市实际，在现有工作成果的基础上，开展玉林市现状耕地和潜力耕地地块实际利用情况调查摸底工作。,</w:t>
            </w:r>
            <w:r>
              <w:rPr>
                <w:rFonts w:hint="eastAsia" w:ascii="宋体" w:hAnsi="宋体" w:cs="宋体"/>
                <w:color w:val="auto"/>
                <w:szCs w:val="21"/>
                <w:highlight w:val="none"/>
              </w:rPr>
              <w:t>具体内容详见竞争性磋商文件。</w:t>
            </w:r>
          </w:p>
        </w:tc>
      </w:tr>
    </w:tbl>
    <w:p w14:paraId="1311BCF2">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合同履行期限：</w:t>
      </w:r>
      <w:r>
        <w:rPr>
          <w:rFonts w:hint="eastAsia" w:ascii="宋体" w:hAnsi="宋体"/>
          <w:color w:val="auto"/>
          <w:szCs w:val="21"/>
          <w:highlight w:val="none"/>
          <w:lang w:eastAsia="zh-CN"/>
        </w:rPr>
        <w:t>各服务工作内容成果根据项目实施的进度提交。</w:t>
      </w:r>
    </w:p>
    <w:p w14:paraId="559B4B20">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本项目（否）接受联合体。</w:t>
      </w:r>
    </w:p>
    <w:p w14:paraId="4DCD6F6E">
      <w:pPr>
        <w:keepNext w:val="0"/>
        <w:keepLines w:val="0"/>
        <w:pageBreakBefore w:val="0"/>
        <w:kinsoku/>
        <w:overflowPunct/>
        <w:topLinePunct w:val="0"/>
        <w:autoSpaceDE/>
        <w:autoSpaceDN/>
        <w:bidi w:val="0"/>
        <w:adjustRightInd/>
        <w:spacing w:line="400" w:lineRule="exact"/>
        <w:ind w:firstLine="354" w:firstLineChars="147"/>
        <w:textAlignment w:val="auto"/>
        <w:rPr>
          <w:rFonts w:ascii="黑体" w:hAnsi="黑体" w:eastAsia="黑体"/>
          <w:b/>
          <w:color w:val="auto"/>
          <w:sz w:val="24"/>
          <w:highlight w:val="none"/>
        </w:rPr>
      </w:pPr>
      <w:bookmarkStart w:id="11" w:name="_Toc35393799"/>
      <w:bookmarkStart w:id="12" w:name="_Toc44229879"/>
      <w:bookmarkStart w:id="13" w:name="_Toc28359090"/>
      <w:bookmarkStart w:id="14" w:name="_Toc28359013"/>
      <w:bookmarkStart w:id="15" w:name="_Toc71365906"/>
      <w:bookmarkStart w:id="16" w:name="_Toc35393630"/>
      <w:r>
        <w:rPr>
          <w:rFonts w:hint="eastAsia" w:ascii="黑体" w:hAnsi="黑体" w:eastAsia="黑体"/>
          <w:b/>
          <w:color w:val="auto"/>
          <w:sz w:val="24"/>
          <w:highlight w:val="none"/>
        </w:rPr>
        <w:t>二、申请人的资格条件：</w:t>
      </w:r>
      <w:bookmarkEnd w:id="11"/>
      <w:bookmarkEnd w:id="12"/>
      <w:bookmarkEnd w:id="13"/>
      <w:bookmarkEnd w:id="14"/>
      <w:bookmarkEnd w:id="15"/>
      <w:bookmarkEnd w:id="16"/>
    </w:p>
    <w:p w14:paraId="339FAA1A">
      <w:pPr>
        <w:keepNext w:val="0"/>
        <w:keepLines w:val="0"/>
        <w:pageBreakBefore w:val="0"/>
        <w:kinsoku/>
        <w:overflowPunct/>
        <w:topLinePunct w:val="0"/>
        <w:autoSpaceDE/>
        <w:autoSpaceDN/>
        <w:bidi w:val="0"/>
        <w:adjustRightInd/>
        <w:spacing w:line="400" w:lineRule="exact"/>
        <w:ind w:firstLine="420" w:firstLineChars="200"/>
        <w:textAlignment w:val="auto"/>
        <w:rPr>
          <w:rFonts w:ascii="宋体" w:hAnsi="宋体"/>
          <w:color w:val="auto"/>
          <w:szCs w:val="21"/>
          <w:highlight w:val="none"/>
        </w:rPr>
      </w:pPr>
      <w:bookmarkStart w:id="17" w:name="_Toc44229880"/>
      <w:bookmarkStart w:id="18" w:name="_Toc35393800"/>
      <w:bookmarkStart w:id="19" w:name="_Toc35393631"/>
      <w:bookmarkStart w:id="20" w:name="_Toc28359091"/>
      <w:bookmarkStart w:id="21" w:name="_Toc28359014"/>
      <w:r>
        <w:rPr>
          <w:rFonts w:hint="eastAsia" w:ascii="宋体" w:hAnsi="宋体"/>
          <w:color w:val="auto"/>
          <w:szCs w:val="21"/>
          <w:highlight w:val="none"/>
        </w:rPr>
        <w:t>1.满足《中华人民共和国政府采购法》第二十二条规定；</w:t>
      </w:r>
    </w:p>
    <w:p w14:paraId="578DB3D7">
      <w:pPr>
        <w:pStyle w:val="25"/>
        <w:keepNext w:val="0"/>
        <w:keepLines w:val="0"/>
        <w:pageBreakBefore w:val="0"/>
        <w:widowControl/>
        <w:kinsoku/>
        <w:overflowPunct/>
        <w:topLinePunct w:val="0"/>
        <w:autoSpaceDE/>
        <w:autoSpaceDN/>
        <w:bidi w:val="0"/>
        <w:adjustRightInd/>
        <w:spacing w:line="400" w:lineRule="exact"/>
        <w:ind w:firstLine="420" w:firstLineChars="200"/>
        <w:textAlignment w:val="auto"/>
        <w:rPr>
          <w:rFonts w:hint="eastAsia" w:ascii="宋体" w:hAnsi="宋体" w:eastAsia="宋体"/>
          <w:color w:val="auto"/>
          <w:kern w:val="2"/>
          <w:sz w:val="21"/>
          <w:szCs w:val="21"/>
          <w:highlight w:val="none"/>
          <w:lang w:eastAsia="zh-CN"/>
        </w:rPr>
      </w:pPr>
      <w:r>
        <w:rPr>
          <w:rFonts w:ascii="宋体" w:hAnsi="宋体"/>
          <w:color w:val="auto"/>
          <w:kern w:val="2"/>
          <w:sz w:val="21"/>
          <w:szCs w:val="21"/>
          <w:highlight w:val="none"/>
        </w:rPr>
        <w:t>2</w:t>
      </w:r>
      <w:r>
        <w:rPr>
          <w:rFonts w:hint="eastAsia" w:ascii="宋体" w:hAnsi="宋体"/>
          <w:color w:val="auto"/>
          <w:kern w:val="2"/>
          <w:sz w:val="21"/>
          <w:szCs w:val="21"/>
          <w:highlight w:val="none"/>
        </w:rPr>
        <w:t>.落实政府采购政策需满足的资格要求：</w:t>
      </w:r>
      <w:r>
        <w:rPr>
          <w:rFonts w:hint="eastAsia" w:ascii="宋体" w:hAnsi="宋体"/>
          <w:color w:val="auto"/>
          <w:kern w:val="2"/>
          <w:sz w:val="21"/>
          <w:szCs w:val="21"/>
          <w:highlight w:val="none"/>
          <w:lang w:eastAsia="zh-CN"/>
        </w:rPr>
        <w:t>无</w:t>
      </w:r>
    </w:p>
    <w:p w14:paraId="71D7AC15">
      <w:pPr>
        <w:keepNext w:val="0"/>
        <w:keepLines w:val="0"/>
        <w:pageBreakBefore w:val="0"/>
        <w:kinsoku/>
        <w:overflowPunct/>
        <w:topLinePunct w:val="0"/>
        <w:autoSpaceDE/>
        <w:autoSpaceDN/>
        <w:bidi w:val="0"/>
        <w:adjustRightIn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3.本项目的特定资格要求：</w:t>
      </w:r>
      <w:r>
        <w:rPr>
          <w:rFonts w:hint="eastAsia" w:ascii="宋体" w:hAnsi="宋体" w:eastAsia="宋体" w:cs="宋体"/>
          <w:color w:val="auto"/>
          <w:sz w:val="21"/>
          <w:szCs w:val="21"/>
          <w:highlight w:val="none"/>
          <w:u w:val="none"/>
        </w:rPr>
        <w:t>国内注册（指按国家有关规定要求注册的），</w:t>
      </w:r>
      <w:r>
        <w:rPr>
          <w:rFonts w:hint="eastAsia" w:ascii="宋体" w:hAnsi="宋体" w:eastAsia="宋体" w:cs="宋体"/>
          <w:color w:val="auto"/>
          <w:sz w:val="21"/>
          <w:szCs w:val="21"/>
          <w:highlight w:val="none"/>
          <w:u w:val="none"/>
          <w:lang w:eastAsia="zh-CN"/>
        </w:rPr>
        <w:t>具备土地规划乙级以上（含乙级）的</w:t>
      </w:r>
      <w:r>
        <w:rPr>
          <w:rFonts w:hint="eastAsia" w:ascii="宋体" w:hAnsi="宋体" w:cs="宋体"/>
          <w:color w:val="auto"/>
          <w:sz w:val="21"/>
          <w:szCs w:val="21"/>
          <w:highlight w:val="none"/>
          <w:u w:val="none"/>
          <w:lang w:eastAsia="zh-CN"/>
        </w:rPr>
        <w:t>供应商</w:t>
      </w:r>
      <w:r>
        <w:rPr>
          <w:rFonts w:hint="eastAsia" w:ascii="宋体" w:hAnsi="宋体" w:cs="宋体"/>
          <w:color w:val="auto"/>
          <w:szCs w:val="21"/>
          <w:highlight w:val="none"/>
        </w:rPr>
        <w:t>。</w:t>
      </w:r>
    </w:p>
    <w:p w14:paraId="6AB204AC">
      <w:pPr>
        <w:keepNext w:val="0"/>
        <w:keepLines w:val="0"/>
        <w:pageBreakBefore w:val="0"/>
        <w:kinsoku/>
        <w:overflowPunct/>
        <w:topLinePunct w:val="0"/>
        <w:autoSpaceDE/>
        <w:autoSpaceDN/>
        <w:bidi w:val="0"/>
        <w:adjustRightInd/>
        <w:snapToGrid w:val="0"/>
        <w:spacing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89700BB">
      <w:pPr>
        <w:keepNext w:val="0"/>
        <w:keepLines w:val="0"/>
        <w:pageBreakBefore w:val="0"/>
        <w:kinsoku/>
        <w:overflowPunct/>
        <w:topLinePunct w:val="0"/>
        <w:autoSpaceDE/>
        <w:autoSpaceDN/>
        <w:bidi w:val="0"/>
        <w:adjustRightInd/>
        <w:spacing w:line="400" w:lineRule="exact"/>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rPr>
        <w:t xml:space="preserve"> 5.入失信被执行人、重大税收违法案件当事人名单、政府采购严重违法失信行为记录名单及其他不符合《中华人民共和国政府采购法》第二十二条规定条件的供应商，不得参与政府采购活动。</w:t>
      </w:r>
    </w:p>
    <w:p w14:paraId="4CC11C6A">
      <w:pPr>
        <w:keepNext w:val="0"/>
        <w:keepLines w:val="0"/>
        <w:pageBreakBefore w:val="0"/>
        <w:kinsoku/>
        <w:overflowPunct/>
        <w:topLinePunct w:val="0"/>
        <w:autoSpaceDE/>
        <w:autoSpaceDN/>
        <w:bidi w:val="0"/>
        <w:adjustRightInd/>
        <w:spacing w:line="400" w:lineRule="exact"/>
        <w:ind w:firstLine="354" w:firstLineChars="147"/>
        <w:textAlignment w:val="auto"/>
        <w:rPr>
          <w:rFonts w:ascii="黑体" w:hAnsi="黑体" w:eastAsia="黑体"/>
          <w:b/>
          <w:color w:val="auto"/>
          <w:sz w:val="24"/>
          <w:highlight w:val="none"/>
        </w:rPr>
      </w:pPr>
      <w:bookmarkStart w:id="22" w:name="_Toc71365907"/>
      <w:r>
        <w:rPr>
          <w:rFonts w:hint="eastAsia" w:ascii="黑体" w:hAnsi="黑体" w:eastAsia="黑体"/>
          <w:b/>
          <w:color w:val="auto"/>
          <w:sz w:val="24"/>
          <w:highlight w:val="none"/>
        </w:rPr>
        <w:t>三、获取竞争性磋商文件</w:t>
      </w:r>
      <w:bookmarkEnd w:id="17"/>
      <w:bookmarkEnd w:id="18"/>
      <w:bookmarkEnd w:id="19"/>
      <w:bookmarkEnd w:id="20"/>
      <w:bookmarkEnd w:id="21"/>
      <w:bookmarkEnd w:id="22"/>
    </w:p>
    <w:p w14:paraId="68A4282E">
      <w:pPr>
        <w:keepNext w:val="0"/>
        <w:keepLines w:val="0"/>
        <w:pageBreakBefore w:val="0"/>
        <w:kinsoku/>
        <w:overflowPunct/>
        <w:topLinePunct w:val="0"/>
        <w:autoSpaceDE/>
        <w:autoSpaceDN/>
        <w:bidi w:val="0"/>
        <w:adjustRightInd/>
        <w:spacing w:line="400" w:lineRule="exact"/>
        <w:ind w:firstLine="420" w:firstLineChars="200"/>
        <w:textAlignment w:val="auto"/>
        <w:rPr>
          <w:rFonts w:ascii="宋体" w:hAnsi="宋体" w:cs="宋体"/>
          <w:bCs/>
          <w:color w:val="auto"/>
          <w:kern w:val="0"/>
          <w:szCs w:val="21"/>
          <w:highlight w:val="none"/>
        </w:rPr>
      </w:pPr>
      <w:bookmarkStart w:id="23" w:name="_Toc28359092"/>
      <w:bookmarkStart w:id="24" w:name="_Toc35393632"/>
      <w:bookmarkStart w:id="25" w:name="_Toc44229881"/>
      <w:bookmarkStart w:id="26" w:name="_Toc28359015"/>
      <w:bookmarkStart w:id="27" w:name="_Toc35393801"/>
      <w:r>
        <w:rPr>
          <w:rFonts w:hint="eastAsia" w:ascii="宋体" w:hAnsi="宋体" w:cs="宋体"/>
          <w:bCs/>
          <w:color w:val="auto"/>
          <w:kern w:val="0"/>
          <w:szCs w:val="21"/>
          <w:highlight w:val="none"/>
        </w:rPr>
        <w:t>时间：</w:t>
      </w:r>
      <w:r>
        <w:rPr>
          <w:rFonts w:hint="eastAsia" w:ascii="宋体" w:hAnsi="宋体"/>
          <w:bCs/>
          <w:color w:val="auto"/>
          <w:szCs w:val="21"/>
          <w:highlight w:val="none"/>
          <w:u w:val="single"/>
          <w:lang w:eastAsia="zh-CN"/>
        </w:rPr>
        <w:t>2025年0</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u w:val="single"/>
          <w:lang w:eastAsia="zh-CN"/>
        </w:rPr>
        <w:t>月</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日</w:t>
      </w:r>
      <w:r>
        <w:rPr>
          <w:rFonts w:hint="eastAsia" w:ascii="宋体" w:hAnsi="宋体" w:cs="宋体"/>
          <w:bCs/>
          <w:color w:val="auto"/>
          <w:kern w:val="0"/>
          <w:szCs w:val="21"/>
          <w:highlight w:val="none"/>
        </w:rPr>
        <w:t>至</w:t>
      </w:r>
      <w:r>
        <w:rPr>
          <w:rFonts w:hint="eastAsia" w:ascii="宋体" w:hAnsi="宋体"/>
          <w:bCs/>
          <w:color w:val="auto"/>
          <w:szCs w:val="21"/>
          <w:highlight w:val="none"/>
          <w:u w:val="single"/>
          <w:lang w:eastAsia="zh-CN"/>
        </w:rPr>
        <w:t>2025年</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u w:val="single"/>
          <w:lang w:eastAsia="zh-CN"/>
        </w:rPr>
        <w:t>月</w:t>
      </w:r>
      <w:r>
        <w:rPr>
          <w:rFonts w:hint="eastAsia" w:ascii="宋体" w:hAnsi="宋体"/>
          <w:bCs/>
          <w:color w:val="auto"/>
          <w:szCs w:val="21"/>
          <w:highlight w:val="none"/>
          <w:u w:val="single"/>
          <w:lang w:val="en-US" w:eastAsia="zh-CN"/>
        </w:rPr>
        <w:t>14</w:t>
      </w:r>
      <w:r>
        <w:rPr>
          <w:rFonts w:hint="eastAsia" w:ascii="宋体" w:hAnsi="宋体"/>
          <w:bCs/>
          <w:color w:val="auto"/>
          <w:szCs w:val="21"/>
          <w:highlight w:val="none"/>
          <w:u w:val="single"/>
        </w:rPr>
        <w:t>日</w:t>
      </w:r>
      <w:r>
        <w:rPr>
          <w:rFonts w:hint="eastAsia" w:ascii="宋体" w:hAnsi="宋体" w:cs="宋体"/>
          <w:bCs/>
          <w:color w:val="auto"/>
          <w:kern w:val="0"/>
          <w:szCs w:val="21"/>
          <w:highlight w:val="none"/>
        </w:rPr>
        <w:t>，每天</w:t>
      </w:r>
      <w:r>
        <w:rPr>
          <w:rFonts w:hint="eastAsia" w:ascii="宋体" w:hAnsi="宋体" w:cs="宋体"/>
          <w:bCs/>
          <w:color w:val="auto"/>
          <w:kern w:val="0"/>
          <w:szCs w:val="21"/>
          <w:highlight w:val="none"/>
          <w:u w:val="single"/>
        </w:rPr>
        <w:t>8:00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12</w:t>
      </w:r>
      <w:r>
        <w:rPr>
          <w:rFonts w:ascii="宋体" w:hAnsi="宋体" w:cs="宋体"/>
          <w:bCs/>
          <w:color w:val="auto"/>
          <w:kern w:val="0"/>
          <w:szCs w:val="21"/>
          <w:highlight w:val="none"/>
          <w:u w:val="single"/>
        </w:rPr>
        <w:t>:00</w:t>
      </w:r>
      <w:r>
        <w:rPr>
          <w:rFonts w:hint="eastAsia" w:ascii="宋体" w:hAnsi="宋体" w:cs="宋体"/>
          <w:bCs/>
          <w:color w:val="auto"/>
          <w:kern w:val="0"/>
          <w:szCs w:val="21"/>
          <w:highlight w:val="none"/>
        </w:rPr>
        <w:t>，</w:t>
      </w:r>
      <w:r>
        <w:rPr>
          <w:rFonts w:ascii="宋体" w:hAnsi="宋体" w:cs="宋体"/>
          <w:bCs/>
          <w:color w:val="auto"/>
          <w:kern w:val="0"/>
          <w:szCs w:val="21"/>
          <w:highlight w:val="none"/>
          <w:u w:val="single"/>
        </w:rPr>
        <w:t>15:00</w:t>
      </w:r>
      <w:r>
        <w:rPr>
          <w:rFonts w:hint="eastAsia" w:ascii="宋体" w:hAnsi="宋体" w:cs="宋体"/>
          <w:bCs/>
          <w:color w:val="auto"/>
          <w:kern w:val="0"/>
          <w:szCs w:val="21"/>
          <w:highlight w:val="none"/>
        </w:rPr>
        <w:t>至</w:t>
      </w:r>
      <w:r>
        <w:rPr>
          <w:rFonts w:ascii="宋体" w:hAnsi="宋体" w:cs="宋体"/>
          <w:bCs/>
          <w:color w:val="auto"/>
          <w:kern w:val="0"/>
          <w:szCs w:val="21"/>
          <w:highlight w:val="none"/>
          <w:u w:val="single"/>
        </w:rPr>
        <w:t>1</w:t>
      </w:r>
      <w:r>
        <w:rPr>
          <w:rFonts w:hint="eastAsia" w:ascii="宋体" w:hAnsi="宋体" w:cs="宋体"/>
          <w:bCs/>
          <w:color w:val="auto"/>
          <w:kern w:val="0"/>
          <w:szCs w:val="21"/>
          <w:highlight w:val="none"/>
          <w:u w:val="single"/>
        </w:rPr>
        <w:t>8</w:t>
      </w:r>
      <w:r>
        <w:rPr>
          <w:rFonts w:ascii="宋体" w:hAnsi="宋体" w:cs="宋体"/>
          <w:bCs/>
          <w:color w:val="auto"/>
          <w:kern w:val="0"/>
          <w:szCs w:val="21"/>
          <w:highlight w:val="none"/>
          <w:u w:val="single"/>
        </w:rPr>
        <w:t>:00</w:t>
      </w:r>
      <w:r>
        <w:rPr>
          <w:rFonts w:hint="eastAsia" w:ascii="宋体" w:hAnsi="宋体" w:cs="宋体"/>
          <w:bCs/>
          <w:color w:val="auto"/>
          <w:kern w:val="0"/>
          <w:szCs w:val="21"/>
          <w:highlight w:val="none"/>
        </w:rPr>
        <w:t>（北京时间，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57BF2872">
      <w:pPr>
        <w:keepNext w:val="0"/>
        <w:keepLines w:val="0"/>
        <w:pageBreakBefore w:val="0"/>
        <w:kinsoku/>
        <w:overflowPunct/>
        <w:topLinePunct w:val="0"/>
        <w:autoSpaceDE/>
        <w:autoSpaceDN/>
        <w:bidi w:val="0"/>
        <w:adjustRightInd/>
        <w:spacing w:line="400" w:lineRule="exact"/>
        <w:ind w:firstLine="420" w:firstLineChars="200"/>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s="宋体"/>
          <w:bCs/>
          <w:color w:val="auto"/>
          <w:kern w:val="0"/>
          <w:szCs w:val="21"/>
          <w:highlight w:val="none"/>
          <w:lang w:eastAsia="zh-CN"/>
        </w:rPr>
        <w:t>广西政府采购云平台</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eastAsia="zh-CN"/>
        </w:rPr>
        <w:t>https://www.gcy.zfcg.gxzf.gov.cn/</w:t>
      </w:r>
      <w:r>
        <w:rPr>
          <w:rFonts w:hint="eastAsia" w:ascii="宋体" w:hAnsi="宋体" w:cs="宋体"/>
          <w:bCs/>
          <w:color w:val="auto"/>
          <w:kern w:val="0"/>
          <w:szCs w:val="21"/>
          <w:highlight w:val="none"/>
        </w:rPr>
        <w:t>）</w:t>
      </w:r>
    </w:p>
    <w:p w14:paraId="1962328C">
      <w:pPr>
        <w:keepNext w:val="0"/>
        <w:keepLines w:val="0"/>
        <w:pageBreakBefore w:val="0"/>
        <w:kinsoku/>
        <w:overflowPunct/>
        <w:topLinePunct w:val="0"/>
        <w:autoSpaceDE/>
        <w:autoSpaceDN/>
        <w:bidi w:val="0"/>
        <w:adjustRightInd/>
        <w:spacing w:line="400" w:lineRule="exact"/>
        <w:ind w:firstLine="420" w:firstLineChars="200"/>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w:t>
      </w:r>
      <w:r>
        <w:rPr>
          <w:rFonts w:hint="eastAsia" w:ascii="宋体" w:hAnsi="宋体" w:cs="宋体"/>
          <w:bCs/>
          <w:color w:val="auto"/>
          <w:kern w:val="0"/>
          <w:szCs w:val="21"/>
          <w:highlight w:val="none"/>
          <w:lang w:eastAsia="zh-CN"/>
        </w:rPr>
        <w:t>广西政府采购云平台</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eastAsia="zh-CN"/>
        </w:rPr>
        <w:t>https://www.gcy.zfcg.gxzf.gov.cn/</w:t>
      </w:r>
      <w:r>
        <w:rPr>
          <w:rFonts w:hint="eastAsia" w:ascii="宋体" w:hAnsi="宋体" w:cs="宋体"/>
          <w:bCs/>
          <w:color w:val="auto"/>
          <w:kern w:val="0"/>
          <w:szCs w:val="21"/>
          <w:highlight w:val="none"/>
        </w:rPr>
        <w:t>）-进入“项目采购”应用，在获取采购文件菜单中选择项目，获取竞争性磋商文件。</w:t>
      </w:r>
      <w:r>
        <w:rPr>
          <w:rFonts w:hint="eastAsia" w:ascii="宋体" w:hAnsi="宋体"/>
          <w:color w:val="auto"/>
          <w:szCs w:val="21"/>
          <w:highlight w:val="none"/>
        </w:rPr>
        <w:t>电子</w:t>
      </w:r>
      <w:r>
        <w:rPr>
          <w:rFonts w:hint="eastAsia"/>
          <w:color w:val="auto"/>
          <w:highlight w:val="none"/>
        </w:rPr>
        <w:t>响应文件</w:t>
      </w:r>
      <w:r>
        <w:rPr>
          <w:rFonts w:hint="eastAsia" w:ascii="宋体" w:hAnsi="宋体"/>
          <w:color w:val="auto"/>
          <w:szCs w:val="21"/>
          <w:highlight w:val="none"/>
        </w:rPr>
        <w:t>制作需要基于</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获取的磋商文件编制，</w:t>
      </w:r>
      <w:r>
        <w:rPr>
          <w:rFonts w:hint="eastAsia" w:ascii="宋体" w:hAnsi="宋体" w:cs="宋体"/>
          <w:bCs/>
          <w:color w:val="auto"/>
          <w:kern w:val="0"/>
          <w:szCs w:val="21"/>
          <w:highlight w:val="none"/>
        </w:rPr>
        <w:t>通过其他方式获取磋商文件的，将有可能导致供应商无法在</w:t>
      </w:r>
      <w:r>
        <w:rPr>
          <w:rFonts w:hint="eastAsia" w:ascii="宋体" w:hAnsi="宋体" w:cs="宋体"/>
          <w:bCs/>
          <w:color w:val="auto"/>
          <w:kern w:val="0"/>
          <w:szCs w:val="21"/>
          <w:highlight w:val="none"/>
          <w:lang w:eastAsia="zh-CN"/>
        </w:rPr>
        <w:t>广西政府采购云平台</w:t>
      </w:r>
      <w:r>
        <w:rPr>
          <w:rFonts w:hint="eastAsia" w:ascii="宋体" w:hAnsi="宋体" w:cs="宋体"/>
          <w:bCs/>
          <w:color w:val="auto"/>
          <w:kern w:val="0"/>
          <w:szCs w:val="21"/>
          <w:highlight w:val="none"/>
        </w:rPr>
        <w:t>编制及上传响应文件。</w:t>
      </w:r>
    </w:p>
    <w:p w14:paraId="2A2D1964">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售价：0元</w:t>
      </w:r>
    </w:p>
    <w:p w14:paraId="09ED350F">
      <w:pPr>
        <w:keepNext w:val="0"/>
        <w:keepLines w:val="0"/>
        <w:pageBreakBefore w:val="0"/>
        <w:kinsoku/>
        <w:overflowPunct/>
        <w:topLinePunct w:val="0"/>
        <w:autoSpaceDE/>
        <w:autoSpaceDN/>
        <w:bidi w:val="0"/>
        <w:adjustRightInd/>
        <w:spacing w:line="400" w:lineRule="exact"/>
        <w:ind w:firstLine="354" w:firstLineChars="147"/>
        <w:textAlignment w:val="auto"/>
        <w:rPr>
          <w:rFonts w:ascii="黑体" w:hAnsi="黑体" w:eastAsia="黑体"/>
          <w:b/>
          <w:color w:val="auto"/>
          <w:sz w:val="24"/>
          <w:highlight w:val="none"/>
        </w:rPr>
      </w:pPr>
      <w:bookmarkStart w:id="28" w:name="_Toc71365908"/>
      <w:r>
        <w:rPr>
          <w:rFonts w:hint="eastAsia" w:ascii="黑体" w:hAnsi="黑体" w:eastAsia="黑体"/>
          <w:b/>
          <w:color w:val="auto"/>
          <w:sz w:val="24"/>
          <w:highlight w:val="none"/>
        </w:rPr>
        <w:t>四、响应文件提交</w:t>
      </w:r>
      <w:bookmarkEnd w:id="23"/>
      <w:bookmarkEnd w:id="24"/>
      <w:bookmarkEnd w:id="25"/>
      <w:bookmarkEnd w:id="26"/>
      <w:bookmarkEnd w:id="27"/>
      <w:bookmarkEnd w:id="28"/>
    </w:p>
    <w:p w14:paraId="4E829E77">
      <w:pPr>
        <w:keepNext w:val="0"/>
        <w:keepLines w:val="0"/>
        <w:pageBreakBefore w:val="0"/>
        <w:kinsoku/>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u w:val="single"/>
        </w:rPr>
      </w:pPr>
      <w:bookmarkStart w:id="29" w:name="_Toc35393633"/>
      <w:bookmarkStart w:id="30" w:name="_Toc44229882"/>
      <w:bookmarkStart w:id="31" w:name="_Toc35393802"/>
      <w:bookmarkStart w:id="32" w:name="_Toc28359016"/>
      <w:bookmarkStart w:id="33" w:name="_Toc28359093"/>
      <w:r>
        <w:rPr>
          <w:rFonts w:hint="eastAsia" w:ascii="宋体" w:hAnsi="宋体"/>
          <w:color w:val="auto"/>
          <w:szCs w:val="21"/>
          <w:highlight w:val="none"/>
        </w:rPr>
        <w:t>截止时间：</w:t>
      </w:r>
      <w:r>
        <w:rPr>
          <w:rFonts w:hint="eastAsia" w:ascii="宋体" w:hAnsi="宋体"/>
          <w:color w:val="auto"/>
          <w:szCs w:val="21"/>
          <w:highlight w:val="none"/>
          <w:u w:val="single"/>
          <w:lang w:eastAsia="zh-CN"/>
        </w:rPr>
        <w:t>2025年10月16日9时00分</w:t>
      </w:r>
      <w:r>
        <w:rPr>
          <w:rFonts w:hint="eastAsia" w:ascii="宋体" w:hAnsi="宋体"/>
          <w:bCs/>
          <w:color w:val="auto"/>
          <w:szCs w:val="21"/>
          <w:highlight w:val="none"/>
        </w:rPr>
        <w:t>（北京时间）</w:t>
      </w:r>
    </w:p>
    <w:p w14:paraId="13150154">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地点：</w:t>
      </w:r>
      <w:r>
        <w:rPr>
          <w:rFonts w:hint="eastAsia" w:ascii="宋体" w:hAnsi="宋体"/>
          <w:color w:val="auto"/>
          <w:szCs w:val="21"/>
          <w:highlight w:val="none"/>
          <w:lang w:eastAsia="zh-CN"/>
        </w:rPr>
        <w:t>广西政府采购云平台</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eastAsia="zh-CN"/>
        </w:rPr>
        <w:t>https://www.gcy.zfcg.gxzf.gov.cn/</w:t>
      </w:r>
      <w:r>
        <w:rPr>
          <w:rFonts w:hint="eastAsia" w:ascii="宋体" w:hAnsi="宋体" w:cs="宋体"/>
          <w:bCs/>
          <w:color w:val="auto"/>
          <w:kern w:val="0"/>
          <w:szCs w:val="21"/>
          <w:highlight w:val="none"/>
        </w:rPr>
        <w:t>）</w:t>
      </w:r>
    </w:p>
    <w:p w14:paraId="33CA252D">
      <w:pPr>
        <w:keepNext w:val="0"/>
        <w:keepLines w:val="0"/>
        <w:pageBreakBefore w:val="0"/>
        <w:kinsoku/>
        <w:overflowPunct/>
        <w:topLinePunct w:val="0"/>
        <w:autoSpaceDE/>
        <w:autoSpaceDN/>
        <w:bidi w:val="0"/>
        <w:adjustRightInd/>
        <w:spacing w:line="400" w:lineRule="exact"/>
        <w:ind w:firstLine="354" w:firstLineChars="147"/>
        <w:textAlignment w:val="auto"/>
        <w:rPr>
          <w:rFonts w:ascii="黑体" w:hAnsi="黑体" w:eastAsia="黑体"/>
          <w:b/>
          <w:color w:val="auto"/>
          <w:sz w:val="24"/>
          <w:highlight w:val="none"/>
        </w:rPr>
      </w:pPr>
      <w:bookmarkStart w:id="34" w:name="_Toc71365909"/>
      <w:r>
        <w:rPr>
          <w:rFonts w:hint="eastAsia" w:ascii="黑体" w:hAnsi="黑体" w:eastAsia="黑体"/>
          <w:b/>
          <w:color w:val="auto"/>
          <w:sz w:val="24"/>
          <w:highlight w:val="none"/>
        </w:rPr>
        <w:t>五、开启</w:t>
      </w:r>
      <w:bookmarkEnd w:id="29"/>
      <w:bookmarkEnd w:id="30"/>
      <w:bookmarkEnd w:id="31"/>
      <w:bookmarkEnd w:id="32"/>
      <w:bookmarkEnd w:id="33"/>
      <w:bookmarkEnd w:id="34"/>
    </w:p>
    <w:p w14:paraId="4BF7F165">
      <w:pPr>
        <w:keepNext w:val="0"/>
        <w:keepLines w:val="0"/>
        <w:pageBreakBefore w:val="0"/>
        <w:kinsoku/>
        <w:overflowPunct/>
        <w:topLinePunct w:val="0"/>
        <w:autoSpaceDE/>
        <w:autoSpaceDN/>
        <w:bidi w:val="0"/>
        <w:adjustRightInd/>
        <w:spacing w:line="400" w:lineRule="exact"/>
        <w:ind w:firstLine="420" w:firstLineChars="200"/>
        <w:textAlignment w:val="auto"/>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color w:val="auto"/>
          <w:szCs w:val="21"/>
          <w:highlight w:val="none"/>
          <w:u w:val="single"/>
          <w:lang w:eastAsia="zh-CN"/>
        </w:rPr>
        <w:t>2025年10月16日9时00分</w:t>
      </w:r>
      <w:r>
        <w:rPr>
          <w:rFonts w:hint="eastAsia" w:ascii="宋体" w:hAnsi="宋体"/>
          <w:bCs/>
          <w:color w:val="auto"/>
          <w:szCs w:val="21"/>
          <w:highlight w:val="none"/>
        </w:rPr>
        <w:t>（北京时间）</w:t>
      </w:r>
    </w:p>
    <w:p w14:paraId="791A1281">
      <w:pPr>
        <w:keepNext w:val="0"/>
        <w:keepLines w:val="0"/>
        <w:pageBreakBefore w:val="0"/>
        <w:kinsoku/>
        <w:overflowPunct/>
        <w:topLinePunct w:val="0"/>
        <w:autoSpaceDE/>
        <w:autoSpaceDN/>
        <w:bidi w:val="0"/>
        <w:adjustRightInd/>
        <w:spacing w:line="400" w:lineRule="exact"/>
        <w:ind w:firstLine="420" w:firstLineChars="200"/>
        <w:textAlignment w:val="auto"/>
        <w:rPr>
          <w:rFonts w:ascii="宋体" w:hAnsi="宋体" w:cs="宋体"/>
          <w:bCs/>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w:t>
      </w:r>
      <w:r>
        <w:rPr>
          <w:rFonts w:hint="eastAsia" w:ascii="宋体" w:hAnsi="宋体" w:cs="宋体"/>
          <w:color w:val="auto"/>
          <w:szCs w:val="21"/>
          <w:highlight w:val="none"/>
          <w:u w:val="single"/>
          <w:lang w:eastAsia="zh-CN"/>
        </w:rPr>
        <w:t>广西政府采购云平台</w:t>
      </w:r>
      <w:r>
        <w:rPr>
          <w:rFonts w:hint="eastAsia" w:ascii="宋体" w:hAnsi="宋体" w:cs="宋体"/>
          <w:color w:val="auto"/>
          <w:szCs w:val="21"/>
          <w:highlight w:val="none"/>
          <w:u w:val="single"/>
        </w:rPr>
        <w:t>电子开标大厅</w:t>
      </w:r>
    </w:p>
    <w:p w14:paraId="22D7ED97">
      <w:pPr>
        <w:keepNext w:val="0"/>
        <w:keepLines w:val="0"/>
        <w:pageBreakBefore w:val="0"/>
        <w:kinsoku/>
        <w:overflowPunct/>
        <w:topLinePunct w:val="0"/>
        <w:autoSpaceDE/>
        <w:autoSpaceDN/>
        <w:bidi w:val="0"/>
        <w:adjustRightInd/>
        <w:spacing w:line="400" w:lineRule="exact"/>
        <w:ind w:firstLine="354" w:firstLineChars="147"/>
        <w:textAlignment w:val="auto"/>
        <w:rPr>
          <w:rFonts w:ascii="黑体" w:hAnsi="黑体" w:eastAsia="黑体"/>
          <w:b/>
          <w:color w:val="auto"/>
          <w:sz w:val="24"/>
          <w:highlight w:val="none"/>
        </w:rPr>
      </w:pPr>
      <w:bookmarkStart w:id="35" w:name="_Toc71365910"/>
      <w:bookmarkStart w:id="36" w:name="_Toc35393803"/>
      <w:bookmarkStart w:id="37" w:name="_Toc35393634"/>
      <w:bookmarkStart w:id="38" w:name="_Toc28359094"/>
      <w:bookmarkStart w:id="39" w:name="_Toc44229883"/>
      <w:bookmarkStart w:id="40" w:name="_Toc28359017"/>
      <w:r>
        <w:rPr>
          <w:rFonts w:hint="eastAsia" w:ascii="黑体" w:hAnsi="黑体" w:eastAsia="黑体"/>
          <w:b/>
          <w:color w:val="auto"/>
          <w:sz w:val="24"/>
          <w:highlight w:val="none"/>
        </w:rPr>
        <w:t>六、公告期限</w:t>
      </w:r>
      <w:bookmarkEnd w:id="35"/>
      <w:bookmarkEnd w:id="36"/>
      <w:bookmarkEnd w:id="37"/>
      <w:bookmarkEnd w:id="38"/>
      <w:bookmarkEnd w:id="39"/>
      <w:bookmarkEnd w:id="40"/>
    </w:p>
    <w:p w14:paraId="2121578A">
      <w:pPr>
        <w:keepNext w:val="0"/>
        <w:keepLines w:val="0"/>
        <w:pageBreakBefore w:val="0"/>
        <w:kinsoku/>
        <w:overflowPunct/>
        <w:topLinePunct w:val="0"/>
        <w:autoSpaceDE/>
        <w:autoSpaceDN/>
        <w:bidi w:val="0"/>
        <w:adjustRightInd/>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49EC8A2D">
      <w:pPr>
        <w:keepNext w:val="0"/>
        <w:keepLines w:val="0"/>
        <w:pageBreakBefore w:val="0"/>
        <w:kinsoku/>
        <w:overflowPunct/>
        <w:topLinePunct w:val="0"/>
        <w:autoSpaceDE/>
        <w:autoSpaceDN/>
        <w:bidi w:val="0"/>
        <w:adjustRightInd/>
        <w:spacing w:line="400" w:lineRule="exact"/>
        <w:ind w:firstLine="354" w:firstLineChars="147"/>
        <w:textAlignment w:val="auto"/>
        <w:rPr>
          <w:rFonts w:ascii="黑体" w:hAnsi="黑体" w:eastAsia="黑体"/>
          <w:b/>
          <w:color w:val="auto"/>
          <w:sz w:val="24"/>
          <w:highlight w:val="none"/>
        </w:rPr>
      </w:pPr>
      <w:bookmarkStart w:id="41" w:name="_Toc44229884"/>
      <w:bookmarkStart w:id="42" w:name="_Toc35393635"/>
      <w:bookmarkStart w:id="43" w:name="_Toc71365911"/>
      <w:bookmarkStart w:id="44" w:name="_Toc35393804"/>
      <w:r>
        <w:rPr>
          <w:rFonts w:hint="eastAsia" w:ascii="黑体" w:hAnsi="黑体" w:eastAsia="黑体"/>
          <w:b/>
          <w:color w:val="auto"/>
          <w:sz w:val="24"/>
          <w:highlight w:val="none"/>
        </w:rPr>
        <w:t>七、其他补充事宜</w:t>
      </w:r>
      <w:bookmarkEnd w:id="41"/>
      <w:bookmarkEnd w:id="42"/>
      <w:bookmarkEnd w:id="43"/>
      <w:bookmarkEnd w:id="44"/>
    </w:p>
    <w:p w14:paraId="56119FEE">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p>
    <w:p w14:paraId="1E0383AA">
      <w:pPr>
        <w:keepNext w:val="0"/>
        <w:keepLines w:val="0"/>
        <w:pageBreakBefore w:val="0"/>
        <w:kinsoku/>
        <w:overflowPunct/>
        <w:topLinePunct w:val="0"/>
        <w:autoSpaceDE/>
        <w:autoSpaceDN/>
        <w:bidi w:val="0"/>
        <w:adjustRightInd/>
        <w:spacing w:line="400" w:lineRule="exact"/>
        <w:ind w:firstLine="420" w:firstLineChars="200"/>
        <w:textAlignment w:val="auto"/>
        <w:rPr>
          <w:rFonts w:ascii="宋体" w:hAnsi="宋体" w:cs="宋体"/>
          <w:color w:val="auto"/>
          <w:kern w:val="0"/>
          <w:szCs w:val="21"/>
          <w:highlight w:val="none"/>
        </w:rPr>
      </w:pPr>
      <w:r>
        <w:rPr>
          <w:rFonts w:hint="eastAsia" w:ascii="宋体" w:hAnsi="宋体"/>
          <w:color w:val="auto"/>
          <w:kern w:val="0"/>
          <w:szCs w:val="21"/>
          <w:highlight w:val="none"/>
        </w:rPr>
        <w:t>中国政府采购网（www.ccgp.gov.cn）、广西壮族自治区政府采购网（zfcg.gxzf.gov.cn）、</w:t>
      </w:r>
      <w:r>
        <w:rPr>
          <w:rFonts w:hint="eastAsia" w:ascii="宋体" w:hAnsi="宋体" w:cs="宋体"/>
          <w:color w:val="auto"/>
          <w:highlight w:val="none"/>
        </w:rPr>
        <w:t>广西玉林市人民政府门户网</w:t>
      </w:r>
      <w:r>
        <w:rPr>
          <w:rFonts w:hint="eastAsia" w:ascii="宋体" w:hAnsi="宋体"/>
          <w:color w:val="auto"/>
          <w:highlight w:val="none"/>
        </w:rPr>
        <w:t>（www.yulin.gov.cn）、全国公共资源交易平台（广西•玉林）（http://ggzy.yulin.gov.cn/）</w:t>
      </w:r>
      <w:r>
        <w:rPr>
          <w:rFonts w:hint="eastAsia" w:ascii="宋体" w:hAnsi="宋体" w:cs="宋体"/>
          <w:color w:val="auto"/>
          <w:kern w:val="0"/>
          <w:szCs w:val="21"/>
          <w:highlight w:val="none"/>
        </w:rPr>
        <w:t>。</w:t>
      </w:r>
    </w:p>
    <w:p w14:paraId="7AFAF038">
      <w:pPr>
        <w:keepNext w:val="0"/>
        <w:keepLines w:val="0"/>
        <w:pageBreakBefore w:val="0"/>
        <w:kinsoku/>
        <w:overflowPunct/>
        <w:topLinePunct w:val="0"/>
        <w:autoSpaceDE/>
        <w:autoSpaceDN/>
        <w:bidi w:val="0"/>
        <w:adjustRightInd/>
        <w:spacing w:line="400" w:lineRule="exact"/>
        <w:ind w:firstLine="424" w:firstLineChars="202"/>
        <w:textAlignment w:val="auto"/>
        <w:rPr>
          <w:rFonts w:hint="eastAsia" w:ascii="宋体" w:hAnsi="宋体" w:cs="宋体"/>
          <w:color w:val="auto"/>
          <w:kern w:val="0"/>
          <w:szCs w:val="21"/>
          <w:highlight w:val="none"/>
        </w:rPr>
      </w:pPr>
      <w:bookmarkStart w:id="45" w:name="_Hlk37429674"/>
      <w:bookmarkStart w:id="46" w:name="_Toc28359018"/>
      <w:bookmarkStart w:id="47" w:name="_Toc44229885"/>
      <w:bookmarkStart w:id="48" w:name="_Toc28359095"/>
      <w:bookmarkStart w:id="49" w:name="_Toc35393805"/>
      <w:bookmarkStart w:id="50" w:name="_Toc35393636"/>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bookmarkEnd w:id="45"/>
    <w:p w14:paraId="2A212CE2">
      <w:pPr>
        <w:keepNext w:val="0"/>
        <w:keepLines w:val="0"/>
        <w:pageBreakBefore w:val="0"/>
        <w:kinsoku/>
        <w:overflowPunct/>
        <w:topLinePunct w:val="0"/>
        <w:autoSpaceDE/>
        <w:autoSpaceDN/>
        <w:bidi w:val="0"/>
        <w:adjustRightInd/>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66FAE6BB">
      <w:pPr>
        <w:keepNext w:val="0"/>
        <w:keepLines w:val="0"/>
        <w:pageBreakBefore w:val="0"/>
        <w:kinsoku/>
        <w:overflowPunct/>
        <w:topLinePunct w:val="0"/>
        <w:autoSpaceDE/>
        <w:autoSpaceDN/>
        <w:bidi w:val="0"/>
        <w:adjustRightInd/>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（2）政府采购促进残疾人就业政策。</w:t>
      </w:r>
    </w:p>
    <w:p w14:paraId="69D48781">
      <w:pPr>
        <w:keepNext w:val="0"/>
        <w:keepLines w:val="0"/>
        <w:pageBreakBefore w:val="0"/>
        <w:kinsoku/>
        <w:overflowPunct/>
        <w:topLinePunct w:val="0"/>
        <w:autoSpaceDE/>
        <w:autoSpaceDN/>
        <w:bidi w:val="0"/>
        <w:adjustRightInd/>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（3）政府采购支持监狱企业发展。</w:t>
      </w:r>
    </w:p>
    <w:p w14:paraId="5D03217B">
      <w:pPr>
        <w:keepNext w:val="0"/>
        <w:keepLines w:val="0"/>
        <w:pageBreakBefore w:val="0"/>
        <w:kinsoku/>
        <w:overflowPunct/>
        <w:topLinePunct w:val="0"/>
        <w:autoSpaceDE/>
        <w:autoSpaceDN/>
        <w:bidi w:val="0"/>
        <w:adjustRightInd/>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（4）政府采购扶持不发达地区和少数民族地区政策。</w:t>
      </w:r>
    </w:p>
    <w:p w14:paraId="4497D60C">
      <w:pPr>
        <w:keepNext w:val="0"/>
        <w:keepLines w:val="0"/>
        <w:pageBreakBefore w:val="0"/>
        <w:widowControl/>
        <w:kinsoku/>
        <w:overflowPunct/>
        <w:topLinePunct w:val="0"/>
        <w:autoSpaceDE/>
        <w:autoSpaceDN/>
        <w:bidi w:val="0"/>
        <w:adjustRightInd/>
        <w:spacing w:line="400" w:lineRule="exact"/>
        <w:ind w:firstLine="420" w:firstLineChars="200"/>
        <w:jc w:val="left"/>
        <w:textAlignment w:val="auto"/>
        <w:rPr>
          <w:rFonts w:ascii="宋体" w:hAnsi="宋体"/>
          <w:color w:val="auto"/>
          <w:szCs w:val="21"/>
          <w:highlight w:val="none"/>
        </w:rPr>
      </w:pPr>
      <w:r>
        <w:rPr>
          <w:rFonts w:hint="eastAsia" w:ascii="宋体" w:hAnsi="宋体" w:cs="宋体"/>
          <w:color w:val="auto"/>
          <w:kern w:val="0"/>
          <w:szCs w:val="21"/>
          <w:highlight w:val="none"/>
        </w:rPr>
        <w:t>3.供应商</w:t>
      </w:r>
      <w:r>
        <w:rPr>
          <w:rFonts w:hint="eastAsia" w:ascii="宋体" w:hAnsi="宋体"/>
          <w:color w:val="auto"/>
          <w:szCs w:val="21"/>
          <w:highlight w:val="none"/>
        </w:rPr>
        <w:t>竞标注意事项</w:t>
      </w:r>
    </w:p>
    <w:p w14:paraId="17545AEE">
      <w:pPr>
        <w:keepNext w:val="0"/>
        <w:keepLines w:val="0"/>
        <w:pageBreakBefore w:val="0"/>
        <w:widowControl/>
        <w:kinsoku/>
        <w:overflowPunct/>
        <w:topLinePunct w:val="0"/>
        <w:autoSpaceDE/>
        <w:autoSpaceDN/>
        <w:bidi w:val="0"/>
        <w:adjustRightInd/>
        <w:spacing w:line="40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（1）本项目为全流程电子化采购项目，通过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（https：//www.zcygov.cn）实行在线电子竞标，供应商应先安装“政采云电子交易客户端”（请自行前往</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进行下载），并按照本项目竞争性磋商文件和</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 xml:space="preserve">的要求编制、加密后在提交响应文件截止时间前通过网络上传至 </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供应商在</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提交电子响应文件时，请填写参加远程采购活动经办人联系方式。</w:t>
      </w:r>
      <w:r>
        <w:rPr>
          <w:rFonts w:hint="eastAsia" w:ascii="宋体" w:hAnsi="宋体"/>
          <w:color w:val="auto"/>
          <w:szCs w:val="21"/>
          <w:highlight w:val="none"/>
        </w:rPr>
        <w:t>供应商登录</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，依次进入“服务中心-项目采购-操作流程-电子招投标-</w:t>
      </w:r>
      <w:r>
        <w:rPr>
          <w:rFonts w:hint="eastAsia"/>
          <w:color w:val="auto"/>
          <w:highlight w:val="none"/>
        </w:rPr>
        <w:t>政府采购项目电子交易管理操作指南</w:t>
      </w:r>
      <w:r>
        <w:rPr>
          <w:color w:val="auto"/>
          <w:highlight w:val="none"/>
        </w:rPr>
        <w:t>-</w:t>
      </w:r>
      <w:r>
        <w:rPr>
          <w:rFonts w:hint="eastAsia"/>
          <w:color w:val="auto"/>
          <w:highlight w:val="none"/>
        </w:rPr>
        <w:t>供应商</w:t>
      </w:r>
      <w:r>
        <w:rPr>
          <w:rFonts w:hint="eastAsia" w:ascii="宋体" w:hAnsi="宋体"/>
          <w:color w:val="auto"/>
          <w:szCs w:val="21"/>
          <w:highlight w:val="none"/>
        </w:rPr>
        <w:t>”查看电子竞标具体操作流程。</w:t>
      </w:r>
    </w:p>
    <w:p w14:paraId="1DF7D88B">
      <w:pPr>
        <w:keepNext w:val="0"/>
        <w:keepLines w:val="0"/>
        <w:pageBreakBefore w:val="0"/>
        <w:widowControl/>
        <w:kinsoku/>
        <w:overflowPunct/>
        <w:topLinePunct w:val="0"/>
        <w:autoSpaceDE/>
        <w:autoSpaceDN/>
        <w:bidi w:val="0"/>
        <w:adjustRightInd/>
        <w:spacing w:line="40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如在操作过程中遇到问题或者需要技术支持，请致电政采云客服热线：</w:t>
      </w:r>
      <w:r>
        <w:rPr>
          <w:rFonts w:hint="eastAsia" w:ascii="宋体" w:hAnsi="宋体" w:cs="宋体"/>
          <w:bCs/>
          <w:color w:val="auto"/>
          <w:kern w:val="0"/>
          <w:szCs w:val="21"/>
          <w:highlight w:val="none"/>
          <w:lang w:val="en-US" w:eastAsia="zh-CN"/>
        </w:rPr>
        <w:t>95763</w:t>
      </w:r>
      <w:r>
        <w:rPr>
          <w:rFonts w:hint="eastAsia" w:ascii="宋体" w:hAnsi="宋体"/>
          <w:color w:val="auto"/>
          <w:szCs w:val="21"/>
          <w:highlight w:val="none"/>
        </w:rPr>
        <w:t>）。</w:t>
      </w:r>
    </w:p>
    <w:p w14:paraId="083F17DE">
      <w:pPr>
        <w:keepNext w:val="0"/>
        <w:keepLines w:val="0"/>
        <w:pageBreakBefore w:val="0"/>
        <w:kinsoku/>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电子开标大厅现场按规定时间对加密的响应文件进行解密，否则后果自负。</w:t>
      </w:r>
    </w:p>
    <w:p w14:paraId="0FCF6313">
      <w:pPr>
        <w:keepNext w:val="0"/>
        <w:keepLines w:val="0"/>
        <w:pageBreakBefore w:val="0"/>
        <w:widowControl/>
        <w:kinsoku/>
        <w:overflowPunct/>
        <w:topLinePunct w:val="0"/>
        <w:autoSpaceDE/>
        <w:autoSpaceDN/>
        <w:bidi w:val="0"/>
        <w:adjustRightInd/>
        <w:spacing w:line="400" w:lineRule="exact"/>
        <w:ind w:firstLine="420" w:firstLineChars="200"/>
        <w:jc w:val="left"/>
        <w:textAlignment w:val="auto"/>
        <w:rPr>
          <w:rFonts w:hint="eastAsia"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将予以拒收。</w:t>
      </w:r>
    </w:p>
    <w:p w14:paraId="1A835DDE">
      <w:pPr>
        <w:keepNext w:val="0"/>
        <w:keepLines w:val="0"/>
        <w:pageBreakBefore w:val="0"/>
        <w:numPr>
          <w:ilvl w:val="0"/>
          <w:numId w:val="1"/>
        </w:numPr>
        <w:kinsoku/>
        <w:overflowPunct/>
        <w:topLinePunct w:val="0"/>
        <w:autoSpaceDE/>
        <w:autoSpaceDN/>
        <w:bidi w:val="0"/>
        <w:adjustRightIn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供应商需要在具备有摄像头及语音功能且互联网网络状况良好的电脑登录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远程开标大厅参与本次磋商，否则后果自负。</w:t>
      </w:r>
    </w:p>
    <w:p w14:paraId="2A9E168E">
      <w:pPr>
        <w:keepNext w:val="0"/>
        <w:keepLines w:val="0"/>
        <w:pageBreakBefore w:val="0"/>
        <w:numPr>
          <w:ilvl w:val="0"/>
          <w:numId w:val="1"/>
        </w:numPr>
        <w:kinsoku/>
        <w:overflowPunct/>
        <w:topLinePunct w:val="0"/>
        <w:autoSpaceDE/>
        <w:autoSpaceDN/>
        <w:bidi w:val="0"/>
        <w:adjustRightIn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本项目为远程异地全流程电子评标，主场为：玉林市公共资源交易中心（玉林市玉州区秀水</w:t>
      </w:r>
      <w:r>
        <w:rPr>
          <w:rFonts w:hint="eastAsia" w:ascii="宋体" w:hAnsi="宋体" w:cs="宋体"/>
          <w:color w:val="auto"/>
          <w:kern w:val="0"/>
          <w:szCs w:val="21"/>
          <w:highlight w:val="none"/>
          <w:lang w:val="en-US" w:eastAsia="zh-CN"/>
        </w:rPr>
        <w:t>北路2号玉林市政务服务中心办公楼</w:t>
      </w:r>
      <w:r>
        <w:rPr>
          <w:rFonts w:hint="eastAsia" w:ascii="宋体" w:hAnsi="宋体" w:cs="宋体"/>
          <w:color w:val="auto"/>
          <w:kern w:val="0"/>
          <w:szCs w:val="21"/>
          <w:highlight w:val="none"/>
        </w:rPr>
        <w:t>六楼），副场为：鹿寨县公共资源交易中心（鹿寨县桂园路8号1楼）。</w:t>
      </w:r>
    </w:p>
    <w:p w14:paraId="1F6A7D30">
      <w:pPr>
        <w:keepNext w:val="0"/>
        <w:keepLines w:val="0"/>
        <w:pageBreakBefore w:val="0"/>
        <w:numPr>
          <w:ilvl w:val="0"/>
          <w:numId w:val="0"/>
        </w:numPr>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监督部门：玉林市财政局；电话: 0775-2697961</w:t>
      </w:r>
    </w:p>
    <w:p w14:paraId="0E5753A9">
      <w:pPr>
        <w:keepNext w:val="0"/>
        <w:keepLines w:val="0"/>
        <w:pageBreakBefore w:val="0"/>
        <w:kinsoku/>
        <w:overflowPunct/>
        <w:topLinePunct w:val="0"/>
        <w:autoSpaceDE/>
        <w:autoSpaceDN/>
        <w:bidi w:val="0"/>
        <w:adjustRightInd/>
        <w:spacing w:line="400" w:lineRule="exact"/>
        <w:ind w:firstLine="354" w:firstLineChars="147"/>
        <w:textAlignment w:val="auto"/>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6"/>
      <w:bookmarkEnd w:id="47"/>
      <w:bookmarkEnd w:id="48"/>
      <w:bookmarkEnd w:id="49"/>
      <w:bookmarkEnd w:id="50"/>
    </w:p>
    <w:p w14:paraId="75D7BDB4">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1.采购人信息</w:t>
      </w:r>
    </w:p>
    <w:p w14:paraId="161C0A7E">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名    称：</w:t>
      </w:r>
      <w:r>
        <w:rPr>
          <w:rFonts w:hint="eastAsia" w:ascii="宋体" w:hAnsi="宋体" w:cs="宋体"/>
          <w:color w:val="auto"/>
          <w:kern w:val="0"/>
          <w:szCs w:val="21"/>
          <w:highlight w:val="none"/>
          <w:lang w:eastAsia="zh-CN"/>
        </w:rPr>
        <w:t>玉林市自然资源局</w:t>
      </w:r>
    </w:p>
    <w:p w14:paraId="69DBB01D">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lang w:eastAsia="zh-CN"/>
        </w:rPr>
        <w:t>玉林市玉州区秀水北路6号（东城经典1号写字楼）     </w:t>
      </w:r>
    </w:p>
    <w:p w14:paraId="079D62D7">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eastAsia="zh-CN"/>
        </w:rPr>
        <w:t>李木</w:t>
      </w:r>
    </w:p>
    <w:p w14:paraId="5D38BA72">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项目联系方式：</w:t>
      </w:r>
      <w:r>
        <w:rPr>
          <w:rFonts w:hint="eastAsia" w:ascii="宋体" w:hAnsi="宋体" w:cs="宋体"/>
          <w:color w:val="auto"/>
          <w:kern w:val="0"/>
          <w:szCs w:val="21"/>
          <w:highlight w:val="none"/>
          <w:lang w:eastAsia="zh-CN"/>
        </w:rPr>
        <w:t>0775-2890003</w:t>
      </w:r>
    </w:p>
    <w:p w14:paraId="6E7A741A">
      <w:pPr>
        <w:keepNext w:val="0"/>
        <w:keepLines w:val="0"/>
        <w:pageBreakBefore w:val="0"/>
        <w:kinsoku/>
        <w:overflowPunct/>
        <w:topLinePunct w:val="0"/>
        <w:autoSpaceDE/>
        <w:autoSpaceDN/>
        <w:bidi w:val="0"/>
        <w:adjustRightInd/>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14:paraId="4BBF02E1">
      <w:pPr>
        <w:keepNext w:val="0"/>
        <w:keepLines w:val="0"/>
        <w:pageBreakBefore w:val="0"/>
        <w:kinsoku/>
        <w:overflowPunct/>
        <w:topLinePunct w:val="0"/>
        <w:autoSpaceDE/>
        <w:autoSpaceDN/>
        <w:bidi w:val="0"/>
        <w:adjustRightInd/>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名    称：</w:t>
      </w:r>
      <w:r>
        <w:rPr>
          <w:rFonts w:hint="eastAsia" w:ascii="宋体" w:hAnsi="宋体" w:cs="宋体"/>
          <w:color w:val="auto"/>
          <w:kern w:val="0"/>
          <w:szCs w:val="21"/>
          <w:highlight w:val="none"/>
          <w:lang w:eastAsia="zh-CN"/>
        </w:rPr>
        <w:t>广西德友招标代理有限公司</w:t>
      </w:r>
      <w:r>
        <w:rPr>
          <w:rFonts w:hint="eastAsia" w:ascii="宋体" w:hAnsi="宋体" w:cs="宋体"/>
          <w:color w:val="auto"/>
          <w:kern w:val="0"/>
          <w:szCs w:val="21"/>
          <w:highlight w:val="none"/>
        </w:rPr>
        <w:t>　</w:t>
      </w:r>
    </w:p>
    <w:p w14:paraId="61A6D0B2">
      <w:pPr>
        <w:keepNext w:val="0"/>
        <w:keepLines w:val="0"/>
        <w:pageBreakBefore w:val="0"/>
        <w:kinsoku/>
        <w:overflowPunct/>
        <w:topLinePunct w:val="0"/>
        <w:autoSpaceDE/>
        <w:autoSpaceDN/>
        <w:bidi w:val="0"/>
        <w:adjustRightInd/>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lang w:eastAsia="zh-CN"/>
        </w:rPr>
        <w:t xml:space="preserve">玉林市胜利路4号 </w:t>
      </w:r>
      <w:r>
        <w:rPr>
          <w:rFonts w:hint="eastAsia" w:ascii="宋体" w:hAnsi="宋体" w:cs="宋体"/>
          <w:color w:val="auto"/>
          <w:kern w:val="0"/>
          <w:szCs w:val="21"/>
          <w:highlight w:val="none"/>
        </w:rPr>
        <w:t>　</w:t>
      </w:r>
    </w:p>
    <w:p w14:paraId="221DB110">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eastAsia="zh-CN"/>
        </w:rPr>
        <w:t>黎雪丽</w:t>
      </w:r>
    </w:p>
    <w:p w14:paraId="562D3533">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lang w:eastAsia="zh-CN"/>
        </w:rPr>
        <w:t>0775-3883367</w:t>
      </w:r>
    </w:p>
    <w:p w14:paraId="516C47A5">
      <w:pPr>
        <w:pStyle w:val="23"/>
        <w:rPr>
          <w:rFonts w:hint="eastAsia"/>
          <w:color w:val="auto"/>
          <w:highlight w:val="none"/>
          <w:lang w:eastAsia="zh-CN"/>
        </w:rPr>
      </w:pPr>
    </w:p>
    <w:bookmarkEnd w:id="4"/>
    <w:p w14:paraId="5F4FC501">
      <w:pPr>
        <w:rPr>
          <w:rFonts w:hint="eastAsia"/>
          <w:color w:val="auto"/>
          <w:highlight w:val="none"/>
        </w:rPr>
      </w:pPr>
      <w:bookmarkStart w:id="51" w:name="_Toc74323457"/>
      <w:r>
        <w:rPr>
          <w:rFonts w:hint="eastAsia"/>
          <w:color w:val="auto"/>
          <w:highlight w:val="none"/>
        </w:rPr>
        <w:br w:type="page"/>
      </w:r>
    </w:p>
    <w:p w14:paraId="755375D2">
      <w:pPr>
        <w:pStyle w:val="2"/>
        <w:jc w:val="center"/>
        <w:rPr>
          <w:rFonts w:hint="eastAsia"/>
          <w:color w:val="auto"/>
          <w:highlight w:val="none"/>
        </w:rPr>
      </w:pPr>
      <w:r>
        <w:rPr>
          <w:rFonts w:hint="eastAsia"/>
          <w:color w:val="auto"/>
          <w:highlight w:val="none"/>
        </w:rPr>
        <w:t>第二章 供应商须知</w:t>
      </w:r>
      <w:bookmarkEnd w:id="51"/>
    </w:p>
    <w:p w14:paraId="1D97F88F">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14:paraId="42555918">
      <w:pPr>
        <w:spacing w:line="400" w:lineRule="exact"/>
        <w:jc w:val="center"/>
        <w:rPr>
          <w:rFonts w:hint="eastAsia" w:ascii="宋体" w:hAnsi="宋体"/>
          <w:b/>
          <w:color w:val="auto"/>
          <w:sz w:val="32"/>
          <w:szCs w:val="32"/>
          <w:highlight w:val="none"/>
        </w:rPr>
      </w:pP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7CFDE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16BCE406">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56098297">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0F864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916761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511E6B19">
            <w:pPr>
              <w:spacing w:line="360" w:lineRule="auto"/>
              <w:rPr>
                <w:rFonts w:hint="eastAsia"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03AA0B9F">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5918537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5EE6A5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3BED2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B92B9F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7878B75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 详见竞争性磋商公告</w:t>
            </w:r>
          </w:p>
        </w:tc>
      </w:tr>
      <w:tr w14:paraId="3DE0B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00FE4C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vAlign w:val="center"/>
          </w:tcPr>
          <w:p w14:paraId="7BC390CB">
            <w:pPr>
              <w:spacing w:line="360" w:lineRule="auto"/>
              <w:rPr>
                <w:rFonts w:hint="eastAsia" w:ascii="宋体" w:hAnsi="宋体" w:cs="宋体"/>
                <w:color w:val="auto"/>
                <w:szCs w:val="21"/>
                <w:highlight w:val="none"/>
              </w:rPr>
            </w:pPr>
            <w:r>
              <w:rPr>
                <w:rFonts w:hint="eastAsia" w:ascii="宋体" w:hAnsi="宋体"/>
                <w:color w:val="auto"/>
                <w:szCs w:val="21"/>
                <w:highlight w:val="none"/>
              </w:rPr>
              <w:t>联合体竞标要求如下：</w:t>
            </w:r>
            <w:r>
              <w:rPr>
                <w:rFonts w:hint="eastAsia" w:ascii="宋体" w:hAnsi="宋体" w:cs="宋体"/>
                <w:color w:val="auto"/>
                <w:szCs w:val="21"/>
                <w:highlight w:val="none"/>
              </w:rPr>
              <w:t>无</w:t>
            </w:r>
          </w:p>
        </w:tc>
      </w:tr>
      <w:tr w14:paraId="40E9B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FEC1B6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72226431">
            <w:pPr>
              <w:pStyle w:val="11"/>
              <w:spacing w:line="360" w:lineRule="auto"/>
              <w:rPr>
                <w:rFonts w:hint="eastAsia" w:ascii="宋体" w:hAnsi="宋体"/>
                <w:color w:val="auto"/>
                <w:szCs w:val="21"/>
                <w:highlight w:val="none"/>
              </w:rPr>
            </w:pPr>
            <w:r>
              <w:rPr>
                <w:rFonts w:hint="eastAsia" w:ascii="宋体" w:hAnsi="宋体"/>
                <w:color w:val="auto"/>
                <w:szCs w:val="21"/>
                <w:highlight w:val="none"/>
              </w:rPr>
              <w:t>不允许分包</w:t>
            </w:r>
          </w:p>
        </w:tc>
      </w:tr>
      <w:tr w14:paraId="54D88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BE6D8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14:paraId="7C4E57A6">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60FCDF72">
            <w:pPr>
              <w:pStyle w:val="11"/>
              <w:numPr>
                <w:ilvl w:val="0"/>
                <w:numId w:val="2"/>
              </w:num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D9FA563">
            <w:pPr>
              <w:pStyle w:val="11"/>
              <w:numPr>
                <w:ilvl w:val="0"/>
                <w:numId w:val="0"/>
              </w:numPr>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供应商</w:t>
            </w:r>
            <w:r>
              <w:rPr>
                <w:rFonts w:hint="eastAsia" w:ascii="宋体" w:hAnsi="宋体"/>
                <w:color w:val="auto"/>
                <w:szCs w:val="21"/>
                <w:highlight w:val="none"/>
              </w:rPr>
              <w:t>有效的资质证书</w:t>
            </w:r>
            <w:r>
              <w:rPr>
                <w:rFonts w:hint="eastAsia" w:ascii="宋体" w:hAnsi="宋体"/>
                <w:color w:val="auto"/>
                <w:szCs w:val="21"/>
                <w:highlight w:val="none"/>
                <w:lang w:eastAsia="zh-CN"/>
              </w:rPr>
              <w:t>复印件；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AFC9B8B">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供应商依法缴纳税收的相关材料（</w:t>
            </w:r>
            <w:r>
              <w:rPr>
                <w:rFonts w:hint="eastAsia" w:ascii="宋体" w:hAnsi="宋体" w:cs="宋体"/>
                <w:color w:val="auto"/>
                <w:szCs w:val="21"/>
                <w:highlight w:val="none"/>
                <w:u w:val="single"/>
                <w:lang w:eastAsia="zh-CN"/>
              </w:rPr>
              <w:t>投标截止时间前半年</w:t>
            </w:r>
            <w:r>
              <w:rPr>
                <w:rFonts w:hint="eastAsia" w:ascii="宋体" w:hAnsi="宋体" w:cs="宋体"/>
                <w:color w:val="auto"/>
                <w:szCs w:val="21"/>
                <w:highlight w:val="none"/>
              </w:rPr>
              <w:t>内连续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个月的依法缴纳税收的凭据复印件；</w:t>
            </w:r>
            <w:r>
              <w:rPr>
                <w:rFonts w:hint="eastAsia"/>
                <w:color w:val="auto"/>
                <w:highlight w:val="none"/>
              </w:rPr>
              <w:t>依法免税的，必须提供相应文件证明其依法免税。</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的依法缴纳税收</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1215056">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u w:val="single"/>
                <w:lang w:eastAsia="zh-CN"/>
              </w:rPr>
              <w:t>投标截止时间前半年</w:t>
            </w:r>
            <w:r>
              <w:rPr>
                <w:rFonts w:hint="eastAsia" w:ascii="宋体" w:hAnsi="宋体" w:cs="宋体"/>
                <w:color w:val="auto"/>
                <w:szCs w:val="21"/>
                <w:highlight w:val="none"/>
              </w:rPr>
              <w:t>内连续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个月的依法缴纳社会保障资金的缴费凭证（专用收据或者社会保险缴纳清单）复印件；</w:t>
            </w:r>
            <w:r>
              <w:rPr>
                <w:rFonts w:hint="eastAsia"/>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的依法缴纳社会保障资金的</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7C3DA5C">
            <w:pPr>
              <w:spacing w:line="360" w:lineRule="auto"/>
              <w:contextualSpacing/>
              <w:jc w:val="left"/>
              <w:rPr>
                <w:rFonts w:hint="eastAsia" w:ascii="宋体" w:hAnsi="宋体" w:cs="宋体"/>
                <w:b/>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供应商</w:t>
            </w:r>
            <w:r>
              <w:rPr>
                <w:rFonts w:hint="eastAsia"/>
                <w:color w:val="auto"/>
                <w:szCs w:val="21"/>
                <w:highlight w:val="none"/>
              </w:rPr>
              <w:t>财务状况报告（</w:t>
            </w:r>
            <w:r>
              <w:rPr>
                <w:rFonts w:hint="eastAsia"/>
                <w:color w:val="auto"/>
                <w:szCs w:val="21"/>
                <w:highlight w:val="none"/>
                <w:lang w:val="en-US" w:eastAsia="zh-CN"/>
              </w:rPr>
              <w:t>2023年或</w:t>
            </w:r>
            <w:r>
              <w:rPr>
                <w:rFonts w:hint="eastAsia"/>
                <w:color w:val="auto"/>
                <w:szCs w:val="21"/>
                <w:highlight w:val="none"/>
                <w:u w:val="none"/>
              </w:rPr>
              <w:t>202</w:t>
            </w:r>
            <w:r>
              <w:rPr>
                <w:rFonts w:hint="eastAsia"/>
                <w:color w:val="auto"/>
                <w:szCs w:val="21"/>
                <w:highlight w:val="none"/>
                <w:u w:val="none"/>
                <w:lang w:val="en-US" w:eastAsia="zh-CN"/>
              </w:rPr>
              <w:t>4</w:t>
            </w:r>
            <w:r>
              <w:rPr>
                <w:rFonts w:hint="eastAsia"/>
                <w:color w:val="auto"/>
                <w:szCs w:val="21"/>
                <w:highlight w:val="none"/>
              </w:rPr>
              <w:t>年度财务报表复印件，或者银行出具的资信证明，或者中国人民银行征信中心出具的信用报告（企业竞标的提供企业信用报告，自然人竞标的提供个人信用报告）；供应商属于</w:t>
            </w:r>
            <w:r>
              <w:rPr>
                <w:rFonts w:hint="eastAsia"/>
                <w:color w:val="auto"/>
                <w:highlight w:val="none"/>
              </w:rPr>
              <w:t>成立时间</w:t>
            </w:r>
            <w:r>
              <w:rPr>
                <w:rFonts w:hint="eastAsia"/>
                <w:color w:val="auto"/>
                <w:kern w:val="0"/>
                <w:highlight w:val="none"/>
              </w:rPr>
              <w:t>在规定年度之后</w:t>
            </w:r>
            <w:r>
              <w:rPr>
                <w:rFonts w:hint="eastAsia"/>
                <w:color w:val="auto"/>
                <w:highlight w:val="none"/>
              </w:rPr>
              <w:t>的</w:t>
            </w:r>
            <w:r>
              <w:rPr>
                <w:rFonts w:hint="eastAsia"/>
                <w:color w:val="auto"/>
                <w:szCs w:val="21"/>
                <w:highlight w:val="none"/>
              </w:rPr>
              <w:t>法人或其他组织</w:t>
            </w:r>
            <w:r>
              <w:rPr>
                <w:rFonts w:hint="eastAsia"/>
                <w:color w:val="auto"/>
                <w:highlight w:val="none"/>
              </w:rPr>
              <w:t>，需提供成立之日起至响应文件提交截止时间前的月报表</w:t>
            </w:r>
            <w:r>
              <w:rPr>
                <w:rFonts w:hint="eastAsia"/>
                <w:color w:val="auto"/>
                <w:szCs w:val="21"/>
                <w:highlight w:val="none"/>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Cs/>
                <w:color w:val="auto"/>
                <w:szCs w:val="21"/>
                <w:highlight w:val="none"/>
              </w:rPr>
              <w:t>）</w:t>
            </w:r>
          </w:p>
          <w:p w14:paraId="3C1591C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7EAFA83">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063E6BC">
            <w:pPr>
              <w:wordWrap w:val="0"/>
              <w:snapToGrid w:val="0"/>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除磋商文件规定必须提供以外，供应商认为需要提供的其他证明材料；</w:t>
            </w:r>
          </w:p>
          <w:p w14:paraId="579471F9">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6EB8865E">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w:t>
            </w:r>
            <w:r>
              <w:rPr>
                <w:rFonts w:hint="eastAsia"/>
                <w:b/>
                <w:color w:val="auto"/>
                <w:highlight w:val="none"/>
              </w:rPr>
              <w:t>电子签章</w:t>
            </w:r>
            <w:r>
              <w:rPr>
                <w:rFonts w:hint="eastAsia" w:ascii="宋体" w:hAnsi="宋体" w:cs="宋体"/>
                <w:b/>
                <w:color w:val="auto"/>
                <w:szCs w:val="21"/>
                <w:highlight w:val="none"/>
              </w:rPr>
              <w:t>，否则响应文件按无效处理。</w:t>
            </w:r>
          </w:p>
          <w:p w14:paraId="21FE3151">
            <w:pPr>
              <w:pStyle w:val="11"/>
              <w:spacing w:line="360" w:lineRule="auto"/>
              <w:ind w:firstLine="422" w:firstLineChars="200"/>
              <w:rPr>
                <w:rFonts w:hint="eastAsia" w:ascii="宋体" w:hAnsi="宋体"/>
                <w:b/>
                <w:bCs/>
                <w:color w:val="auto"/>
                <w:szCs w:val="21"/>
                <w:highlight w:val="none"/>
              </w:rPr>
            </w:pPr>
            <w:r>
              <w:rPr>
                <w:rFonts w:hint="eastAsia" w:ascii="宋体" w:hAnsi="宋体" w:cs="宋体"/>
                <w:b/>
                <w:color w:val="auto"/>
                <w:szCs w:val="21"/>
                <w:highlight w:val="none"/>
              </w:rPr>
              <w:t>2.</w:t>
            </w:r>
            <w:r>
              <w:rPr>
                <w:rFonts w:hint="eastAsia" w:ascii="宋体" w:hAnsi="宋体"/>
                <w:b/>
                <w:bCs/>
                <w:color w:val="auto"/>
                <w:szCs w:val="21"/>
                <w:highlight w:val="none"/>
              </w:rPr>
              <w:t>分公司参加竞标的，应当取得总公司授权。</w:t>
            </w:r>
          </w:p>
        </w:tc>
      </w:tr>
      <w:tr w14:paraId="70B28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04E4C2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3BDD3311">
            <w:pPr>
              <w:spacing w:line="360" w:lineRule="auto"/>
              <w:rPr>
                <w:rFonts w:ascii="宋体" w:hAnsi="宋体" w:cs="宋体"/>
                <w:color w:val="auto"/>
                <w:szCs w:val="21"/>
                <w:highlight w:val="none"/>
              </w:rPr>
            </w:pPr>
            <w:r>
              <w:rPr>
                <w:rFonts w:hint="eastAsia" w:ascii="宋体" w:hAnsi="宋体" w:cs="宋体"/>
                <w:color w:val="auto"/>
                <w:szCs w:val="21"/>
                <w:highlight w:val="none"/>
              </w:rPr>
              <w:t>报价文件</w:t>
            </w:r>
          </w:p>
          <w:p w14:paraId="6C9B3FB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213DA3B">
            <w:pPr>
              <w:spacing w:line="360" w:lineRule="auto"/>
              <w:rPr>
                <w:rFonts w:ascii="宋体" w:hAnsi="宋体" w:cs="宋体"/>
                <w:color w:val="auto"/>
                <w:szCs w:val="21"/>
                <w:highlight w:val="none"/>
              </w:rPr>
            </w:pPr>
            <w:r>
              <w:rPr>
                <w:rFonts w:hint="eastAsia" w:ascii="宋体" w:hAnsi="宋体" w:cs="宋体"/>
                <w:color w:val="auto"/>
                <w:szCs w:val="21"/>
                <w:highlight w:val="none"/>
              </w:rPr>
              <w:t>2.供应商认为需要提供的其他有关资料。</w:t>
            </w:r>
          </w:p>
        </w:tc>
      </w:tr>
      <w:tr w14:paraId="3D4A2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08DAFED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vAlign w:val="center"/>
          </w:tcPr>
          <w:p w14:paraId="0E425258">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2ED4256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135EE6B">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3EECEF1">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74A2636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C56CB9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5.服务方案（格式自拟）；（</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D2471C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6.技术要求偏离表（格式后附）；（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4C51BB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cs="宋体"/>
                <w:color w:val="auto"/>
                <w:szCs w:val="21"/>
                <w:highlight w:val="none"/>
              </w:rPr>
              <w:t>项目技术方案（格式自拟）；</w:t>
            </w:r>
            <w:r>
              <w:rPr>
                <w:rFonts w:hint="eastAsia" w:ascii="宋体" w:hAnsi="宋体"/>
                <w:color w:val="auto"/>
                <w:szCs w:val="21"/>
                <w:highlight w:val="none"/>
              </w:rPr>
              <w:t>（如有请提供）</w:t>
            </w:r>
          </w:p>
          <w:p w14:paraId="345E7D5C">
            <w:pPr>
              <w:spacing w:line="360" w:lineRule="auto"/>
              <w:rPr>
                <w:rFonts w:ascii="宋体" w:hAnsi="宋体" w:cs="宋体"/>
                <w:color w:val="auto"/>
                <w:szCs w:val="21"/>
                <w:highlight w:val="none"/>
              </w:rPr>
            </w:pPr>
            <w:r>
              <w:rPr>
                <w:rFonts w:ascii="宋体" w:hAnsi="宋体"/>
                <w:color w:val="auto"/>
                <w:highlight w:val="none"/>
              </w:rPr>
              <w:t>8</w:t>
            </w:r>
            <w:r>
              <w:rPr>
                <w:rFonts w:hint="eastAsia" w:ascii="宋体" w:hAnsi="宋体"/>
                <w:color w:val="auto"/>
                <w:highlight w:val="none"/>
              </w:rPr>
              <w:t>.后续服务和其它优化措施</w:t>
            </w:r>
            <w:r>
              <w:rPr>
                <w:rFonts w:hint="eastAsia" w:ascii="宋体" w:hAnsi="宋体" w:cs="宋体"/>
                <w:color w:val="auto"/>
                <w:szCs w:val="21"/>
                <w:highlight w:val="none"/>
              </w:rPr>
              <w:t>（格式自拟）；</w:t>
            </w:r>
            <w:r>
              <w:rPr>
                <w:rFonts w:hint="eastAsia" w:ascii="宋体" w:hAnsi="宋体"/>
                <w:color w:val="auto"/>
                <w:szCs w:val="21"/>
                <w:highlight w:val="none"/>
              </w:rPr>
              <w:t>（如有请提供）</w:t>
            </w:r>
          </w:p>
          <w:p w14:paraId="441FCC6C">
            <w:pPr>
              <w:pStyle w:val="23"/>
              <w:rPr>
                <w:rFonts w:hint="eastAsia"/>
                <w:color w:val="auto"/>
                <w:highlight w:val="none"/>
              </w:rPr>
            </w:pPr>
            <w:r>
              <w:rPr>
                <w:rFonts w:hint="eastAsia" w:ascii="宋体" w:hAnsi="宋体"/>
                <w:color w:val="auto"/>
                <w:szCs w:val="21"/>
                <w:highlight w:val="none"/>
              </w:rPr>
              <w:t>9</w:t>
            </w:r>
            <w:r>
              <w:rPr>
                <w:rFonts w:ascii="宋体" w:hAnsi="宋体"/>
                <w:color w:val="auto"/>
                <w:szCs w:val="21"/>
                <w:highlight w:val="none"/>
              </w:rPr>
              <w:t>.</w:t>
            </w:r>
            <w:r>
              <w:rPr>
                <w:rFonts w:hint="eastAsia" w:ascii="宋体" w:hAnsi="宋体"/>
                <w:color w:val="auto"/>
                <w:szCs w:val="21"/>
                <w:highlight w:val="none"/>
              </w:rPr>
              <w:t>项目实施人员一览表（格式自拟）</w:t>
            </w:r>
            <w:r>
              <w:rPr>
                <w:rFonts w:hint="eastAsia" w:ascii="宋体" w:hAnsi="宋体" w:cs="宋体"/>
                <w:color w:val="auto"/>
                <w:szCs w:val="21"/>
                <w:highlight w:val="none"/>
              </w:rPr>
              <w:t>；</w:t>
            </w:r>
            <w:r>
              <w:rPr>
                <w:rFonts w:hint="eastAsia" w:ascii="宋体" w:hAnsi="宋体"/>
                <w:color w:val="auto"/>
                <w:szCs w:val="21"/>
                <w:highlight w:val="none"/>
              </w:rPr>
              <w:t>（如有请提供）</w:t>
            </w:r>
          </w:p>
          <w:p w14:paraId="171198AB">
            <w:pPr>
              <w:spacing w:line="360" w:lineRule="auto"/>
              <w:rPr>
                <w:rFonts w:ascii="宋体" w:hAns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.对应采购需求的技术要求、商务要求提供的其他文件资料（格式自拟）；</w:t>
            </w:r>
            <w:r>
              <w:rPr>
                <w:rFonts w:hint="eastAsia" w:ascii="宋体" w:hAnsi="宋体"/>
                <w:color w:val="auto"/>
                <w:szCs w:val="21"/>
                <w:highlight w:val="none"/>
              </w:rPr>
              <w:t>（如有请提供）</w:t>
            </w:r>
          </w:p>
          <w:p w14:paraId="06A602C0">
            <w:pPr>
              <w:spacing w:line="360" w:lineRule="auto"/>
              <w:rPr>
                <w:rFonts w:hint="eastAsia" w:ascii="宋体" w:hAnsi="宋体" w:cs="宋体"/>
                <w:color w:val="auto"/>
                <w:szCs w:val="21"/>
                <w:highlight w:val="none"/>
              </w:rPr>
            </w:pPr>
            <w:r>
              <w:rPr>
                <w:rFonts w:ascii="宋体" w:hAnsi="宋体" w:cs="宋体"/>
                <w:color w:val="auto"/>
                <w:szCs w:val="21"/>
                <w:highlight w:val="none"/>
              </w:rPr>
              <w:t>11.</w:t>
            </w:r>
            <w:r>
              <w:rPr>
                <w:rFonts w:hint="eastAsia" w:ascii="宋体" w:hAnsi="宋体" w:cs="宋体"/>
                <w:color w:val="auto"/>
                <w:szCs w:val="21"/>
                <w:highlight w:val="none"/>
              </w:rPr>
              <w:t>供应商认为需要提供的其他有关资料。</w:t>
            </w:r>
          </w:p>
          <w:p w14:paraId="3D0039BE">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注：以上标明“必须提供”的材料属于复印件的，必须加盖供应商</w:t>
            </w:r>
            <w:r>
              <w:rPr>
                <w:rFonts w:hint="eastAsia" w:ascii="宋体" w:hAnsi="宋体"/>
                <w:b/>
                <w:bCs/>
                <w:color w:val="auto"/>
                <w:szCs w:val="21"/>
                <w:highlight w:val="none"/>
              </w:rPr>
              <w:t>电子签章</w:t>
            </w:r>
            <w:r>
              <w:rPr>
                <w:rFonts w:hint="eastAsia" w:ascii="宋体" w:hAnsi="宋体" w:cs="宋体"/>
                <w:b/>
                <w:color w:val="auto"/>
                <w:szCs w:val="21"/>
                <w:highlight w:val="none"/>
              </w:rPr>
              <w:t>，否则响应文件按无效响应处理。</w:t>
            </w:r>
          </w:p>
        </w:tc>
      </w:tr>
      <w:tr w14:paraId="30DFE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DF961E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49691860">
            <w:pPr>
              <w:snapToGrid w:val="0"/>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竞标报价应当包含满足本次竞标全部采购需求所应提供的服务，以及伴随的服务的价格；包含竞标服务的成本、技术服务、税费等所有费用。</w:t>
            </w:r>
          </w:p>
        </w:tc>
      </w:tr>
      <w:tr w14:paraId="6CB2C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2976D0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vAlign w:val="center"/>
          </w:tcPr>
          <w:p w14:paraId="1C5DFF72">
            <w:pPr>
              <w:pStyle w:val="10"/>
              <w:widowControl w:val="0"/>
              <w:tabs>
                <w:tab w:val="clear" w:pos="454"/>
              </w:tabs>
              <w:snapToGrid w:val="0"/>
              <w:spacing w:afterLines="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lang w:val="en-US" w:eastAsia="zh-CN"/>
              </w:rPr>
              <w:t>90</w:t>
            </w:r>
            <w:r>
              <w:rPr>
                <w:rFonts w:hint="eastAsia" w:ascii="宋体" w:hAnsi="宋体" w:cs="宋体"/>
                <w:color w:val="auto"/>
                <w:kern w:val="2"/>
                <w:sz w:val="21"/>
                <w:szCs w:val="21"/>
                <w:highlight w:val="none"/>
              </w:rPr>
              <w:t>日。</w:t>
            </w:r>
          </w:p>
        </w:tc>
      </w:tr>
      <w:tr w14:paraId="5A091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44CBAC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5D4B4028">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本项目不收取磋商保证金。</w:t>
            </w:r>
          </w:p>
        </w:tc>
      </w:tr>
      <w:tr w14:paraId="06CE8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A72CF1C">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19</w:t>
            </w:r>
          </w:p>
        </w:tc>
        <w:tc>
          <w:tcPr>
            <w:tcW w:w="7912" w:type="dxa"/>
            <w:vAlign w:val="center"/>
          </w:tcPr>
          <w:p w14:paraId="13F4B764">
            <w:pPr>
              <w:spacing w:line="360" w:lineRule="auto"/>
              <w:rPr>
                <w:rFonts w:hint="eastAsia"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0B3ED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B7FA00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66D407EA">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2CC00C16">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6503D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6522DD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5613BE50">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tc>
      </w:tr>
      <w:tr w14:paraId="7BC8C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7AB1D5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vAlign w:val="center"/>
          </w:tcPr>
          <w:p w14:paraId="6ADF8C11">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4BD82BED">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ascii="宋体" w:hAnsi="宋体"/>
                <w:color w:val="auto"/>
                <w:highlight w:val="none"/>
                <w:u w:val="single"/>
              </w:rPr>
              <w:t xml:space="preserve"> </w:t>
            </w:r>
            <w:r>
              <w:rPr>
                <w:rFonts w:hint="eastAsia" w:ascii="宋体" w:hAnsi="宋体"/>
                <w:color w:val="auto"/>
                <w:highlight w:val="none"/>
                <w:u w:val="single"/>
              </w:rPr>
              <w:t xml:space="preserve">30 </w:t>
            </w:r>
            <w:r>
              <w:rPr>
                <w:rFonts w:ascii="宋体" w:hAnsi="宋体"/>
                <w:color w:val="auto"/>
                <w:highlight w:val="none"/>
                <w:u w:val="single"/>
              </w:rPr>
              <w:t xml:space="preserve"> </w:t>
            </w:r>
            <w:r>
              <w:rPr>
                <w:rFonts w:hint="eastAsia" w:ascii="宋体" w:hAnsi="宋体"/>
                <w:color w:val="auto"/>
                <w:highlight w:val="none"/>
              </w:rPr>
              <w:t>分钟</w:t>
            </w:r>
          </w:p>
        </w:tc>
      </w:tr>
      <w:tr w14:paraId="026C5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4F0F13A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7912" w:type="dxa"/>
            <w:vAlign w:val="center"/>
          </w:tcPr>
          <w:p w14:paraId="7503239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7AC1AF8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640BB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FAEDB86">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14:paraId="411A653D">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olor w:val="auto"/>
                <w:szCs w:val="21"/>
                <w:highlight w:val="none"/>
              </w:rPr>
              <w:t>本项目不收取履约保证金。</w:t>
            </w:r>
          </w:p>
        </w:tc>
      </w:tr>
      <w:tr w14:paraId="4DEC3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14F810F">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29.1</w:t>
            </w:r>
          </w:p>
        </w:tc>
        <w:tc>
          <w:tcPr>
            <w:tcW w:w="7912" w:type="dxa"/>
            <w:vAlign w:val="center"/>
          </w:tcPr>
          <w:p w14:paraId="6B971B30">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74E325AF">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5317DB8C">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72A99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005708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14:paraId="52FD804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06EC2F51">
            <w:pPr>
              <w:pStyle w:val="17"/>
              <w:snapToGrid w:val="0"/>
              <w:spacing w:line="360" w:lineRule="auto"/>
              <w:rPr>
                <w:rFonts w:hint="eastAsia" w:hAnsi="宋体" w:eastAsia="宋体" w:cs="宋体"/>
                <w:color w:val="auto"/>
                <w:kern w:val="2"/>
                <w:sz w:val="21"/>
                <w:highlight w:val="none"/>
                <w:lang w:eastAsia="zh-CN"/>
              </w:rPr>
            </w:pPr>
            <w:r>
              <w:rPr>
                <w:rFonts w:hint="eastAsia" w:hAnsi="宋体" w:cs="宋体"/>
                <w:color w:val="auto"/>
                <w:kern w:val="2"/>
                <w:sz w:val="21"/>
                <w:highlight w:val="none"/>
              </w:rPr>
              <w:t>质疑联系部门及联系方式：</w:t>
            </w:r>
            <w:r>
              <w:rPr>
                <w:rFonts w:hint="eastAsia" w:hAnsi="宋体" w:cs="宋体"/>
                <w:color w:val="auto"/>
                <w:kern w:val="2"/>
                <w:sz w:val="21"/>
                <w:highlight w:val="none"/>
                <w:lang w:eastAsia="zh-CN"/>
              </w:rPr>
              <w:t>广西德友招标代理有限公司</w:t>
            </w:r>
            <w:r>
              <w:rPr>
                <w:rFonts w:hint="eastAsia" w:hAnsi="宋体" w:cs="宋体"/>
                <w:color w:val="auto"/>
                <w:kern w:val="2"/>
                <w:sz w:val="21"/>
                <w:highlight w:val="none"/>
              </w:rPr>
              <w:t>，联系电话：</w:t>
            </w:r>
            <w:r>
              <w:rPr>
                <w:rFonts w:hint="eastAsia" w:hAnsi="宋体" w:cs="宋体"/>
                <w:color w:val="auto"/>
                <w:kern w:val="2"/>
                <w:sz w:val="21"/>
                <w:highlight w:val="none"/>
                <w:lang w:eastAsia="zh-CN"/>
              </w:rPr>
              <w:t>0775-3883367</w:t>
            </w:r>
            <w:r>
              <w:rPr>
                <w:rFonts w:hint="eastAsia" w:hAnsi="宋体" w:cs="宋体"/>
                <w:color w:val="auto"/>
                <w:kern w:val="2"/>
                <w:sz w:val="21"/>
                <w:highlight w:val="none"/>
              </w:rPr>
              <w:t>，通讯地址：</w:t>
            </w:r>
            <w:r>
              <w:rPr>
                <w:rFonts w:hint="eastAsia" w:hAnsi="宋体" w:cs="宋体"/>
                <w:color w:val="auto"/>
                <w:kern w:val="2"/>
                <w:sz w:val="21"/>
                <w:highlight w:val="none"/>
                <w:lang w:eastAsia="zh-CN"/>
              </w:rPr>
              <w:t xml:space="preserve">玉林市胜利路4号 </w:t>
            </w:r>
          </w:p>
          <w:p w14:paraId="7ABDB367">
            <w:pPr>
              <w:autoSpaceDE w:val="0"/>
              <w:autoSpaceDN w:val="0"/>
              <w:snapToGrid w:val="0"/>
              <w:spacing w:line="360" w:lineRule="auto"/>
              <w:textAlignment w:val="bottom"/>
              <w:rPr>
                <w:rFonts w:hint="eastAsia" w:ascii="宋体" w:hAnsi="宋体"/>
                <w:color w:val="auto"/>
                <w:szCs w:val="21"/>
                <w:highlight w:val="none"/>
              </w:rPr>
            </w:pPr>
            <w:r>
              <w:rPr>
                <w:rFonts w:hint="eastAsia" w:hAnsi="宋体" w:cs="宋体"/>
                <w:color w:val="auto"/>
                <w:highlight w:val="none"/>
              </w:rPr>
              <w:t>业务时间：工作日每天上午8时00分到12时00分，下午3时00分到6时00分。</w:t>
            </w:r>
          </w:p>
        </w:tc>
      </w:tr>
      <w:tr w14:paraId="3B842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BA3A114">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32.1</w:t>
            </w:r>
          </w:p>
        </w:tc>
        <w:tc>
          <w:tcPr>
            <w:tcW w:w="7912" w:type="dxa"/>
            <w:vAlign w:val="center"/>
          </w:tcPr>
          <w:p w14:paraId="373E29FF">
            <w:pPr>
              <w:pStyle w:val="17"/>
              <w:snapToGrid w:val="0"/>
              <w:spacing w:line="360" w:lineRule="auto"/>
              <w:rPr>
                <w:rFonts w:hint="eastAsia" w:hAnsi="宋体" w:cs="宋体"/>
                <w:color w:val="auto"/>
                <w:sz w:val="21"/>
                <w:highlight w:val="none"/>
              </w:rPr>
            </w:pPr>
            <w:r>
              <w:rPr>
                <w:rFonts w:hint="eastAsia" w:hAnsi="宋体" w:cs="宋体"/>
                <w:color w:val="auto"/>
                <w:sz w:val="21"/>
                <w:highlight w:val="none"/>
              </w:rPr>
              <w:t>1.采购代理费支付方式：</w:t>
            </w:r>
          </w:p>
          <w:p w14:paraId="49E29520">
            <w:pPr>
              <w:pStyle w:val="17"/>
              <w:snapToGrid w:val="0"/>
              <w:spacing w:line="360" w:lineRule="auto"/>
              <w:rPr>
                <w:rFonts w:hint="eastAsia" w:hAnsi="宋体" w:cs="宋体"/>
                <w:color w:val="auto"/>
                <w:sz w:val="21"/>
                <w:highlight w:val="none"/>
              </w:rPr>
            </w:pPr>
            <w:r>
              <w:rPr>
                <w:rFonts w:hint="eastAsia" w:hAnsi="宋体" w:cs="宋体"/>
                <w:color w:val="auto"/>
                <w:sz w:val="21"/>
                <w:highlight w:val="none"/>
              </w:rPr>
              <w:t>本项目代理服务费由成交供应商领取成交通知书前，一次性向采购代理机构支付。</w:t>
            </w:r>
          </w:p>
          <w:p w14:paraId="0A2789EF">
            <w:pPr>
              <w:pStyle w:val="17"/>
              <w:snapToGrid w:val="0"/>
              <w:spacing w:line="360" w:lineRule="auto"/>
              <w:rPr>
                <w:rFonts w:hint="eastAsia" w:hAnsi="宋体" w:cs="宋体"/>
                <w:color w:val="auto"/>
                <w:sz w:val="21"/>
                <w:highlight w:val="none"/>
              </w:rPr>
            </w:pPr>
            <w:r>
              <w:rPr>
                <w:rFonts w:hint="eastAsia" w:hAnsi="宋体" w:cs="宋体"/>
                <w:color w:val="auto"/>
                <w:sz w:val="21"/>
                <w:highlight w:val="none"/>
              </w:rPr>
              <w:t>2.采购代理费收取标准：</w:t>
            </w:r>
            <w:r>
              <w:rPr>
                <w:rFonts w:hint="eastAsia" w:hAnsi="宋体" w:cs="宋体"/>
                <w:b/>
                <w:bCs/>
                <w:color w:val="auto"/>
                <w:sz w:val="21"/>
                <w:highlight w:val="none"/>
                <w:lang w:eastAsia="zh-CN"/>
              </w:rPr>
              <w:t>按固定金额</w:t>
            </w:r>
            <w:r>
              <w:rPr>
                <w:rFonts w:hint="eastAsia" w:hAnsi="宋体" w:cs="宋体"/>
                <w:b/>
                <w:bCs/>
                <w:color w:val="auto"/>
                <w:sz w:val="21"/>
                <w:highlight w:val="none"/>
                <w:lang w:val="en-US" w:eastAsia="zh-CN"/>
              </w:rPr>
              <w:t>15000</w:t>
            </w:r>
            <w:r>
              <w:rPr>
                <w:rFonts w:hint="eastAsia" w:hAnsi="宋体" w:cs="宋体"/>
                <w:b/>
                <w:bCs/>
                <w:color w:val="auto"/>
                <w:sz w:val="21"/>
                <w:highlight w:val="none"/>
                <w:lang w:eastAsia="zh-CN"/>
              </w:rPr>
              <w:t>元</w:t>
            </w:r>
            <w:r>
              <w:rPr>
                <w:rFonts w:hint="eastAsia" w:hAnsi="宋体" w:cs="宋体"/>
                <w:color w:val="auto"/>
                <w:sz w:val="21"/>
                <w:highlight w:val="none"/>
              </w:rPr>
              <w:t>收取。</w:t>
            </w:r>
          </w:p>
          <w:p w14:paraId="2CE0BFE5">
            <w:pPr>
              <w:pStyle w:val="17"/>
              <w:snapToGrid w:val="0"/>
              <w:spacing w:line="360" w:lineRule="auto"/>
              <w:rPr>
                <w:rFonts w:hint="eastAsia" w:hAnsi="宋体" w:cs="宋体"/>
                <w:color w:val="auto"/>
                <w:sz w:val="21"/>
                <w:highlight w:val="none"/>
              </w:rPr>
            </w:pPr>
            <w:r>
              <w:rPr>
                <w:rFonts w:hint="eastAsia" w:hAnsi="宋体" w:cs="宋体"/>
                <w:color w:val="auto"/>
                <w:sz w:val="21"/>
                <w:highlight w:val="none"/>
              </w:rPr>
              <w:t>3.采购代理费收取银行账户</w:t>
            </w:r>
          </w:p>
          <w:p w14:paraId="2BBA7F40">
            <w:pPr>
              <w:pStyle w:val="17"/>
              <w:snapToGrid w:val="0"/>
              <w:spacing w:line="360" w:lineRule="auto"/>
              <w:rPr>
                <w:rFonts w:hint="eastAsia" w:hAnsi="宋体" w:eastAsia="宋体" w:cs="宋体"/>
                <w:color w:val="auto"/>
                <w:sz w:val="21"/>
                <w:highlight w:val="none"/>
                <w:lang w:eastAsia="zh-CN"/>
              </w:rPr>
            </w:pPr>
            <w:r>
              <w:rPr>
                <w:rFonts w:hint="eastAsia" w:hAnsi="宋体" w:eastAsia="宋体" w:cs="宋体"/>
                <w:color w:val="auto"/>
                <w:sz w:val="21"/>
                <w:highlight w:val="none"/>
                <w:lang w:eastAsia="zh-CN"/>
              </w:rPr>
              <w:t>开户名称：</w:t>
            </w:r>
            <w:r>
              <w:rPr>
                <w:rFonts w:hint="eastAsia" w:hAnsi="宋体" w:cs="宋体"/>
                <w:color w:val="auto"/>
                <w:sz w:val="21"/>
                <w:highlight w:val="none"/>
                <w:lang w:eastAsia="zh-CN"/>
              </w:rPr>
              <w:t>广西德友招标代理有限公司</w:t>
            </w:r>
            <w:r>
              <w:rPr>
                <w:rFonts w:hint="eastAsia" w:hAnsi="宋体" w:eastAsia="宋体" w:cs="宋体"/>
                <w:color w:val="auto"/>
                <w:sz w:val="21"/>
                <w:highlight w:val="none"/>
                <w:lang w:eastAsia="zh-CN"/>
              </w:rPr>
              <w:t xml:space="preserve"> </w:t>
            </w:r>
          </w:p>
          <w:p w14:paraId="216007F1">
            <w:pPr>
              <w:pStyle w:val="17"/>
              <w:snapToGrid w:val="0"/>
              <w:spacing w:line="360" w:lineRule="auto"/>
              <w:rPr>
                <w:rFonts w:hint="eastAsia" w:hAnsi="宋体" w:eastAsia="宋体" w:cs="宋体"/>
                <w:color w:val="auto"/>
                <w:sz w:val="21"/>
                <w:highlight w:val="none"/>
                <w:lang w:eastAsia="zh-CN"/>
              </w:rPr>
            </w:pPr>
            <w:r>
              <w:rPr>
                <w:rFonts w:hint="eastAsia" w:hAnsi="宋体" w:eastAsia="宋体" w:cs="宋体"/>
                <w:color w:val="auto"/>
                <w:sz w:val="21"/>
                <w:highlight w:val="none"/>
                <w:lang w:eastAsia="zh-CN"/>
              </w:rPr>
              <w:t>开户银行：</w:t>
            </w:r>
            <w:r>
              <w:rPr>
                <w:rFonts w:hint="eastAsia" w:hAnsi="宋体" w:cs="宋体"/>
                <w:color w:val="auto"/>
                <w:sz w:val="21"/>
                <w:highlight w:val="none"/>
                <w:lang w:eastAsia="zh-CN"/>
              </w:rPr>
              <w:t>中国工商银行股份有限公司玉林分行营业部</w:t>
            </w:r>
          </w:p>
          <w:p w14:paraId="48623601">
            <w:pPr>
              <w:pStyle w:val="17"/>
              <w:snapToGrid w:val="0"/>
              <w:spacing w:line="360" w:lineRule="auto"/>
              <w:rPr>
                <w:rFonts w:hint="eastAsia" w:hAnsi="宋体" w:eastAsia="宋体" w:cs="宋体"/>
                <w:color w:val="auto"/>
                <w:sz w:val="21"/>
                <w:highlight w:val="none"/>
                <w:lang w:eastAsia="zh-CN"/>
              </w:rPr>
            </w:pPr>
            <w:r>
              <w:rPr>
                <w:rFonts w:hint="eastAsia" w:hAnsi="宋体" w:eastAsia="宋体" w:cs="宋体"/>
                <w:color w:val="auto"/>
                <w:sz w:val="21"/>
                <w:highlight w:val="none"/>
                <w:lang w:eastAsia="zh-CN"/>
              </w:rPr>
              <w:t>账    号：</w:t>
            </w:r>
            <w:r>
              <w:rPr>
                <w:rFonts w:hint="eastAsia" w:hAnsi="宋体" w:cs="宋体"/>
                <w:color w:val="auto"/>
                <w:sz w:val="21"/>
                <w:highlight w:val="none"/>
                <w:lang w:eastAsia="zh-CN"/>
              </w:rPr>
              <w:t>2111 7010 0920 1133 107</w:t>
            </w:r>
          </w:p>
        </w:tc>
      </w:tr>
      <w:tr w14:paraId="24D86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75F336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14:paraId="097A9CB1">
            <w:pPr>
              <w:pStyle w:val="17"/>
              <w:snapToGrid w:val="0"/>
              <w:spacing w:line="360" w:lineRule="auto"/>
              <w:rPr>
                <w:rFonts w:hint="eastAsia" w:hAnsi="宋体" w:cs="宋体"/>
                <w:color w:val="auto"/>
                <w:sz w:val="21"/>
                <w:highlight w:val="none"/>
              </w:rPr>
            </w:pPr>
            <w:r>
              <w:rPr>
                <w:rFonts w:hint="eastAsia" w:hAnsi="宋体" w:cs="宋体"/>
                <w:color w:val="auto"/>
                <w:sz w:val="21"/>
                <w:highlight w:val="none"/>
              </w:rPr>
              <w:t>解释：</w:t>
            </w:r>
            <w:r>
              <w:rPr>
                <w:rFonts w:hAnsi="宋体" w:cs="宋体"/>
                <w:color w:val="auto"/>
                <w:sz w:val="21"/>
                <w:highlight w:val="none"/>
              </w:rPr>
              <w:t>构成本</w:t>
            </w:r>
            <w:r>
              <w:rPr>
                <w:rFonts w:hint="eastAsia" w:hAnsi="宋体" w:cs="宋体"/>
                <w:color w:val="auto"/>
                <w:sz w:val="21"/>
                <w:highlight w:val="none"/>
              </w:rPr>
              <w:t>磋商文件</w:t>
            </w:r>
            <w:r>
              <w:rPr>
                <w:rFonts w:hAnsi="宋体" w:cs="宋体"/>
                <w:color w:val="auto"/>
                <w:sz w:val="21"/>
                <w:highlight w:val="none"/>
              </w:rPr>
              <w:t>的各个组成文件应互为解释，互为说明；除</w:t>
            </w:r>
            <w:r>
              <w:rPr>
                <w:rFonts w:hint="eastAsia" w:hAnsi="宋体" w:cs="宋体"/>
                <w:color w:val="auto"/>
                <w:sz w:val="21"/>
                <w:highlight w:val="none"/>
              </w:rPr>
              <w:t>磋商文件</w:t>
            </w:r>
            <w:r>
              <w:rPr>
                <w:rFonts w:hAnsi="宋体" w:cs="宋体"/>
                <w:color w:val="auto"/>
                <w:sz w:val="21"/>
                <w:highlight w:val="none"/>
              </w:rPr>
              <w:t>中有特别规定外，仅适用于</w:t>
            </w:r>
            <w:r>
              <w:rPr>
                <w:rFonts w:hint="eastAsia" w:hAnsi="宋体" w:cs="宋体"/>
                <w:color w:val="auto"/>
                <w:sz w:val="21"/>
                <w:highlight w:val="none"/>
              </w:rPr>
              <w:t>竞标</w:t>
            </w:r>
            <w:r>
              <w:rPr>
                <w:rFonts w:hAnsi="宋体" w:cs="宋体"/>
                <w:color w:val="auto"/>
                <w:sz w:val="21"/>
                <w:highlight w:val="none"/>
              </w:rPr>
              <w:t>阶段的规定，按</w:t>
            </w:r>
            <w:r>
              <w:rPr>
                <w:rFonts w:hint="eastAsia" w:hAnsi="宋体" w:cs="宋体"/>
                <w:color w:val="auto"/>
                <w:sz w:val="21"/>
                <w:highlight w:val="none"/>
              </w:rPr>
              <w:t>更正公告（澄清公告）</w:t>
            </w:r>
            <w:r>
              <w:rPr>
                <w:rFonts w:hAnsi="宋体" w:cs="宋体"/>
                <w:color w:val="auto"/>
                <w:sz w:val="21"/>
                <w:highlight w:val="none"/>
              </w:rPr>
              <w:t>、</w:t>
            </w:r>
            <w:r>
              <w:rPr>
                <w:rFonts w:hint="eastAsia" w:hAnsi="宋体" w:cs="宋体"/>
                <w:color w:val="auto"/>
                <w:sz w:val="21"/>
                <w:highlight w:val="none"/>
              </w:rPr>
              <w:t>竞争性磋商</w:t>
            </w:r>
            <w:r>
              <w:rPr>
                <w:rFonts w:hAnsi="宋体" w:cs="宋体"/>
                <w:color w:val="auto"/>
                <w:sz w:val="21"/>
                <w:highlight w:val="none"/>
              </w:rPr>
              <w:t>公告、</w:t>
            </w:r>
            <w:r>
              <w:rPr>
                <w:rFonts w:hint="eastAsia" w:hAnsi="宋体" w:cs="宋体"/>
                <w:color w:val="auto"/>
                <w:sz w:val="21"/>
                <w:highlight w:val="none"/>
              </w:rPr>
              <w:t>供应商</w:t>
            </w:r>
            <w:r>
              <w:rPr>
                <w:rFonts w:hAnsi="宋体" w:cs="宋体"/>
                <w:color w:val="auto"/>
                <w:sz w:val="21"/>
                <w:highlight w:val="none"/>
              </w:rPr>
              <w:t>须知</w:t>
            </w:r>
            <w:r>
              <w:rPr>
                <w:rFonts w:hint="eastAsia" w:hAnsi="宋体" w:cs="宋体"/>
                <w:color w:val="auto"/>
                <w:sz w:val="21"/>
                <w:highlight w:val="none"/>
              </w:rPr>
              <w:t>、采购需求</w:t>
            </w:r>
            <w:r>
              <w:rPr>
                <w:rFonts w:hAnsi="宋体" w:cs="宋体"/>
                <w:color w:val="auto"/>
                <w:sz w:val="21"/>
                <w:highlight w:val="none"/>
              </w:rPr>
              <w:t>、</w:t>
            </w:r>
            <w:r>
              <w:rPr>
                <w:rFonts w:hint="eastAsia" w:hAnsi="宋体" w:cs="宋体"/>
                <w:color w:val="auto"/>
                <w:sz w:val="21"/>
                <w:highlight w:val="none"/>
              </w:rPr>
              <w:t>评审程序、评审方法和评审标准</w:t>
            </w:r>
            <w:r>
              <w:rPr>
                <w:rFonts w:hAnsi="宋体" w:cs="宋体"/>
                <w:color w:val="auto"/>
                <w:sz w:val="21"/>
                <w:highlight w:val="none"/>
              </w:rPr>
              <w:t>、</w:t>
            </w:r>
            <w:r>
              <w:rPr>
                <w:rFonts w:hint="eastAsia" w:hAnsi="宋体" w:cs="宋体"/>
                <w:color w:val="auto"/>
                <w:sz w:val="21"/>
                <w:highlight w:val="none"/>
              </w:rPr>
              <w:t>响应</w:t>
            </w:r>
            <w:r>
              <w:rPr>
                <w:rFonts w:hAnsi="宋体" w:cs="宋体"/>
                <w:color w:val="auto"/>
                <w:sz w:val="21"/>
                <w:highlight w:val="none"/>
              </w:rPr>
              <w:t>文件格式</w:t>
            </w:r>
            <w:r>
              <w:rPr>
                <w:rFonts w:hint="eastAsia" w:hAnsi="宋体" w:cs="宋体"/>
                <w:color w:val="auto"/>
                <w:sz w:val="21"/>
                <w:highlight w:val="none"/>
              </w:rPr>
              <w:t>、合同文本</w:t>
            </w:r>
            <w:r>
              <w:rPr>
                <w:rFonts w:hAnsi="宋体" w:cs="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s="宋体"/>
                <w:color w:val="auto"/>
                <w:sz w:val="21"/>
                <w:highlight w:val="none"/>
              </w:rPr>
              <w:t>更正公告（澄清公告）</w:t>
            </w:r>
            <w:r>
              <w:rPr>
                <w:rFonts w:hAnsi="宋体" w:cs="宋体"/>
                <w:color w:val="auto"/>
                <w:sz w:val="21"/>
                <w:highlight w:val="none"/>
              </w:rPr>
              <w:t>与同步更新的</w:t>
            </w:r>
            <w:r>
              <w:rPr>
                <w:rFonts w:hint="eastAsia" w:hAnsi="宋体" w:cs="宋体"/>
                <w:color w:val="auto"/>
                <w:sz w:val="21"/>
                <w:highlight w:val="none"/>
              </w:rPr>
              <w:t>磋商文件</w:t>
            </w:r>
            <w:r>
              <w:rPr>
                <w:rFonts w:hAnsi="宋体" w:cs="宋体"/>
                <w:color w:val="auto"/>
                <w:sz w:val="21"/>
                <w:highlight w:val="none"/>
              </w:rPr>
              <w:t>不一致时以</w:t>
            </w:r>
            <w:r>
              <w:rPr>
                <w:rFonts w:hint="eastAsia" w:hAnsi="宋体" w:cs="宋体"/>
                <w:color w:val="auto"/>
                <w:sz w:val="21"/>
                <w:highlight w:val="none"/>
              </w:rPr>
              <w:t>更正公告（澄清公告）</w:t>
            </w:r>
            <w:r>
              <w:rPr>
                <w:rFonts w:hAnsi="宋体" w:cs="宋体"/>
                <w:color w:val="auto"/>
                <w:sz w:val="21"/>
                <w:highlight w:val="none"/>
              </w:rPr>
              <w:t>为准。按本款前述规定仍不能形成结论的，由</w:t>
            </w:r>
            <w:r>
              <w:rPr>
                <w:rFonts w:hint="eastAsia" w:hAnsi="宋体" w:cs="宋体"/>
                <w:color w:val="auto"/>
                <w:sz w:val="21"/>
                <w:highlight w:val="none"/>
              </w:rPr>
              <w:t>采购</w:t>
            </w:r>
            <w:r>
              <w:rPr>
                <w:rFonts w:hAnsi="宋体" w:cs="宋体"/>
                <w:color w:val="auto"/>
                <w:sz w:val="21"/>
                <w:highlight w:val="none"/>
              </w:rPr>
              <w:t>人</w:t>
            </w:r>
            <w:r>
              <w:rPr>
                <w:rFonts w:hint="eastAsia" w:hAnsi="宋体" w:cs="宋体"/>
                <w:color w:val="auto"/>
                <w:sz w:val="21"/>
                <w:highlight w:val="none"/>
              </w:rPr>
              <w:t>或者采购代理机构</w:t>
            </w:r>
            <w:r>
              <w:rPr>
                <w:rFonts w:hAnsi="宋体" w:cs="宋体"/>
                <w:color w:val="auto"/>
                <w:sz w:val="21"/>
                <w:highlight w:val="none"/>
              </w:rPr>
              <w:t>负责解释。</w:t>
            </w:r>
          </w:p>
        </w:tc>
      </w:tr>
      <w:tr w14:paraId="478BD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008F3D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vAlign w:val="center"/>
          </w:tcPr>
          <w:p w14:paraId="2B0B9174">
            <w:pPr>
              <w:pStyle w:val="17"/>
              <w:snapToGrid w:val="0"/>
              <w:spacing w:line="360" w:lineRule="auto"/>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2B59349">
            <w:pPr>
              <w:pStyle w:val="17"/>
              <w:snapToGrid w:val="0"/>
              <w:spacing w:line="360" w:lineRule="auto"/>
              <w:rPr>
                <w:rFonts w:hint="eastAsia" w:hAnsi="宋体" w:cs="宋体"/>
                <w:color w:val="auto"/>
                <w:sz w:val="21"/>
                <w:highlight w:val="none"/>
              </w:rPr>
            </w:pPr>
            <w:r>
              <w:rPr>
                <w:rFonts w:hint="eastAsia" w:hAnsi="宋体" w:cs="宋体"/>
                <w:bCs/>
                <w:color w:val="auto"/>
                <w:sz w:val="21"/>
                <w:highlight w:val="none"/>
              </w:rPr>
              <w:t>2.本磋商文件所称的“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w:t>
            </w:r>
            <w:r>
              <w:rPr>
                <w:rFonts w:hint="eastAsia" w:hAnsi="宋体"/>
                <w:color w:val="auto"/>
                <w:sz w:val="21"/>
                <w:highlight w:val="none"/>
                <w:lang w:eastAsia="zh-CN"/>
              </w:rPr>
              <w:t>广西政府采购云平台</w:t>
            </w:r>
            <w:r>
              <w:rPr>
                <w:rFonts w:hint="eastAsia" w:hAnsi="宋体"/>
                <w:color w:val="auto"/>
                <w:sz w:val="21"/>
                <w:highlight w:val="none"/>
              </w:rPr>
              <w:t>认可的CA认证的电子签名数据为表现形式的印章，可用于签署电子响应文件，电子印章与实物印章具有同等法律效力，不因其采用电子化表现形式而否定其法律效力。</w:t>
            </w:r>
          </w:p>
          <w:p w14:paraId="08D5B0FD">
            <w:pPr>
              <w:pStyle w:val="17"/>
              <w:snapToGrid w:val="0"/>
              <w:spacing w:line="360" w:lineRule="auto"/>
              <w:rPr>
                <w:rFonts w:hint="eastAsia" w:hAnsi="宋体" w:cs="宋体"/>
                <w:bCs/>
                <w:color w:val="auto"/>
                <w:sz w:val="21"/>
                <w:highlight w:val="none"/>
              </w:rPr>
            </w:pPr>
            <w:r>
              <w:rPr>
                <w:rFonts w:hAnsi="宋体" w:cs="宋体"/>
                <w:color w:val="auto"/>
                <w:sz w:val="21"/>
                <w:highlight w:val="none"/>
              </w:rPr>
              <w:t>3</w:t>
            </w:r>
            <w:r>
              <w:rPr>
                <w:rFonts w:hint="eastAsia" w:hAnsi="宋体" w:cs="宋体"/>
                <w:color w:val="auto"/>
                <w:sz w:val="21"/>
                <w:highlight w:val="none"/>
              </w:rPr>
              <w:t>.供应商为其他组织或者自然人时，本磋商文件规定的法定代表人指负责人或者自然人。本磋商文件所称负责人是指参加竞标的其他组织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负责人，本磋商文件所称自然人指参与竞标的自然人本人，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2230BD83">
            <w:pPr>
              <w:pStyle w:val="17"/>
              <w:snapToGrid w:val="0"/>
              <w:spacing w:line="360" w:lineRule="auto"/>
              <w:rPr>
                <w:rFonts w:hint="eastAsia" w:hAnsi="宋体" w:cs="宋体"/>
                <w:color w:val="auto"/>
                <w:sz w:val="21"/>
                <w:highlight w:val="none"/>
              </w:rPr>
            </w:pPr>
            <w:r>
              <w:rPr>
                <w:rFonts w:hint="eastAsia" w:hAnsi="宋体" w:cs="宋体"/>
                <w:color w:val="auto"/>
                <w:sz w:val="21"/>
                <w:highlight w:val="none"/>
                <w:lang w:val="en-US" w:eastAsia="zh-CN"/>
              </w:rPr>
              <w:t>4</w:t>
            </w:r>
            <w:r>
              <w:rPr>
                <w:rFonts w:hAnsi="宋体" w:cs="宋体"/>
                <w:color w:val="auto"/>
                <w:sz w:val="21"/>
                <w:highlight w:val="none"/>
              </w:rPr>
              <w:t>.</w:t>
            </w:r>
            <w:r>
              <w:rPr>
                <w:rFonts w:hint="eastAsia" w:hAnsi="宋体" w:cs="宋体"/>
                <w:color w:val="auto"/>
                <w:sz w:val="21"/>
                <w:highlight w:val="none"/>
              </w:rPr>
              <w:t>本磋商文件所称的“以上”“以下”“以内”“届满”，包括本数；所称的“不满”“超过”“以外”，不包括本数。</w:t>
            </w:r>
          </w:p>
        </w:tc>
      </w:tr>
      <w:tr w14:paraId="417C7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974B558">
            <w:pPr>
              <w:spacing w:line="360" w:lineRule="auto"/>
              <w:jc w:val="center"/>
              <w:rPr>
                <w:rFonts w:hint="eastAsia" w:ascii="宋体" w:hAnsi="宋体" w:cs="宋体"/>
                <w:color w:val="auto"/>
                <w:szCs w:val="21"/>
                <w:highlight w:val="none"/>
              </w:rPr>
            </w:pPr>
          </w:p>
        </w:tc>
        <w:tc>
          <w:tcPr>
            <w:tcW w:w="7912" w:type="dxa"/>
            <w:vAlign w:val="center"/>
          </w:tcPr>
          <w:p w14:paraId="07E84A2E">
            <w:pPr>
              <w:pStyle w:val="17"/>
              <w:snapToGrid w:val="0"/>
              <w:spacing w:line="360" w:lineRule="auto"/>
              <w:rPr>
                <w:rFonts w:hint="eastAsia" w:hAnsi="宋体" w:cs="宋体"/>
                <w:color w:val="auto"/>
                <w:sz w:val="21"/>
                <w:highlight w:val="none"/>
              </w:rPr>
            </w:pPr>
            <w:r>
              <w:rPr>
                <w:rFonts w:hint="eastAsia" w:hAnsi="宋体" w:cs="宋体"/>
                <w:color w:val="auto"/>
                <w:sz w:val="21"/>
                <w:highlight w:val="none"/>
              </w:rPr>
              <w:t>本项目采购标的对应的中小企业划分标准所属行业为：软件和信息技术服务业</w:t>
            </w:r>
          </w:p>
          <w:p w14:paraId="64B1A7A2">
            <w:pPr>
              <w:rPr>
                <w:rFonts w:hint="eastAsia" w:eastAsia="宋体"/>
                <w:color w:val="auto"/>
                <w:highlight w:val="none"/>
                <w:lang w:val="en-US" w:eastAsia="zh-CN"/>
              </w:rPr>
            </w:pPr>
            <w:r>
              <w:rPr>
                <w:rFonts w:hint="eastAsia" w:eastAsia="宋体"/>
                <w:color w:val="auto"/>
                <w:highlight w:val="none"/>
                <w:lang w:val="en-US" w:eastAsia="zh-CN"/>
              </w:rPr>
              <w:t>预付款支付：合同价款的 30 %作为预付款。</w:t>
            </w:r>
          </w:p>
          <w:p w14:paraId="1EFB3F92">
            <w:pPr>
              <w:rPr>
                <w:rFonts w:hint="eastAsia" w:eastAsia="宋体"/>
                <w:color w:val="auto"/>
                <w:highlight w:val="none"/>
                <w:lang w:val="en-US" w:eastAsia="zh-CN"/>
              </w:rPr>
            </w:pPr>
            <w:r>
              <w:rPr>
                <w:rFonts w:hint="eastAsia" w:eastAsia="宋体"/>
                <w:color w:val="auto"/>
                <w:highlight w:val="none"/>
                <w:lang w:val="en-US" w:eastAsia="zh-CN"/>
              </w:rPr>
              <w:t>预付款支付期限： 在签订合同后</w:t>
            </w:r>
            <w:r>
              <w:rPr>
                <w:rFonts w:hint="eastAsia"/>
                <w:color w:val="auto"/>
                <w:highlight w:val="none"/>
                <w:lang w:val="en-US" w:eastAsia="zh-CN"/>
              </w:rPr>
              <w:t>10</w:t>
            </w:r>
            <w:r>
              <w:rPr>
                <w:rFonts w:hint="eastAsia" w:eastAsia="宋体"/>
                <w:color w:val="auto"/>
                <w:highlight w:val="none"/>
                <w:lang w:val="en-US" w:eastAsia="zh-CN"/>
              </w:rPr>
              <w:t xml:space="preserve">个工作日内支付   </w:t>
            </w:r>
          </w:p>
          <w:p w14:paraId="31B36149">
            <w:pPr>
              <w:rPr>
                <w:rFonts w:hint="eastAsia"/>
                <w:color w:val="auto"/>
                <w:highlight w:val="none"/>
                <w:lang w:val="en-US" w:eastAsia="zh-CN"/>
              </w:rPr>
            </w:pPr>
          </w:p>
        </w:tc>
      </w:tr>
    </w:tbl>
    <w:p w14:paraId="0F08D88C">
      <w:pP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0D385EF7">
      <w:pPr>
        <w:spacing w:line="400" w:lineRule="exact"/>
        <w:jc w:val="center"/>
        <w:rPr>
          <w:rFonts w:hint="eastAsia" w:ascii="宋体" w:hAnsi="宋体"/>
          <w:b/>
          <w:color w:val="auto"/>
          <w:sz w:val="32"/>
          <w:szCs w:val="32"/>
          <w:highlight w:val="none"/>
        </w:rPr>
      </w:pPr>
    </w:p>
    <w:p w14:paraId="6F6A60AD">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674E56DE">
      <w:pPr>
        <w:spacing w:line="400" w:lineRule="exact"/>
        <w:rPr>
          <w:rFonts w:hint="eastAsia" w:ascii="宋体" w:hAnsi="宋体"/>
          <w:color w:val="auto"/>
          <w:szCs w:val="21"/>
          <w:highlight w:val="none"/>
        </w:rPr>
      </w:pPr>
    </w:p>
    <w:p w14:paraId="4CDF8E3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31514E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11B0BA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325738F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75F92B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38765D7E">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650ADD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181CB538">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15BA8A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“竞标”是指供应商按照本项目竞争性磋商公告或者邀请函规定的方式获取磋商文件、提交响应文件并希望获得标的的行为。</w:t>
      </w:r>
    </w:p>
    <w:p w14:paraId="4118B8B2">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2E20155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65046526">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52BBFA46">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656D8000">
      <w:pPr>
        <w:spacing w:line="360" w:lineRule="auto"/>
        <w:ind w:firstLine="420" w:firstLineChars="200"/>
        <w:contextualSpacing/>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79F70472">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6658F7BD">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7C516E6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651E73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5DE5C22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10E38A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10881F5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4F10A4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63DF41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03566B9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108027CF">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52" w:name="_Toc254970673"/>
      <w:bookmarkStart w:id="53" w:name="_Toc254970532"/>
      <w:r>
        <w:rPr>
          <w:rFonts w:hint="eastAsia" w:ascii="宋体" w:hAnsi="宋体"/>
          <w:b w:val="0"/>
          <w:color w:val="auto"/>
          <w:sz w:val="21"/>
          <w:szCs w:val="21"/>
          <w:highlight w:val="none"/>
        </w:rPr>
        <w:t>6.1本项目不允许转包。</w:t>
      </w:r>
    </w:p>
    <w:p w14:paraId="179B9062">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7E18AE8C">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18DFADD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52"/>
      <w:bookmarkEnd w:id="53"/>
    </w:p>
    <w:p w14:paraId="1EE05CE7">
      <w:pPr>
        <w:spacing w:line="360" w:lineRule="auto"/>
        <w:ind w:firstLine="420" w:firstLineChars="200"/>
        <w:rPr>
          <w:rFonts w:hint="eastAsia" w:ascii="宋体" w:hAnsi="宋体" w:cs="宋体"/>
          <w:color w:val="auto"/>
          <w:szCs w:val="21"/>
          <w:highlight w:val="none"/>
        </w:rPr>
      </w:pPr>
      <w:bookmarkStart w:id="54" w:name="_8.1提供相同品牌产品且通过资格审查、符合性审查的不同投标人参加同一合"/>
      <w:bookmarkEnd w:id="54"/>
      <w:r>
        <w:rPr>
          <w:rFonts w:hint="eastAsia" w:ascii="宋体" w:hAnsi="宋体" w:cs="宋体"/>
          <w:color w:val="auto"/>
          <w:szCs w:val="21"/>
          <w:highlight w:val="none"/>
        </w:rPr>
        <w:t>7.</w:t>
      </w:r>
      <w:r>
        <w:rPr>
          <w:rFonts w:ascii="宋体" w:hAnsi="宋体" w:cs="宋体"/>
          <w:color w:val="auto"/>
          <w:szCs w:val="21"/>
          <w:highlight w:val="none"/>
        </w:rPr>
        <w:t>1</w:t>
      </w:r>
      <w:bookmarkStart w:id="55"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55"/>
    <w:p w14:paraId="275A12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w:t>
      </w:r>
      <w:bookmarkStart w:id="172" w:name="_GoBack"/>
      <w:bookmarkEnd w:id="172"/>
      <w:r>
        <w:rPr>
          <w:rFonts w:hint="eastAsia" w:ascii="宋体" w:hAnsi="宋体" w:cs="宋体"/>
          <w:color w:val="auto"/>
          <w:szCs w:val="21"/>
          <w:highlight w:val="none"/>
        </w:rPr>
        <w:t>阅读磋商文件的所有内容，按照磋商文件的要求提交响应文件，并对所提供的全部资料的真实性承担法律责任。</w:t>
      </w:r>
    </w:p>
    <w:p w14:paraId="789B14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72E62F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3F895C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779093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71CB7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078FD9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434379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7D377C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281CD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4AA4E9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056209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65458C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52481D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07E773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7B4D4AA">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7661B5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7F1130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53BFC9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0EDF6C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1C8B7C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E11B2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272211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006D4C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530F89D6">
      <w:pPr>
        <w:spacing w:line="360" w:lineRule="auto"/>
        <w:ind w:firstLine="420" w:firstLineChars="200"/>
        <w:rPr>
          <w:rFonts w:hint="eastAsia" w:ascii="宋体" w:hAnsi="宋体" w:cs="宋体"/>
          <w:color w:val="auto"/>
          <w:szCs w:val="21"/>
          <w:highlight w:val="none"/>
        </w:rPr>
      </w:pPr>
    </w:p>
    <w:p w14:paraId="30093FC8">
      <w:pPr>
        <w:spacing w:line="360" w:lineRule="auto"/>
        <w:ind w:left="1" w:firstLine="417" w:firstLineChars="199"/>
        <w:jc w:val="center"/>
        <w:rPr>
          <w:rFonts w:hint="eastAsia" w:ascii="宋体" w:hAnsi="宋体"/>
          <w:color w:val="auto"/>
          <w:highlight w:val="none"/>
        </w:rPr>
      </w:pPr>
      <w:bookmarkStart w:id="56" w:name="_Toc254970675"/>
      <w:bookmarkStart w:id="57" w:name="_Toc254970534"/>
    </w:p>
    <w:p w14:paraId="02E5FC8C">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二、磋商文件</w:t>
      </w:r>
      <w:bookmarkEnd w:id="56"/>
      <w:bookmarkEnd w:id="57"/>
    </w:p>
    <w:p w14:paraId="2929DB23">
      <w:pPr>
        <w:spacing w:line="360" w:lineRule="auto"/>
        <w:rPr>
          <w:rFonts w:hint="eastAsia" w:ascii="宋体" w:hAnsi="宋体"/>
          <w:color w:val="auto"/>
          <w:szCs w:val="21"/>
          <w:highlight w:val="none"/>
        </w:rPr>
      </w:pPr>
    </w:p>
    <w:p w14:paraId="6D2A841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54A0E40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（1）竞争性磋商公告；</w:t>
      </w:r>
    </w:p>
    <w:p w14:paraId="13C8FB6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（2）供应商须知； </w:t>
      </w:r>
    </w:p>
    <w:p w14:paraId="502C5D1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（3）采购需求；</w:t>
      </w:r>
    </w:p>
    <w:p w14:paraId="2EC8C54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（4）评审程序、评审方法和评审标准；</w:t>
      </w:r>
    </w:p>
    <w:p w14:paraId="305798F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（5）响应文件格式；</w:t>
      </w:r>
    </w:p>
    <w:p w14:paraId="4F64504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（6）合同文本。</w:t>
      </w:r>
    </w:p>
    <w:p w14:paraId="582A69C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11315E8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3D6E190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7D7803E8">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7F877744">
      <w:pPr>
        <w:spacing w:line="360" w:lineRule="auto"/>
        <w:rPr>
          <w:rFonts w:hint="eastAsia" w:ascii="宋体" w:hAnsi="宋体"/>
          <w:color w:val="auto"/>
          <w:szCs w:val="21"/>
          <w:highlight w:val="none"/>
        </w:rPr>
      </w:pPr>
    </w:p>
    <w:p w14:paraId="3E353593">
      <w:pPr>
        <w:spacing w:line="360" w:lineRule="auto"/>
        <w:jc w:val="center"/>
        <w:rPr>
          <w:rFonts w:hint="eastAsia" w:ascii="宋体" w:hAnsi="宋体"/>
          <w:b/>
          <w:bCs/>
          <w:color w:val="auto"/>
          <w:szCs w:val="21"/>
          <w:highlight w:val="none"/>
        </w:rPr>
      </w:pPr>
      <w:r>
        <w:rPr>
          <w:rFonts w:hint="eastAsia" w:ascii="宋体" w:hAnsi="宋体"/>
          <w:b/>
          <w:bCs/>
          <w:color w:val="auto"/>
          <w:sz w:val="32"/>
          <w:szCs w:val="32"/>
          <w:highlight w:val="none"/>
        </w:rPr>
        <w:t>三、响应文件的编制</w:t>
      </w:r>
    </w:p>
    <w:p w14:paraId="4AB79B3E">
      <w:pPr>
        <w:spacing w:line="360" w:lineRule="auto"/>
        <w:rPr>
          <w:rFonts w:hint="eastAsia" w:ascii="宋体" w:hAnsi="宋体"/>
          <w:color w:val="auto"/>
          <w:szCs w:val="21"/>
          <w:highlight w:val="none"/>
        </w:rPr>
      </w:pPr>
    </w:p>
    <w:p w14:paraId="7990BFD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371A29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2A2EF25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7FCFAE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3021F0D1">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3E41E36D">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78572F53">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225AD53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3C758F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78C07F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41C853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35B50FB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224287B5">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3FBD0EAD">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54FB9C72">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7C59AC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0DF8EDAA">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2440953E">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54B3D7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43D3C0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竞标报价（包含首次报价、最后报价）超过所竞标分标规定的采购预算金额或者最高限价的，其响应文件将按无效处理。</w:t>
      </w:r>
    </w:p>
    <w:p w14:paraId="6E7E4D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bookmarkStart w:id="58" w:name="_Hlk42592874"/>
      <w:r>
        <w:rPr>
          <w:rFonts w:hint="eastAsia" w:ascii="宋体" w:hAnsi="宋体" w:cs="宋体"/>
          <w:color w:val="auto"/>
          <w:szCs w:val="21"/>
          <w:highlight w:val="none"/>
        </w:rPr>
        <w:t>竞标报价（包含首次报价、最后报价）超过分项采购预算金额或者最高限价的，其响应文件将按无效处理。</w:t>
      </w:r>
    </w:p>
    <w:bookmarkEnd w:id="58"/>
    <w:p w14:paraId="2A3E819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780BBEE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108524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380AD8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013555C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21D1EC6C">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3500AE34">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59A7D295">
      <w:pPr>
        <w:spacing w:line="360" w:lineRule="auto"/>
        <w:ind w:firstLine="420" w:firstLineChars="200"/>
        <w:rPr>
          <w:rFonts w:hint="eastAsia" w:ascii="宋体" w:hAnsi="宋体" w:cs="宋体"/>
          <w:color w:val="auto"/>
          <w:szCs w:val="21"/>
          <w:highlight w:val="none"/>
        </w:rPr>
      </w:pPr>
      <w:bookmarkStart w:id="59"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成交供应商的竞标保证金自成交通知书发出之日起4个工作日内退还；</w:t>
      </w:r>
      <w:r>
        <w:rPr>
          <w:rFonts w:hint="eastAsia" w:ascii="宋体" w:hAnsi="宋体" w:cs="宋体"/>
          <w:color w:val="auto"/>
          <w:szCs w:val="21"/>
          <w:highlight w:val="none"/>
        </w:rPr>
        <w:t>成交供应商的磋商保证金自签订合同之日起4个工作日内退还。</w:t>
      </w:r>
      <w:bookmarkEnd w:id="59"/>
      <w:r>
        <w:rPr>
          <w:rFonts w:hint="eastAsia" w:ascii="宋体" w:hAnsi="宋体" w:cs="宋体"/>
          <w:color w:val="auto"/>
          <w:szCs w:val="21"/>
          <w:highlight w:val="none"/>
        </w:rPr>
        <w:t xml:space="preserve"> </w:t>
      </w:r>
    </w:p>
    <w:p w14:paraId="09DF62E6">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72E2FD61">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7226E05D">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4D7D6FE3">
      <w:pPr>
        <w:spacing w:line="360" w:lineRule="auto"/>
        <w:ind w:left="420" w:leftChars="200"/>
        <w:rPr>
          <w:rFonts w:ascii="宋体" w:hAnsi="宋体" w:cs="宋体"/>
          <w:color w:val="auto"/>
          <w:szCs w:val="21"/>
          <w:highlight w:val="none"/>
        </w:rPr>
      </w:pPr>
      <w:r>
        <w:rPr>
          <w:rFonts w:hint="eastAsia" w:ascii="宋体" w:hAnsi="宋体"/>
          <w:color w:val="auto"/>
          <w:szCs w:val="21"/>
          <w:highlight w:val="none"/>
        </w:rPr>
        <w:t>（2）未按规定提交履约保证金的；</w:t>
      </w:r>
    </w:p>
    <w:p w14:paraId="15810A47">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07A592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1C6DC59A">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445F8A8C">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55E4199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585CAD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18.1供应商应先安装“政采云电子交易客户端”（请自行前往</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进行下载），并按照本项目磋商文件规定的格式和顺序和</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的要求编制并加密。响应文件内容不完整、编排混乱导致响应文件被误读、漏读或者查找不到相关内容的，由此引发的后果由供应商承担。</w:t>
      </w:r>
    </w:p>
    <w:p w14:paraId="45DA52E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的身份认证，确保在电子竞标过程中能够对相关数据电文进行加密和使用电子签章。</w:t>
      </w:r>
    </w:p>
    <w:p w14:paraId="25F115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72B596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08AE39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42CD4DFE">
      <w:pPr>
        <w:spacing w:line="360" w:lineRule="auto"/>
        <w:ind w:firstLine="482" w:firstLineChars="200"/>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6F203818">
      <w:pPr>
        <w:spacing w:line="360" w:lineRule="auto"/>
        <w:ind w:firstLine="420" w:firstLineChars="200"/>
        <w:rPr>
          <w:rFonts w:hint="eastAsia" w:ascii="宋体" w:hAnsi="宋体" w:cs="宋体"/>
          <w:color w:val="auto"/>
          <w:szCs w:val="21"/>
          <w:highlight w:val="none"/>
        </w:rPr>
      </w:pPr>
      <w:r>
        <w:rPr>
          <w:rFonts w:hint="eastAsia"/>
          <w:color w:val="auto"/>
          <w:highlight w:val="none"/>
        </w:rPr>
        <w:t>电子备份响应文件是指通过“政采云电子投标客户端”在线编制生成且后缀名为“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详见在“供应商须知前附表”。</w:t>
      </w:r>
    </w:p>
    <w:p w14:paraId="534A38C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498F3634">
      <w:pPr>
        <w:spacing w:line="360" w:lineRule="auto"/>
        <w:ind w:firstLine="420" w:firstLineChars="200"/>
        <w:rPr>
          <w:rFonts w:hint="eastAsia"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lang w:eastAsia="zh-CN"/>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70ADD323">
      <w:pPr>
        <w:spacing w:line="360" w:lineRule="auto"/>
        <w:ind w:firstLine="422" w:firstLineChars="200"/>
        <w:rPr>
          <w:rFonts w:hint="eastAsia" w:ascii="宋体" w:hAnsi="宋体" w:cs="宋体"/>
          <w:color w:val="auto"/>
          <w:szCs w:val="21"/>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未在规定时间内提交或者未按照磋商文件要求加密的电子响应文件，</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将拒收。</w:t>
      </w:r>
    </w:p>
    <w:p w14:paraId="0F0F70A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32F7FACF">
      <w:pPr>
        <w:snapToGrid w:val="0"/>
        <w:spacing w:line="360" w:lineRule="auto"/>
        <w:ind w:firstLine="420"/>
        <w:jc w:val="left"/>
        <w:rPr>
          <w:rFonts w:hint="eastAsia" w:ascii="宋体" w:hAnsi="宋体"/>
          <w:color w:val="auto"/>
          <w:szCs w:val="21"/>
          <w:highlight w:val="none"/>
        </w:rPr>
      </w:pPr>
      <w:bookmarkStart w:id="60" w:name="_Toc254970543"/>
      <w:bookmarkStart w:id="61" w:name="_Toc254970684"/>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w:t>
      </w: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登陆</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“电子投标文件制作与投送教程”）</w:t>
      </w:r>
    </w:p>
    <w:bookmarkEnd w:id="60"/>
    <w:bookmarkEnd w:id="61"/>
    <w:p w14:paraId="37262663">
      <w:pPr>
        <w:pStyle w:val="72"/>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40740E4E">
      <w:pPr>
        <w:spacing w:line="360" w:lineRule="auto"/>
        <w:ind w:firstLine="482" w:firstLineChars="200"/>
        <w:rPr>
          <w:rFonts w:ascii="黑体" w:hAnsi="黑体" w:eastAsia="黑体" w:cs="宋体"/>
          <w:b/>
          <w:bCs/>
          <w:color w:val="auto"/>
          <w:sz w:val="24"/>
          <w:highlight w:val="none"/>
        </w:rPr>
      </w:pPr>
      <w:bookmarkStart w:id="62" w:name="_Hlk45702405"/>
      <w:r>
        <w:rPr>
          <w:rFonts w:hint="eastAsia" w:ascii="黑体" w:hAnsi="黑体" w:eastAsia="黑体" w:cs="宋体"/>
          <w:b/>
          <w:bCs/>
          <w:color w:val="auto"/>
          <w:sz w:val="24"/>
          <w:highlight w:val="none"/>
        </w:rPr>
        <w:t>22.响应文件的退回</w:t>
      </w:r>
    </w:p>
    <w:p w14:paraId="695E4A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78D8138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210235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供应商在响应文件提交截止时间后向采购人、采购代理机构书面申请撤回响应文件的，将根据本须知正文17.4的规定不予退还其磋商保证金。</w:t>
      </w:r>
    </w:p>
    <w:bookmarkEnd w:id="62"/>
    <w:p w14:paraId="5A38DC40">
      <w:pPr>
        <w:spacing w:line="360" w:lineRule="auto"/>
        <w:rPr>
          <w:rFonts w:hint="eastAsia" w:ascii="宋体" w:hAnsi="宋体"/>
          <w:color w:val="auto"/>
          <w:szCs w:val="21"/>
          <w:highlight w:val="none"/>
        </w:rPr>
      </w:pPr>
    </w:p>
    <w:p w14:paraId="007B71A4">
      <w:pPr>
        <w:spacing w:line="360" w:lineRule="auto"/>
        <w:ind w:left="420" w:firstLine="420"/>
        <w:jc w:val="center"/>
        <w:rPr>
          <w:rFonts w:hint="eastAsia" w:ascii="宋体" w:hAnsi="宋体"/>
          <w:b/>
          <w:bCs/>
          <w:color w:val="auto"/>
          <w:sz w:val="32"/>
          <w:szCs w:val="32"/>
          <w:highlight w:val="none"/>
        </w:rPr>
      </w:pPr>
      <w:r>
        <w:rPr>
          <w:rFonts w:hint="eastAsia" w:ascii="宋体" w:hAnsi="宋体"/>
          <w:b/>
          <w:bCs/>
          <w:color w:val="auto"/>
          <w:sz w:val="32"/>
          <w:szCs w:val="32"/>
          <w:highlight w:val="none"/>
        </w:rPr>
        <w:t>四、评审及磋商</w:t>
      </w:r>
    </w:p>
    <w:p w14:paraId="02925F70">
      <w:pPr>
        <w:spacing w:line="360" w:lineRule="auto"/>
        <w:ind w:left="420" w:firstLine="420"/>
        <w:rPr>
          <w:rFonts w:hint="eastAsia" w:ascii="宋体" w:hAnsi="宋体"/>
          <w:color w:val="auto"/>
          <w:szCs w:val="21"/>
          <w:highlight w:val="none"/>
        </w:rPr>
      </w:pPr>
    </w:p>
    <w:p w14:paraId="556FE3E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2563D6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D845C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1792C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w:t>
      </w:r>
      <w:r>
        <w:rPr>
          <w:rFonts w:hint="eastAsia" w:hAnsi="宋体"/>
          <w:bCs/>
          <w:color w:val="auto"/>
          <w:szCs w:val="21"/>
          <w:highlight w:val="none"/>
          <w:lang w:eastAsia="zh-CN"/>
        </w:rPr>
        <w:t>广西政府采购云平台</w:t>
      </w:r>
      <w:r>
        <w:rPr>
          <w:rFonts w:hint="eastAsia" w:hAnsi="宋体"/>
          <w:bCs/>
          <w:color w:val="auto"/>
          <w:highlight w:val="none"/>
        </w:rPr>
        <w:t>抽（选）取</w:t>
      </w:r>
      <w:r>
        <w:rPr>
          <w:rFonts w:hint="eastAsia" w:hAnsi="宋体"/>
          <w:bCs/>
          <w:color w:val="auto"/>
          <w:szCs w:val="21"/>
          <w:highlight w:val="none"/>
        </w:rPr>
        <w:t>评审专家。</w:t>
      </w:r>
    </w:p>
    <w:p w14:paraId="178FF739">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2CB5AC3C">
      <w:pPr>
        <w:spacing w:line="360" w:lineRule="auto"/>
        <w:ind w:firstLine="420" w:firstLineChars="200"/>
        <w:rPr>
          <w:rFonts w:hint="eastAsia"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w:t>
      </w:r>
      <w:r>
        <w:rPr>
          <w:rFonts w:hint="eastAsia" w:hAnsi="宋体"/>
          <w:color w:val="auto"/>
          <w:highlight w:val="none"/>
          <w:lang w:eastAsia="zh-CN"/>
        </w:rPr>
        <w:t>广西政府采购云平台</w:t>
      </w:r>
      <w:r>
        <w:rPr>
          <w:rFonts w:hint="eastAsia" w:hAnsi="宋体"/>
          <w:color w:val="auto"/>
          <w:highlight w:val="none"/>
        </w:rPr>
        <w:t>电子开标大厅签到，</w:t>
      </w:r>
      <w:r>
        <w:rPr>
          <w:rFonts w:hint="eastAsia"/>
          <w:color w:val="auto"/>
          <w:highlight w:val="none"/>
        </w:rPr>
        <w:t>采购代理机构依托</w:t>
      </w:r>
      <w:r>
        <w:rPr>
          <w:rFonts w:hint="eastAsia"/>
          <w:color w:val="auto"/>
          <w:highlight w:val="none"/>
          <w:lang w:eastAsia="zh-CN"/>
        </w:rPr>
        <w:t>广西政府采购云平台</w:t>
      </w:r>
      <w:r>
        <w:rPr>
          <w:rFonts w:hint="eastAsia"/>
          <w:color w:val="auto"/>
          <w:highlight w:val="none"/>
        </w:rPr>
        <w:t>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57F6A9CD">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37590D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36E1B89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5652BFF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商务/技术要求允许负偏离的条款数详见“供应商须知前附表”。</w:t>
      </w:r>
    </w:p>
    <w:p w14:paraId="6936FB13">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6EE6CB08">
      <w:pPr>
        <w:spacing w:line="360" w:lineRule="auto"/>
        <w:ind w:firstLine="420" w:firstLineChars="200"/>
        <w:rPr>
          <w:rFonts w:hint="eastAsia"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40BC5AF3">
      <w:pPr>
        <w:spacing w:line="360" w:lineRule="auto"/>
        <w:ind w:firstLine="420" w:firstLineChars="200"/>
        <w:rPr>
          <w:rFonts w:hint="eastAsia" w:hAnsi="宋体"/>
          <w:color w:val="auto"/>
          <w:highlight w:val="none"/>
        </w:rPr>
      </w:pPr>
      <w:r>
        <w:rPr>
          <w:rFonts w:hint="eastAsia" w:hAnsi="宋体"/>
          <w:color w:val="auto"/>
          <w:highlight w:val="none"/>
        </w:rPr>
        <w:t xml:space="preserve">（1）电子交易平台发生故障而无法登录访问的； </w:t>
      </w:r>
    </w:p>
    <w:p w14:paraId="5BDA5CDD">
      <w:pPr>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14:paraId="471C6A8B">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14:paraId="6E33B922">
      <w:pPr>
        <w:spacing w:line="360" w:lineRule="auto"/>
        <w:ind w:firstLine="420" w:firstLineChars="200"/>
        <w:rPr>
          <w:rFonts w:hint="eastAsia" w:hAnsi="宋体"/>
          <w:color w:val="auto"/>
          <w:highlight w:val="none"/>
        </w:rPr>
      </w:pPr>
      <w:r>
        <w:rPr>
          <w:rFonts w:hint="eastAsia" w:hAnsi="宋体"/>
          <w:color w:val="auto"/>
          <w:highlight w:val="none"/>
        </w:rPr>
        <w:t xml:space="preserve">（4）病毒发作导致不能进行正常操作的； </w:t>
      </w:r>
    </w:p>
    <w:p w14:paraId="4AAAA35D">
      <w:pPr>
        <w:spacing w:line="360" w:lineRule="auto"/>
        <w:ind w:firstLine="420" w:firstLineChars="200"/>
        <w:rPr>
          <w:rFonts w:hint="eastAsia" w:hAnsi="宋体"/>
          <w:color w:val="auto"/>
          <w:highlight w:val="none"/>
        </w:rPr>
      </w:pPr>
      <w:r>
        <w:rPr>
          <w:rFonts w:hint="eastAsia" w:hAnsi="宋体"/>
          <w:color w:val="auto"/>
          <w:highlight w:val="none"/>
        </w:rPr>
        <w:t>（5）其他无法保证电子交易的公平、公正和安全的情况。</w:t>
      </w:r>
    </w:p>
    <w:p w14:paraId="234E6C18">
      <w:pPr>
        <w:spacing w:line="360" w:lineRule="auto"/>
        <w:ind w:firstLine="420" w:firstLineChars="200"/>
        <w:rPr>
          <w:rFonts w:hint="eastAsia"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1C499D2F">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1A06237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AEA69D7">
      <w:pPr>
        <w:spacing w:line="360" w:lineRule="auto"/>
        <w:ind w:firstLine="420" w:firstLineChars="200"/>
        <w:rPr>
          <w:rFonts w:hint="eastAsia"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63"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63"/>
    </w:p>
    <w:p w14:paraId="57E3DCA4">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14:paraId="42BF4746">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0205AEBD">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39A3798D">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00BF2094">
      <w:pPr>
        <w:spacing w:line="360" w:lineRule="auto"/>
        <w:ind w:firstLine="420" w:firstLineChars="200"/>
        <w:rPr>
          <w:rFonts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449D2571">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38B424FB">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14:paraId="75BF1CB3">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.2在履约保证金退还日期前，若成交供应商的开户名称、开户银行、帐号有变动的，请以书面形式通知履约保证金收取单位，否则由此产生的后果由成交供应商自行承担。</w:t>
      </w:r>
    </w:p>
    <w:p w14:paraId="1DDCA288">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2664DFEF">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38377FCD">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17BFA80D">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2FD7A2CC">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429DF712">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112AE38">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6B4C0C24">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2CFF9364">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62889837">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40F47D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B5AA87F">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7F0A7203">
      <w:pPr>
        <w:pStyle w:val="7"/>
        <w:spacing w:line="360" w:lineRule="auto"/>
        <w:rPr>
          <w:rFonts w:hint="eastAsia"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3C258D1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rPr>
        <w:t>接收质疑函的方式、联系部门、联系电话和通讯地址等信息</w:t>
      </w:r>
      <w:r>
        <w:rPr>
          <w:rFonts w:hint="eastAsia" w:ascii="宋体" w:hAnsi="宋体" w:cs="Arial"/>
          <w:color w:val="auto"/>
          <w:highlight w:val="none"/>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1F7F3E7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180EB21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21A00E5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69F5600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3D9C8CD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0F55128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7AED538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7023578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6F425FD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3D3F16C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4AF2D43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1DD9395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45FFA55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607B3B0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5BC0AD2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64519B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43D41142">
      <w:pPr>
        <w:spacing w:line="360" w:lineRule="auto"/>
        <w:ind w:firstLine="420" w:firstLineChars="200"/>
        <w:rPr>
          <w:rFonts w:hint="eastAsia"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3056596">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4E7CAC2D">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.1代理服务收取标准及缴费账户详见“供应商须知前附表”，供应商为联合体的，可以由联合体中的一方或者多方共同交纳代理服务费。</w:t>
      </w:r>
    </w:p>
    <w:p w14:paraId="00230CA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20FC8B59">
      <w:pPr>
        <w:pStyle w:val="17"/>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14:paraId="3A620375">
      <w:pPr>
        <w:pStyle w:val="17"/>
        <w:spacing w:line="360" w:lineRule="auto"/>
        <w:ind w:firstLine="420" w:firstLineChars="200"/>
        <w:textAlignment w:val="center"/>
        <w:rPr>
          <w:rFonts w:hAnsi="宋体" w:cs="宋体"/>
          <w:color w:val="auto"/>
          <w:kern w:val="2"/>
          <w:sz w:val="21"/>
          <w:highlight w:val="none"/>
        </w:rPr>
      </w:pPr>
      <w:r>
        <w:rPr>
          <w:rFonts w:hAnsi="宋体" w:cs="宋体"/>
          <w:color w:val="auto"/>
          <w:kern w:val="2"/>
          <w:sz w:val="21"/>
          <w:highlight w:val="none"/>
        </w:rPr>
        <w:t>33.2</w:t>
      </w:r>
      <w:r>
        <w:rPr>
          <w:rFonts w:hint="eastAsia" w:hAnsi="宋体" w:cs="宋体"/>
          <w:color w:val="auto"/>
          <w:kern w:val="2"/>
          <w:sz w:val="21"/>
          <w:highlight w:val="none"/>
        </w:rPr>
        <w:t xml:space="preserve"> 其他事项详见“供应商须知前附表”。</w:t>
      </w:r>
    </w:p>
    <w:p w14:paraId="6E02104B">
      <w:pPr>
        <w:pStyle w:val="17"/>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3.3</w:t>
      </w:r>
      <w:r>
        <w:rPr>
          <w:rFonts w:hint="eastAsia" w:hAnsi="宋体" w:cs="宋体"/>
          <w:color w:val="auto"/>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1069FEE8">
      <w:pPr>
        <w:pStyle w:val="17"/>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702510E9">
      <w:pPr>
        <w:pStyle w:val="17"/>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2D52B4A7">
      <w:pPr>
        <w:pStyle w:val="17"/>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F22C2D4">
      <w:pPr>
        <w:pStyle w:val="17"/>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0B79C2DA">
      <w:pPr>
        <w:pStyle w:val="17"/>
        <w:spacing w:line="360" w:lineRule="auto"/>
        <w:ind w:firstLine="420" w:firstLineChars="200"/>
        <w:textAlignment w:val="center"/>
        <w:rPr>
          <w:rFonts w:hint="eastAsia" w:hAnsi="宋体"/>
          <w:b/>
          <w:color w:val="auto"/>
          <w:highlight w:val="none"/>
        </w:rPr>
      </w:pPr>
      <w:r>
        <w:rPr>
          <w:rFonts w:hint="eastAsia" w:hAnsi="宋体" w:cs="宋体"/>
          <w:color w:val="auto"/>
          <w:kern w:val="2"/>
          <w:sz w:val="21"/>
          <w:highlight w:val="none"/>
        </w:rPr>
        <w:t>依据本磋商文件规定享受扶持政策获得政府采购合同的，小微企业不得将合同分包给大中型企业，中型企业不得将合同分包给大型企业。</w:t>
      </w:r>
    </w:p>
    <w:p w14:paraId="1445EB3A">
      <w:pPr>
        <w:pStyle w:val="17"/>
        <w:spacing w:line="360" w:lineRule="auto"/>
        <w:ind w:firstLine="402" w:firstLineChars="200"/>
        <w:textAlignment w:val="center"/>
        <w:rPr>
          <w:rFonts w:hint="eastAsia" w:hAnsi="宋体"/>
          <w:b/>
          <w:color w:val="auto"/>
          <w:highlight w:val="none"/>
        </w:rPr>
      </w:pPr>
    </w:p>
    <w:p w14:paraId="548C9B45">
      <w:pPr>
        <w:pStyle w:val="17"/>
        <w:spacing w:line="360" w:lineRule="auto"/>
        <w:ind w:firstLine="402" w:firstLineChars="200"/>
        <w:textAlignment w:val="center"/>
        <w:rPr>
          <w:rFonts w:hint="eastAsia" w:hAnsi="宋体"/>
          <w:b/>
          <w:color w:val="auto"/>
          <w:highlight w:val="none"/>
        </w:rPr>
      </w:pPr>
    </w:p>
    <w:p w14:paraId="7ABB1036">
      <w:pPr>
        <w:pStyle w:val="17"/>
        <w:spacing w:line="360" w:lineRule="auto"/>
        <w:ind w:firstLine="402" w:firstLineChars="200"/>
        <w:textAlignment w:val="center"/>
        <w:rPr>
          <w:rFonts w:hint="eastAsia" w:hAnsi="宋体"/>
          <w:b/>
          <w:color w:val="auto"/>
          <w:highlight w:val="none"/>
        </w:rPr>
      </w:pPr>
    </w:p>
    <w:p w14:paraId="6CF5D94E">
      <w:pPr>
        <w:pStyle w:val="17"/>
        <w:spacing w:line="360" w:lineRule="auto"/>
        <w:ind w:firstLine="402" w:firstLineChars="200"/>
        <w:textAlignment w:val="center"/>
        <w:rPr>
          <w:rFonts w:hint="eastAsia" w:hAnsi="宋体"/>
          <w:b/>
          <w:color w:val="auto"/>
          <w:highlight w:val="none"/>
        </w:rPr>
      </w:pPr>
    </w:p>
    <w:p w14:paraId="06402888">
      <w:pPr>
        <w:pStyle w:val="17"/>
        <w:spacing w:line="360" w:lineRule="auto"/>
        <w:ind w:firstLine="402" w:firstLineChars="200"/>
        <w:textAlignment w:val="center"/>
        <w:rPr>
          <w:rFonts w:hint="eastAsia" w:hAnsi="宋体"/>
          <w:b/>
          <w:color w:val="auto"/>
          <w:highlight w:val="none"/>
        </w:rPr>
      </w:pPr>
    </w:p>
    <w:p w14:paraId="1FF3DA13">
      <w:pPr>
        <w:pStyle w:val="17"/>
        <w:spacing w:line="360" w:lineRule="auto"/>
        <w:ind w:firstLine="402" w:firstLineChars="200"/>
        <w:textAlignment w:val="center"/>
        <w:rPr>
          <w:rFonts w:hint="eastAsia" w:hAnsi="宋体"/>
          <w:b/>
          <w:color w:val="auto"/>
          <w:highlight w:val="none"/>
        </w:rPr>
      </w:pPr>
    </w:p>
    <w:p w14:paraId="416C3B0E">
      <w:pPr>
        <w:pStyle w:val="17"/>
        <w:spacing w:line="360" w:lineRule="auto"/>
        <w:ind w:firstLine="402" w:firstLineChars="200"/>
        <w:textAlignment w:val="center"/>
        <w:rPr>
          <w:rFonts w:hint="eastAsia" w:hAnsi="宋体"/>
          <w:b/>
          <w:color w:val="auto"/>
          <w:highlight w:val="none"/>
        </w:rPr>
      </w:pPr>
    </w:p>
    <w:p w14:paraId="3EFFB753">
      <w:pPr>
        <w:pStyle w:val="17"/>
        <w:spacing w:line="360" w:lineRule="auto"/>
        <w:ind w:firstLine="402" w:firstLineChars="200"/>
        <w:textAlignment w:val="center"/>
        <w:rPr>
          <w:rFonts w:hint="eastAsia" w:hAnsi="宋体"/>
          <w:b/>
          <w:color w:val="auto"/>
          <w:highlight w:val="none"/>
        </w:rPr>
      </w:pPr>
    </w:p>
    <w:p w14:paraId="06FA833B">
      <w:pPr>
        <w:pStyle w:val="17"/>
        <w:spacing w:line="360" w:lineRule="auto"/>
        <w:ind w:firstLine="402" w:firstLineChars="200"/>
        <w:textAlignment w:val="center"/>
        <w:rPr>
          <w:rFonts w:hint="eastAsia" w:hAnsi="宋体"/>
          <w:b/>
          <w:color w:val="auto"/>
          <w:highlight w:val="none"/>
        </w:rPr>
      </w:pPr>
    </w:p>
    <w:p w14:paraId="287F0B32">
      <w:pPr>
        <w:pStyle w:val="17"/>
        <w:spacing w:line="360" w:lineRule="auto"/>
        <w:ind w:firstLine="402" w:firstLineChars="200"/>
        <w:textAlignment w:val="center"/>
        <w:rPr>
          <w:rFonts w:hint="eastAsia" w:hAnsi="宋体"/>
          <w:b/>
          <w:color w:val="auto"/>
          <w:highlight w:val="none"/>
        </w:rPr>
      </w:pPr>
    </w:p>
    <w:p w14:paraId="39FC6660">
      <w:pPr>
        <w:pStyle w:val="17"/>
        <w:spacing w:line="360" w:lineRule="auto"/>
        <w:ind w:firstLine="402" w:firstLineChars="200"/>
        <w:textAlignment w:val="center"/>
        <w:rPr>
          <w:rFonts w:hint="eastAsia" w:hAnsi="宋体"/>
          <w:b/>
          <w:color w:val="auto"/>
          <w:highlight w:val="none"/>
        </w:rPr>
      </w:pPr>
    </w:p>
    <w:p w14:paraId="4E0872AF">
      <w:pPr>
        <w:pStyle w:val="17"/>
        <w:spacing w:line="360" w:lineRule="auto"/>
        <w:ind w:firstLine="402" w:firstLineChars="200"/>
        <w:textAlignment w:val="center"/>
        <w:rPr>
          <w:rFonts w:hint="eastAsia" w:hAnsi="宋体"/>
          <w:b/>
          <w:color w:val="auto"/>
          <w:highlight w:val="none"/>
        </w:rPr>
      </w:pPr>
    </w:p>
    <w:p w14:paraId="1C44BB29">
      <w:pPr>
        <w:pStyle w:val="17"/>
        <w:spacing w:line="360" w:lineRule="auto"/>
        <w:ind w:firstLine="402" w:firstLineChars="200"/>
        <w:textAlignment w:val="center"/>
        <w:rPr>
          <w:rFonts w:hint="eastAsia" w:hAnsi="宋体"/>
          <w:b/>
          <w:color w:val="auto"/>
          <w:highlight w:val="none"/>
        </w:rPr>
      </w:pPr>
    </w:p>
    <w:p w14:paraId="141EF417">
      <w:pPr>
        <w:pStyle w:val="17"/>
        <w:spacing w:line="360" w:lineRule="auto"/>
        <w:ind w:firstLine="643" w:firstLineChars="200"/>
        <w:textAlignment w:val="center"/>
        <w:rPr>
          <w:rFonts w:hint="eastAsia" w:hAnsi="宋体"/>
          <w:b/>
          <w:color w:val="auto"/>
          <w:sz w:val="32"/>
          <w:szCs w:val="32"/>
          <w:highlight w:val="none"/>
        </w:rPr>
      </w:pPr>
    </w:p>
    <w:p w14:paraId="204F9B0E">
      <w:pPr>
        <w:rPr>
          <w:rFonts w:hint="eastAsia"/>
          <w:color w:val="auto"/>
          <w:highlight w:val="none"/>
        </w:rPr>
      </w:pPr>
      <w:bookmarkStart w:id="64" w:name="_Toc74323458"/>
      <w:r>
        <w:rPr>
          <w:rFonts w:hint="eastAsia"/>
          <w:color w:val="auto"/>
          <w:highlight w:val="none"/>
        </w:rPr>
        <w:br w:type="page"/>
      </w:r>
    </w:p>
    <w:p w14:paraId="317D3267">
      <w:pPr>
        <w:pStyle w:val="2"/>
        <w:numPr>
          <w:ilvl w:val="0"/>
          <w:numId w:val="3"/>
        </w:numPr>
        <w:jc w:val="center"/>
        <w:rPr>
          <w:rFonts w:hint="eastAsia"/>
          <w:color w:val="auto"/>
          <w:highlight w:val="none"/>
        </w:rPr>
      </w:pPr>
      <w:r>
        <w:rPr>
          <w:rFonts w:hint="eastAsia"/>
          <w:color w:val="auto"/>
          <w:highlight w:val="none"/>
        </w:rPr>
        <w:t>采购需求</w:t>
      </w:r>
      <w:bookmarkEnd w:id="64"/>
    </w:p>
    <w:tbl>
      <w:tblPr>
        <w:tblStyle w:val="28"/>
        <w:tblW w:w="89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0"/>
        <w:gridCol w:w="731"/>
        <w:gridCol w:w="1299"/>
        <w:gridCol w:w="567"/>
        <w:gridCol w:w="465"/>
        <w:gridCol w:w="5325"/>
      </w:tblGrid>
      <w:tr w14:paraId="79FAB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1" w:hRule="atLeast"/>
          <w:jc w:val="center"/>
        </w:trPr>
        <w:tc>
          <w:tcPr>
            <w:tcW w:w="570" w:type="dxa"/>
            <w:vAlign w:val="center"/>
          </w:tcPr>
          <w:p w14:paraId="78708825">
            <w:pPr>
              <w:tabs>
                <w:tab w:val="left" w:pos="180"/>
                <w:tab w:val="left" w:pos="1620"/>
              </w:tabs>
              <w:spacing w:line="300" w:lineRule="exact"/>
              <w:jc w:val="center"/>
              <w:rPr>
                <w:rFonts w:hint="eastAsia" w:ascii="宋体" w:hAnsi="宋体" w:cs="宋体"/>
                <w:bCs/>
                <w:color w:val="auto"/>
                <w:szCs w:val="21"/>
                <w:highlight w:val="none"/>
              </w:rPr>
            </w:pPr>
            <w:r>
              <w:rPr>
                <w:rFonts w:hint="eastAsia" w:ascii="宋体" w:hAnsi="宋体" w:cs="宋体"/>
                <w:b/>
                <w:bCs/>
                <w:color w:val="auto"/>
                <w:szCs w:val="21"/>
                <w:highlight w:val="none"/>
              </w:rPr>
              <w:t>序号</w:t>
            </w:r>
          </w:p>
        </w:tc>
        <w:tc>
          <w:tcPr>
            <w:tcW w:w="2030" w:type="dxa"/>
            <w:gridSpan w:val="2"/>
            <w:vAlign w:val="center"/>
          </w:tcPr>
          <w:p w14:paraId="12689AB9">
            <w:pPr>
              <w:tabs>
                <w:tab w:val="left" w:pos="180"/>
                <w:tab w:val="left" w:pos="1620"/>
              </w:tabs>
              <w:spacing w:line="300" w:lineRule="exact"/>
              <w:jc w:val="center"/>
              <w:rPr>
                <w:rFonts w:hint="eastAsia" w:ascii="宋体" w:hAnsi="宋体" w:eastAsia="宋体" w:cs="宋体"/>
                <w:bCs/>
                <w:color w:val="auto"/>
                <w:szCs w:val="21"/>
                <w:highlight w:val="none"/>
                <w:lang w:eastAsia="zh-CN"/>
              </w:rPr>
            </w:pPr>
            <w:r>
              <w:rPr>
                <w:rFonts w:hint="eastAsia" w:ascii="宋体" w:hAnsi="宋体" w:cs="宋体"/>
                <w:b/>
                <w:bCs/>
                <w:color w:val="auto"/>
                <w:szCs w:val="21"/>
                <w:highlight w:val="none"/>
                <w:lang w:eastAsia="zh-CN"/>
              </w:rPr>
              <w:t>采购标的名称</w:t>
            </w:r>
          </w:p>
        </w:tc>
        <w:tc>
          <w:tcPr>
            <w:tcW w:w="567" w:type="dxa"/>
            <w:vAlign w:val="center"/>
          </w:tcPr>
          <w:p w14:paraId="0D77CDF8">
            <w:pPr>
              <w:tabs>
                <w:tab w:val="left" w:pos="180"/>
                <w:tab w:val="left" w:pos="1620"/>
              </w:tabs>
              <w:spacing w:line="3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数量</w:t>
            </w:r>
          </w:p>
        </w:tc>
        <w:tc>
          <w:tcPr>
            <w:tcW w:w="465" w:type="dxa"/>
            <w:tcBorders>
              <w:right w:val="single" w:color="auto" w:sz="4" w:space="0"/>
            </w:tcBorders>
            <w:vAlign w:val="center"/>
          </w:tcPr>
          <w:p w14:paraId="68A16C2F">
            <w:pPr>
              <w:tabs>
                <w:tab w:val="left" w:pos="180"/>
                <w:tab w:val="left" w:pos="1620"/>
              </w:tabs>
              <w:spacing w:line="300" w:lineRule="exact"/>
              <w:jc w:val="center"/>
              <w:rPr>
                <w:rFonts w:hint="eastAsia" w:ascii="宋体" w:hAnsi="宋体" w:cs="宋体"/>
                <w:bCs/>
                <w:color w:val="auto"/>
                <w:szCs w:val="21"/>
                <w:highlight w:val="none"/>
              </w:rPr>
            </w:pPr>
            <w:r>
              <w:rPr>
                <w:rFonts w:hint="eastAsia" w:ascii="宋体" w:hAnsi="宋体" w:cs="宋体"/>
                <w:b/>
                <w:bCs/>
                <w:color w:val="auto"/>
                <w:szCs w:val="21"/>
                <w:highlight w:val="none"/>
              </w:rPr>
              <w:t>单位</w:t>
            </w:r>
          </w:p>
        </w:tc>
        <w:tc>
          <w:tcPr>
            <w:tcW w:w="5325" w:type="dxa"/>
            <w:tcBorders>
              <w:left w:val="single" w:color="auto" w:sz="4" w:space="0"/>
            </w:tcBorders>
            <w:vAlign w:val="center"/>
          </w:tcPr>
          <w:p w14:paraId="63237E05">
            <w:pPr>
              <w:tabs>
                <w:tab w:val="left" w:pos="180"/>
                <w:tab w:val="left" w:pos="1620"/>
              </w:tabs>
              <w:spacing w:line="300" w:lineRule="exact"/>
              <w:jc w:val="center"/>
              <w:rPr>
                <w:rFonts w:hint="eastAsia" w:ascii="宋体" w:hAnsi="宋体" w:cs="宋体"/>
                <w:bCs/>
                <w:color w:val="auto"/>
                <w:szCs w:val="21"/>
                <w:highlight w:val="none"/>
              </w:rPr>
            </w:pPr>
            <w:r>
              <w:rPr>
                <w:rFonts w:hint="eastAsia" w:ascii="宋体" w:hAnsi="宋体"/>
                <w:b/>
                <w:bCs/>
                <w:color w:val="auto"/>
                <w:szCs w:val="21"/>
                <w:highlight w:val="none"/>
                <w:lang w:eastAsia="zh-CN"/>
              </w:rPr>
              <w:t>服务内容及技术质量要求</w:t>
            </w:r>
          </w:p>
        </w:tc>
      </w:tr>
      <w:tr w14:paraId="3007F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0" w:hRule="atLeast"/>
          <w:jc w:val="center"/>
        </w:trPr>
        <w:tc>
          <w:tcPr>
            <w:tcW w:w="570" w:type="dxa"/>
            <w:vAlign w:val="center"/>
          </w:tcPr>
          <w:p w14:paraId="74CB1EAC">
            <w:pPr>
              <w:widowControl/>
              <w:jc w:val="center"/>
              <w:textAlignment w:val="center"/>
              <w:rPr>
                <w:rFonts w:hint="eastAsia" w:ascii="宋体" w:hAnsi="宋体" w:eastAsia="宋体" w:cs="仿宋"/>
                <w:bCs/>
                <w:color w:val="auto"/>
                <w:szCs w:val="21"/>
                <w:highlight w:val="none"/>
                <w:lang w:eastAsia="zh-CN"/>
              </w:rPr>
            </w:pPr>
            <w:r>
              <w:rPr>
                <w:rFonts w:hint="eastAsia" w:ascii="宋体" w:hAnsi="宋体" w:cs="仿宋"/>
                <w:bCs/>
                <w:color w:val="auto"/>
                <w:szCs w:val="21"/>
                <w:highlight w:val="none"/>
                <w:lang w:val="en-US" w:eastAsia="zh-CN"/>
              </w:rPr>
              <w:t>1</w:t>
            </w:r>
          </w:p>
        </w:tc>
        <w:tc>
          <w:tcPr>
            <w:tcW w:w="2030" w:type="dxa"/>
            <w:gridSpan w:val="2"/>
            <w:vAlign w:val="center"/>
          </w:tcPr>
          <w:p w14:paraId="3FE48977">
            <w:pPr>
              <w:spacing w:line="300" w:lineRule="exact"/>
              <w:jc w:val="left"/>
              <w:rPr>
                <w:rFonts w:hint="eastAsia" w:ascii="宋体" w:hAnsi="宋体" w:eastAsia="宋体" w:cs="仿宋"/>
                <w:bCs/>
                <w:color w:val="auto"/>
                <w:szCs w:val="21"/>
                <w:highlight w:val="none"/>
                <w:lang w:eastAsia="zh-CN"/>
              </w:rPr>
            </w:pPr>
            <w:r>
              <w:rPr>
                <w:rFonts w:hint="eastAsia" w:ascii="宋体" w:hAnsi="宋体" w:cs="仿宋"/>
                <w:bCs/>
                <w:color w:val="auto"/>
                <w:szCs w:val="21"/>
                <w:highlight w:val="none"/>
                <w:lang w:eastAsia="zh-CN"/>
              </w:rPr>
              <w:t>玉林市现状耕地和潜力耕地地块实际利用情况调查摸底工作底图制作以及市级复核与数据库成果汇总等工作项目</w:t>
            </w:r>
          </w:p>
        </w:tc>
        <w:tc>
          <w:tcPr>
            <w:tcW w:w="567" w:type="dxa"/>
            <w:vAlign w:val="center"/>
          </w:tcPr>
          <w:p w14:paraId="3AF47179">
            <w:pPr>
              <w:widowControl/>
              <w:jc w:val="center"/>
              <w:textAlignment w:val="center"/>
              <w:rPr>
                <w:rFonts w:hint="eastAsia" w:ascii="宋体" w:hAnsi="宋体" w:eastAsia="宋体" w:cs="仿宋"/>
                <w:bCs/>
                <w:color w:val="auto"/>
                <w:szCs w:val="21"/>
                <w:highlight w:val="none"/>
                <w:lang w:val="en-US" w:eastAsia="zh-CN"/>
              </w:rPr>
            </w:pPr>
            <w:r>
              <w:rPr>
                <w:rFonts w:hint="eastAsia" w:ascii="宋体" w:hAnsi="宋体" w:cs="仿宋"/>
                <w:bCs/>
                <w:color w:val="auto"/>
                <w:szCs w:val="21"/>
                <w:highlight w:val="none"/>
                <w:lang w:val="en-US" w:eastAsia="zh-CN"/>
              </w:rPr>
              <w:t>1</w:t>
            </w:r>
          </w:p>
        </w:tc>
        <w:tc>
          <w:tcPr>
            <w:tcW w:w="465" w:type="dxa"/>
            <w:tcBorders>
              <w:right w:val="single" w:color="auto" w:sz="4" w:space="0"/>
            </w:tcBorders>
            <w:vAlign w:val="center"/>
          </w:tcPr>
          <w:p w14:paraId="34B59E5E">
            <w:pPr>
              <w:widowControl/>
              <w:jc w:val="center"/>
              <w:textAlignment w:val="center"/>
              <w:rPr>
                <w:rFonts w:hint="eastAsia" w:ascii="宋体" w:hAnsi="宋体" w:eastAsia="宋体" w:cs="仿宋"/>
                <w:bCs/>
                <w:color w:val="auto"/>
                <w:szCs w:val="21"/>
                <w:highlight w:val="none"/>
                <w:lang w:eastAsia="zh-CN"/>
              </w:rPr>
            </w:pPr>
            <w:r>
              <w:rPr>
                <w:rFonts w:hint="eastAsia" w:ascii="宋体" w:hAnsi="宋体" w:cs="仿宋"/>
                <w:bCs/>
                <w:color w:val="auto"/>
                <w:szCs w:val="21"/>
                <w:highlight w:val="none"/>
                <w:lang w:eastAsia="zh-CN"/>
              </w:rPr>
              <w:t>项</w:t>
            </w:r>
          </w:p>
        </w:tc>
        <w:tc>
          <w:tcPr>
            <w:tcW w:w="5325" w:type="dxa"/>
            <w:tcBorders>
              <w:left w:val="single" w:color="auto" w:sz="4" w:space="0"/>
            </w:tcBorders>
            <w:vAlign w:val="center"/>
          </w:tcPr>
          <w:p w14:paraId="7BA4FBBC">
            <w:pPr>
              <w:spacing w:line="380" w:lineRule="exact"/>
              <w:rPr>
                <w:b/>
                <w:color w:val="auto"/>
                <w:sz w:val="24"/>
                <w:highlight w:val="none"/>
              </w:rPr>
            </w:pPr>
            <w:r>
              <w:rPr>
                <w:b/>
                <w:color w:val="auto"/>
                <w:sz w:val="24"/>
                <w:highlight w:val="none"/>
              </w:rPr>
              <w:t>一、项目概况</w:t>
            </w:r>
          </w:p>
          <w:p w14:paraId="05CB856A">
            <w:pPr>
              <w:spacing w:line="380" w:lineRule="exact"/>
              <w:ind w:firstLine="420" w:firstLineChars="200"/>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rPr>
              <w:t>根据《广西壮族自治区自然资源厅办公室</w:t>
            </w:r>
            <w:r>
              <w:rPr>
                <w:rFonts w:hint="eastAsia" w:ascii="Times New Roman" w:hAnsi="Times New Roman" w:eastAsia="宋体" w:cs="Times New Roman"/>
                <w:color w:val="auto"/>
                <w:szCs w:val="21"/>
                <w:highlight w:val="none"/>
                <w:lang w:eastAsia="zh-CN"/>
              </w:rPr>
              <w:t>关于开展现状耕地和潜力耕地地块实际利用情况调查摸底工作</w:t>
            </w:r>
            <w:r>
              <w:rPr>
                <w:rFonts w:hint="eastAsia" w:ascii="Times New Roman" w:hAnsi="Times New Roman" w:eastAsia="宋体" w:cs="Times New Roman"/>
                <w:color w:val="auto"/>
                <w:szCs w:val="21"/>
                <w:highlight w:val="none"/>
              </w:rPr>
              <w:t>的通知》（桂自然资办﹝202</w:t>
            </w:r>
            <w:r>
              <w:rPr>
                <w:rFonts w:hint="eastAsia" w:ascii="Times New Roman" w:hAnsi="Times New Roman" w:eastAsia="宋体" w:cs="Times New Roman"/>
                <w:color w:val="auto"/>
                <w:szCs w:val="21"/>
                <w:highlight w:val="none"/>
                <w:lang w:val="en-US" w:eastAsia="zh-CN"/>
              </w:rPr>
              <w:t>5</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69</w:t>
            </w:r>
            <w:r>
              <w:rPr>
                <w:rFonts w:hint="eastAsia" w:ascii="Times New Roman" w:hAnsi="Times New Roman" w:eastAsia="宋体" w:cs="Times New Roman"/>
                <w:color w:val="auto"/>
                <w:szCs w:val="21"/>
                <w:highlight w:val="none"/>
              </w:rPr>
              <w:t>号）文件，为有效衔接国家耕地保护政策变化，亟需对现状耕地和潜力耕地进行摸底调查，科学、合理确定耕地“认定一批、恢复一批、置换一批”的区域，稳妥有序实施过渡期整改恢复工作</w:t>
            </w:r>
            <w:r>
              <w:rPr>
                <w:rFonts w:hint="eastAsia" w:ascii="Times New Roman" w:hAnsi="Times New Roman" w:eastAsia="宋体" w:cs="Times New Roman"/>
                <w:color w:val="auto"/>
                <w:szCs w:val="21"/>
                <w:highlight w:val="none"/>
                <w:lang w:eastAsia="zh-CN"/>
              </w:rPr>
              <w:t>。结合</w:t>
            </w:r>
            <w:r>
              <w:rPr>
                <w:rFonts w:hint="eastAsia" w:ascii="Times New Roman" w:hAnsi="Times New Roman" w:eastAsia="宋体" w:cs="Times New Roman"/>
                <w:color w:val="auto"/>
                <w:szCs w:val="21"/>
                <w:highlight w:val="none"/>
                <w:lang w:val="en-US" w:eastAsia="zh-CN"/>
              </w:rPr>
              <w:t>玉林市</w:t>
            </w:r>
            <w:r>
              <w:rPr>
                <w:rFonts w:hint="eastAsia" w:ascii="Times New Roman" w:hAnsi="Times New Roman" w:eastAsia="宋体" w:cs="Times New Roman"/>
                <w:color w:val="auto"/>
                <w:szCs w:val="21"/>
                <w:highlight w:val="none"/>
                <w:lang w:eastAsia="zh-CN"/>
              </w:rPr>
              <w:t>实际，在现有工作成果的基础上，开展</w:t>
            </w:r>
            <w:r>
              <w:rPr>
                <w:rFonts w:hint="eastAsia" w:ascii="Times New Roman" w:hAnsi="Times New Roman" w:eastAsia="宋体" w:cs="Times New Roman"/>
                <w:color w:val="auto"/>
                <w:szCs w:val="21"/>
                <w:highlight w:val="none"/>
                <w:lang w:val="en-US" w:eastAsia="zh-CN"/>
              </w:rPr>
              <w:t>玉林市</w:t>
            </w:r>
            <w:r>
              <w:rPr>
                <w:rFonts w:hint="eastAsia" w:ascii="Times New Roman" w:hAnsi="Times New Roman" w:eastAsia="宋体" w:cs="Times New Roman"/>
                <w:color w:val="auto"/>
                <w:szCs w:val="21"/>
                <w:highlight w:val="none"/>
                <w:lang w:eastAsia="zh-CN"/>
              </w:rPr>
              <w:t>现状耕地和潜力耕地地块实际利用情况调查摸底工作。</w:t>
            </w:r>
          </w:p>
          <w:p w14:paraId="6BE79024">
            <w:pPr>
              <w:spacing w:line="380" w:lineRule="exact"/>
              <w:rPr>
                <w:rFonts w:hint="eastAsia" w:ascii="Times New Roman" w:hAnsi="Times New Roman" w:eastAsia="宋体" w:cs="Times New Roman"/>
                <w:b/>
                <w:bCs/>
                <w:color w:val="auto"/>
                <w:sz w:val="24"/>
                <w:highlight w:val="none"/>
                <w:lang w:val="en-US" w:eastAsia="zh-CN"/>
              </w:rPr>
            </w:pPr>
            <w:r>
              <w:rPr>
                <w:rFonts w:hint="eastAsia" w:ascii="Times New Roman" w:hAnsi="Times New Roman" w:eastAsia="宋体" w:cs="Times New Roman"/>
                <w:b/>
                <w:bCs/>
                <w:color w:val="auto"/>
                <w:sz w:val="24"/>
                <w:highlight w:val="none"/>
                <w:lang w:val="en-US" w:eastAsia="zh-CN"/>
              </w:rPr>
              <w:t>二、工作依据</w:t>
            </w:r>
          </w:p>
          <w:p w14:paraId="4F54F812">
            <w:pPr>
              <w:spacing w:line="380" w:lineRule="exact"/>
              <w:ind w:firstLine="420" w:firstLineChars="200"/>
              <w:rPr>
                <w:rFonts w:hint="default" w:ascii="Times New Roman" w:hAnsi="Times New Roman" w:eastAsia="宋体" w:cs="Times New Roman"/>
                <w:b/>
                <w:bCs/>
                <w:color w:val="auto"/>
                <w:sz w:val="24"/>
                <w:highlight w:val="none"/>
                <w:lang w:val="en-US" w:eastAsia="zh-CN"/>
              </w:rPr>
            </w:pPr>
            <w:r>
              <w:rPr>
                <w:rFonts w:hint="eastAsia" w:ascii="Times New Roman" w:hAnsi="Times New Roman" w:eastAsia="宋体" w:cs="Times New Roman"/>
                <w:color w:val="auto"/>
                <w:szCs w:val="21"/>
                <w:highlight w:val="none"/>
                <w:lang w:eastAsia="zh-CN"/>
              </w:rPr>
              <w:t>《广西壮族自治区自然资源厅办公室关于开展现状耕地和潜力耕地地块实际利用情况调查摸底工作的通知》（桂自然资办﹝2025﹞69号）。</w:t>
            </w:r>
          </w:p>
          <w:p w14:paraId="102749EE">
            <w:pPr>
              <w:spacing w:line="380" w:lineRule="exact"/>
              <w:rPr>
                <w:rFonts w:hint="default" w:eastAsia="宋体"/>
                <w:b/>
                <w:color w:val="auto"/>
                <w:sz w:val="24"/>
                <w:highlight w:val="none"/>
                <w:lang w:val="en-US" w:eastAsia="zh-CN"/>
              </w:rPr>
            </w:pPr>
            <w:r>
              <w:rPr>
                <w:rFonts w:hint="eastAsia"/>
                <w:b/>
                <w:bCs/>
                <w:color w:val="auto"/>
                <w:sz w:val="24"/>
                <w:highlight w:val="none"/>
                <w:lang w:val="en-US" w:eastAsia="zh-CN"/>
              </w:rPr>
              <w:t>三</w:t>
            </w:r>
            <w:r>
              <w:rPr>
                <w:b/>
                <w:bCs/>
                <w:color w:val="auto"/>
                <w:sz w:val="24"/>
                <w:highlight w:val="none"/>
              </w:rPr>
              <w:t>、</w:t>
            </w:r>
            <w:r>
              <w:rPr>
                <w:b/>
                <w:color w:val="auto"/>
                <w:sz w:val="24"/>
                <w:highlight w:val="none"/>
              </w:rPr>
              <w:t>项目</w:t>
            </w:r>
            <w:r>
              <w:rPr>
                <w:rFonts w:hint="eastAsia"/>
                <w:b/>
                <w:color w:val="auto"/>
                <w:sz w:val="24"/>
                <w:highlight w:val="none"/>
                <w:lang w:val="en-US" w:eastAsia="zh-CN"/>
              </w:rPr>
              <w:t>实施范围和地点</w:t>
            </w:r>
          </w:p>
          <w:p w14:paraId="3202E32F">
            <w:pPr>
              <w:spacing w:line="380" w:lineRule="exact"/>
              <w:ind w:firstLine="211" w:firstLineChars="100"/>
              <w:rPr>
                <w:color w:val="auto"/>
                <w:szCs w:val="21"/>
                <w:highlight w:val="none"/>
              </w:rPr>
            </w:pPr>
            <w:r>
              <w:rPr>
                <w:b/>
                <w:bCs/>
                <w:color w:val="auto"/>
                <w:szCs w:val="21"/>
                <w:highlight w:val="none"/>
              </w:rPr>
              <w:t>1.实施</w:t>
            </w:r>
            <w:r>
              <w:rPr>
                <w:rFonts w:hint="eastAsia"/>
                <w:b/>
                <w:bCs/>
                <w:color w:val="auto"/>
                <w:szCs w:val="21"/>
                <w:highlight w:val="none"/>
                <w:lang w:val="en-US" w:eastAsia="zh-CN"/>
              </w:rPr>
              <w:t>范围</w:t>
            </w:r>
            <w:r>
              <w:rPr>
                <w:b/>
                <w:bCs/>
                <w:color w:val="auto"/>
                <w:szCs w:val="21"/>
                <w:highlight w:val="none"/>
              </w:rPr>
              <w:t>：</w:t>
            </w:r>
            <w:r>
              <w:rPr>
                <w:color w:val="auto"/>
                <w:szCs w:val="21"/>
                <w:highlight w:val="none"/>
              </w:rPr>
              <w:t>玉林市市辖区行政区域。</w:t>
            </w:r>
          </w:p>
          <w:p w14:paraId="5DB13551">
            <w:pPr>
              <w:spacing w:line="380" w:lineRule="exact"/>
              <w:ind w:firstLine="211" w:firstLineChars="100"/>
              <w:rPr>
                <w:color w:val="auto"/>
                <w:szCs w:val="21"/>
                <w:highlight w:val="none"/>
              </w:rPr>
            </w:pPr>
            <w:r>
              <w:rPr>
                <w:b/>
                <w:bCs/>
                <w:color w:val="auto"/>
                <w:szCs w:val="21"/>
                <w:highlight w:val="none"/>
              </w:rPr>
              <w:t>2.项目地点：</w:t>
            </w:r>
            <w:r>
              <w:rPr>
                <w:color w:val="auto"/>
                <w:szCs w:val="21"/>
                <w:highlight w:val="none"/>
              </w:rPr>
              <w:t>玉林市。</w:t>
            </w:r>
          </w:p>
          <w:p w14:paraId="4930429F">
            <w:pPr>
              <w:spacing w:line="380" w:lineRule="exact"/>
              <w:rPr>
                <w:rFonts w:hint="default" w:ascii="Times New Roman" w:hAnsi="Times New Roman" w:eastAsia="宋体" w:cs="Times New Roman"/>
                <w:b/>
                <w:bCs/>
                <w:color w:val="auto"/>
                <w:sz w:val="24"/>
                <w:highlight w:val="none"/>
                <w:lang w:val="en-US" w:eastAsia="zh-CN"/>
              </w:rPr>
            </w:pPr>
            <w:r>
              <w:rPr>
                <w:rFonts w:hint="eastAsia" w:ascii="Times New Roman" w:hAnsi="Times New Roman" w:eastAsia="宋体" w:cs="Times New Roman"/>
                <w:b/>
                <w:bCs/>
                <w:color w:val="auto"/>
                <w:sz w:val="24"/>
                <w:highlight w:val="none"/>
                <w:lang w:val="en-US" w:eastAsia="zh-CN"/>
              </w:rPr>
              <w:t>四、工作内容</w:t>
            </w:r>
          </w:p>
          <w:p w14:paraId="3993716B">
            <w:pPr>
              <w:spacing w:line="380" w:lineRule="exact"/>
              <w:ind w:firstLine="210" w:firstLineChars="100"/>
              <w:rPr>
                <w:rFonts w:hint="eastAsia"/>
                <w:color w:val="auto"/>
                <w:szCs w:val="21"/>
                <w:highlight w:val="none"/>
              </w:rPr>
            </w:pPr>
            <w:r>
              <w:rPr>
                <w:rFonts w:hint="eastAsia"/>
                <w:color w:val="auto"/>
                <w:szCs w:val="21"/>
                <w:highlight w:val="none"/>
              </w:rPr>
              <w:t>1、明确调查摸底范围，以2024年度变更调查成果中的非建设用地为底图，套合高标准农田、粮食生产功能区、糖料蔗生产保护区、耕地后备资源、不稳定耕地图层、河道湖区林区管理、生态保护红线、城镇开发边界、土壤污染状况详查、第三次土壤普查成果、农业生产适宜性评价结果、已批矿权、已依法办理用地手续（含临时用地、已备案设施农用地等）等范围，制作</w:t>
            </w:r>
            <w:r>
              <w:rPr>
                <w:rFonts w:hint="eastAsia"/>
                <w:color w:val="auto"/>
                <w:szCs w:val="21"/>
                <w:highlight w:val="none"/>
                <w:lang w:val="en-US" w:eastAsia="zh-CN"/>
              </w:rPr>
              <w:t>玉林市</w:t>
            </w:r>
            <w:r>
              <w:rPr>
                <w:rFonts w:hint="eastAsia"/>
                <w:color w:val="auto"/>
                <w:szCs w:val="21"/>
                <w:highlight w:val="none"/>
              </w:rPr>
              <w:t>调查摸底工作底图。</w:t>
            </w:r>
          </w:p>
          <w:p w14:paraId="09E387B2">
            <w:pPr>
              <w:spacing w:line="380" w:lineRule="exact"/>
              <w:ind w:firstLine="210" w:firstLineChars="100"/>
              <w:rPr>
                <w:rFonts w:hint="eastAsia"/>
                <w:color w:val="auto"/>
                <w:szCs w:val="21"/>
                <w:highlight w:val="none"/>
              </w:rPr>
            </w:pPr>
            <w:r>
              <w:rPr>
                <w:rFonts w:hint="eastAsia"/>
                <w:color w:val="auto"/>
                <w:szCs w:val="21"/>
                <w:highlight w:val="none"/>
              </w:rPr>
              <w:t>2、对各县（区</w:t>
            </w:r>
            <w:r>
              <w:rPr>
                <w:rFonts w:hint="eastAsia"/>
                <w:color w:val="auto"/>
                <w:szCs w:val="21"/>
                <w:highlight w:val="none"/>
                <w:lang w:eastAsia="zh-CN"/>
              </w:rPr>
              <w:t>、</w:t>
            </w:r>
            <w:r>
              <w:rPr>
                <w:rFonts w:hint="eastAsia"/>
                <w:color w:val="auto"/>
                <w:szCs w:val="21"/>
                <w:highlight w:val="none"/>
                <w:lang w:val="en-US" w:eastAsia="zh-CN"/>
              </w:rPr>
              <w:t>市</w:t>
            </w:r>
            <w:r>
              <w:rPr>
                <w:rFonts w:hint="eastAsia"/>
                <w:color w:val="auto"/>
                <w:szCs w:val="21"/>
                <w:highlight w:val="none"/>
              </w:rPr>
              <w:t>）技术承担单位进行技术指导和督促，并做好技术培训、汇报、审查，确保进度、质量满足自治区要求。</w:t>
            </w:r>
          </w:p>
          <w:p w14:paraId="6C739743">
            <w:pPr>
              <w:spacing w:line="380" w:lineRule="exact"/>
              <w:ind w:firstLine="210" w:firstLineChars="100"/>
              <w:rPr>
                <w:rFonts w:hint="eastAsia"/>
                <w:color w:val="auto"/>
                <w:szCs w:val="21"/>
                <w:highlight w:val="none"/>
              </w:rPr>
            </w:pPr>
            <w:r>
              <w:rPr>
                <w:rFonts w:hint="eastAsia"/>
                <w:color w:val="auto"/>
                <w:szCs w:val="21"/>
                <w:highlight w:val="none"/>
              </w:rPr>
              <w:t>3、对各县（区</w:t>
            </w:r>
            <w:r>
              <w:rPr>
                <w:rFonts w:hint="eastAsia"/>
                <w:color w:val="auto"/>
                <w:szCs w:val="21"/>
                <w:highlight w:val="none"/>
                <w:lang w:eastAsia="zh-CN"/>
              </w:rPr>
              <w:t>、</w:t>
            </w:r>
            <w:r>
              <w:rPr>
                <w:rFonts w:hint="eastAsia"/>
                <w:color w:val="auto"/>
                <w:szCs w:val="21"/>
                <w:highlight w:val="none"/>
                <w:lang w:val="en-US" w:eastAsia="zh-CN"/>
              </w:rPr>
              <w:t>市</w:t>
            </w:r>
            <w:r>
              <w:rPr>
                <w:rFonts w:hint="eastAsia"/>
                <w:color w:val="auto"/>
                <w:szCs w:val="21"/>
                <w:highlight w:val="none"/>
              </w:rPr>
              <w:t>）年度耕地保护目标和永久基本农田任务完成情况进行测算。</w:t>
            </w:r>
          </w:p>
          <w:p w14:paraId="3D1BE920">
            <w:pPr>
              <w:spacing w:line="380" w:lineRule="exact"/>
              <w:ind w:firstLine="210" w:firstLineChars="100"/>
              <w:rPr>
                <w:rFonts w:hint="eastAsia"/>
                <w:color w:val="auto"/>
                <w:szCs w:val="21"/>
                <w:highlight w:val="none"/>
              </w:rPr>
            </w:pPr>
            <w:r>
              <w:rPr>
                <w:rFonts w:hint="eastAsia"/>
                <w:color w:val="auto"/>
                <w:szCs w:val="21"/>
                <w:highlight w:val="none"/>
              </w:rPr>
              <w:t>4、对县级上报的调查摸底矢量数据库开展成果齐全性、规范性以及真实性等</w:t>
            </w:r>
            <w:r>
              <w:rPr>
                <w:rFonts w:hint="eastAsia"/>
                <w:color w:val="auto"/>
                <w:szCs w:val="21"/>
                <w:highlight w:val="none"/>
                <w:lang w:val="en-US" w:eastAsia="zh-CN"/>
              </w:rPr>
              <w:t>审查</w:t>
            </w:r>
            <w:r>
              <w:rPr>
                <w:rFonts w:hint="eastAsia"/>
                <w:color w:val="auto"/>
                <w:szCs w:val="21"/>
                <w:highlight w:val="none"/>
              </w:rPr>
              <w:t>复核工作，复核后汇总形成市级调查摸底数据库。</w:t>
            </w:r>
          </w:p>
          <w:p w14:paraId="19097CC6">
            <w:pPr>
              <w:spacing w:line="380" w:lineRule="exact"/>
              <w:ind w:firstLine="210" w:firstLineChars="100"/>
              <w:rPr>
                <w:rFonts w:hint="eastAsia"/>
                <w:color w:val="auto"/>
                <w:szCs w:val="21"/>
                <w:highlight w:val="none"/>
              </w:rPr>
            </w:pPr>
            <w:r>
              <w:rPr>
                <w:rFonts w:hint="eastAsia"/>
                <w:color w:val="auto"/>
                <w:szCs w:val="21"/>
                <w:highlight w:val="none"/>
              </w:rPr>
              <w:t>5、编制市级耕地</w:t>
            </w:r>
            <w:r>
              <w:rPr>
                <w:rFonts w:hint="eastAsia"/>
                <w:color w:val="auto"/>
                <w:szCs w:val="21"/>
                <w:highlight w:val="none"/>
                <w:lang w:val="en-US" w:eastAsia="zh-CN"/>
              </w:rPr>
              <w:t>保护</w:t>
            </w:r>
            <w:r>
              <w:rPr>
                <w:rFonts w:hint="eastAsia"/>
                <w:color w:val="auto"/>
                <w:szCs w:val="21"/>
                <w:highlight w:val="none"/>
              </w:rPr>
              <w:t>过渡期整改恢复方案。</w:t>
            </w:r>
          </w:p>
          <w:p w14:paraId="5A285FF7">
            <w:pPr>
              <w:spacing w:line="380" w:lineRule="exact"/>
              <w:ind w:firstLine="210" w:firstLineChars="100"/>
              <w:rPr>
                <w:rFonts w:hint="eastAsia"/>
                <w:color w:val="auto"/>
                <w:szCs w:val="21"/>
                <w:highlight w:val="none"/>
              </w:rPr>
            </w:pPr>
            <w:r>
              <w:rPr>
                <w:rFonts w:hint="eastAsia"/>
                <w:color w:val="auto"/>
                <w:szCs w:val="21"/>
                <w:highlight w:val="none"/>
              </w:rPr>
              <w:t>6、汇总上报。配合市级自然资源主管部门对各县（区</w:t>
            </w:r>
            <w:r>
              <w:rPr>
                <w:rFonts w:hint="eastAsia"/>
                <w:color w:val="auto"/>
                <w:szCs w:val="21"/>
                <w:highlight w:val="none"/>
                <w:lang w:eastAsia="zh-CN"/>
              </w:rPr>
              <w:t>、</w:t>
            </w:r>
            <w:r>
              <w:rPr>
                <w:rFonts w:hint="eastAsia"/>
                <w:color w:val="auto"/>
                <w:szCs w:val="21"/>
                <w:highlight w:val="none"/>
                <w:lang w:val="en-US" w:eastAsia="zh-CN"/>
              </w:rPr>
              <w:t>市</w:t>
            </w:r>
            <w:r>
              <w:rPr>
                <w:rFonts w:hint="eastAsia"/>
                <w:color w:val="auto"/>
                <w:szCs w:val="21"/>
                <w:highlight w:val="none"/>
              </w:rPr>
              <w:t>）调查摸底成果进行审查、复核和汇总，按程序上报备案。</w:t>
            </w:r>
          </w:p>
          <w:p w14:paraId="11F1237E">
            <w:pPr>
              <w:spacing w:line="380" w:lineRule="exact"/>
              <w:rPr>
                <w:rFonts w:hint="eastAsia" w:eastAsia="宋体"/>
                <w:b/>
                <w:color w:val="auto"/>
                <w:sz w:val="24"/>
                <w:highlight w:val="none"/>
                <w:lang w:eastAsia="zh-CN"/>
              </w:rPr>
            </w:pPr>
            <w:r>
              <w:rPr>
                <w:rFonts w:hint="eastAsia"/>
                <w:b/>
                <w:color w:val="auto"/>
                <w:sz w:val="24"/>
                <w:highlight w:val="none"/>
                <w:lang w:val="en-US" w:eastAsia="zh-CN"/>
              </w:rPr>
              <w:t>五</w:t>
            </w:r>
            <w:r>
              <w:rPr>
                <w:b/>
                <w:color w:val="auto"/>
                <w:sz w:val="24"/>
                <w:highlight w:val="none"/>
              </w:rPr>
              <w:t>、</w:t>
            </w:r>
            <w:r>
              <w:rPr>
                <w:rFonts w:hint="eastAsia"/>
                <w:b/>
                <w:color w:val="auto"/>
                <w:sz w:val="24"/>
                <w:highlight w:val="none"/>
                <w:lang w:val="en-US" w:eastAsia="zh-CN"/>
              </w:rPr>
              <w:t>提交</w:t>
            </w:r>
            <w:r>
              <w:rPr>
                <w:b/>
                <w:color w:val="auto"/>
                <w:sz w:val="24"/>
                <w:highlight w:val="none"/>
              </w:rPr>
              <w:t>成果</w:t>
            </w:r>
            <w:r>
              <w:rPr>
                <w:rFonts w:hint="eastAsia"/>
                <w:b/>
                <w:color w:val="auto"/>
                <w:sz w:val="24"/>
                <w:highlight w:val="none"/>
                <w:lang w:val="en-US" w:eastAsia="zh-CN"/>
              </w:rPr>
              <w:t>要求</w:t>
            </w:r>
          </w:p>
          <w:p w14:paraId="6AB87DD8">
            <w:pPr>
              <w:spacing w:line="380" w:lineRule="exact"/>
              <w:ind w:firstLine="422" w:firstLineChars="200"/>
              <w:rPr>
                <w:rFonts w:hint="default"/>
                <w:b/>
                <w:bCs w:val="0"/>
                <w:color w:val="auto"/>
                <w:szCs w:val="21"/>
                <w:highlight w:val="none"/>
                <w:lang w:val="en-US" w:eastAsia="zh-CN"/>
              </w:rPr>
            </w:pPr>
            <w:r>
              <w:rPr>
                <w:rFonts w:hint="eastAsia"/>
                <w:b/>
                <w:bCs w:val="0"/>
                <w:color w:val="auto"/>
                <w:szCs w:val="21"/>
                <w:highlight w:val="none"/>
                <w:lang w:val="en-US" w:eastAsia="zh-CN"/>
              </w:rPr>
              <w:t>1.提交成果：</w:t>
            </w:r>
          </w:p>
          <w:p w14:paraId="57003609">
            <w:pPr>
              <w:spacing w:line="380" w:lineRule="exact"/>
              <w:ind w:firstLine="420" w:firstLineChars="200"/>
              <w:rPr>
                <w:rFonts w:hint="eastAsia"/>
                <w:bCs/>
                <w:color w:val="auto"/>
                <w:szCs w:val="21"/>
                <w:highlight w:val="none"/>
              </w:rPr>
            </w:pPr>
            <w:r>
              <w:rPr>
                <w:rFonts w:hint="eastAsia"/>
                <w:bCs/>
                <w:color w:val="auto"/>
                <w:szCs w:val="21"/>
                <w:highlight w:val="none"/>
                <w:lang w:val="en-US" w:eastAsia="zh-CN"/>
              </w:rPr>
              <w:t>（1）</w:t>
            </w:r>
            <w:r>
              <w:rPr>
                <w:rFonts w:hint="eastAsia"/>
                <w:bCs/>
                <w:color w:val="auto"/>
                <w:szCs w:val="21"/>
                <w:highlight w:val="none"/>
              </w:rPr>
              <w:t>市级耕地</w:t>
            </w:r>
            <w:r>
              <w:rPr>
                <w:rFonts w:hint="eastAsia"/>
                <w:bCs/>
                <w:color w:val="auto"/>
                <w:szCs w:val="21"/>
                <w:highlight w:val="none"/>
                <w:lang w:val="en-US" w:eastAsia="zh-CN"/>
              </w:rPr>
              <w:t>保护</w:t>
            </w:r>
            <w:r>
              <w:rPr>
                <w:rFonts w:hint="eastAsia"/>
                <w:bCs/>
                <w:color w:val="auto"/>
                <w:szCs w:val="21"/>
                <w:highlight w:val="none"/>
              </w:rPr>
              <w:t>过渡期整改恢复方案：耕地</w:t>
            </w:r>
            <w:r>
              <w:rPr>
                <w:rFonts w:hint="eastAsia"/>
                <w:bCs/>
                <w:color w:val="auto"/>
                <w:szCs w:val="21"/>
                <w:highlight w:val="none"/>
                <w:lang w:val="en-US" w:eastAsia="zh-CN"/>
              </w:rPr>
              <w:t>保护</w:t>
            </w:r>
            <w:r>
              <w:rPr>
                <w:rFonts w:hint="eastAsia"/>
                <w:bCs/>
                <w:color w:val="auto"/>
                <w:szCs w:val="21"/>
                <w:highlight w:val="none"/>
              </w:rPr>
              <w:t>过渡期整改恢复方案符合相关依据和规范，以确保完成年度耕地保护目标和永久基本农田任务为导向，根据调查摸底情况，</w:t>
            </w:r>
            <w:r>
              <w:rPr>
                <w:rFonts w:hint="eastAsia"/>
                <w:bCs/>
                <w:color w:val="auto"/>
                <w:szCs w:val="21"/>
                <w:highlight w:val="none"/>
                <w:lang w:val="en-US" w:eastAsia="zh-CN"/>
              </w:rPr>
              <w:t>明确</w:t>
            </w:r>
            <w:r>
              <w:rPr>
                <w:rFonts w:hint="eastAsia"/>
                <w:bCs/>
                <w:color w:val="auto"/>
                <w:szCs w:val="21"/>
                <w:highlight w:val="none"/>
              </w:rPr>
              <w:t>“认定一批、恢复一批、置换一批”的区域，</w:t>
            </w:r>
            <w:r>
              <w:rPr>
                <w:rFonts w:hint="eastAsia"/>
                <w:bCs/>
                <w:color w:val="auto"/>
                <w:szCs w:val="21"/>
                <w:highlight w:val="none"/>
                <w:lang w:val="en-US" w:eastAsia="zh-CN"/>
              </w:rPr>
              <w:t>合理</w:t>
            </w:r>
            <w:r>
              <w:rPr>
                <w:rFonts w:hint="eastAsia"/>
                <w:bCs/>
                <w:color w:val="auto"/>
                <w:szCs w:val="21"/>
                <w:highlight w:val="none"/>
              </w:rPr>
              <w:t>安排处置时间期限，提出合理的建议措施。</w:t>
            </w:r>
          </w:p>
          <w:p w14:paraId="4E585A0D">
            <w:pPr>
              <w:spacing w:line="380" w:lineRule="exact"/>
              <w:ind w:firstLine="420" w:firstLineChars="200"/>
              <w:rPr>
                <w:rFonts w:hint="eastAsia"/>
                <w:bCs/>
                <w:color w:val="auto"/>
                <w:szCs w:val="21"/>
                <w:highlight w:val="none"/>
              </w:rPr>
            </w:pPr>
            <w:r>
              <w:rPr>
                <w:rFonts w:hint="eastAsia"/>
                <w:bCs/>
                <w:color w:val="auto"/>
                <w:szCs w:val="21"/>
                <w:highlight w:val="none"/>
                <w:lang w:val="en-US" w:eastAsia="zh-CN"/>
              </w:rPr>
              <w:t>（2）</w:t>
            </w:r>
            <w:r>
              <w:rPr>
                <w:rFonts w:hint="eastAsia"/>
                <w:bCs/>
                <w:color w:val="auto"/>
                <w:szCs w:val="21"/>
                <w:highlight w:val="none"/>
              </w:rPr>
              <w:t>数据库成果：市级调查摸底数据库。</w:t>
            </w:r>
          </w:p>
          <w:p w14:paraId="1DBC61EC">
            <w:pPr>
              <w:spacing w:line="380" w:lineRule="exact"/>
              <w:ind w:firstLine="420" w:firstLineChars="200"/>
              <w:rPr>
                <w:bCs/>
                <w:color w:val="auto"/>
                <w:szCs w:val="21"/>
                <w:highlight w:val="none"/>
              </w:rPr>
            </w:pPr>
            <w:r>
              <w:rPr>
                <w:rFonts w:hint="eastAsia"/>
                <w:bCs/>
                <w:color w:val="auto"/>
                <w:szCs w:val="21"/>
                <w:highlight w:val="none"/>
                <w:lang w:val="en-US" w:eastAsia="zh-CN"/>
              </w:rPr>
              <w:t>（3）</w:t>
            </w:r>
            <w:r>
              <w:rPr>
                <w:rFonts w:hint="eastAsia"/>
                <w:bCs/>
                <w:color w:val="auto"/>
                <w:szCs w:val="21"/>
                <w:highlight w:val="none"/>
              </w:rPr>
              <w:t>表格成果：耕地认定一批情况表、耕地恢复一批情况表、耕地置换一批情况表</w:t>
            </w:r>
            <w:r>
              <w:rPr>
                <w:rFonts w:hint="eastAsia"/>
                <w:bCs/>
                <w:color w:val="auto"/>
                <w:szCs w:val="21"/>
                <w:highlight w:val="none"/>
                <w:lang w:eastAsia="zh-CN"/>
              </w:rPr>
              <w:t>等</w:t>
            </w:r>
            <w:r>
              <w:rPr>
                <w:rFonts w:hint="eastAsia"/>
                <w:bCs/>
                <w:color w:val="auto"/>
                <w:szCs w:val="21"/>
                <w:highlight w:val="none"/>
              </w:rPr>
              <w:t>。</w:t>
            </w:r>
          </w:p>
          <w:p w14:paraId="7695405E">
            <w:pPr>
              <w:spacing w:line="380" w:lineRule="exact"/>
              <w:ind w:firstLine="422" w:firstLineChars="200"/>
              <w:rPr>
                <w:bCs/>
                <w:color w:val="auto"/>
                <w:szCs w:val="21"/>
                <w:highlight w:val="none"/>
              </w:rPr>
            </w:pPr>
            <w:r>
              <w:rPr>
                <w:rFonts w:hint="eastAsia"/>
                <w:b/>
                <w:bCs w:val="0"/>
                <w:color w:val="auto"/>
                <w:szCs w:val="21"/>
                <w:highlight w:val="none"/>
                <w:lang w:val="en-US" w:eastAsia="zh-CN"/>
              </w:rPr>
              <w:t>2.</w:t>
            </w:r>
            <w:r>
              <w:rPr>
                <w:b/>
                <w:bCs w:val="0"/>
                <w:color w:val="auto"/>
                <w:szCs w:val="21"/>
                <w:highlight w:val="none"/>
              </w:rPr>
              <w:t>提交时间：</w:t>
            </w:r>
            <w:r>
              <w:rPr>
                <w:bCs/>
                <w:color w:val="auto"/>
                <w:szCs w:val="21"/>
                <w:highlight w:val="none"/>
              </w:rPr>
              <w:t>各</w:t>
            </w:r>
            <w:r>
              <w:rPr>
                <w:rFonts w:hint="eastAsia"/>
                <w:bCs/>
                <w:color w:val="auto"/>
                <w:szCs w:val="21"/>
                <w:highlight w:val="none"/>
                <w:lang w:val="en-US" w:eastAsia="zh-CN"/>
              </w:rPr>
              <w:t>项</w:t>
            </w:r>
            <w:r>
              <w:rPr>
                <w:bCs/>
                <w:color w:val="auto"/>
                <w:szCs w:val="21"/>
                <w:highlight w:val="none"/>
              </w:rPr>
              <w:t>服务工作内容成果根据项目实施的进度提交。</w:t>
            </w:r>
          </w:p>
          <w:p w14:paraId="7D8108FA">
            <w:pPr>
              <w:spacing w:line="380" w:lineRule="exact"/>
              <w:rPr>
                <w:b/>
                <w:color w:val="auto"/>
                <w:sz w:val="24"/>
                <w:highlight w:val="none"/>
              </w:rPr>
            </w:pPr>
            <w:r>
              <w:rPr>
                <w:rFonts w:hint="eastAsia"/>
                <w:b/>
                <w:color w:val="auto"/>
                <w:sz w:val="24"/>
                <w:highlight w:val="none"/>
                <w:lang w:val="en-US" w:eastAsia="zh-CN"/>
              </w:rPr>
              <w:t>六</w:t>
            </w:r>
            <w:r>
              <w:rPr>
                <w:b/>
                <w:color w:val="auto"/>
                <w:sz w:val="24"/>
                <w:highlight w:val="none"/>
              </w:rPr>
              <w:t>、</w:t>
            </w:r>
            <w:r>
              <w:rPr>
                <w:rFonts w:hint="eastAsia"/>
                <w:b/>
                <w:color w:val="auto"/>
                <w:sz w:val="24"/>
                <w:highlight w:val="none"/>
                <w:lang w:val="en-US" w:eastAsia="zh-CN"/>
              </w:rPr>
              <w:t>成果质量</w:t>
            </w:r>
            <w:r>
              <w:rPr>
                <w:b/>
                <w:color w:val="auto"/>
                <w:sz w:val="24"/>
                <w:highlight w:val="none"/>
              </w:rPr>
              <w:t>要求</w:t>
            </w:r>
          </w:p>
          <w:p w14:paraId="76A106FD">
            <w:pPr>
              <w:widowControl/>
              <w:ind w:firstLine="210" w:firstLineChars="100"/>
              <w:jc w:val="left"/>
              <w:rPr>
                <w:rFonts w:ascii="宋体" w:hAnsi="宋体" w:cs="仿宋"/>
                <w:bCs/>
                <w:color w:val="auto"/>
                <w:szCs w:val="21"/>
                <w:highlight w:val="none"/>
              </w:rPr>
            </w:pPr>
            <w:r>
              <w:rPr>
                <w:rFonts w:hint="eastAsia" w:ascii="Times New Roman" w:hAnsi="Times New Roman" w:eastAsia="宋体" w:cs="Times New Roman"/>
                <w:bCs/>
                <w:color w:val="auto"/>
                <w:szCs w:val="21"/>
                <w:highlight w:val="none"/>
                <w:lang w:val="en-US" w:eastAsia="zh-CN"/>
              </w:rPr>
              <w:t>成果</w:t>
            </w:r>
            <w:r>
              <w:rPr>
                <w:rFonts w:ascii="Times New Roman" w:hAnsi="Times New Roman" w:eastAsia="宋体" w:cs="Times New Roman"/>
                <w:bCs/>
                <w:color w:val="auto"/>
                <w:szCs w:val="21"/>
                <w:highlight w:val="none"/>
              </w:rPr>
              <w:t>符合自治区自然资源厅</w:t>
            </w:r>
            <w:r>
              <w:rPr>
                <w:rFonts w:hint="eastAsia" w:ascii="Times New Roman" w:hAnsi="Times New Roman" w:eastAsia="宋体" w:cs="Times New Roman"/>
                <w:bCs/>
                <w:color w:val="auto"/>
                <w:szCs w:val="21"/>
                <w:highlight w:val="none"/>
              </w:rPr>
              <w:t>《广西壮族自治区自然资源厅办公室关于开展现状耕地和潜力耕地地块实际利用情况调查摸底工作的通知》（桂自然资办﹝2025﹞69号）</w:t>
            </w:r>
            <w:r>
              <w:rPr>
                <w:rFonts w:hint="eastAsia" w:ascii="Times New Roman" w:hAnsi="Times New Roman" w:eastAsia="宋体" w:cs="Times New Roman"/>
                <w:bCs/>
                <w:color w:val="auto"/>
                <w:szCs w:val="21"/>
                <w:highlight w:val="none"/>
                <w:lang w:val="en-US" w:eastAsia="zh-CN"/>
              </w:rPr>
              <w:t>等有关文件要求，以通过自治区自然资源厅审查为准</w:t>
            </w:r>
            <w:r>
              <w:rPr>
                <w:rFonts w:ascii="Times New Roman" w:hAnsi="Times New Roman" w:eastAsia="宋体" w:cs="Times New Roman"/>
                <w:bCs/>
                <w:color w:val="auto"/>
                <w:szCs w:val="21"/>
                <w:highlight w:val="none"/>
              </w:rPr>
              <w:t>。</w:t>
            </w:r>
          </w:p>
        </w:tc>
      </w:tr>
      <w:tr w14:paraId="0D6CE9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8957" w:type="dxa"/>
            <w:gridSpan w:val="6"/>
            <w:tcBorders>
              <w:top w:val="single" w:color="auto" w:sz="4" w:space="0"/>
              <w:left w:val="single" w:color="auto" w:sz="4" w:space="0"/>
              <w:bottom w:val="single" w:color="auto" w:sz="4" w:space="0"/>
              <w:right w:val="single" w:color="auto" w:sz="4" w:space="0"/>
            </w:tcBorders>
          </w:tcPr>
          <w:p w14:paraId="6E45CC42">
            <w:pPr>
              <w:spacing w:line="300" w:lineRule="exact"/>
              <w:rPr>
                <w:rFonts w:ascii="宋体" w:hAnsi="宋体"/>
                <w:color w:val="auto"/>
                <w:szCs w:val="21"/>
                <w:highlight w:val="none"/>
              </w:rPr>
            </w:pPr>
            <w:r>
              <w:rPr>
                <w:rFonts w:hint="eastAsia" w:ascii="宋体" w:hAnsi="宋体"/>
                <w:b/>
                <w:color w:val="auto"/>
                <w:szCs w:val="21"/>
                <w:highlight w:val="none"/>
              </w:rPr>
              <w:t>一、商务要求</w:t>
            </w:r>
          </w:p>
        </w:tc>
      </w:tr>
      <w:tr w14:paraId="1D25B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7" w:hRule="atLeast"/>
          <w:jc w:val="center"/>
        </w:trPr>
        <w:tc>
          <w:tcPr>
            <w:tcW w:w="1301" w:type="dxa"/>
            <w:gridSpan w:val="2"/>
            <w:tcBorders>
              <w:top w:val="single" w:color="auto" w:sz="4" w:space="0"/>
              <w:left w:val="single" w:color="auto" w:sz="4" w:space="0"/>
              <w:bottom w:val="single" w:color="auto" w:sz="4" w:space="0"/>
              <w:right w:val="single" w:color="auto" w:sz="4" w:space="0"/>
            </w:tcBorders>
            <w:vAlign w:val="center"/>
          </w:tcPr>
          <w:p w14:paraId="562EE753">
            <w:pPr>
              <w:spacing w:line="300" w:lineRule="exact"/>
              <w:jc w:val="center"/>
              <w:rPr>
                <w:rFonts w:ascii="宋体" w:hAnsi="宋体"/>
                <w:color w:val="auto"/>
                <w:szCs w:val="21"/>
                <w:highlight w:val="none"/>
              </w:rPr>
            </w:pPr>
            <w:r>
              <w:rPr>
                <w:rFonts w:hint="default" w:ascii="Times New Roman" w:hAnsi="Times New Roman" w:eastAsia="宋体" w:cs="Times New Roman"/>
                <w:b w:val="0"/>
                <w:bCs/>
                <w:color w:val="auto"/>
                <w:sz w:val="24"/>
                <w:szCs w:val="24"/>
                <w:highlight w:val="none"/>
                <w:lang w:eastAsia="zh-CN"/>
              </w:rPr>
              <w:t>报价要求</w:t>
            </w:r>
          </w:p>
        </w:tc>
        <w:tc>
          <w:tcPr>
            <w:tcW w:w="7656" w:type="dxa"/>
            <w:gridSpan w:val="4"/>
            <w:tcBorders>
              <w:top w:val="single" w:color="auto" w:sz="4" w:space="0"/>
              <w:left w:val="single" w:color="auto" w:sz="4" w:space="0"/>
              <w:bottom w:val="single" w:color="auto" w:sz="4" w:space="0"/>
              <w:right w:val="single" w:color="auto" w:sz="4" w:space="0"/>
            </w:tcBorders>
            <w:vAlign w:val="center"/>
          </w:tcPr>
          <w:p w14:paraId="73237C2F">
            <w:pPr>
              <w:keepNext w:val="0"/>
              <w:keepLines w:val="0"/>
              <w:pageBreakBefore w:val="0"/>
              <w:kinsoku/>
              <w:wordWrap/>
              <w:overflowPunct/>
              <w:topLinePunct w:val="0"/>
              <w:bidi w:val="0"/>
              <w:spacing w:line="380" w:lineRule="exact"/>
              <w:textAlignment w:val="auto"/>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eastAsia="宋体" w:cs="Times New Roman"/>
                <w:b w:val="0"/>
                <w:bCs/>
                <w:color w:val="auto"/>
                <w:sz w:val="21"/>
                <w:szCs w:val="21"/>
                <w:highlight w:val="none"/>
                <w:lang w:eastAsia="zh-CN"/>
              </w:rPr>
              <w:t>报价必须包含以下部分，包括：</w:t>
            </w:r>
          </w:p>
          <w:p w14:paraId="0369D157">
            <w:pPr>
              <w:keepNext w:val="0"/>
              <w:keepLines w:val="0"/>
              <w:pageBreakBefore w:val="0"/>
              <w:kinsoku/>
              <w:wordWrap/>
              <w:overflowPunct/>
              <w:topLinePunct w:val="0"/>
              <w:bidi w:val="0"/>
              <w:spacing w:line="380" w:lineRule="exact"/>
              <w:textAlignment w:val="auto"/>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eastAsia="宋体" w:cs="Times New Roman"/>
                <w:b w:val="0"/>
                <w:bCs/>
                <w:color w:val="auto"/>
                <w:sz w:val="21"/>
                <w:szCs w:val="21"/>
                <w:highlight w:val="none"/>
                <w:lang w:eastAsia="zh-CN"/>
              </w:rPr>
              <w:t>（1）服务价格：包括完成项目所需的服务费、拟投入本项目的人工、拟投入本项目的知识产权费；</w:t>
            </w:r>
          </w:p>
          <w:p w14:paraId="26F1B6EF">
            <w:pPr>
              <w:keepNext w:val="0"/>
              <w:keepLines w:val="0"/>
              <w:pageBreakBefore w:val="0"/>
              <w:kinsoku/>
              <w:wordWrap/>
              <w:overflowPunct/>
              <w:topLinePunct w:val="0"/>
              <w:bidi w:val="0"/>
              <w:spacing w:line="380" w:lineRule="exact"/>
              <w:textAlignment w:val="auto"/>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eastAsia="宋体" w:cs="Times New Roman"/>
                <w:b w:val="0"/>
                <w:bCs/>
                <w:color w:val="auto"/>
                <w:sz w:val="21"/>
                <w:szCs w:val="21"/>
                <w:highlight w:val="none"/>
                <w:lang w:eastAsia="zh-CN"/>
              </w:rPr>
              <w:t>（2）完成服务内容所需的标准附件、备品备件、专用工具的价格。</w:t>
            </w:r>
          </w:p>
          <w:p w14:paraId="0E7720BE">
            <w:pPr>
              <w:keepNext w:val="0"/>
              <w:keepLines w:val="0"/>
              <w:pageBreakBefore w:val="0"/>
              <w:kinsoku/>
              <w:wordWrap/>
              <w:overflowPunct/>
              <w:topLinePunct w:val="0"/>
              <w:bidi w:val="0"/>
              <w:spacing w:line="380" w:lineRule="exact"/>
              <w:textAlignment w:val="auto"/>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eastAsia="宋体" w:cs="Times New Roman"/>
                <w:b w:val="0"/>
                <w:bCs/>
                <w:color w:val="auto"/>
                <w:sz w:val="21"/>
                <w:szCs w:val="21"/>
                <w:highlight w:val="none"/>
                <w:lang w:eastAsia="zh-CN"/>
              </w:rPr>
              <w:t>（3）调试、培训、技术支持、售后服务费。</w:t>
            </w:r>
          </w:p>
          <w:p w14:paraId="022CDAEE">
            <w:pPr>
              <w:keepNext w:val="0"/>
              <w:keepLines w:val="0"/>
              <w:pageBreakBefore w:val="0"/>
              <w:kinsoku/>
              <w:wordWrap/>
              <w:overflowPunct/>
              <w:topLinePunct w:val="0"/>
              <w:bidi w:val="0"/>
              <w:spacing w:line="380" w:lineRule="exact"/>
              <w:textAlignment w:val="auto"/>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eastAsia="宋体" w:cs="Times New Roman"/>
                <w:b w:val="0"/>
                <w:bCs/>
                <w:color w:val="auto"/>
                <w:sz w:val="21"/>
                <w:szCs w:val="21"/>
                <w:highlight w:val="none"/>
                <w:lang w:eastAsia="zh-CN"/>
              </w:rPr>
              <w:t>（4）招标代理服务费、保险费和各项税金</w:t>
            </w:r>
            <w:r>
              <w:rPr>
                <w:rFonts w:hint="eastAsia" w:cs="Times New Roman"/>
                <w:b w:val="0"/>
                <w:bCs/>
                <w:color w:val="auto"/>
                <w:sz w:val="21"/>
                <w:szCs w:val="21"/>
                <w:highlight w:val="none"/>
                <w:lang w:eastAsia="zh-CN"/>
              </w:rPr>
              <w:t>等</w:t>
            </w:r>
            <w:r>
              <w:rPr>
                <w:rFonts w:hint="default" w:ascii="Times New Roman" w:hAnsi="Times New Roman" w:eastAsia="宋体" w:cs="Times New Roman"/>
                <w:b w:val="0"/>
                <w:bCs/>
                <w:color w:val="auto"/>
                <w:sz w:val="21"/>
                <w:szCs w:val="21"/>
                <w:highlight w:val="none"/>
                <w:lang w:eastAsia="zh-CN"/>
              </w:rPr>
              <w:t>。</w:t>
            </w:r>
          </w:p>
          <w:p w14:paraId="376BB3F7">
            <w:pPr>
              <w:keepNext w:val="0"/>
              <w:keepLines w:val="0"/>
              <w:pageBreakBefore w:val="0"/>
              <w:kinsoku/>
              <w:wordWrap/>
              <w:overflowPunct/>
              <w:topLinePunct w:val="0"/>
              <w:bidi w:val="0"/>
              <w:spacing w:line="380" w:lineRule="exact"/>
              <w:textAlignment w:val="auto"/>
              <w:rPr>
                <w:rFonts w:ascii="宋体" w:hAnsi="宋体" w:cs="宋体"/>
                <w:color w:val="auto"/>
                <w:szCs w:val="21"/>
                <w:highlight w:val="none"/>
              </w:rPr>
            </w:pPr>
            <w:r>
              <w:rPr>
                <w:rFonts w:hint="default" w:ascii="Times New Roman" w:hAnsi="Times New Roman" w:eastAsia="宋体" w:cs="Times New Roman"/>
                <w:b w:val="0"/>
                <w:bCs/>
                <w:color w:val="auto"/>
                <w:sz w:val="21"/>
                <w:szCs w:val="21"/>
                <w:highlight w:val="none"/>
                <w:lang w:eastAsia="zh-CN"/>
              </w:rPr>
              <w:t>（5）其他相关费用由投标人自行承担。</w:t>
            </w:r>
          </w:p>
        </w:tc>
      </w:tr>
      <w:tr w14:paraId="1D940A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4" w:hRule="atLeast"/>
          <w:jc w:val="center"/>
        </w:trPr>
        <w:tc>
          <w:tcPr>
            <w:tcW w:w="1301" w:type="dxa"/>
            <w:gridSpan w:val="2"/>
            <w:tcBorders>
              <w:top w:val="single" w:color="auto" w:sz="4" w:space="0"/>
              <w:left w:val="single" w:color="auto" w:sz="4" w:space="0"/>
              <w:bottom w:val="single" w:color="auto" w:sz="4" w:space="0"/>
              <w:right w:val="single" w:color="auto" w:sz="4" w:space="0"/>
            </w:tcBorders>
            <w:vAlign w:val="center"/>
          </w:tcPr>
          <w:p w14:paraId="587B367F">
            <w:pPr>
              <w:pStyle w:val="17"/>
              <w:keepNext w:val="0"/>
              <w:keepLines w:val="0"/>
              <w:pageBreakBefore w:val="0"/>
              <w:kinsoku/>
              <w:wordWrap/>
              <w:overflowPunct/>
              <w:topLinePunct w:val="0"/>
              <w:bidi w:val="0"/>
              <w:snapToGrid w:val="0"/>
              <w:spacing w:line="380" w:lineRule="exact"/>
              <w:jc w:val="center"/>
              <w:textAlignment w:val="auto"/>
              <w:rPr>
                <w:rFonts w:hint="eastAsia" w:ascii="宋体" w:hAnsi="宋体"/>
                <w:color w:val="auto"/>
                <w:szCs w:val="21"/>
                <w:highlight w:val="none"/>
              </w:rPr>
            </w:pPr>
            <w:r>
              <w:rPr>
                <w:rFonts w:hint="default" w:ascii="Times New Roman" w:hAnsi="Times New Roman" w:eastAsia="宋体" w:cs="Times New Roman"/>
                <w:bCs/>
                <w:color w:val="auto"/>
                <w:sz w:val="24"/>
                <w:szCs w:val="24"/>
                <w:highlight w:val="none"/>
              </w:rPr>
              <w:t>服务期限及地点</w:t>
            </w:r>
          </w:p>
        </w:tc>
        <w:tc>
          <w:tcPr>
            <w:tcW w:w="7656" w:type="dxa"/>
            <w:gridSpan w:val="4"/>
            <w:tcBorders>
              <w:top w:val="single" w:color="auto" w:sz="4" w:space="0"/>
              <w:left w:val="single" w:color="auto" w:sz="4" w:space="0"/>
              <w:bottom w:val="single" w:color="auto" w:sz="4" w:space="0"/>
              <w:right w:val="single" w:color="auto" w:sz="4" w:space="0"/>
            </w:tcBorders>
            <w:vAlign w:val="center"/>
          </w:tcPr>
          <w:p w14:paraId="6E8444BA">
            <w:pPr>
              <w:pStyle w:val="17"/>
              <w:keepNext w:val="0"/>
              <w:keepLines w:val="0"/>
              <w:pageBreakBefore w:val="0"/>
              <w:kinsoku/>
              <w:wordWrap/>
              <w:overflowPunct/>
              <w:topLinePunct w:val="0"/>
              <w:bidi w:val="0"/>
              <w:snapToGrid w:val="0"/>
              <w:spacing w:line="380" w:lineRule="exact"/>
              <w:textAlignment w:val="auto"/>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1.</w:t>
            </w:r>
            <w:r>
              <w:rPr>
                <w:rFonts w:hint="default" w:ascii="Times New Roman" w:hAnsi="Times New Roman" w:eastAsia="宋体" w:cs="Times New Roman"/>
                <w:bCs/>
                <w:color w:val="auto"/>
                <w:sz w:val="22"/>
                <w:szCs w:val="22"/>
                <w:highlight w:val="none"/>
              </w:rPr>
              <w:t>服务</w:t>
            </w:r>
            <w:r>
              <w:rPr>
                <w:rFonts w:hint="default" w:ascii="Times New Roman" w:hAnsi="Times New Roman" w:eastAsia="宋体" w:cs="Times New Roman"/>
                <w:color w:val="auto"/>
                <w:sz w:val="22"/>
                <w:szCs w:val="22"/>
                <w:highlight w:val="none"/>
              </w:rPr>
              <w:t>期限：</w:t>
            </w:r>
            <w:r>
              <w:rPr>
                <w:rFonts w:hint="eastAsia" w:ascii="Times New Roman" w:hAnsi="Times New Roman" w:cs="Times New Roman"/>
                <w:i w:val="0"/>
                <w:iCs w:val="0"/>
                <w:color w:val="auto"/>
                <w:sz w:val="22"/>
                <w:szCs w:val="22"/>
                <w:highlight w:val="none"/>
                <w:lang w:eastAsia="zh-CN"/>
              </w:rPr>
              <w:t>各服务工作内容成果根据项目实施的进度提交</w:t>
            </w:r>
            <w:r>
              <w:rPr>
                <w:rFonts w:hint="default" w:ascii="Times New Roman" w:hAnsi="Times New Roman" w:eastAsia="宋体" w:cs="Times New Roman"/>
                <w:i w:val="0"/>
                <w:iCs w:val="0"/>
                <w:color w:val="auto"/>
                <w:sz w:val="22"/>
                <w:szCs w:val="22"/>
                <w:highlight w:val="none"/>
              </w:rPr>
              <w:t>。</w:t>
            </w:r>
          </w:p>
          <w:p w14:paraId="0BE70E6C">
            <w:pPr>
              <w:pStyle w:val="17"/>
              <w:keepNext w:val="0"/>
              <w:keepLines w:val="0"/>
              <w:pageBreakBefore w:val="0"/>
              <w:kinsoku/>
              <w:wordWrap/>
              <w:overflowPunct/>
              <w:topLinePunct w:val="0"/>
              <w:bidi w:val="0"/>
              <w:snapToGrid w:val="0"/>
              <w:spacing w:line="380" w:lineRule="exact"/>
              <w:textAlignment w:val="auto"/>
              <w:rPr>
                <w:rFonts w:hint="eastAsia" w:ascii="宋体" w:hAnsi="宋体"/>
                <w:color w:val="auto"/>
                <w:szCs w:val="21"/>
                <w:highlight w:val="none"/>
                <w:lang w:eastAsia="zh-CN"/>
              </w:rPr>
            </w:pPr>
            <w:r>
              <w:rPr>
                <w:rFonts w:hint="default" w:ascii="Times New Roman" w:hAnsi="Times New Roman" w:eastAsia="宋体" w:cs="Times New Roman"/>
                <w:bCs/>
                <w:color w:val="auto"/>
                <w:sz w:val="22"/>
                <w:szCs w:val="22"/>
                <w:highlight w:val="none"/>
              </w:rPr>
              <w:t>2.服务地点：采购人指定地点。</w:t>
            </w:r>
          </w:p>
        </w:tc>
      </w:tr>
      <w:tr w14:paraId="2EEDD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1301" w:type="dxa"/>
            <w:gridSpan w:val="2"/>
            <w:tcBorders>
              <w:top w:val="single" w:color="auto" w:sz="4" w:space="0"/>
              <w:left w:val="single" w:color="auto" w:sz="4" w:space="0"/>
              <w:bottom w:val="single" w:color="auto" w:sz="4" w:space="0"/>
              <w:right w:val="single" w:color="auto" w:sz="4" w:space="0"/>
            </w:tcBorders>
            <w:vAlign w:val="center"/>
          </w:tcPr>
          <w:p w14:paraId="4EAA5F0A">
            <w:pPr>
              <w:pStyle w:val="17"/>
              <w:keepNext w:val="0"/>
              <w:keepLines w:val="0"/>
              <w:pageBreakBefore w:val="0"/>
              <w:kinsoku/>
              <w:wordWrap/>
              <w:overflowPunct/>
              <w:topLinePunct w:val="0"/>
              <w:bidi w:val="0"/>
              <w:snapToGrid w:val="0"/>
              <w:spacing w:line="380" w:lineRule="exact"/>
              <w:jc w:val="center"/>
              <w:textAlignment w:val="auto"/>
              <w:rPr>
                <w:rFonts w:hint="eastAsia" w:ascii="宋体" w:hAnsi="宋体"/>
                <w:color w:val="auto"/>
                <w:szCs w:val="21"/>
                <w:highlight w:val="none"/>
              </w:rPr>
            </w:pPr>
            <w:r>
              <w:rPr>
                <w:rFonts w:hint="default" w:ascii="Times New Roman" w:hAnsi="Times New Roman" w:eastAsia="宋体" w:cs="Times New Roman"/>
                <w:bCs/>
                <w:color w:val="auto"/>
                <w:sz w:val="24"/>
                <w:szCs w:val="24"/>
                <w:highlight w:val="none"/>
              </w:rPr>
              <w:t>处理问题响应时间</w:t>
            </w:r>
          </w:p>
        </w:tc>
        <w:tc>
          <w:tcPr>
            <w:tcW w:w="7656" w:type="dxa"/>
            <w:gridSpan w:val="4"/>
            <w:tcBorders>
              <w:top w:val="single" w:color="auto" w:sz="4" w:space="0"/>
              <w:left w:val="single" w:color="auto" w:sz="4" w:space="0"/>
              <w:bottom w:val="single" w:color="auto" w:sz="4" w:space="0"/>
              <w:right w:val="single" w:color="auto" w:sz="4" w:space="0"/>
            </w:tcBorders>
            <w:vAlign w:val="center"/>
          </w:tcPr>
          <w:p w14:paraId="2937F1AF">
            <w:pPr>
              <w:pStyle w:val="17"/>
              <w:keepNext w:val="0"/>
              <w:keepLines w:val="0"/>
              <w:pageBreakBefore w:val="0"/>
              <w:kinsoku/>
              <w:wordWrap/>
              <w:overflowPunct/>
              <w:topLinePunct w:val="0"/>
              <w:bidi w:val="0"/>
              <w:snapToGrid w:val="0"/>
              <w:spacing w:line="380" w:lineRule="exact"/>
              <w:textAlignment w:val="auto"/>
              <w:rPr>
                <w:rFonts w:hint="eastAsia" w:ascii="宋体" w:hAnsi="宋体"/>
                <w:color w:val="auto"/>
                <w:szCs w:val="21"/>
                <w:highlight w:val="none"/>
              </w:rPr>
            </w:pPr>
            <w:r>
              <w:rPr>
                <w:rFonts w:hint="default" w:ascii="Times New Roman" w:hAnsi="Times New Roman" w:eastAsia="宋体" w:cs="Times New Roman"/>
                <w:color w:val="auto"/>
                <w:sz w:val="22"/>
                <w:szCs w:val="22"/>
                <w:highlight w:val="none"/>
              </w:rPr>
              <w:t>处理问题响应时间：接到通知后</w:t>
            </w:r>
            <w:r>
              <w:rPr>
                <w:rFonts w:hint="default" w:ascii="Times New Roman" w:hAnsi="Times New Roman" w:eastAsia="宋体" w:cs="Times New Roman"/>
                <w:color w:val="auto"/>
                <w:sz w:val="22"/>
                <w:szCs w:val="22"/>
                <w:highlight w:val="none"/>
                <w:u w:val="single"/>
              </w:rPr>
              <w:t>12个小时</w:t>
            </w:r>
            <w:r>
              <w:rPr>
                <w:rFonts w:hint="default" w:ascii="Times New Roman" w:hAnsi="Times New Roman" w:eastAsia="宋体" w:cs="Times New Roman"/>
                <w:color w:val="auto"/>
                <w:sz w:val="22"/>
                <w:szCs w:val="22"/>
                <w:highlight w:val="none"/>
              </w:rPr>
              <w:t>内到达采购人指定地点。</w:t>
            </w:r>
          </w:p>
        </w:tc>
      </w:tr>
      <w:tr w14:paraId="165AB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7" w:hRule="atLeast"/>
          <w:jc w:val="center"/>
        </w:trPr>
        <w:tc>
          <w:tcPr>
            <w:tcW w:w="1301" w:type="dxa"/>
            <w:gridSpan w:val="2"/>
            <w:tcBorders>
              <w:top w:val="single" w:color="auto" w:sz="4" w:space="0"/>
              <w:left w:val="single" w:color="auto" w:sz="4" w:space="0"/>
              <w:bottom w:val="single" w:color="auto" w:sz="4" w:space="0"/>
              <w:right w:val="single" w:color="auto" w:sz="4" w:space="0"/>
            </w:tcBorders>
            <w:vAlign w:val="center"/>
          </w:tcPr>
          <w:p w14:paraId="76CFA044">
            <w:pPr>
              <w:pStyle w:val="17"/>
              <w:keepNext w:val="0"/>
              <w:keepLines w:val="0"/>
              <w:pageBreakBefore w:val="0"/>
              <w:kinsoku/>
              <w:wordWrap/>
              <w:overflowPunct/>
              <w:topLinePunct w:val="0"/>
              <w:bidi w:val="0"/>
              <w:snapToGrid w:val="0"/>
              <w:spacing w:line="380" w:lineRule="exact"/>
              <w:jc w:val="center"/>
              <w:textAlignment w:val="auto"/>
              <w:rPr>
                <w:rFonts w:ascii="宋体" w:hAnsi="宋体"/>
                <w:color w:val="auto"/>
                <w:szCs w:val="21"/>
                <w:highlight w:val="none"/>
              </w:rPr>
            </w:pPr>
            <w:r>
              <w:rPr>
                <w:rFonts w:hint="default" w:ascii="Times New Roman" w:hAnsi="Times New Roman" w:eastAsia="宋体" w:cs="Times New Roman"/>
                <w:bCs/>
                <w:color w:val="auto"/>
                <w:sz w:val="24"/>
                <w:szCs w:val="24"/>
                <w:highlight w:val="none"/>
              </w:rPr>
              <w:t>付款方式</w:t>
            </w:r>
          </w:p>
        </w:tc>
        <w:tc>
          <w:tcPr>
            <w:tcW w:w="7656" w:type="dxa"/>
            <w:gridSpan w:val="4"/>
            <w:tcBorders>
              <w:top w:val="single" w:color="auto" w:sz="4" w:space="0"/>
              <w:left w:val="single" w:color="auto" w:sz="4" w:space="0"/>
              <w:bottom w:val="single" w:color="auto" w:sz="4" w:space="0"/>
              <w:right w:val="single" w:color="auto" w:sz="4" w:space="0"/>
            </w:tcBorders>
            <w:vAlign w:val="center"/>
          </w:tcPr>
          <w:p w14:paraId="67E5B40E">
            <w:pPr>
              <w:keepNext w:val="0"/>
              <w:keepLines w:val="0"/>
              <w:pageBreakBefore w:val="0"/>
              <w:kinsoku/>
              <w:wordWrap/>
              <w:overflowPunct/>
              <w:topLinePunct w:val="0"/>
              <w:bidi w:val="0"/>
              <w:spacing w:line="380" w:lineRule="exact"/>
              <w:ind w:firstLine="420" w:firstLineChars="200"/>
              <w:textAlignment w:val="auto"/>
              <w:rPr>
                <w:rFonts w:ascii="宋体" w:hAnsi="宋体"/>
                <w:color w:val="auto"/>
                <w:szCs w:val="21"/>
                <w:highlight w:val="none"/>
              </w:rPr>
            </w:pPr>
            <w:r>
              <w:rPr>
                <w:rFonts w:hint="eastAsia" w:cs="Times New Roman"/>
                <w:b w:val="0"/>
                <w:bCs/>
                <w:color w:val="auto"/>
                <w:sz w:val="21"/>
                <w:szCs w:val="21"/>
                <w:highlight w:val="none"/>
                <w:lang w:val="zh-CN" w:eastAsia="zh-CN"/>
              </w:rPr>
              <w:t>签订合同后15个工作日内甲方以转账方式向乙方一次性支付合同总价的30%（预付款），玉林市现状耕地和潜力耕地地块实际利用情况调查摸底工作底图制作以及市级复核与数据库成果汇总等工作项目（重）完成并通过审查后20个工作日内，甲方以转账方式向乙方一次性支付合同总价的70%。</w:t>
            </w:r>
          </w:p>
        </w:tc>
      </w:tr>
      <w:tr w14:paraId="32BF98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8957" w:type="dxa"/>
            <w:gridSpan w:val="6"/>
            <w:tcBorders>
              <w:top w:val="single" w:color="auto" w:sz="4" w:space="0"/>
              <w:left w:val="single" w:color="auto" w:sz="4" w:space="0"/>
              <w:bottom w:val="single" w:color="auto" w:sz="4" w:space="0"/>
              <w:right w:val="single" w:color="auto" w:sz="4" w:space="0"/>
            </w:tcBorders>
            <w:vAlign w:val="center"/>
          </w:tcPr>
          <w:p w14:paraId="3708F316">
            <w:pPr>
              <w:spacing w:line="300" w:lineRule="exact"/>
              <w:rPr>
                <w:rFonts w:ascii="宋体" w:hAnsi="宋体"/>
                <w:color w:val="auto"/>
                <w:szCs w:val="21"/>
                <w:highlight w:val="none"/>
              </w:rPr>
            </w:pPr>
            <w:r>
              <w:rPr>
                <w:rFonts w:hint="eastAsia" w:ascii="宋体" w:hAnsi="宋体"/>
                <w:b/>
                <w:bCs/>
                <w:color w:val="auto"/>
                <w:szCs w:val="21"/>
                <w:highlight w:val="none"/>
              </w:rPr>
              <w:t>二、与实现项目目标相关的其他要求</w:t>
            </w:r>
          </w:p>
        </w:tc>
      </w:tr>
      <w:tr w14:paraId="2EE1AF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1301" w:type="dxa"/>
            <w:gridSpan w:val="2"/>
            <w:tcBorders>
              <w:top w:val="single" w:color="auto" w:sz="4" w:space="0"/>
              <w:left w:val="single" w:color="auto" w:sz="4" w:space="0"/>
              <w:bottom w:val="single" w:color="auto" w:sz="4" w:space="0"/>
              <w:right w:val="single" w:color="auto" w:sz="4" w:space="0"/>
            </w:tcBorders>
            <w:vAlign w:val="center"/>
          </w:tcPr>
          <w:p w14:paraId="13EDAB4B">
            <w:pPr>
              <w:pStyle w:val="17"/>
              <w:keepNext w:val="0"/>
              <w:keepLines w:val="0"/>
              <w:pageBreakBefore w:val="0"/>
              <w:kinsoku/>
              <w:wordWrap/>
              <w:overflowPunct/>
              <w:topLinePunct w:val="0"/>
              <w:bidi w:val="0"/>
              <w:snapToGrid w:val="0"/>
              <w:spacing w:line="380" w:lineRule="exact"/>
              <w:jc w:val="center"/>
              <w:textAlignment w:val="auto"/>
              <w:rPr>
                <w:rFonts w:ascii="宋体" w:hAnsi="宋体"/>
                <w:color w:val="auto"/>
                <w:szCs w:val="21"/>
                <w:highlight w:val="none"/>
              </w:rPr>
            </w:pPr>
            <w:r>
              <w:rPr>
                <w:rFonts w:hint="default" w:ascii="Times New Roman" w:hAnsi="Times New Roman" w:eastAsia="宋体" w:cs="Times New Roman"/>
                <w:bCs/>
                <w:color w:val="auto"/>
                <w:sz w:val="24"/>
                <w:szCs w:val="24"/>
                <w:highlight w:val="none"/>
              </w:rPr>
              <w:t>验收标准及要求</w:t>
            </w:r>
          </w:p>
        </w:tc>
        <w:tc>
          <w:tcPr>
            <w:tcW w:w="7656" w:type="dxa"/>
            <w:gridSpan w:val="4"/>
            <w:tcBorders>
              <w:top w:val="single" w:color="auto" w:sz="4" w:space="0"/>
              <w:left w:val="single" w:color="auto" w:sz="4" w:space="0"/>
              <w:bottom w:val="single" w:color="auto" w:sz="4" w:space="0"/>
              <w:right w:val="single" w:color="auto" w:sz="4" w:space="0"/>
            </w:tcBorders>
            <w:vAlign w:val="center"/>
          </w:tcPr>
          <w:p w14:paraId="6478ED37">
            <w:pPr>
              <w:pStyle w:val="17"/>
              <w:keepNext w:val="0"/>
              <w:keepLines w:val="0"/>
              <w:pageBreakBefore w:val="0"/>
              <w:kinsoku/>
              <w:wordWrap/>
              <w:overflowPunct/>
              <w:topLinePunct w:val="0"/>
              <w:bidi w:val="0"/>
              <w:snapToGrid w:val="0"/>
              <w:spacing w:line="380" w:lineRule="exact"/>
              <w:textAlignment w:val="auto"/>
              <w:rPr>
                <w:rFonts w:hint="default" w:ascii="Times New Roman" w:hAnsi="Times New Roman" w:eastAsia="宋体" w:cs="Times New Roman"/>
                <w:bCs w:val="0"/>
                <w:color w:val="auto"/>
                <w:sz w:val="22"/>
                <w:szCs w:val="22"/>
                <w:highlight w:val="none"/>
                <w:lang w:val="zh-CN"/>
              </w:rPr>
            </w:pPr>
            <w:r>
              <w:rPr>
                <w:rFonts w:hint="default" w:ascii="Times New Roman" w:hAnsi="Times New Roman" w:eastAsia="宋体" w:cs="Times New Roman"/>
                <w:bCs w:val="0"/>
                <w:color w:val="auto"/>
                <w:sz w:val="22"/>
                <w:szCs w:val="22"/>
                <w:highlight w:val="none"/>
                <w:lang w:val="zh-CN"/>
              </w:rPr>
              <w:t>1.国家</w:t>
            </w:r>
            <w:r>
              <w:rPr>
                <w:rFonts w:hint="eastAsia" w:ascii="Times New Roman" w:hAnsi="Times New Roman" w:cs="Times New Roman"/>
                <w:bCs w:val="0"/>
                <w:color w:val="auto"/>
                <w:sz w:val="22"/>
                <w:szCs w:val="22"/>
                <w:highlight w:val="none"/>
                <w:lang w:val="en-US" w:eastAsia="zh-CN"/>
              </w:rPr>
              <w:t>法律法规、行业</w:t>
            </w:r>
            <w:r>
              <w:rPr>
                <w:rFonts w:hint="default" w:ascii="Times New Roman" w:hAnsi="Times New Roman" w:eastAsia="宋体" w:cs="Times New Roman"/>
                <w:bCs w:val="0"/>
                <w:color w:val="auto"/>
                <w:sz w:val="22"/>
                <w:szCs w:val="22"/>
                <w:highlight w:val="none"/>
                <w:lang w:val="zh-CN"/>
              </w:rPr>
              <w:t>强制性标准及有关规定。</w:t>
            </w:r>
          </w:p>
          <w:p w14:paraId="6FB05C71">
            <w:pPr>
              <w:pStyle w:val="25"/>
              <w:keepNext w:val="0"/>
              <w:keepLines w:val="0"/>
              <w:pageBreakBefore w:val="0"/>
              <w:kinsoku/>
              <w:wordWrap/>
              <w:overflowPunct/>
              <w:topLinePunct w:val="0"/>
              <w:bidi w:val="0"/>
              <w:spacing w:before="0" w:beforeAutospacing="0" w:after="0" w:afterAutospacing="0" w:line="380" w:lineRule="exact"/>
              <w:textAlignment w:val="auto"/>
              <w:rPr>
                <w:rFonts w:ascii="宋体" w:hAnsi="宋体"/>
                <w:color w:val="auto"/>
                <w:szCs w:val="21"/>
                <w:highlight w:val="none"/>
              </w:rPr>
            </w:pPr>
            <w:r>
              <w:rPr>
                <w:rFonts w:hint="default" w:ascii="Times New Roman" w:hAnsi="Times New Roman" w:eastAsia="宋体" w:cs="Times New Roman"/>
                <w:bCs w:val="0"/>
                <w:color w:val="auto"/>
                <w:kern w:val="2"/>
                <w:sz w:val="22"/>
                <w:szCs w:val="22"/>
                <w:highlight w:val="none"/>
                <w:lang w:val="zh-CN"/>
              </w:rPr>
              <w:t>2.</w:t>
            </w:r>
            <w:r>
              <w:rPr>
                <w:rFonts w:hint="default" w:ascii="Times New Roman" w:hAnsi="Times New Roman" w:eastAsia="宋体" w:cs="Times New Roman"/>
                <w:bCs w:val="0"/>
                <w:color w:val="auto"/>
                <w:kern w:val="2"/>
                <w:sz w:val="22"/>
                <w:szCs w:val="22"/>
                <w:highlight w:val="none"/>
                <w:lang w:val="zh-CN" w:eastAsia="zh-CN"/>
              </w:rPr>
              <w:t>招标</w:t>
            </w:r>
            <w:r>
              <w:rPr>
                <w:rFonts w:hint="default" w:ascii="Times New Roman" w:hAnsi="Times New Roman" w:eastAsia="宋体" w:cs="Times New Roman"/>
                <w:bCs w:val="0"/>
                <w:color w:val="auto"/>
                <w:kern w:val="2"/>
                <w:sz w:val="22"/>
                <w:szCs w:val="22"/>
                <w:highlight w:val="none"/>
                <w:lang w:val="zh-CN"/>
              </w:rPr>
              <w:t>文件的采购需求及</w:t>
            </w:r>
            <w:r>
              <w:rPr>
                <w:rFonts w:hint="default" w:ascii="Times New Roman" w:hAnsi="Times New Roman" w:eastAsia="宋体" w:cs="Times New Roman"/>
                <w:bCs w:val="0"/>
                <w:color w:val="auto"/>
                <w:kern w:val="2"/>
                <w:sz w:val="22"/>
                <w:szCs w:val="22"/>
                <w:highlight w:val="none"/>
                <w:lang w:val="zh-CN" w:eastAsia="zh-CN"/>
              </w:rPr>
              <w:t>中标人投标</w:t>
            </w:r>
            <w:r>
              <w:rPr>
                <w:rFonts w:hint="default" w:ascii="Times New Roman" w:hAnsi="Times New Roman" w:eastAsia="宋体" w:cs="Times New Roman"/>
                <w:bCs w:val="0"/>
                <w:color w:val="auto"/>
                <w:kern w:val="2"/>
                <w:sz w:val="22"/>
                <w:szCs w:val="22"/>
                <w:highlight w:val="none"/>
                <w:lang w:val="zh-CN"/>
              </w:rPr>
              <w:t>文件响应的事项。</w:t>
            </w:r>
          </w:p>
        </w:tc>
      </w:tr>
    </w:tbl>
    <w:p w14:paraId="42117153">
      <w:pPr>
        <w:pStyle w:val="2"/>
        <w:jc w:val="center"/>
        <w:rPr>
          <w:rFonts w:hint="eastAsia"/>
          <w:color w:val="auto"/>
          <w:highlight w:val="none"/>
        </w:rPr>
      </w:pPr>
      <w:r>
        <w:rPr>
          <w:rFonts w:ascii="宋体" w:hAnsi="宋体" w:cs="宋体"/>
          <w:color w:val="auto"/>
          <w:sz w:val="20"/>
          <w:szCs w:val="20"/>
          <w:highlight w:val="none"/>
        </w:rPr>
        <w:br w:type="page"/>
      </w:r>
      <w:bookmarkStart w:id="65" w:name="_Toc74323459"/>
      <w:r>
        <w:rPr>
          <w:rFonts w:hint="eastAsia"/>
          <w:color w:val="auto"/>
          <w:highlight w:val="none"/>
        </w:rPr>
        <w:t>第四章  评审程序、评审方法和评审标准</w:t>
      </w:r>
      <w:bookmarkEnd w:id="65"/>
    </w:p>
    <w:p w14:paraId="0CF3BE41">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一、评审程序和评审方法</w:t>
      </w:r>
    </w:p>
    <w:p w14:paraId="44A28E39">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57D1CB2A">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3904212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5A2BB72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“信用中国”网站(www.creditchina.gov.cn)、中国政府采购网(www.ccgp.gov.cn)链接入口。</w:t>
      </w:r>
    </w:p>
    <w:p w14:paraId="6BCC976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66BF3AF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3FB221A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1042E32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0A1107D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.3供应商有下列情形之一的，资格审查不通过，其响应文件按无效响应处理：</w:t>
      </w:r>
    </w:p>
    <w:p w14:paraId="69F8A1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35CFDE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77EFB0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467F44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291B73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3946798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6A0EEB38">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03E1C07F">
      <w:pPr>
        <w:spacing w:line="360" w:lineRule="auto"/>
        <w:ind w:firstLine="420" w:firstLineChars="200"/>
        <w:rPr>
          <w:rFonts w:hint="eastAsia" w:ascii="宋体" w:hAnsi="宋体" w:cs="宋体"/>
          <w:color w:val="auto"/>
          <w:szCs w:val="21"/>
          <w:highlight w:val="none"/>
        </w:rPr>
      </w:pPr>
      <w:bookmarkStart w:id="66"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66"/>
    <w:p w14:paraId="050D81A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E9E7270">
      <w:pPr>
        <w:spacing w:line="360" w:lineRule="auto"/>
        <w:ind w:firstLine="420" w:firstLineChars="200"/>
        <w:rPr>
          <w:rFonts w:hint="eastAsia"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59E6E05C">
      <w:pPr>
        <w:spacing w:line="360" w:lineRule="auto"/>
        <w:ind w:firstLine="420" w:firstLineChars="200"/>
        <w:rPr>
          <w:rFonts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6C8564F5">
      <w:pPr>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0D10A6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7EAAF8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4A6514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34B733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6797D6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661321F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0E8F3D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477819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0706FF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61181D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2D91CA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353F2C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273AB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2FAF6D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76AF48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6B946A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5E47BDE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5F61B8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0D4158F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1）技术要求允许负偏离的条款数超过“供应商须知前附表”规定项数；</w:t>
      </w:r>
    </w:p>
    <w:p w14:paraId="034DD0D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2）虚假竞标，或者出现其他情形而导致被磋商小组认定无效；</w:t>
      </w:r>
    </w:p>
    <w:p w14:paraId="5A0F549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bookmarkStart w:id="67"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67"/>
    </w:p>
    <w:p w14:paraId="748AA4E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4）响应文件标注的项目名称或者项目编号与磋商文件标注的项目名称或者项目编号不一致的；</w:t>
      </w:r>
    </w:p>
    <w:p w14:paraId="56568B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b/>
          <w:color w:val="auto"/>
          <w:szCs w:val="21"/>
          <w:highlight w:val="none"/>
        </w:rPr>
        <w:t>竞争性磋商文件明确不允许分包，响应文件拟分包的；</w:t>
      </w:r>
    </w:p>
    <w:p w14:paraId="385A9AE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6）未响应磋商文件实质性要求；</w:t>
      </w:r>
    </w:p>
    <w:p w14:paraId="697324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17）法律、法规和磋商文件规定的其他无效情形。</w:t>
      </w:r>
    </w:p>
    <w:p w14:paraId="7D6E8F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17310F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报价文件中规定的“竞标报价表”；</w:t>
      </w:r>
    </w:p>
    <w:p w14:paraId="1CA7DF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6E541E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3C561A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68" w:name="_Hlk42596405"/>
      <w:r>
        <w:rPr>
          <w:rFonts w:hint="eastAsia" w:ascii="宋体" w:hAnsi="宋体" w:cs="宋体"/>
          <w:color w:val="auto"/>
          <w:szCs w:val="21"/>
          <w:highlight w:val="none"/>
        </w:rPr>
        <w:t>竞标报价（包含首次报价、最后报价）</w:t>
      </w:r>
      <w:bookmarkEnd w:id="68"/>
      <w:bookmarkStart w:id="69" w:name="_Hlk42596276"/>
      <w:r>
        <w:rPr>
          <w:rFonts w:hint="eastAsia" w:ascii="宋体" w:hAnsi="宋体" w:cs="宋体"/>
          <w:color w:val="auto"/>
          <w:szCs w:val="21"/>
          <w:highlight w:val="none"/>
        </w:rPr>
        <w:t>超过磋商文件分项采购预算金额或者最高限价的</w:t>
      </w:r>
      <w:bookmarkEnd w:id="69"/>
      <w:r>
        <w:rPr>
          <w:rFonts w:hint="eastAsia" w:ascii="宋体" w:hAnsi="宋体" w:cs="宋体"/>
          <w:color w:val="auto"/>
          <w:szCs w:val="21"/>
          <w:highlight w:val="none"/>
        </w:rPr>
        <w:t>（如本项目公布了最高限价）；</w:t>
      </w:r>
    </w:p>
    <w:p w14:paraId="249FE3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0AAEE6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5C401A0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A68ED0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14:paraId="76FEA292">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7F24013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19AAA8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0A3631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1F9E1DC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1B79334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190CF0DB">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w:t>
      </w:r>
    </w:p>
    <w:p w14:paraId="5D13067C">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64FB093">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3.8除</w:t>
      </w:r>
      <w:r>
        <w:rPr>
          <w:color w:val="auto"/>
          <w:highlight w:val="none"/>
        </w:rPr>
        <w:t>本章第3.7条情形</w:t>
      </w:r>
      <w:r>
        <w:rPr>
          <w:rFonts w:hint="eastAsia"/>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273251A0">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1B9BF7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开标大厅提交最后报价，供应商的最后报价如有改变，必须按采购文件“最后报价表格式”要求在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以附件形式提交，不得以总价下浮的方式做报价，按无效响应处理。除本章第</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7227B7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开标大厅提交最后报价。</w:t>
      </w:r>
    </w:p>
    <w:p w14:paraId="497672B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highlight w:val="none"/>
        </w:rPr>
        <w:t>本章第3.7条情形的，</w:t>
      </w:r>
      <w:r>
        <w:rPr>
          <w:rFonts w:hint="eastAsia" w:ascii="宋体" w:hAnsi="宋体" w:cs="宋体"/>
          <w:color w:val="auto"/>
          <w:szCs w:val="21"/>
          <w:highlight w:val="none"/>
        </w:rPr>
        <w:t>提交最后报价的供应商可以为2家。</w:t>
      </w:r>
    </w:p>
    <w:p w14:paraId="4782BF5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1FEE60F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14:paraId="7677B6A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0765AB7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25AEC35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021FB8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40EC7C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24E631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108ADC6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47B15B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5C41E8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1EB7DCD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1F34FEB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1B83241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71DB4DB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36CD57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469BD6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7F32137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最终成交供应商的成交金额等于最后报价（如有修正，以确认修正后的最后报价为准）。</w:t>
      </w:r>
    </w:p>
    <w:p w14:paraId="75E2D7D8">
      <w:pPr>
        <w:spacing w:line="360" w:lineRule="auto"/>
        <w:ind w:firstLine="420" w:firstLineChars="200"/>
        <w:rPr>
          <w:rFonts w:hint="eastAsia" w:ascii="宋体" w:hAnsi="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ascii="宋体" w:hAnsi="宋体"/>
          <w:color w:val="auto"/>
          <w:kern w:val="0"/>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50214574">
      <w:pPr>
        <w:spacing w:line="360" w:lineRule="auto"/>
        <w:ind w:firstLine="420" w:firstLineChars="200"/>
        <w:rPr>
          <w:rFonts w:hint="eastAsia" w:ascii="宋体" w:hAnsi="宋体" w:cs="宋体"/>
          <w:color w:val="auto"/>
          <w:szCs w:val="21"/>
          <w:highlight w:val="none"/>
        </w:rPr>
      </w:pPr>
      <w:r>
        <w:rPr>
          <w:rFonts w:ascii="宋体" w:hAnsi="宋体"/>
          <w:color w:val="auto"/>
          <w:kern w:val="0"/>
          <w:szCs w:val="21"/>
          <w:highlight w:val="none"/>
        </w:rPr>
        <w:t>5.6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BE3DA15">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165A1F87">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二、评审标准</w:t>
      </w:r>
    </w:p>
    <w:p w14:paraId="51A2BD7D">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709"/>
        <w:gridCol w:w="1559"/>
        <w:gridCol w:w="5448"/>
      </w:tblGrid>
      <w:tr w14:paraId="502D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26" w:type="dxa"/>
            <w:gridSpan w:val="5"/>
            <w:noWrap w:val="0"/>
            <w:vAlign w:val="center"/>
          </w:tcPr>
          <w:p w14:paraId="228DB7DD">
            <w:pPr>
              <w:keepNext w:val="0"/>
              <w:keepLines w:val="0"/>
              <w:pageBreakBefore w:val="0"/>
              <w:kinsoku/>
              <w:wordWrap/>
              <w:overflowPunct/>
              <w:topLinePunct w:val="0"/>
              <w:autoSpaceDE/>
              <w:autoSpaceDN/>
              <w:bidi w:val="0"/>
              <w:adjustRightInd w:val="0"/>
              <w:snapToGrid w:val="0"/>
              <w:spacing w:before="0" w:beforeLines="50" w:line="360" w:lineRule="auto"/>
              <w:jc w:val="left"/>
              <w:rPr>
                <w:rFonts w:hint="eastAsia" w:ascii="宋体" w:hAnsi="宋体" w:eastAsia="宋体" w:cs="宋体"/>
                <w:b/>
                <w:bCs/>
                <w:snapToGrid w:val="0"/>
                <w:color w:val="auto"/>
                <w:kern w:val="0"/>
                <w:sz w:val="21"/>
                <w:szCs w:val="21"/>
                <w:highlight w:val="none"/>
              </w:rPr>
            </w:pPr>
            <w:r>
              <w:rPr>
                <w:rFonts w:hint="eastAsia" w:ascii="宋体" w:hAnsi="宋体" w:eastAsia="宋体" w:cs="宋体"/>
                <w:b/>
                <w:color w:val="auto"/>
                <w:spacing w:val="-6"/>
                <w:sz w:val="21"/>
                <w:szCs w:val="21"/>
                <w:highlight w:val="none"/>
              </w:rPr>
              <w:t>二、综合评分</w:t>
            </w:r>
          </w:p>
        </w:tc>
      </w:tr>
      <w:tr w14:paraId="305A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noWrap w:val="0"/>
            <w:vAlign w:val="center"/>
          </w:tcPr>
          <w:p w14:paraId="1B5FCD49">
            <w:pPr>
              <w:keepNext w:val="0"/>
              <w:keepLines w:val="0"/>
              <w:pageBreakBefore w:val="0"/>
              <w:kinsoku/>
              <w:wordWrap/>
              <w:overflowPunct/>
              <w:topLinePunct w:val="0"/>
              <w:autoSpaceDE/>
              <w:autoSpaceDN/>
              <w:bidi w:val="0"/>
              <w:adjustRightInd w:val="0"/>
              <w:spacing w:before="0" w:beforeLines="50" w:line="410" w:lineRule="exact"/>
              <w:jc w:val="center"/>
              <w:textAlignment w:val="baseline"/>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序号</w:t>
            </w:r>
          </w:p>
        </w:tc>
        <w:tc>
          <w:tcPr>
            <w:tcW w:w="1280" w:type="dxa"/>
            <w:noWrap w:val="0"/>
            <w:vAlign w:val="center"/>
          </w:tcPr>
          <w:p w14:paraId="17EE8EC9">
            <w:pPr>
              <w:keepNext w:val="0"/>
              <w:keepLines w:val="0"/>
              <w:pageBreakBefore w:val="0"/>
              <w:kinsoku/>
              <w:wordWrap/>
              <w:overflowPunct/>
              <w:topLinePunct w:val="0"/>
              <w:autoSpaceDE/>
              <w:autoSpaceDN/>
              <w:bidi w:val="0"/>
              <w:adjustRightInd w:val="0"/>
              <w:spacing w:before="0" w:beforeLines="50" w:line="410" w:lineRule="exact"/>
              <w:jc w:val="center"/>
              <w:textAlignment w:val="baseline"/>
              <w:rPr>
                <w:rFonts w:ascii="宋体" w:hAnsi="宋体" w:eastAsia="宋体" w:cs="Times New Roman"/>
                <w:color w:val="auto"/>
                <w:sz w:val="21"/>
                <w:szCs w:val="21"/>
                <w:highlight w:val="none"/>
              </w:rPr>
            </w:pPr>
            <w:r>
              <w:rPr>
                <w:rFonts w:hint="eastAsia" w:ascii="宋体" w:hAnsi="宋体" w:eastAsia="宋体" w:cs="Times New Roman"/>
                <w:b/>
                <w:color w:val="auto"/>
                <w:sz w:val="21"/>
                <w:szCs w:val="21"/>
                <w:highlight w:val="none"/>
              </w:rPr>
              <w:t>评审因素</w:t>
            </w:r>
          </w:p>
        </w:tc>
        <w:tc>
          <w:tcPr>
            <w:tcW w:w="709" w:type="dxa"/>
            <w:noWrap w:val="0"/>
            <w:vAlign w:val="center"/>
          </w:tcPr>
          <w:p w14:paraId="5B1FD331">
            <w:pPr>
              <w:keepNext w:val="0"/>
              <w:keepLines w:val="0"/>
              <w:pageBreakBefore w:val="0"/>
              <w:kinsoku/>
              <w:wordWrap/>
              <w:overflowPunct/>
              <w:topLinePunct w:val="0"/>
              <w:autoSpaceDE/>
              <w:autoSpaceDN/>
              <w:bidi w:val="0"/>
              <w:adjustRightInd w:val="0"/>
              <w:spacing w:before="0" w:beforeLines="50" w:line="410" w:lineRule="exact"/>
              <w:jc w:val="center"/>
              <w:textAlignment w:val="baseline"/>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分值</w:t>
            </w:r>
          </w:p>
        </w:tc>
        <w:tc>
          <w:tcPr>
            <w:tcW w:w="7007" w:type="dxa"/>
            <w:gridSpan w:val="2"/>
            <w:noWrap w:val="0"/>
            <w:vAlign w:val="center"/>
          </w:tcPr>
          <w:p w14:paraId="68E2F09C">
            <w:pPr>
              <w:keepNext w:val="0"/>
              <w:keepLines w:val="0"/>
              <w:pageBreakBefore w:val="0"/>
              <w:kinsoku/>
              <w:wordWrap/>
              <w:overflowPunct/>
              <w:topLinePunct w:val="0"/>
              <w:autoSpaceDE/>
              <w:autoSpaceDN/>
              <w:bidi w:val="0"/>
              <w:adjustRightInd w:val="0"/>
              <w:spacing w:before="0" w:beforeLines="50" w:line="410" w:lineRule="exact"/>
              <w:jc w:val="center"/>
              <w:textAlignment w:val="baseline"/>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评标标准</w:t>
            </w:r>
          </w:p>
        </w:tc>
      </w:tr>
      <w:tr w14:paraId="329E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jc w:val="center"/>
        </w:trPr>
        <w:tc>
          <w:tcPr>
            <w:tcW w:w="730" w:type="dxa"/>
            <w:noWrap w:val="0"/>
            <w:vAlign w:val="center"/>
          </w:tcPr>
          <w:p w14:paraId="25FAC374">
            <w:pPr>
              <w:keepNext w:val="0"/>
              <w:keepLines w:val="0"/>
              <w:pageBreakBefore w:val="0"/>
              <w:kinsoku/>
              <w:wordWrap/>
              <w:overflowPunct/>
              <w:topLinePunct w:val="0"/>
              <w:autoSpaceDE/>
              <w:autoSpaceDN/>
              <w:bidi w:val="0"/>
              <w:adjustRightInd w:val="0"/>
              <w:spacing w:before="0" w:beforeLines="50" w:line="360" w:lineRule="auto"/>
              <w:jc w:val="center"/>
              <w:textAlignment w:val="baseline"/>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1</w:t>
            </w:r>
          </w:p>
        </w:tc>
        <w:tc>
          <w:tcPr>
            <w:tcW w:w="1280" w:type="dxa"/>
            <w:noWrap w:val="0"/>
            <w:vAlign w:val="center"/>
          </w:tcPr>
          <w:p w14:paraId="34F143B8">
            <w:pPr>
              <w:keepNext w:val="0"/>
              <w:keepLines w:val="0"/>
              <w:pageBreakBefore w:val="0"/>
              <w:kinsoku/>
              <w:wordWrap/>
              <w:overflowPunct/>
              <w:topLinePunct w:val="0"/>
              <w:autoSpaceDE/>
              <w:autoSpaceDN/>
              <w:bidi w:val="0"/>
              <w:adjustRightInd w:val="0"/>
              <w:spacing w:before="0" w:beforeLines="50" w:line="360" w:lineRule="auto"/>
              <w:jc w:val="center"/>
              <w:textAlignment w:val="baseline"/>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rPr>
              <w:t>报价</w:t>
            </w:r>
            <w:r>
              <w:rPr>
                <w:rFonts w:hint="eastAsia" w:ascii="宋体" w:hAnsi="宋体" w:eastAsia="宋体" w:cs="Times New Roman"/>
                <w:b/>
                <w:color w:val="auto"/>
                <w:sz w:val="21"/>
                <w:szCs w:val="21"/>
                <w:highlight w:val="none"/>
                <w:lang w:val="en-US" w:eastAsia="zh-CN"/>
              </w:rPr>
              <w:t>分</w:t>
            </w:r>
          </w:p>
        </w:tc>
        <w:tc>
          <w:tcPr>
            <w:tcW w:w="709" w:type="dxa"/>
            <w:noWrap w:val="0"/>
            <w:vAlign w:val="center"/>
          </w:tcPr>
          <w:p w14:paraId="0312FD6A">
            <w:pPr>
              <w:keepNext w:val="0"/>
              <w:keepLines w:val="0"/>
              <w:pageBreakBefore w:val="0"/>
              <w:kinsoku/>
              <w:wordWrap/>
              <w:overflowPunct/>
              <w:topLinePunct w:val="0"/>
              <w:autoSpaceDE/>
              <w:autoSpaceDN/>
              <w:bidi w:val="0"/>
              <w:adjustRightInd w:val="0"/>
              <w:spacing w:before="0" w:beforeLines="50" w:line="360" w:lineRule="auto"/>
              <w:jc w:val="center"/>
              <w:textAlignment w:val="baseline"/>
              <w:rPr>
                <w:rFonts w:ascii="宋体" w:hAnsi="宋体" w:eastAsia="宋体" w:cs="Times New Roman"/>
                <w:b/>
                <w:color w:val="auto"/>
                <w:sz w:val="21"/>
                <w:szCs w:val="21"/>
                <w:highlight w:val="none"/>
              </w:rPr>
            </w:pPr>
            <w:r>
              <w:rPr>
                <w:rFonts w:hint="eastAsia" w:ascii="宋体" w:hAnsi="宋体" w:cs="Times New Roman"/>
                <w:b/>
                <w:color w:val="auto"/>
                <w:sz w:val="21"/>
                <w:szCs w:val="21"/>
                <w:highlight w:val="none"/>
                <w:lang w:val="en-US" w:eastAsia="zh-CN"/>
              </w:rPr>
              <w:t>1</w:t>
            </w:r>
            <w:r>
              <w:rPr>
                <w:rFonts w:hint="eastAsia" w:ascii="宋体" w:hAnsi="宋体" w:eastAsia="宋体" w:cs="Times New Roman"/>
                <w:b/>
                <w:color w:val="auto"/>
                <w:sz w:val="21"/>
                <w:szCs w:val="21"/>
                <w:highlight w:val="none"/>
              </w:rPr>
              <w:t>0分</w:t>
            </w:r>
          </w:p>
        </w:tc>
        <w:tc>
          <w:tcPr>
            <w:tcW w:w="7007" w:type="dxa"/>
            <w:gridSpan w:val="2"/>
            <w:noWrap w:val="0"/>
            <w:vAlign w:val="top"/>
          </w:tcPr>
          <w:p w14:paraId="68781C08">
            <w:pPr>
              <w:pStyle w:val="17"/>
              <w:spacing w:line="400" w:lineRule="exact"/>
              <w:rPr>
                <w:rFonts w:hint="eastAsia" w:hAnsi="宋体" w:cs="Courier New"/>
                <w:bCs/>
                <w:color w:val="auto"/>
                <w:kern w:val="2"/>
                <w:sz w:val="21"/>
                <w:highlight w:val="none"/>
              </w:rPr>
            </w:pPr>
            <w:r>
              <w:rPr>
                <w:rFonts w:hint="eastAsia" w:hAnsi="宋体" w:cs="Courier New"/>
                <w:bCs/>
                <w:color w:val="auto"/>
                <w:kern w:val="2"/>
                <w:sz w:val="21"/>
                <w:highlight w:val="none"/>
              </w:rPr>
              <w:t>（1）根据《政府采购促进中小企业发展管理办法》（财库[2020]46 号）和《关于进一步加大政府采购支持中小企业力度的通知》（财库[2022]19 号）规定，扣除后的价格为评标报价。承接本项目服务的供应商认定为小型、微型企业，响应文件中提供《中小企业声明函》，其最后报价给予 20%的扣除，扣除后的价格为评审报价，即供应商的评审报价=最后报价×（1-20%）；除上述情况外，评审报价=最后报价。</w:t>
            </w:r>
          </w:p>
          <w:p w14:paraId="0B619718">
            <w:pPr>
              <w:pStyle w:val="17"/>
              <w:spacing w:line="400" w:lineRule="exact"/>
              <w:rPr>
                <w:rFonts w:hint="eastAsia" w:ascii="宋体" w:hAnsi="宋体" w:eastAsia="宋体" w:cs="Courier New"/>
                <w:bCs/>
                <w:color w:val="auto"/>
                <w:kern w:val="2"/>
                <w:sz w:val="21"/>
                <w:highlight w:val="none"/>
              </w:rPr>
            </w:pPr>
            <w:r>
              <w:rPr>
                <w:rFonts w:hint="eastAsia" w:hAnsi="宋体" w:cs="Courier New"/>
                <w:bCs/>
                <w:color w:val="auto"/>
                <w:kern w:val="2"/>
                <w:sz w:val="21"/>
                <w:highlight w:val="none"/>
              </w:rPr>
              <w:t>（2）根据《关于政府采购支持监狱企业发展有关问题的通知》（财库[2014]68 号）和《关于促进 残疾人就业政府采购政策的通知》（财库[2017]141号），监狱企业和符合条件的残疾人福利性单位视 同小型、微型企业，享受小型、微型企业评审中价格扣除的政府采购政</w:t>
            </w:r>
            <w:r>
              <w:rPr>
                <w:rFonts w:hint="eastAsia" w:ascii="宋体" w:hAnsi="宋体" w:eastAsia="宋体" w:cs="Courier New"/>
                <w:bCs/>
                <w:color w:val="auto"/>
                <w:kern w:val="2"/>
                <w:sz w:val="21"/>
                <w:highlight w:val="none"/>
              </w:rPr>
              <w:t>策。残疾人福利性单位属于小型、微型企业的，不重复享受政策。</w:t>
            </w:r>
          </w:p>
          <w:p w14:paraId="4AA84B1E">
            <w:pPr>
              <w:pStyle w:val="17"/>
              <w:spacing w:line="400" w:lineRule="exact"/>
              <w:rPr>
                <w:rFonts w:hint="eastAsia" w:ascii="宋体" w:hAnsi="宋体" w:eastAsia="宋体" w:cs="Courier New"/>
                <w:bCs/>
                <w:color w:val="auto"/>
                <w:kern w:val="2"/>
                <w:sz w:val="21"/>
                <w:highlight w:val="none"/>
                <w:lang w:val="en-US" w:eastAsia="zh-CN"/>
              </w:rPr>
            </w:pPr>
            <w:r>
              <w:rPr>
                <w:rFonts w:hint="eastAsia" w:ascii="宋体" w:hAnsi="宋体" w:eastAsia="宋体" w:cs="Courier New"/>
                <w:bCs/>
                <w:color w:val="auto"/>
                <w:kern w:val="2"/>
                <w:sz w:val="21"/>
                <w:highlight w:val="none"/>
                <w:lang w:val="en-US" w:eastAsia="zh-CN"/>
              </w:rPr>
              <w:t>（3）除上述情况外，评审价＝最后报价。</w:t>
            </w:r>
          </w:p>
          <w:p w14:paraId="4C9B28EE">
            <w:pPr>
              <w:pStyle w:val="17"/>
              <w:spacing w:line="400" w:lineRule="exact"/>
              <w:rPr>
                <w:rFonts w:hint="default" w:ascii="宋体" w:hAnsi="宋体" w:eastAsia="宋体" w:cs="Courier New"/>
                <w:bCs/>
                <w:color w:val="auto"/>
                <w:kern w:val="2"/>
                <w:sz w:val="21"/>
                <w:highlight w:val="none"/>
                <w:lang w:val="en-US" w:eastAsia="zh-CN"/>
              </w:rPr>
            </w:pPr>
            <w:r>
              <w:rPr>
                <w:rFonts w:hint="eastAsia" w:ascii="宋体" w:hAnsi="宋体" w:eastAsia="宋体" w:cs="Courier New"/>
                <w:bCs/>
                <w:color w:val="auto"/>
                <w:kern w:val="2"/>
                <w:sz w:val="21"/>
                <w:highlight w:val="none"/>
                <w:lang w:val="en-US" w:eastAsia="zh-CN"/>
              </w:rPr>
              <w:t>（4）以进入综合评分环节的最低的评审报价为基准价，基准价报价得分为 10 分。</w:t>
            </w:r>
          </w:p>
          <w:p w14:paraId="30D1D77F">
            <w:pPr>
              <w:pStyle w:val="17"/>
              <w:spacing w:line="400" w:lineRule="exact"/>
              <w:rPr>
                <w:rFonts w:hint="eastAsia" w:hAnsi="宋体" w:cs="Courier New"/>
                <w:bCs/>
                <w:color w:val="auto"/>
                <w:kern w:val="2"/>
                <w:sz w:val="21"/>
                <w:highlight w:val="none"/>
              </w:rPr>
            </w:pPr>
            <w:r>
              <w:rPr>
                <w:rFonts w:hint="eastAsia" w:hAnsi="宋体" w:cs="Courier New"/>
                <w:bCs/>
                <w:color w:val="auto"/>
                <w:kern w:val="2"/>
                <w:sz w:val="21"/>
                <w:highlight w:val="none"/>
              </w:rPr>
              <w:t>（</w:t>
            </w:r>
            <w:r>
              <w:rPr>
                <w:rFonts w:hint="eastAsia" w:hAnsi="宋体" w:cs="Courier New"/>
                <w:bCs/>
                <w:color w:val="auto"/>
                <w:kern w:val="2"/>
                <w:sz w:val="21"/>
                <w:highlight w:val="none"/>
                <w:lang w:val="en-US" w:eastAsia="zh-CN"/>
              </w:rPr>
              <w:t>5</w:t>
            </w:r>
            <w:r>
              <w:rPr>
                <w:rFonts w:hint="eastAsia" w:hAnsi="宋体" w:cs="Courier New"/>
                <w:bCs/>
                <w:color w:val="auto"/>
                <w:kern w:val="2"/>
                <w:sz w:val="21"/>
                <w:highlight w:val="none"/>
              </w:rPr>
              <w:t>）价格分计算公式：</w:t>
            </w:r>
          </w:p>
          <w:p w14:paraId="6433F174">
            <w:pPr>
              <w:keepNext w:val="0"/>
              <w:keepLines w:val="0"/>
              <w:pageBreakBefore w:val="0"/>
              <w:kinsoku/>
              <w:wordWrap/>
              <w:overflowPunct/>
              <w:topLinePunct w:val="0"/>
              <w:autoSpaceDE/>
              <w:autoSpaceDN/>
              <w:bidi w:val="0"/>
              <w:spacing w:before="0" w:beforeLines="50" w:line="240" w:lineRule="auto"/>
              <w:ind w:firstLine="315" w:firstLineChars="150"/>
              <w:jc w:val="left"/>
              <w:rPr>
                <w:rFonts w:hint="eastAsia" w:ascii="Times New Roman" w:hAnsi="Times New Roman" w:eastAsia="宋体" w:cs="Times New Roman"/>
                <w:color w:val="auto"/>
                <w:sz w:val="21"/>
                <w:szCs w:val="21"/>
                <w:highlight w:val="none"/>
              </w:rPr>
            </w:pPr>
            <w:r>
              <w:rPr>
                <w:rFonts w:hint="eastAsia" w:ascii="宋体" w:hAnsi="宋体" w:cs="Courier New"/>
                <w:bCs/>
                <w:color w:val="auto"/>
                <w:szCs w:val="21"/>
                <w:highlight w:val="none"/>
              </w:rPr>
              <w:t>报价得分=（基准价/最后报价）×10分</w:t>
            </w:r>
            <w:r>
              <w:rPr>
                <w:rFonts w:hint="eastAsia" w:ascii="Times New Roman" w:hAnsi="Times New Roman" w:eastAsia="宋体" w:cs="Times New Roman"/>
                <w:color w:val="auto"/>
                <w:sz w:val="21"/>
                <w:szCs w:val="21"/>
                <w:highlight w:val="none"/>
                <w:lang w:val="en-US" w:eastAsia="zh-CN"/>
              </w:rPr>
              <w:t xml:space="preserve"> </w:t>
            </w:r>
          </w:p>
          <w:p w14:paraId="1377BC0C">
            <w:pPr>
              <w:keepNext w:val="0"/>
              <w:keepLines w:val="0"/>
              <w:pageBreakBefore w:val="0"/>
              <w:kinsoku/>
              <w:wordWrap/>
              <w:overflowPunct/>
              <w:topLinePunct w:val="0"/>
              <w:autoSpaceDE/>
              <w:autoSpaceDN/>
              <w:bidi w:val="0"/>
              <w:spacing w:before="0" w:beforeLines="50" w:line="240" w:lineRule="auto"/>
              <w:ind w:firstLine="315" w:firstLineChars="150"/>
              <w:jc w:val="left"/>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 xml:space="preserve">注：磋商小组认为供应商的报价明显低于其他通过符合性审查供应商 </w:t>
            </w:r>
          </w:p>
          <w:p w14:paraId="35DE758A">
            <w:pPr>
              <w:keepNext w:val="0"/>
              <w:keepLines w:val="0"/>
              <w:pageBreakBefore w:val="0"/>
              <w:kinsoku/>
              <w:wordWrap/>
              <w:overflowPunct/>
              <w:topLinePunct w:val="0"/>
              <w:autoSpaceDE/>
              <w:autoSpaceDN/>
              <w:bidi w:val="0"/>
              <w:spacing w:before="0" w:beforeLines="50" w:line="240" w:lineRule="auto"/>
              <w:jc w:val="lef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的报价，有可能影响服务质量或者不能诚信履约的，应当要求其在评标现场合理的时间内提供书面说明，必要时提交相关证明材料；供应商不能证明其报价合理性的，磋商小组应当将其作为无效投标处理。</w:t>
            </w:r>
          </w:p>
        </w:tc>
      </w:tr>
      <w:tr w14:paraId="1370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restart"/>
            <w:noWrap w:val="0"/>
            <w:vAlign w:val="center"/>
          </w:tcPr>
          <w:p w14:paraId="6559CB0B">
            <w:pPr>
              <w:keepNext w:val="0"/>
              <w:keepLines w:val="0"/>
              <w:pageBreakBefore w:val="0"/>
              <w:kinsoku/>
              <w:wordWrap/>
              <w:overflowPunct/>
              <w:topLinePunct w:val="0"/>
              <w:autoSpaceDE/>
              <w:autoSpaceDN/>
              <w:bidi w:val="0"/>
              <w:adjustRightInd w:val="0"/>
              <w:spacing w:before="0" w:beforeLines="50" w:line="360" w:lineRule="auto"/>
              <w:jc w:val="center"/>
              <w:textAlignment w:val="baseline"/>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2</w:t>
            </w:r>
          </w:p>
        </w:tc>
        <w:tc>
          <w:tcPr>
            <w:tcW w:w="1280" w:type="dxa"/>
            <w:vMerge w:val="restart"/>
            <w:noWrap w:val="0"/>
            <w:vAlign w:val="center"/>
          </w:tcPr>
          <w:p w14:paraId="385338CF">
            <w:pPr>
              <w:keepNext w:val="0"/>
              <w:keepLines w:val="0"/>
              <w:pageBreakBefore w:val="0"/>
              <w:kinsoku/>
              <w:wordWrap/>
              <w:overflowPunct/>
              <w:topLinePunct w:val="0"/>
              <w:autoSpaceDE/>
              <w:autoSpaceDN/>
              <w:bidi w:val="0"/>
              <w:adjustRightInd w:val="0"/>
              <w:spacing w:before="0" w:beforeLines="50" w:line="360" w:lineRule="auto"/>
              <w:jc w:val="center"/>
              <w:textAlignment w:val="baseline"/>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技术分</w:t>
            </w:r>
          </w:p>
        </w:tc>
        <w:tc>
          <w:tcPr>
            <w:tcW w:w="709" w:type="dxa"/>
            <w:vMerge w:val="restart"/>
            <w:noWrap w:val="0"/>
            <w:vAlign w:val="center"/>
          </w:tcPr>
          <w:p w14:paraId="597AC89C">
            <w:pPr>
              <w:keepNext w:val="0"/>
              <w:keepLines w:val="0"/>
              <w:pageBreakBefore w:val="0"/>
              <w:kinsoku/>
              <w:wordWrap/>
              <w:overflowPunct/>
              <w:topLinePunct w:val="0"/>
              <w:autoSpaceDE/>
              <w:autoSpaceDN/>
              <w:bidi w:val="0"/>
              <w:adjustRightInd w:val="0"/>
              <w:spacing w:before="0" w:beforeLines="50" w:line="400" w:lineRule="exact"/>
              <w:jc w:val="center"/>
              <w:textAlignment w:val="baseline"/>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5</w:t>
            </w:r>
            <w:r>
              <w:rPr>
                <w:rFonts w:hint="eastAsia" w:ascii="宋体" w:hAnsi="宋体" w:eastAsia="宋体" w:cs="Times New Roman"/>
                <w:b/>
                <w:color w:val="auto"/>
                <w:sz w:val="21"/>
                <w:szCs w:val="21"/>
                <w:highlight w:val="none"/>
                <w:lang w:val="en-US" w:eastAsia="zh-CN"/>
              </w:rPr>
              <w:t>5</w:t>
            </w:r>
            <w:r>
              <w:rPr>
                <w:rFonts w:hint="eastAsia" w:ascii="宋体" w:hAnsi="宋体" w:eastAsia="宋体" w:cs="Times New Roman"/>
                <w:b/>
                <w:color w:val="auto"/>
                <w:sz w:val="21"/>
                <w:szCs w:val="21"/>
                <w:highlight w:val="none"/>
              </w:rPr>
              <w:t>分</w:t>
            </w:r>
          </w:p>
        </w:tc>
        <w:tc>
          <w:tcPr>
            <w:tcW w:w="1559" w:type="dxa"/>
            <w:noWrap w:val="0"/>
            <w:vAlign w:val="center"/>
          </w:tcPr>
          <w:p w14:paraId="51CFC256">
            <w:pPr>
              <w:keepNext w:val="0"/>
              <w:keepLines w:val="0"/>
              <w:pageBreakBefore w:val="0"/>
              <w:kinsoku/>
              <w:wordWrap/>
              <w:overflowPunct/>
              <w:topLinePunct w:val="0"/>
              <w:autoSpaceDE/>
              <w:autoSpaceDN/>
              <w:bidi w:val="0"/>
              <w:spacing w:before="0" w:beforeLines="50" w:line="360" w:lineRule="auto"/>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（1）实施方案(满分30分)</w:t>
            </w:r>
          </w:p>
          <w:p w14:paraId="4A861215">
            <w:pPr>
              <w:keepNext w:val="0"/>
              <w:keepLines w:val="0"/>
              <w:pageBreakBefore w:val="0"/>
              <w:kinsoku/>
              <w:wordWrap/>
              <w:overflowPunct/>
              <w:topLinePunct w:val="0"/>
              <w:autoSpaceDE/>
              <w:autoSpaceDN/>
              <w:bidi w:val="0"/>
              <w:spacing w:before="0" w:beforeLines="50" w:line="400" w:lineRule="exact"/>
              <w:jc w:val="center"/>
              <w:rPr>
                <w:rFonts w:ascii="宋体" w:hAnsi="宋体" w:eastAsia="宋体" w:cs="Times New Roman"/>
                <w:b/>
                <w:color w:val="auto"/>
                <w:sz w:val="21"/>
                <w:szCs w:val="21"/>
                <w:highlight w:val="none"/>
              </w:rPr>
            </w:pPr>
          </w:p>
        </w:tc>
        <w:tc>
          <w:tcPr>
            <w:tcW w:w="5448" w:type="dxa"/>
            <w:noWrap w:val="0"/>
            <w:vAlign w:val="center"/>
          </w:tcPr>
          <w:p w14:paraId="392E5323">
            <w:pPr>
              <w:keepNext w:val="0"/>
              <w:keepLines w:val="0"/>
              <w:pageBreakBefore w:val="0"/>
              <w:kinsoku/>
              <w:wordWrap/>
              <w:overflowPunct/>
              <w:topLinePunct w:val="0"/>
              <w:autoSpaceDE/>
              <w:autoSpaceDN/>
              <w:bidi w:val="0"/>
              <w:spacing w:before="0" w:beforeLines="50" w:line="240" w:lineRule="auto"/>
              <w:ind w:firstLine="315" w:firstLineChars="150"/>
              <w:jc w:val="lef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不满足一档或不提供不得分。</w:t>
            </w:r>
          </w:p>
          <w:p w14:paraId="20CF507E">
            <w:pPr>
              <w:keepNext w:val="0"/>
              <w:keepLines w:val="0"/>
              <w:pageBreakBefore w:val="0"/>
              <w:kinsoku/>
              <w:wordWrap/>
              <w:overflowPunct/>
              <w:topLinePunct w:val="0"/>
              <w:autoSpaceDE/>
              <w:autoSpaceDN/>
              <w:bidi w:val="0"/>
              <w:spacing w:before="0" w:beforeLines="50" w:line="240" w:lineRule="auto"/>
              <w:ind w:firstLine="315" w:firstLineChars="150"/>
              <w:jc w:val="lef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一档（10分）：对项目概况理解一般，技术路线较一般，对区域内耕地</w:t>
            </w:r>
            <w:r>
              <w:rPr>
                <w:rFonts w:hint="eastAsia" w:ascii="Times New Roman" w:hAnsi="Times New Roman" w:eastAsia="宋体" w:cs="Times New Roman"/>
                <w:color w:val="auto"/>
                <w:sz w:val="21"/>
                <w:szCs w:val="21"/>
                <w:highlight w:val="none"/>
                <w:lang w:eastAsia="zh-CN"/>
              </w:rPr>
              <w:t>调查摸底内容</w:t>
            </w:r>
            <w:r>
              <w:rPr>
                <w:rFonts w:hint="eastAsia" w:ascii="Times New Roman" w:hAnsi="Times New Roman" w:eastAsia="宋体" w:cs="Times New Roman"/>
                <w:color w:val="auto"/>
                <w:sz w:val="21"/>
                <w:szCs w:val="21"/>
                <w:highlight w:val="none"/>
              </w:rPr>
              <w:t>和主要问题理解不全面或简单的。</w:t>
            </w:r>
          </w:p>
          <w:p w14:paraId="53AE94C9">
            <w:pPr>
              <w:keepNext w:val="0"/>
              <w:keepLines w:val="0"/>
              <w:pageBreakBefore w:val="0"/>
              <w:kinsoku/>
              <w:wordWrap/>
              <w:overflowPunct/>
              <w:topLinePunct w:val="0"/>
              <w:autoSpaceDE/>
              <w:autoSpaceDN/>
              <w:bidi w:val="0"/>
              <w:spacing w:before="0" w:beforeLines="50" w:line="240" w:lineRule="auto"/>
              <w:ind w:firstLine="315" w:firstLineChars="150"/>
              <w:jc w:val="lef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二档（20分）：对项目概况理解较好，技术路线较合理，对区域内耕地</w:t>
            </w:r>
            <w:r>
              <w:rPr>
                <w:rFonts w:hint="eastAsia" w:ascii="Times New Roman" w:hAnsi="Times New Roman" w:eastAsia="宋体" w:cs="Times New Roman"/>
                <w:color w:val="auto"/>
                <w:sz w:val="21"/>
                <w:szCs w:val="21"/>
                <w:highlight w:val="none"/>
                <w:lang w:eastAsia="zh-CN"/>
              </w:rPr>
              <w:t>调查摸底内容</w:t>
            </w:r>
            <w:r>
              <w:rPr>
                <w:rFonts w:hint="eastAsia" w:ascii="Times New Roman" w:hAnsi="Times New Roman" w:eastAsia="宋体" w:cs="Times New Roman"/>
                <w:color w:val="auto"/>
                <w:sz w:val="21"/>
                <w:szCs w:val="21"/>
                <w:highlight w:val="none"/>
              </w:rPr>
              <w:t>分析较为详尽，较为符合项目实际情况的。</w:t>
            </w:r>
          </w:p>
          <w:p w14:paraId="2B4A9F50">
            <w:pPr>
              <w:keepNext w:val="0"/>
              <w:keepLines w:val="0"/>
              <w:pageBreakBefore w:val="0"/>
              <w:kinsoku/>
              <w:wordWrap/>
              <w:overflowPunct/>
              <w:topLinePunct w:val="0"/>
              <w:autoSpaceDE/>
              <w:autoSpaceDN/>
              <w:bidi w:val="0"/>
              <w:spacing w:before="0" w:beforeLines="50" w:line="240" w:lineRule="auto"/>
              <w:ind w:firstLine="315" w:firstLineChars="150"/>
              <w:jc w:val="lef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三档（30分）：对项目概况理解准确、到位；技术路线科学合理；编制思路清晰；工作理念契合实际。对区域内耕地</w:t>
            </w:r>
            <w:r>
              <w:rPr>
                <w:rFonts w:hint="eastAsia" w:ascii="Times New Roman" w:hAnsi="Times New Roman" w:eastAsia="宋体" w:cs="Times New Roman"/>
                <w:color w:val="auto"/>
                <w:sz w:val="21"/>
                <w:szCs w:val="21"/>
                <w:highlight w:val="none"/>
                <w:lang w:eastAsia="zh-CN"/>
              </w:rPr>
              <w:t>调查摸底内容</w:t>
            </w:r>
            <w:r>
              <w:rPr>
                <w:rFonts w:hint="eastAsia" w:ascii="Times New Roman" w:hAnsi="Times New Roman" w:eastAsia="宋体" w:cs="Times New Roman"/>
                <w:color w:val="auto"/>
                <w:sz w:val="21"/>
                <w:szCs w:val="21"/>
                <w:highlight w:val="none"/>
              </w:rPr>
              <w:t>分析详尽，能提炼工作过程中主要问题并提出合理的解决措施。</w:t>
            </w:r>
          </w:p>
        </w:tc>
      </w:tr>
      <w:tr w14:paraId="4426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noWrap w:val="0"/>
            <w:vAlign w:val="center"/>
          </w:tcPr>
          <w:p w14:paraId="262AEFDE">
            <w:pPr>
              <w:keepNext w:val="0"/>
              <w:keepLines w:val="0"/>
              <w:pageBreakBefore w:val="0"/>
              <w:kinsoku/>
              <w:wordWrap/>
              <w:overflowPunct/>
              <w:topLinePunct w:val="0"/>
              <w:autoSpaceDE/>
              <w:autoSpaceDN/>
              <w:bidi w:val="0"/>
              <w:adjustRightInd w:val="0"/>
              <w:spacing w:before="0" w:beforeLines="50" w:line="360" w:lineRule="auto"/>
              <w:jc w:val="center"/>
              <w:textAlignment w:val="baseline"/>
              <w:rPr>
                <w:rFonts w:ascii="宋体" w:hAnsi="宋体" w:eastAsia="宋体" w:cs="Times New Roman"/>
                <w:b/>
                <w:color w:val="auto"/>
                <w:sz w:val="21"/>
                <w:szCs w:val="21"/>
                <w:highlight w:val="none"/>
              </w:rPr>
            </w:pPr>
          </w:p>
        </w:tc>
        <w:tc>
          <w:tcPr>
            <w:tcW w:w="1280" w:type="dxa"/>
            <w:vMerge w:val="continue"/>
            <w:noWrap w:val="0"/>
            <w:vAlign w:val="center"/>
          </w:tcPr>
          <w:p w14:paraId="4E0A7E0B">
            <w:pPr>
              <w:keepNext w:val="0"/>
              <w:keepLines w:val="0"/>
              <w:pageBreakBefore w:val="0"/>
              <w:kinsoku/>
              <w:wordWrap/>
              <w:overflowPunct/>
              <w:topLinePunct w:val="0"/>
              <w:autoSpaceDE/>
              <w:autoSpaceDN/>
              <w:bidi w:val="0"/>
              <w:adjustRightInd w:val="0"/>
              <w:spacing w:before="0" w:beforeLines="50" w:line="360" w:lineRule="auto"/>
              <w:jc w:val="center"/>
              <w:textAlignment w:val="baseline"/>
              <w:rPr>
                <w:rFonts w:ascii="宋体" w:hAnsi="宋体" w:eastAsia="宋体" w:cs="Times New Roman"/>
                <w:b/>
                <w:color w:val="auto"/>
                <w:sz w:val="21"/>
                <w:szCs w:val="21"/>
                <w:highlight w:val="none"/>
              </w:rPr>
            </w:pPr>
          </w:p>
        </w:tc>
        <w:tc>
          <w:tcPr>
            <w:tcW w:w="709" w:type="dxa"/>
            <w:vMerge w:val="continue"/>
            <w:noWrap w:val="0"/>
            <w:vAlign w:val="center"/>
          </w:tcPr>
          <w:p w14:paraId="3BE49C01">
            <w:pPr>
              <w:keepNext w:val="0"/>
              <w:keepLines w:val="0"/>
              <w:pageBreakBefore w:val="0"/>
              <w:kinsoku/>
              <w:wordWrap/>
              <w:overflowPunct/>
              <w:topLinePunct w:val="0"/>
              <w:autoSpaceDE/>
              <w:autoSpaceDN/>
              <w:bidi w:val="0"/>
              <w:adjustRightInd w:val="0"/>
              <w:spacing w:before="0" w:beforeLines="50" w:line="400" w:lineRule="exact"/>
              <w:jc w:val="center"/>
              <w:textAlignment w:val="baseline"/>
              <w:rPr>
                <w:rFonts w:ascii="宋体" w:hAnsi="宋体" w:eastAsia="宋体" w:cs="Times New Roman"/>
                <w:b/>
                <w:color w:val="auto"/>
                <w:sz w:val="21"/>
                <w:szCs w:val="21"/>
                <w:highlight w:val="none"/>
              </w:rPr>
            </w:pPr>
          </w:p>
        </w:tc>
        <w:tc>
          <w:tcPr>
            <w:tcW w:w="1559" w:type="dxa"/>
            <w:noWrap w:val="0"/>
            <w:vAlign w:val="center"/>
          </w:tcPr>
          <w:p w14:paraId="057002A5">
            <w:pPr>
              <w:keepNext w:val="0"/>
              <w:keepLines w:val="0"/>
              <w:pageBreakBefore w:val="0"/>
              <w:kinsoku/>
              <w:wordWrap/>
              <w:overflowPunct/>
              <w:topLinePunct w:val="0"/>
              <w:autoSpaceDE/>
              <w:autoSpaceDN/>
              <w:bidi w:val="0"/>
              <w:spacing w:before="0" w:beforeLines="50" w:line="400" w:lineRule="exact"/>
              <w:jc w:val="left"/>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（2）项目管理方案（1</w:t>
            </w:r>
            <w:r>
              <w:rPr>
                <w:rFonts w:hint="eastAsia" w:ascii="宋体" w:hAnsi="宋体" w:eastAsia="宋体" w:cs="Times New Roman"/>
                <w:b/>
                <w:color w:val="auto"/>
                <w:sz w:val="21"/>
                <w:szCs w:val="21"/>
                <w:highlight w:val="none"/>
                <w:lang w:val="en-US" w:eastAsia="zh-CN"/>
              </w:rPr>
              <w:t>5</w:t>
            </w:r>
            <w:r>
              <w:rPr>
                <w:rFonts w:hint="eastAsia" w:ascii="宋体" w:hAnsi="宋体" w:eastAsia="宋体" w:cs="Times New Roman"/>
                <w:b/>
                <w:color w:val="auto"/>
                <w:sz w:val="21"/>
                <w:szCs w:val="21"/>
                <w:highlight w:val="none"/>
              </w:rPr>
              <w:t>分）</w:t>
            </w:r>
          </w:p>
        </w:tc>
        <w:tc>
          <w:tcPr>
            <w:tcW w:w="5448" w:type="dxa"/>
            <w:noWrap w:val="0"/>
            <w:vAlign w:val="center"/>
          </w:tcPr>
          <w:p w14:paraId="64238385">
            <w:pPr>
              <w:keepNext w:val="0"/>
              <w:keepLines w:val="0"/>
              <w:pageBreakBefore w:val="0"/>
              <w:kinsoku/>
              <w:wordWrap/>
              <w:overflowPunct/>
              <w:topLinePunct w:val="0"/>
              <w:autoSpaceDE/>
              <w:autoSpaceDN/>
              <w:bidi w:val="0"/>
              <w:spacing w:before="0" w:beforeLines="50" w:line="240" w:lineRule="auto"/>
              <w:ind w:firstLine="315" w:firstLineChars="150"/>
              <w:jc w:val="left"/>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不满足一档或不提供不得分。</w:t>
            </w:r>
          </w:p>
          <w:p w14:paraId="177869F0">
            <w:pPr>
              <w:keepNext w:val="0"/>
              <w:keepLines w:val="0"/>
              <w:pageBreakBefore w:val="0"/>
              <w:kinsoku/>
              <w:wordWrap/>
              <w:overflowPunct/>
              <w:topLinePunct w:val="0"/>
              <w:autoSpaceDE/>
              <w:autoSpaceDN/>
              <w:bidi w:val="0"/>
              <w:spacing w:before="0" w:beforeLines="50" w:line="240" w:lineRule="auto"/>
              <w:ind w:firstLine="420" w:firstLineChars="200"/>
              <w:jc w:val="lef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一档（</w:t>
            </w:r>
            <w:r>
              <w:rPr>
                <w:rFonts w:hint="eastAsia" w:ascii="Times New Roman" w:hAnsi="Times New Roman" w:eastAsia="宋体"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rPr>
              <w:t>分）：项目管理工作</w:t>
            </w:r>
            <w:r>
              <w:rPr>
                <w:rFonts w:hint="eastAsia" w:ascii="Times New Roman" w:hAnsi="Times New Roman" w:eastAsia="宋体" w:cs="Times New Roman"/>
                <w:color w:val="auto"/>
                <w:sz w:val="21"/>
                <w:szCs w:val="21"/>
                <w:highlight w:val="none"/>
                <w:lang w:val="en-US" w:eastAsia="zh-CN"/>
              </w:rPr>
              <w:t>方案</w:t>
            </w:r>
            <w:r>
              <w:rPr>
                <w:rFonts w:hint="eastAsia" w:ascii="Times New Roman" w:hAnsi="Times New Roman" w:eastAsia="宋体" w:cs="Times New Roman"/>
                <w:color w:val="auto"/>
                <w:sz w:val="21"/>
                <w:szCs w:val="21"/>
                <w:highlight w:val="none"/>
              </w:rPr>
              <w:t>可行，对本项目的理解程度分析论述浅显，项目进度控制、组织与协调管理方案普通；</w:t>
            </w:r>
          </w:p>
          <w:p w14:paraId="46DEEF34">
            <w:pPr>
              <w:keepNext w:val="0"/>
              <w:keepLines w:val="0"/>
              <w:pageBreakBefore w:val="0"/>
              <w:kinsoku/>
              <w:wordWrap/>
              <w:overflowPunct/>
              <w:topLinePunct w:val="0"/>
              <w:autoSpaceDE/>
              <w:autoSpaceDN/>
              <w:bidi w:val="0"/>
              <w:spacing w:before="0" w:beforeLines="50" w:line="240" w:lineRule="auto"/>
              <w:ind w:firstLine="420" w:firstLineChars="200"/>
              <w:jc w:val="lef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二档（</w:t>
            </w:r>
            <w:r>
              <w:rPr>
                <w:rFonts w:hint="eastAsia" w:ascii="Times New Roman" w:hAnsi="Times New Roman" w:eastAsia="宋体" w:cs="Times New Roman"/>
                <w:color w:val="auto"/>
                <w:sz w:val="21"/>
                <w:szCs w:val="21"/>
                <w:highlight w:val="none"/>
                <w:lang w:val="en-US" w:eastAsia="zh-CN"/>
              </w:rPr>
              <w:t>10</w:t>
            </w:r>
            <w:r>
              <w:rPr>
                <w:rFonts w:hint="eastAsia" w:ascii="Times New Roman" w:hAnsi="Times New Roman" w:eastAsia="宋体" w:cs="Times New Roman"/>
                <w:color w:val="auto"/>
                <w:sz w:val="21"/>
                <w:szCs w:val="21"/>
                <w:highlight w:val="none"/>
              </w:rPr>
              <w:t>分）：项目管理工作</w:t>
            </w:r>
            <w:r>
              <w:rPr>
                <w:rFonts w:hint="eastAsia" w:ascii="Times New Roman" w:hAnsi="Times New Roman" w:eastAsia="宋体" w:cs="Times New Roman"/>
                <w:color w:val="auto"/>
                <w:sz w:val="21"/>
                <w:szCs w:val="21"/>
                <w:highlight w:val="none"/>
                <w:lang w:val="en-US" w:eastAsia="zh-CN"/>
              </w:rPr>
              <w:t>方案</w:t>
            </w:r>
            <w:r>
              <w:rPr>
                <w:rFonts w:hint="eastAsia" w:ascii="Times New Roman" w:hAnsi="Times New Roman" w:eastAsia="宋体" w:cs="Times New Roman"/>
                <w:color w:val="auto"/>
                <w:sz w:val="21"/>
                <w:szCs w:val="21"/>
                <w:highlight w:val="none"/>
              </w:rPr>
              <w:t>较好，对本项目的理解程度分析论述简单，能考虑到本项目的情况，有较好的项目进度控制、组织与协调管理方案；</w:t>
            </w:r>
          </w:p>
          <w:p w14:paraId="4367467B">
            <w:pPr>
              <w:keepNext w:val="0"/>
              <w:keepLines w:val="0"/>
              <w:pageBreakBefore w:val="0"/>
              <w:kinsoku/>
              <w:wordWrap/>
              <w:overflowPunct/>
              <w:topLinePunct w:val="0"/>
              <w:autoSpaceDE/>
              <w:autoSpaceDN/>
              <w:bidi w:val="0"/>
              <w:spacing w:before="0" w:beforeLines="50" w:line="240" w:lineRule="auto"/>
              <w:ind w:firstLine="420" w:firstLineChars="200"/>
              <w:jc w:val="lef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三档（1</w:t>
            </w:r>
            <w:r>
              <w:rPr>
                <w:rFonts w:hint="eastAsia" w:ascii="Times New Roman" w:hAnsi="Times New Roman" w:eastAsia="宋体"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rPr>
              <w:t>分）：项目管理工作</w:t>
            </w:r>
            <w:r>
              <w:rPr>
                <w:rFonts w:hint="eastAsia" w:ascii="Times New Roman" w:hAnsi="Times New Roman" w:eastAsia="宋体" w:cs="Times New Roman"/>
                <w:color w:val="auto"/>
                <w:sz w:val="21"/>
                <w:szCs w:val="21"/>
                <w:highlight w:val="none"/>
                <w:lang w:val="en-US" w:eastAsia="zh-CN"/>
              </w:rPr>
              <w:t>方案</w:t>
            </w:r>
            <w:r>
              <w:rPr>
                <w:rFonts w:hint="eastAsia" w:ascii="Times New Roman" w:hAnsi="Times New Roman" w:eastAsia="宋体" w:cs="Times New Roman"/>
                <w:color w:val="auto"/>
                <w:sz w:val="21"/>
                <w:szCs w:val="21"/>
                <w:highlight w:val="none"/>
              </w:rPr>
              <w:t>重点突出，对本项目的理解程度深入分析论述，而且能充分考虑到本项目的具体情况，有良好的项目进度控制、组织与协调管理方案。</w:t>
            </w:r>
          </w:p>
        </w:tc>
      </w:tr>
      <w:tr w14:paraId="63DA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noWrap w:val="0"/>
            <w:vAlign w:val="center"/>
          </w:tcPr>
          <w:p w14:paraId="13105BC7">
            <w:pPr>
              <w:keepNext w:val="0"/>
              <w:keepLines w:val="0"/>
              <w:pageBreakBefore w:val="0"/>
              <w:kinsoku/>
              <w:wordWrap/>
              <w:overflowPunct/>
              <w:topLinePunct w:val="0"/>
              <w:autoSpaceDE/>
              <w:autoSpaceDN/>
              <w:bidi w:val="0"/>
              <w:adjustRightInd w:val="0"/>
              <w:spacing w:before="0" w:beforeLines="50" w:line="360" w:lineRule="auto"/>
              <w:jc w:val="center"/>
              <w:textAlignment w:val="baseline"/>
              <w:rPr>
                <w:rFonts w:ascii="宋体" w:hAnsi="宋体" w:eastAsia="宋体" w:cs="Times New Roman"/>
                <w:b/>
                <w:color w:val="auto"/>
                <w:sz w:val="21"/>
                <w:szCs w:val="21"/>
                <w:highlight w:val="none"/>
              </w:rPr>
            </w:pPr>
          </w:p>
        </w:tc>
        <w:tc>
          <w:tcPr>
            <w:tcW w:w="1280" w:type="dxa"/>
            <w:vMerge w:val="continue"/>
            <w:noWrap w:val="0"/>
            <w:vAlign w:val="center"/>
          </w:tcPr>
          <w:p w14:paraId="57E02DEF">
            <w:pPr>
              <w:keepNext w:val="0"/>
              <w:keepLines w:val="0"/>
              <w:pageBreakBefore w:val="0"/>
              <w:kinsoku/>
              <w:wordWrap/>
              <w:overflowPunct/>
              <w:topLinePunct w:val="0"/>
              <w:autoSpaceDE/>
              <w:autoSpaceDN/>
              <w:bidi w:val="0"/>
              <w:adjustRightInd w:val="0"/>
              <w:spacing w:before="0" w:beforeLines="50" w:line="360" w:lineRule="auto"/>
              <w:jc w:val="center"/>
              <w:textAlignment w:val="baseline"/>
              <w:rPr>
                <w:rFonts w:ascii="宋体" w:hAnsi="宋体" w:eastAsia="宋体" w:cs="Times New Roman"/>
                <w:b/>
                <w:color w:val="auto"/>
                <w:sz w:val="21"/>
                <w:szCs w:val="21"/>
                <w:highlight w:val="none"/>
              </w:rPr>
            </w:pPr>
          </w:p>
        </w:tc>
        <w:tc>
          <w:tcPr>
            <w:tcW w:w="709" w:type="dxa"/>
            <w:vMerge w:val="continue"/>
            <w:noWrap w:val="0"/>
            <w:vAlign w:val="center"/>
          </w:tcPr>
          <w:p w14:paraId="7A8DCA9A">
            <w:pPr>
              <w:keepNext w:val="0"/>
              <w:keepLines w:val="0"/>
              <w:pageBreakBefore w:val="0"/>
              <w:kinsoku/>
              <w:wordWrap/>
              <w:overflowPunct/>
              <w:topLinePunct w:val="0"/>
              <w:autoSpaceDE/>
              <w:autoSpaceDN/>
              <w:bidi w:val="0"/>
              <w:adjustRightInd w:val="0"/>
              <w:spacing w:before="0" w:beforeLines="50" w:line="400" w:lineRule="exact"/>
              <w:jc w:val="center"/>
              <w:textAlignment w:val="baseline"/>
              <w:rPr>
                <w:rFonts w:ascii="宋体" w:hAnsi="宋体" w:eastAsia="宋体" w:cs="Times New Roman"/>
                <w:b/>
                <w:color w:val="auto"/>
                <w:sz w:val="21"/>
                <w:szCs w:val="21"/>
                <w:highlight w:val="none"/>
              </w:rPr>
            </w:pPr>
          </w:p>
        </w:tc>
        <w:tc>
          <w:tcPr>
            <w:tcW w:w="1559" w:type="dxa"/>
            <w:noWrap w:val="0"/>
            <w:vAlign w:val="center"/>
          </w:tcPr>
          <w:p w14:paraId="2F83DF99">
            <w:pPr>
              <w:keepNext w:val="0"/>
              <w:keepLines w:val="0"/>
              <w:pageBreakBefore w:val="0"/>
              <w:kinsoku/>
              <w:wordWrap/>
              <w:overflowPunct/>
              <w:topLinePunct w:val="0"/>
              <w:autoSpaceDE/>
              <w:autoSpaceDN/>
              <w:bidi w:val="0"/>
              <w:spacing w:before="0" w:beforeLines="50" w:line="400" w:lineRule="exact"/>
              <w:jc w:val="left"/>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（3）质量保障措施（10分）</w:t>
            </w:r>
          </w:p>
        </w:tc>
        <w:tc>
          <w:tcPr>
            <w:tcW w:w="5448" w:type="dxa"/>
            <w:noWrap w:val="0"/>
            <w:vAlign w:val="center"/>
          </w:tcPr>
          <w:p w14:paraId="34B6D54C">
            <w:pPr>
              <w:keepNext w:val="0"/>
              <w:keepLines w:val="0"/>
              <w:pageBreakBefore w:val="0"/>
              <w:kinsoku/>
              <w:wordWrap/>
              <w:overflowPunct/>
              <w:topLinePunct w:val="0"/>
              <w:autoSpaceDE/>
              <w:autoSpaceDN/>
              <w:bidi w:val="0"/>
              <w:spacing w:before="0" w:beforeLines="50" w:line="240" w:lineRule="auto"/>
              <w:ind w:firstLine="315" w:firstLineChars="150"/>
              <w:jc w:val="lef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达不到一档要求的不得分。</w:t>
            </w:r>
          </w:p>
          <w:p w14:paraId="66C602E1">
            <w:pPr>
              <w:keepNext w:val="0"/>
              <w:keepLines w:val="0"/>
              <w:pageBreakBefore w:val="0"/>
              <w:kinsoku/>
              <w:wordWrap/>
              <w:overflowPunct/>
              <w:topLinePunct w:val="0"/>
              <w:autoSpaceDE/>
              <w:autoSpaceDN/>
              <w:bidi w:val="0"/>
              <w:spacing w:before="0" w:beforeLines="50" w:line="240" w:lineRule="auto"/>
              <w:ind w:firstLine="315" w:firstLineChars="150"/>
              <w:jc w:val="lef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一档（3分）：质量保证及质量承诺方案、售后服务方案描述简单，可行性差，综合评定为简单，勉强能满足项目业主需求；</w:t>
            </w:r>
          </w:p>
          <w:p w14:paraId="4A0DA43B">
            <w:pPr>
              <w:keepNext w:val="0"/>
              <w:keepLines w:val="0"/>
              <w:pageBreakBefore w:val="0"/>
              <w:kinsoku/>
              <w:wordWrap/>
              <w:overflowPunct/>
              <w:topLinePunct w:val="0"/>
              <w:autoSpaceDE/>
              <w:autoSpaceDN/>
              <w:bidi w:val="0"/>
              <w:spacing w:before="0" w:beforeLines="50" w:line="240" w:lineRule="auto"/>
              <w:ind w:firstLine="315" w:firstLineChars="150"/>
              <w:jc w:val="lef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二档（5分）：质量保证及质量承诺方案、售后服务方案描述较齐全、完整，可行性较好，综合评定为良好的，能一定程度满足业主需求；</w:t>
            </w:r>
          </w:p>
          <w:p w14:paraId="3B4ECCE0">
            <w:pPr>
              <w:keepNext w:val="0"/>
              <w:keepLines w:val="0"/>
              <w:pageBreakBefore w:val="0"/>
              <w:kinsoku/>
              <w:wordWrap/>
              <w:overflowPunct/>
              <w:topLinePunct w:val="0"/>
              <w:autoSpaceDE/>
              <w:autoSpaceDN/>
              <w:bidi w:val="0"/>
              <w:spacing w:before="0" w:beforeLines="50" w:line="240" w:lineRule="auto"/>
              <w:ind w:firstLine="315" w:firstLineChars="150"/>
              <w:jc w:val="lef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三档（10分）：质量保证及质量承诺方案、售后服务方案描述详细、完整，可行性高，综合评定优秀的，能较好满足项目业主需求，保障高品质服务，且能满足24小时响应。</w:t>
            </w:r>
          </w:p>
        </w:tc>
      </w:tr>
      <w:tr w14:paraId="2BB7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restart"/>
            <w:noWrap w:val="0"/>
            <w:vAlign w:val="center"/>
          </w:tcPr>
          <w:p w14:paraId="586D51CA">
            <w:pPr>
              <w:keepNext w:val="0"/>
              <w:keepLines w:val="0"/>
              <w:pageBreakBefore w:val="0"/>
              <w:kinsoku/>
              <w:wordWrap/>
              <w:overflowPunct/>
              <w:topLinePunct w:val="0"/>
              <w:autoSpaceDE/>
              <w:autoSpaceDN/>
              <w:bidi w:val="0"/>
              <w:adjustRightInd w:val="0"/>
              <w:spacing w:before="0" w:beforeLines="50" w:line="360" w:lineRule="auto"/>
              <w:textAlignment w:val="baseline"/>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3</w:t>
            </w:r>
          </w:p>
        </w:tc>
        <w:tc>
          <w:tcPr>
            <w:tcW w:w="1280" w:type="dxa"/>
            <w:vMerge w:val="restart"/>
            <w:noWrap w:val="0"/>
            <w:vAlign w:val="center"/>
          </w:tcPr>
          <w:p w14:paraId="50619C02">
            <w:pPr>
              <w:keepNext w:val="0"/>
              <w:keepLines w:val="0"/>
              <w:pageBreakBefore w:val="0"/>
              <w:kinsoku/>
              <w:wordWrap/>
              <w:overflowPunct/>
              <w:topLinePunct w:val="0"/>
              <w:autoSpaceDE/>
              <w:autoSpaceDN/>
              <w:bidi w:val="0"/>
              <w:adjustRightInd w:val="0"/>
              <w:spacing w:before="0" w:beforeLines="50" w:line="360" w:lineRule="auto"/>
              <w:textAlignment w:val="baseline"/>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商务分</w:t>
            </w:r>
          </w:p>
        </w:tc>
        <w:tc>
          <w:tcPr>
            <w:tcW w:w="709" w:type="dxa"/>
            <w:vMerge w:val="restart"/>
            <w:noWrap w:val="0"/>
            <w:vAlign w:val="center"/>
          </w:tcPr>
          <w:p w14:paraId="49893934">
            <w:pPr>
              <w:keepNext w:val="0"/>
              <w:keepLines w:val="0"/>
              <w:pageBreakBefore w:val="0"/>
              <w:kinsoku/>
              <w:wordWrap/>
              <w:overflowPunct/>
              <w:topLinePunct w:val="0"/>
              <w:autoSpaceDE/>
              <w:autoSpaceDN/>
              <w:bidi w:val="0"/>
              <w:adjustRightInd w:val="0"/>
              <w:spacing w:before="0" w:beforeLines="50" w:line="360" w:lineRule="auto"/>
              <w:textAlignment w:val="baseline"/>
              <w:rPr>
                <w:rFonts w:ascii="宋体" w:hAnsi="宋体" w:eastAsia="宋体" w:cs="Times New Roman"/>
                <w:b/>
                <w:color w:val="auto"/>
                <w:sz w:val="21"/>
                <w:szCs w:val="21"/>
                <w:highlight w:val="none"/>
              </w:rPr>
            </w:pPr>
            <w:r>
              <w:rPr>
                <w:rFonts w:hint="eastAsia" w:ascii="宋体" w:hAnsi="宋体" w:cs="Times New Roman"/>
                <w:b/>
                <w:color w:val="auto"/>
                <w:sz w:val="21"/>
                <w:szCs w:val="21"/>
                <w:highlight w:val="none"/>
                <w:lang w:val="en-US" w:eastAsia="zh-CN"/>
              </w:rPr>
              <w:t>3</w:t>
            </w:r>
            <w:r>
              <w:rPr>
                <w:rFonts w:hint="eastAsia" w:ascii="宋体" w:hAnsi="宋体" w:eastAsia="宋体" w:cs="Times New Roman"/>
                <w:b/>
                <w:color w:val="auto"/>
                <w:sz w:val="21"/>
                <w:szCs w:val="21"/>
                <w:highlight w:val="none"/>
                <w:lang w:val="en-US" w:eastAsia="zh-CN"/>
              </w:rPr>
              <w:t>5</w:t>
            </w:r>
            <w:r>
              <w:rPr>
                <w:rFonts w:hint="eastAsia" w:ascii="宋体" w:hAnsi="宋体" w:eastAsia="宋体" w:cs="Times New Roman"/>
                <w:b/>
                <w:color w:val="auto"/>
                <w:sz w:val="21"/>
                <w:szCs w:val="21"/>
                <w:highlight w:val="none"/>
              </w:rPr>
              <w:t>分</w:t>
            </w:r>
          </w:p>
        </w:tc>
        <w:tc>
          <w:tcPr>
            <w:tcW w:w="1559" w:type="dxa"/>
            <w:noWrap w:val="0"/>
            <w:vAlign w:val="center"/>
          </w:tcPr>
          <w:p w14:paraId="5E724006">
            <w:pPr>
              <w:keepNext w:val="0"/>
              <w:keepLines w:val="0"/>
              <w:pageBreakBefore w:val="0"/>
              <w:kinsoku/>
              <w:wordWrap/>
              <w:overflowPunct/>
              <w:topLinePunct w:val="0"/>
              <w:autoSpaceDE/>
              <w:autoSpaceDN/>
              <w:bidi w:val="0"/>
              <w:spacing w:before="0" w:beforeLines="50" w:line="400" w:lineRule="exact"/>
              <w:jc w:val="left"/>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（1）人员配置（</w:t>
            </w:r>
            <w:r>
              <w:rPr>
                <w:rFonts w:hint="eastAsia" w:ascii="宋体" w:hAnsi="宋体" w:cs="Times New Roman"/>
                <w:b/>
                <w:color w:val="auto"/>
                <w:sz w:val="21"/>
                <w:szCs w:val="21"/>
                <w:highlight w:val="none"/>
                <w:lang w:val="en-US" w:eastAsia="zh-CN"/>
              </w:rPr>
              <w:t>2</w:t>
            </w:r>
            <w:r>
              <w:rPr>
                <w:rFonts w:hint="eastAsia" w:ascii="宋体" w:hAnsi="宋体" w:eastAsia="宋体" w:cs="Times New Roman"/>
                <w:b/>
                <w:color w:val="auto"/>
                <w:sz w:val="21"/>
                <w:szCs w:val="21"/>
                <w:highlight w:val="none"/>
                <w:lang w:val="en-US" w:eastAsia="zh-CN"/>
              </w:rPr>
              <w:t>0</w:t>
            </w:r>
            <w:r>
              <w:rPr>
                <w:rFonts w:hint="eastAsia" w:ascii="宋体" w:hAnsi="宋体" w:eastAsia="宋体" w:cs="Times New Roman"/>
                <w:b/>
                <w:color w:val="auto"/>
                <w:sz w:val="21"/>
                <w:szCs w:val="21"/>
                <w:highlight w:val="none"/>
              </w:rPr>
              <w:t>分）</w:t>
            </w:r>
          </w:p>
        </w:tc>
        <w:tc>
          <w:tcPr>
            <w:tcW w:w="5448" w:type="dxa"/>
            <w:noWrap w:val="0"/>
            <w:vAlign w:val="center"/>
          </w:tcPr>
          <w:p w14:paraId="2F820F61">
            <w:pPr>
              <w:keepNext w:val="0"/>
              <w:keepLines w:val="0"/>
              <w:pageBreakBefore w:val="0"/>
              <w:kinsoku/>
              <w:wordWrap/>
              <w:overflowPunct/>
              <w:topLinePunct w:val="0"/>
              <w:autoSpaceDE/>
              <w:autoSpaceDN/>
              <w:bidi w:val="0"/>
              <w:spacing w:before="0" w:beforeLines="50" w:line="240" w:lineRule="auto"/>
              <w:ind w:firstLine="420" w:firstLineChars="200"/>
              <w:jc w:val="left"/>
              <w:rPr>
                <w:rFonts w:ascii="宋体" w:hAnsi="宋体" w:cs="宋体"/>
                <w:bCs/>
                <w:color w:val="auto"/>
                <w:sz w:val="21"/>
                <w:szCs w:val="21"/>
                <w:highlight w:val="none"/>
              </w:rPr>
            </w:pPr>
            <w:r>
              <w:rPr>
                <w:rFonts w:hint="eastAsia" w:ascii="Times New Roman" w:hAnsi="Times New Roman" w:eastAsia="宋体" w:cs="Times New Roman"/>
                <w:color w:val="auto"/>
                <w:sz w:val="21"/>
                <w:szCs w:val="21"/>
                <w:highlight w:val="none"/>
              </w:rPr>
              <w:t>（1）</w:t>
            </w:r>
            <w:r>
              <w:rPr>
                <w:rFonts w:hint="eastAsia" w:ascii="宋体" w:hAnsi="宋体" w:cs="宋体"/>
                <w:bCs/>
                <w:color w:val="auto"/>
                <w:sz w:val="21"/>
                <w:szCs w:val="21"/>
                <w:highlight w:val="none"/>
              </w:rPr>
              <w:t>项目负责人具有</w:t>
            </w:r>
            <w:r>
              <w:rPr>
                <w:rFonts w:hint="eastAsia" w:ascii="宋体" w:hAnsi="宋体" w:cs="宋体"/>
                <w:color w:val="auto"/>
                <w:sz w:val="21"/>
                <w:szCs w:val="21"/>
                <w:highlight w:val="none"/>
              </w:rPr>
              <w:t>土地管理或</w:t>
            </w:r>
            <w:r>
              <w:rPr>
                <w:rFonts w:hint="default" w:ascii="宋体" w:hAnsi="宋体" w:cs="宋体"/>
                <w:color w:val="auto"/>
                <w:sz w:val="21"/>
                <w:szCs w:val="21"/>
                <w:highlight w:val="none"/>
                <w:lang w:val="en-US"/>
              </w:rPr>
              <w:t>土地工程与技术</w:t>
            </w:r>
            <w:r>
              <w:rPr>
                <w:rFonts w:hint="eastAsia" w:ascii="宋体" w:hAnsi="宋体" w:cs="宋体"/>
                <w:color w:val="auto"/>
                <w:sz w:val="21"/>
                <w:szCs w:val="21"/>
                <w:highlight w:val="none"/>
                <w:lang w:val="en-US" w:eastAsia="zh-CN"/>
              </w:rPr>
              <w:t>或测绘类</w:t>
            </w:r>
            <w:r>
              <w:rPr>
                <w:rFonts w:hint="eastAsia" w:ascii="宋体" w:hAnsi="宋体" w:cs="宋体"/>
                <w:color w:val="auto"/>
                <w:sz w:val="21"/>
                <w:szCs w:val="21"/>
                <w:highlight w:val="none"/>
              </w:rPr>
              <w:t>等相关专业的职称</w:t>
            </w:r>
            <w:r>
              <w:rPr>
                <w:rFonts w:hint="eastAsia" w:ascii="宋体" w:hAnsi="宋体" w:cs="宋体"/>
                <w:bCs/>
                <w:color w:val="auto"/>
                <w:sz w:val="21"/>
                <w:szCs w:val="21"/>
                <w:highlight w:val="none"/>
              </w:rPr>
              <w:t>，中级职称得1分，副高级职称得</w:t>
            </w:r>
            <w:r>
              <w:rPr>
                <w:rFonts w:hint="eastAsia" w:ascii="宋体" w:hAnsi="宋体" w:cs="宋体"/>
                <w:bCs/>
                <w:color w:val="auto"/>
                <w:sz w:val="21"/>
                <w:szCs w:val="21"/>
                <w:highlight w:val="none"/>
                <w:lang w:val="en-US" w:eastAsia="zh-CN"/>
              </w:rPr>
              <w:t>3</w:t>
            </w:r>
            <w:r>
              <w:rPr>
                <w:rFonts w:hint="eastAsia" w:ascii="宋体" w:hAnsi="宋体" w:cs="宋体"/>
                <w:bCs/>
                <w:color w:val="auto"/>
                <w:sz w:val="21"/>
                <w:szCs w:val="21"/>
                <w:highlight w:val="none"/>
              </w:rPr>
              <w:t>分，正高级职称得</w:t>
            </w:r>
            <w:r>
              <w:rPr>
                <w:rFonts w:hint="eastAsia" w:ascii="宋体" w:hAnsi="宋体" w:cs="宋体"/>
                <w:bCs/>
                <w:color w:val="auto"/>
                <w:sz w:val="21"/>
                <w:szCs w:val="21"/>
                <w:highlight w:val="none"/>
                <w:lang w:val="en-US" w:eastAsia="zh-CN"/>
              </w:rPr>
              <w:t>5</w:t>
            </w:r>
            <w:r>
              <w:rPr>
                <w:rFonts w:hint="eastAsia" w:ascii="宋体" w:hAnsi="宋体" w:cs="宋体"/>
                <w:bCs/>
                <w:color w:val="auto"/>
                <w:sz w:val="21"/>
                <w:szCs w:val="21"/>
                <w:highlight w:val="none"/>
              </w:rPr>
              <w:t>分；满分</w:t>
            </w:r>
            <w:r>
              <w:rPr>
                <w:rFonts w:hint="eastAsia" w:ascii="宋体" w:hAnsi="宋体" w:cs="宋体"/>
                <w:bCs/>
                <w:color w:val="auto"/>
                <w:sz w:val="21"/>
                <w:szCs w:val="21"/>
                <w:highlight w:val="none"/>
                <w:lang w:val="en-US" w:eastAsia="zh-CN"/>
              </w:rPr>
              <w:t>5</w:t>
            </w:r>
            <w:r>
              <w:rPr>
                <w:rFonts w:hint="eastAsia" w:ascii="宋体" w:hAnsi="宋体" w:cs="宋体"/>
                <w:bCs/>
                <w:color w:val="auto"/>
                <w:sz w:val="21"/>
                <w:szCs w:val="21"/>
                <w:highlight w:val="none"/>
              </w:rPr>
              <w:t>分。</w:t>
            </w:r>
          </w:p>
          <w:p w14:paraId="4A1533CF">
            <w:pPr>
              <w:keepNext w:val="0"/>
              <w:keepLines w:val="0"/>
              <w:pageBreakBefore w:val="0"/>
              <w:kinsoku/>
              <w:wordWrap/>
              <w:overflowPunct/>
              <w:topLinePunct w:val="0"/>
              <w:autoSpaceDE/>
              <w:autoSpaceDN/>
              <w:bidi w:val="0"/>
              <w:spacing w:before="0" w:beforeLines="50" w:line="240" w:lineRule="auto"/>
              <w:ind w:firstLine="420" w:firstLineChars="200"/>
              <w:jc w:val="left"/>
              <w:rPr>
                <w:rFonts w:hint="eastAsia" w:ascii="宋体" w:hAnsi="宋体" w:cs="宋体"/>
                <w:bCs/>
                <w:color w:val="auto"/>
                <w:sz w:val="21"/>
                <w:szCs w:val="21"/>
                <w:highlight w:val="none"/>
              </w:rPr>
            </w:pPr>
            <w:r>
              <w:rPr>
                <w:rFonts w:hint="eastAsia" w:ascii="Times New Roman" w:hAnsi="Times New Roman" w:eastAsia="宋体" w:cs="Times New Roman"/>
                <w:color w:val="auto"/>
                <w:sz w:val="21"/>
                <w:szCs w:val="21"/>
                <w:highlight w:val="none"/>
              </w:rPr>
              <w:t>（2）</w:t>
            </w:r>
            <w:r>
              <w:rPr>
                <w:rFonts w:hint="eastAsia" w:ascii="宋体" w:hAnsi="宋体" w:cs="宋体"/>
                <w:bCs/>
                <w:color w:val="auto"/>
                <w:sz w:val="21"/>
                <w:szCs w:val="21"/>
                <w:highlight w:val="none"/>
              </w:rPr>
              <w:t>其他拟投入人员（除项目负责人外）具有</w:t>
            </w:r>
            <w:r>
              <w:rPr>
                <w:rFonts w:hint="eastAsia" w:ascii="宋体" w:hAnsi="宋体" w:cs="宋体"/>
                <w:color w:val="auto"/>
                <w:sz w:val="21"/>
                <w:szCs w:val="21"/>
                <w:highlight w:val="none"/>
              </w:rPr>
              <w:t>土地管理或土地工程与技术或测绘类等相关专业的职称</w:t>
            </w:r>
            <w:r>
              <w:rPr>
                <w:rFonts w:hint="eastAsia" w:ascii="宋体" w:hAnsi="宋体" w:cs="宋体"/>
                <w:bCs/>
                <w:color w:val="auto"/>
                <w:sz w:val="21"/>
                <w:szCs w:val="21"/>
                <w:highlight w:val="none"/>
              </w:rPr>
              <w:t>，中级职称每个得</w:t>
            </w:r>
            <w:r>
              <w:rPr>
                <w:rFonts w:hint="eastAsia" w:ascii="宋体" w:hAnsi="宋体" w:cs="宋体"/>
                <w:bCs/>
                <w:color w:val="auto"/>
                <w:sz w:val="21"/>
                <w:szCs w:val="21"/>
                <w:highlight w:val="none"/>
                <w:lang w:val="en-US" w:eastAsia="zh-CN"/>
              </w:rPr>
              <w:t>0.5</w:t>
            </w:r>
            <w:r>
              <w:rPr>
                <w:rFonts w:hint="eastAsia" w:ascii="宋体" w:hAnsi="宋体" w:cs="宋体"/>
                <w:bCs/>
                <w:color w:val="auto"/>
                <w:sz w:val="21"/>
                <w:szCs w:val="21"/>
                <w:highlight w:val="none"/>
              </w:rPr>
              <w:t>分，副高级及以上职称每个得</w:t>
            </w:r>
            <w:r>
              <w:rPr>
                <w:rFonts w:hint="eastAsia" w:ascii="宋体" w:hAnsi="宋体" w:cs="宋体"/>
                <w:bCs/>
                <w:color w:val="auto"/>
                <w:sz w:val="21"/>
                <w:szCs w:val="21"/>
                <w:highlight w:val="none"/>
                <w:lang w:val="en-US" w:eastAsia="zh-CN"/>
              </w:rPr>
              <w:t>1</w:t>
            </w:r>
            <w:r>
              <w:rPr>
                <w:rFonts w:hint="eastAsia" w:ascii="宋体" w:hAnsi="宋体" w:cs="宋体"/>
                <w:bCs/>
                <w:color w:val="auto"/>
                <w:sz w:val="21"/>
                <w:szCs w:val="21"/>
                <w:highlight w:val="none"/>
              </w:rPr>
              <w:t>分；满分</w:t>
            </w:r>
            <w:r>
              <w:rPr>
                <w:rFonts w:hint="eastAsia" w:ascii="宋体" w:hAnsi="宋体" w:cs="宋体"/>
                <w:bCs/>
                <w:color w:val="auto"/>
                <w:sz w:val="21"/>
                <w:szCs w:val="21"/>
                <w:highlight w:val="none"/>
                <w:lang w:val="en-US" w:eastAsia="zh-CN"/>
              </w:rPr>
              <w:t>12</w:t>
            </w:r>
            <w:r>
              <w:rPr>
                <w:rFonts w:hint="eastAsia" w:ascii="宋体" w:hAnsi="宋体" w:cs="宋体"/>
                <w:bCs/>
                <w:color w:val="auto"/>
                <w:sz w:val="21"/>
                <w:szCs w:val="21"/>
                <w:highlight w:val="none"/>
              </w:rPr>
              <w:t>分。(备注：同一人具有多个专业职称的，只按最高分计一个。）</w:t>
            </w:r>
          </w:p>
          <w:p w14:paraId="7EE9F277">
            <w:pPr>
              <w:keepNext w:val="0"/>
              <w:keepLines w:val="0"/>
              <w:pageBreakBefore w:val="0"/>
              <w:kinsoku/>
              <w:wordWrap/>
              <w:overflowPunct/>
              <w:topLinePunct w:val="0"/>
              <w:autoSpaceDE/>
              <w:autoSpaceDN/>
              <w:bidi w:val="0"/>
              <w:spacing w:before="0" w:beforeLines="50" w:line="240" w:lineRule="auto"/>
              <w:ind w:firstLine="420" w:firstLineChars="200"/>
              <w:jc w:val="left"/>
              <w:rPr>
                <w:rFonts w:hint="eastAsia" w:ascii="宋体" w:hAnsi="宋体" w:cs="宋体"/>
                <w:bCs/>
                <w:color w:val="auto"/>
                <w:sz w:val="21"/>
                <w:szCs w:val="21"/>
                <w:highlight w:val="none"/>
              </w:rPr>
            </w:pPr>
            <w:r>
              <w:rPr>
                <w:rFonts w:hint="eastAsia" w:ascii="Times New Roman" w:hAnsi="Times New Roman" w:eastAsia="宋体" w:cs="Times New Roman"/>
                <w:color w:val="auto"/>
                <w:sz w:val="21"/>
                <w:szCs w:val="21"/>
                <w:highlight w:val="none"/>
              </w:rPr>
              <w:t>（</w:t>
            </w:r>
            <w:r>
              <w:rPr>
                <w:rFonts w:hint="eastAsia"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rPr>
              <w:t>）</w:t>
            </w:r>
            <w:r>
              <w:rPr>
                <w:rFonts w:hint="eastAsia" w:ascii="宋体" w:hAnsi="宋体" w:cs="宋体"/>
                <w:bCs/>
                <w:color w:val="auto"/>
                <w:sz w:val="21"/>
                <w:szCs w:val="21"/>
                <w:highlight w:val="none"/>
              </w:rPr>
              <w:t>其他拟投入人员（除项目负责人外）具有有效的省级自然资源主管部门的涉密人员培训证书的，每有1人得</w:t>
            </w:r>
            <w:r>
              <w:rPr>
                <w:rFonts w:hint="eastAsia" w:ascii="宋体" w:hAnsi="宋体" w:cs="宋体"/>
                <w:bCs/>
                <w:color w:val="auto"/>
                <w:sz w:val="21"/>
                <w:szCs w:val="21"/>
                <w:highlight w:val="none"/>
                <w:lang w:val="en-US" w:eastAsia="zh-CN"/>
              </w:rPr>
              <w:t>0.5</w:t>
            </w:r>
            <w:r>
              <w:rPr>
                <w:rFonts w:hint="eastAsia" w:ascii="宋体" w:hAnsi="宋体" w:cs="宋体"/>
                <w:bCs/>
                <w:color w:val="auto"/>
                <w:sz w:val="21"/>
                <w:szCs w:val="21"/>
                <w:highlight w:val="none"/>
              </w:rPr>
              <w:t>分</w:t>
            </w:r>
            <w:r>
              <w:rPr>
                <w:rFonts w:hint="eastAsia" w:ascii="宋体" w:hAnsi="宋体" w:cs="宋体"/>
                <w:bCs/>
                <w:color w:val="auto"/>
                <w:sz w:val="21"/>
                <w:szCs w:val="21"/>
                <w:highlight w:val="none"/>
                <w:lang w:val="en-US" w:eastAsia="zh-CN"/>
              </w:rPr>
              <w:t>；</w:t>
            </w:r>
            <w:r>
              <w:rPr>
                <w:rFonts w:hint="eastAsia" w:ascii="宋体" w:hAnsi="宋体" w:cs="宋体"/>
                <w:bCs/>
                <w:color w:val="auto"/>
                <w:sz w:val="21"/>
                <w:szCs w:val="21"/>
                <w:highlight w:val="none"/>
              </w:rPr>
              <w:t>满分</w:t>
            </w:r>
            <w:r>
              <w:rPr>
                <w:rFonts w:hint="eastAsia" w:ascii="宋体" w:hAnsi="宋体" w:cs="宋体"/>
                <w:bCs/>
                <w:color w:val="auto"/>
                <w:sz w:val="21"/>
                <w:szCs w:val="21"/>
                <w:highlight w:val="none"/>
                <w:lang w:val="en-US" w:eastAsia="zh-CN"/>
              </w:rPr>
              <w:t>3</w:t>
            </w:r>
            <w:r>
              <w:rPr>
                <w:rFonts w:hint="eastAsia" w:ascii="宋体" w:hAnsi="宋体" w:cs="宋体"/>
                <w:bCs/>
                <w:color w:val="auto"/>
                <w:sz w:val="21"/>
                <w:szCs w:val="21"/>
                <w:highlight w:val="none"/>
              </w:rPr>
              <w:t>分。</w:t>
            </w:r>
          </w:p>
          <w:p w14:paraId="38938AE6">
            <w:pPr>
              <w:keepNext w:val="0"/>
              <w:keepLines w:val="0"/>
              <w:pageBreakBefore w:val="0"/>
              <w:kinsoku/>
              <w:wordWrap/>
              <w:overflowPunct/>
              <w:topLinePunct w:val="0"/>
              <w:autoSpaceDE/>
              <w:autoSpaceDN/>
              <w:bidi w:val="0"/>
              <w:spacing w:before="0" w:beforeLines="50" w:line="240" w:lineRule="auto"/>
              <w:jc w:val="left"/>
              <w:rPr>
                <w:rFonts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注：</w:t>
            </w:r>
          </w:p>
          <w:p w14:paraId="52F8BB63">
            <w:pPr>
              <w:keepNext w:val="0"/>
              <w:keepLines w:val="0"/>
              <w:pageBreakBefore w:val="0"/>
              <w:widowControl/>
              <w:suppressLineNumbers w:val="0"/>
              <w:kinsoku/>
              <w:wordWrap/>
              <w:overflowPunct/>
              <w:topLinePunct w:val="0"/>
              <w:autoSpaceDE/>
              <w:autoSpaceDN/>
              <w:bidi w:val="0"/>
              <w:spacing w:before="0" w:beforeLines="50" w:line="240" w:lineRule="auto"/>
              <w:jc w:val="left"/>
              <w:rPr>
                <w:rFonts w:ascii="Times New Roman" w:hAnsi="Times New Roman" w:eastAsia="宋体" w:cs="Times New Roman"/>
                <w:b/>
                <w:bCs/>
                <w:color w:val="auto"/>
                <w:sz w:val="21"/>
                <w:szCs w:val="21"/>
                <w:highlight w:val="none"/>
              </w:rPr>
            </w:pPr>
            <w:r>
              <w:rPr>
                <w:rFonts w:ascii="Times New Roman" w:hAnsi="Times New Roman" w:eastAsia="宋体" w:cs="Times New Roman"/>
                <w:b/>
                <w:bCs/>
                <w:color w:val="auto"/>
                <w:sz w:val="21"/>
                <w:szCs w:val="21"/>
                <w:highlight w:val="none"/>
              </w:rPr>
              <w:fldChar w:fldCharType="begin"/>
            </w:r>
            <w:r>
              <w:rPr>
                <w:rFonts w:ascii="Times New Roman" w:hAnsi="Times New Roman" w:eastAsia="宋体" w:cs="Times New Roman"/>
                <w:b/>
                <w:bCs/>
                <w:color w:val="auto"/>
                <w:sz w:val="21"/>
                <w:szCs w:val="21"/>
                <w:highlight w:val="none"/>
              </w:rPr>
              <w:instrText xml:space="preserve"> </w:instrText>
            </w:r>
            <w:r>
              <w:rPr>
                <w:rFonts w:hint="eastAsia" w:ascii="Times New Roman" w:hAnsi="Times New Roman" w:eastAsia="宋体" w:cs="Times New Roman"/>
                <w:b/>
                <w:bCs/>
                <w:color w:val="auto"/>
                <w:sz w:val="21"/>
                <w:szCs w:val="21"/>
                <w:highlight w:val="none"/>
              </w:rPr>
              <w:instrText xml:space="preserve">= 1 \* GB3</w:instrText>
            </w:r>
            <w:r>
              <w:rPr>
                <w:rFonts w:ascii="Times New Roman" w:hAnsi="Times New Roman" w:eastAsia="宋体" w:cs="Times New Roman"/>
                <w:b/>
                <w:bCs/>
                <w:color w:val="auto"/>
                <w:sz w:val="21"/>
                <w:szCs w:val="21"/>
                <w:highlight w:val="none"/>
              </w:rPr>
              <w:instrText xml:space="preserve"> </w:instrText>
            </w:r>
            <w:r>
              <w:rPr>
                <w:rFonts w:ascii="Times New Roman" w:hAnsi="Times New Roman" w:eastAsia="宋体" w:cs="Times New Roman"/>
                <w:b/>
                <w:bCs/>
                <w:color w:val="auto"/>
                <w:sz w:val="21"/>
                <w:szCs w:val="21"/>
                <w:highlight w:val="none"/>
              </w:rPr>
              <w:fldChar w:fldCharType="separate"/>
            </w:r>
            <w:r>
              <w:rPr>
                <w:rFonts w:hint="eastAsia" w:ascii="Times New Roman" w:hAnsi="Times New Roman" w:eastAsia="宋体" w:cs="Times New Roman"/>
                <w:b/>
                <w:bCs/>
                <w:color w:val="auto"/>
                <w:sz w:val="21"/>
                <w:szCs w:val="21"/>
                <w:highlight w:val="none"/>
              </w:rPr>
              <w:t>①</w:t>
            </w:r>
            <w:r>
              <w:rPr>
                <w:rFonts w:ascii="Times New Roman" w:hAnsi="Times New Roman" w:eastAsia="宋体" w:cs="Times New Roman"/>
                <w:b/>
                <w:bCs/>
                <w:color w:val="auto"/>
                <w:sz w:val="21"/>
                <w:szCs w:val="21"/>
                <w:highlight w:val="none"/>
              </w:rPr>
              <w:fldChar w:fldCharType="end"/>
            </w:r>
            <w:r>
              <w:rPr>
                <w:rFonts w:hint="eastAsia" w:ascii="Times New Roman" w:hAnsi="Times New Roman" w:eastAsia="宋体" w:cs="Times New Roman"/>
                <w:b/>
                <w:bCs/>
                <w:color w:val="auto"/>
                <w:sz w:val="21"/>
                <w:szCs w:val="21"/>
                <w:highlight w:val="none"/>
              </w:rPr>
              <w:t>拟投入的专业技术人员须为本单位在职职工，并提供供应商为其缴纳社保（竞标截止时间前半年内连续 3 个月）</w:t>
            </w:r>
            <w:r>
              <w:rPr>
                <w:rFonts w:hint="eastAsia" w:ascii="Times New Roman" w:hAnsi="Times New Roman" w:eastAsia="宋体" w:cs="Times New Roman"/>
                <w:b/>
                <w:bCs/>
                <w:color w:val="auto"/>
                <w:sz w:val="21"/>
                <w:szCs w:val="21"/>
                <w:highlight w:val="none"/>
                <w:lang w:eastAsia="zh-CN"/>
              </w:rPr>
              <w:t>证</w:t>
            </w:r>
            <w:r>
              <w:rPr>
                <w:rFonts w:hint="eastAsia" w:ascii="Times New Roman" w:hAnsi="Times New Roman" w:eastAsia="宋体" w:cs="Times New Roman"/>
                <w:b/>
                <w:bCs/>
                <w:color w:val="auto"/>
                <w:sz w:val="21"/>
                <w:szCs w:val="21"/>
                <w:highlight w:val="none"/>
                <w:lang w:val="en-US" w:eastAsia="zh-CN"/>
              </w:rPr>
              <w:t>明材料复印件加盖供应商单位公章</w:t>
            </w:r>
            <w:r>
              <w:rPr>
                <w:rFonts w:hint="eastAsia" w:ascii="Times New Roman" w:hAnsi="Times New Roman" w:eastAsia="宋体" w:cs="Times New Roman"/>
                <w:b/>
                <w:bCs/>
                <w:color w:val="auto"/>
                <w:sz w:val="21"/>
                <w:szCs w:val="21"/>
                <w:highlight w:val="none"/>
              </w:rPr>
              <w:t>；</w:t>
            </w:r>
          </w:p>
          <w:p w14:paraId="549C6A29">
            <w:pPr>
              <w:keepNext w:val="0"/>
              <w:keepLines w:val="0"/>
              <w:pageBreakBefore w:val="0"/>
              <w:widowControl/>
              <w:suppressLineNumbers w:val="0"/>
              <w:kinsoku/>
              <w:wordWrap/>
              <w:overflowPunct/>
              <w:topLinePunct w:val="0"/>
              <w:autoSpaceDE/>
              <w:autoSpaceDN/>
              <w:bidi w:val="0"/>
              <w:spacing w:before="0" w:beforeLines="50" w:line="240" w:lineRule="auto"/>
              <w:jc w:val="left"/>
              <w:rPr>
                <w:rFonts w:ascii="Times New Roman" w:hAnsi="Times New Roman" w:eastAsia="宋体" w:cs="Times New Roman"/>
                <w:color w:val="auto"/>
                <w:sz w:val="21"/>
                <w:szCs w:val="21"/>
                <w:highlight w:val="none"/>
              </w:rPr>
            </w:pPr>
            <w:r>
              <w:rPr>
                <w:rFonts w:hint="eastAsia" w:ascii="Times New Roman" w:hAnsi="Times New Roman" w:eastAsia="宋体" w:cs="Times New Roman"/>
                <w:b/>
                <w:bCs/>
                <w:color w:val="auto"/>
                <w:sz w:val="21"/>
                <w:szCs w:val="21"/>
                <w:highlight w:val="none"/>
              </w:rPr>
              <w:fldChar w:fldCharType="begin"/>
            </w:r>
            <w:r>
              <w:rPr>
                <w:rFonts w:hint="eastAsia" w:ascii="Times New Roman" w:hAnsi="Times New Roman" w:eastAsia="宋体" w:cs="Times New Roman"/>
                <w:b/>
                <w:bCs/>
                <w:color w:val="auto"/>
                <w:sz w:val="21"/>
                <w:szCs w:val="21"/>
                <w:highlight w:val="none"/>
              </w:rPr>
              <w:instrText xml:space="preserve"> = 2 \* GB3 </w:instrText>
            </w:r>
            <w:r>
              <w:rPr>
                <w:rFonts w:hint="eastAsia" w:ascii="Times New Roman" w:hAnsi="Times New Roman" w:eastAsia="宋体" w:cs="Times New Roman"/>
                <w:b/>
                <w:bCs/>
                <w:color w:val="auto"/>
                <w:sz w:val="21"/>
                <w:szCs w:val="21"/>
                <w:highlight w:val="none"/>
              </w:rPr>
              <w:fldChar w:fldCharType="separate"/>
            </w:r>
            <w:r>
              <w:rPr>
                <w:rFonts w:hint="eastAsia" w:ascii="Times New Roman" w:hAnsi="Times New Roman" w:eastAsia="宋体" w:cs="Times New Roman"/>
                <w:b/>
                <w:bCs/>
                <w:color w:val="auto"/>
                <w:sz w:val="21"/>
                <w:szCs w:val="21"/>
                <w:highlight w:val="none"/>
              </w:rPr>
              <w:t>②</w:t>
            </w:r>
            <w:r>
              <w:rPr>
                <w:rFonts w:hint="eastAsia" w:ascii="Times New Roman" w:hAnsi="Times New Roman" w:eastAsia="宋体" w:cs="Times New Roman"/>
                <w:b/>
                <w:bCs/>
                <w:color w:val="auto"/>
                <w:sz w:val="21"/>
                <w:szCs w:val="21"/>
                <w:highlight w:val="none"/>
              </w:rPr>
              <w:fldChar w:fldCharType="end"/>
            </w:r>
            <w:r>
              <w:rPr>
                <w:rFonts w:hint="eastAsia" w:ascii="Times New Roman" w:hAnsi="Times New Roman" w:eastAsia="宋体" w:cs="Times New Roman"/>
                <w:b/>
                <w:bCs/>
                <w:color w:val="auto"/>
                <w:sz w:val="21"/>
                <w:szCs w:val="21"/>
                <w:highlight w:val="none"/>
                <w:lang w:val="en-US" w:eastAsia="zh-CN"/>
              </w:rPr>
              <w:t>有效的职称证书</w:t>
            </w:r>
            <w:r>
              <w:rPr>
                <w:rFonts w:hint="eastAsia" w:cs="Times New Roman"/>
                <w:b/>
                <w:bCs/>
                <w:color w:val="auto"/>
                <w:sz w:val="21"/>
                <w:szCs w:val="21"/>
                <w:highlight w:val="none"/>
                <w:lang w:val="en-US" w:eastAsia="zh-CN"/>
              </w:rPr>
              <w:t>或涉密培训证</w:t>
            </w:r>
            <w:r>
              <w:rPr>
                <w:rFonts w:hint="eastAsia" w:ascii="Times New Roman" w:hAnsi="Times New Roman" w:eastAsia="宋体" w:cs="Times New Roman"/>
                <w:b/>
                <w:bCs/>
                <w:color w:val="auto"/>
                <w:sz w:val="21"/>
                <w:szCs w:val="21"/>
                <w:highlight w:val="none"/>
                <w:lang w:val="en-US" w:eastAsia="zh-CN"/>
              </w:rPr>
              <w:t>复印件加盖供应商单位公章，否则不得分。</w:t>
            </w:r>
          </w:p>
        </w:tc>
      </w:tr>
      <w:tr w14:paraId="1C9B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noWrap w:val="0"/>
            <w:vAlign w:val="center"/>
          </w:tcPr>
          <w:p w14:paraId="58C3B8D3">
            <w:pPr>
              <w:keepNext w:val="0"/>
              <w:keepLines w:val="0"/>
              <w:pageBreakBefore w:val="0"/>
              <w:kinsoku/>
              <w:wordWrap/>
              <w:overflowPunct/>
              <w:topLinePunct w:val="0"/>
              <w:autoSpaceDE/>
              <w:autoSpaceDN/>
              <w:bidi w:val="0"/>
              <w:adjustRightInd w:val="0"/>
              <w:spacing w:before="0" w:beforeLines="50" w:line="360" w:lineRule="auto"/>
              <w:textAlignment w:val="baseline"/>
              <w:rPr>
                <w:rFonts w:ascii="宋体" w:hAnsi="宋体" w:eastAsia="宋体" w:cs="Times New Roman"/>
                <w:b/>
                <w:color w:val="auto"/>
                <w:sz w:val="21"/>
                <w:szCs w:val="21"/>
                <w:highlight w:val="none"/>
              </w:rPr>
            </w:pPr>
          </w:p>
        </w:tc>
        <w:tc>
          <w:tcPr>
            <w:tcW w:w="1280" w:type="dxa"/>
            <w:vMerge w:val="continue"/>
            <w:noWrap w:val="0"/>
            <w:vAlign w:val="center"/>
          </w:tcPr>
          <w:p w14:paraId="4050EC70">
            <w:pPr>
              <w:keepNext w:val="0"/>
              <w:keepLines w:val="0"/>
              <w:pageBreakBefore w:val="0"/>
              <w:kinsoku/>
              <w:wordWrap/>
              <w:overflowPunct/>
              <w:topLinePunct w:val="0"/>
              <w:autoSpaceDE/>
              <w:autoSpaceDN/>
              <w:bidi w:val="0"/>
              <w:adjustRightInd w:val="0"/>
              <w:spacing w:before="0" w:beforeLines="50" w:line="360" w:lineRule="auto"/>
              <w:textAlignment w:val="baseline"/>
              <w:rPr>
                <w:rFonts w:ascii="宋体" w:hAnsi="宋体" w:eastAsia="宋体" w:cs="Times New Roman"/>
                <w:b/>
                <w:color w:val="auto"/>
                <w:sz w:val="21"/>
                <w:szCs w:val="21"/>
                <w:highlight w:val="none"/>
              </w:rPr>
            </w:pPr>
          </w:p>
        </w:tc>
        <w:tc>
          <w:tcPr>
            <w:tcW w:w="709" w:type="dxa"/>
            <w:vMerge w:val="continue"/>
            <w:noWrap w:val="0"/>
            <w:vAlign w:val="center"/>
          </w:tcPr>
          <w:p w14:paraId="48285BDF">
            <w:pPr>
              <w:keepNext w:val="0"/>
              <w:keepLines w:val="0"/>
              <w:pageBreakBefore w:val="0"/>
              <w:kinsoku/>
              <w:wordWrap/>
              <w:overflowPunct/>
              <w:topLinePunct w:val="0"/>
              <w:autoSpaceDE/>
              <w:autoSpaceDN/>
              <w:bidi w:val="0"/>
              <w:adjustRightInd w:val="0"/>
              <w:spacing w:before="0" w:beforeLines="50" w:line="360" w:lineRule="auto"/>
              <w:textAlignment w:val="baseline"/>
              <w:rPr>
                <w:rFonts w:ascii="宋体" w:hAnsi="宋体" w:eastAsia="宋体" w:cs="Times New Roman"/>
                <w:b/>
                <w:color w:val="auto"/>
                <w:sz w:val="21"/>
                <w:szCs w:val="21"/>
                <w:highlight w:val="none"/>
              </w:rPr>
            </w:pPr>
          </w:p>
        </w:tc>
        <w:tc>
          <w:tcPr>
            <w:tcW w:w="1559" w:type="dxa"/>
            <w:noWrap w:val="0"/>
            <w:vAlign w:val="center"/>
          </w:tcPr>
          <w:p w14:paraId="5DBF1DBA">
            <w:pPr>
              <w:keepNext w:val="0"/>
              <w:keepLines w:val="0"/>
              <w:pageBreakBefore w:val="0"/>
              <w:kinsoku/>
              <w:wordWrap/>
              <w:overflowPunct/>
              <w:topLinePunct w:val="0"/>
              <w:autoSpaceDE/>
              <w:autoSpaceDN/>
              <w:bidi w:val="0"/>
              <w:spacing w:before="0" w:beforeLines="50" w:line="400" w:lineRule="exact"/>
              <w:jc w:val="center"/>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（2）</w:t>
            </w:r>
            <w:r>
              <w:rPr>
                <w:rFonts w:hint="eastAsia" w:ascii="宋体" w:hAnsi="宋体" w:eastAsia="宋体" w:cs="Times New Roman"/>
                <w:b/>
                <w:color w:val="auto"/>
                <w:sz w:val="21"/>
                <w:szCs w:val="21"/>
                <w:highlight w:val="none"/>
                <w:lang w:val="en-US" w:eastAsia="zh-CN"/>
              </w:rPr>
              <w:t>奖项信誉分</w:t>
            </w:r>
            <w:r>
              <w:rPr>
                <w:rFonts w:hint="eastAsia" w:ascii="宋体" w:hAnsi="宋体" w:eastAsia="宋体" w:cs="Times New Roman"/>
                <w:b/>
                <w:color w:val="auto"/>
                <w:sz w:val="21"/>
                <w:szCs w:val="21"/>
                <w:highlight w:val="none"/>
              </w:rPr>
              <w:t>(1</w:t>
            </w:r>
            <w:r>
              <w:rPr>
                <w:rFonts w:hint="eastAsia" w:ascii="宋体" w:hAnsi="宋体" w:eastAsia="宋体" w:cs="Times New Roman"/>
                <w:b/>
                <w:color w:val="auto"/>
                <w:sz w:val="21"/>
                <w:szCs w:val="21"/>
                <w:highlight w:val="none"/>
                <w:lang w:val="en-US" w:eastAsia="zh-CN"/>
              </w:rPr>
              <w:t>0</w:t>
            </w:r>
            <w:r>
              <w:rPr>
                <w:rFonts w:hint="eastAsia" w:ascii="宋体" w:hAnsi="宋体" w:eastAsia="宋体" w:cs="Times New Roman"/>
                <w:b/>
                <w:color w:val="auto"/>
                <w:sz w:val="21"/>
                <w:szCs w:val="21"/>
                <w:highlight w:val="none"/>
              </w:rPr>
              <w:t>分)</w:t>
            </w:r>
          </w:p>
        </w:tc>
        <w:tc>
          <w:tcPr>
            <w:tcW w:w="5448" w:type="dxa"/>
            <w:noWrap w:val="0"/>
            <w:vAlign w:val="center"/>
          </w:tcPr>
          <w:p w14:paraId="3BFE4B7E">
            <w:pPr>
              <w:keepNext w:val="0"/>
              <w:keepLines w:val="0"/>
              <w:pageBreakBefore w:val="0"/>
              <w:kinsoku/>
              <w:wordWrap/>
              <w:overflowPunct/>
              <w:topLinePunct w:val="0"/>
              <w:autoSpaceDE/>
              <w:autoSpaceDN/>
              <w:bidi w:val="0"/>
              <w:spacing w:before="0" w:beforeLines="50" w:line="240" w:lineRule="auto"/>
              <w:ind w:firstLine="420" w:firstLineChars="200"/>
              <w:jc w:val="left"/>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（1）2022年1月1日以来，供应商在国土调查或自然资源调查监测方面获得国家级先进集体荣誉称号的，得5分。</w:t>
            </w:r>
          </w:p>
          <w:p w14:paraId="76019FF5">
            <w:pPr>
              <w:keepNext w:val="0"/>
              <w:keepLines w:val="0"/>
              <w:pageBreakBefore w:val="0"/>
              <w:kinsoku/>
              <w:wordWrap/>
              <w:overflowPunct/>
              <w:topLinePunct w:val="0"/>
              <w:autoSpaceDE/>
              <w:autoSpaceDN/>
              <w:bidi w:val="0"/>
              <w:spacing w:before="0" w:beforeLines="50" w:line="240" w:lineRule="auto"/>
              <w:ind w:firstLine="420" w:firstLineChars="200"/>
              <w:jc w:val="left"/>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（2）2022年1月1日以来，供应商在国土调查或自然资源调查监测方面获得省级/自治区级自然资源行政主管部门颁发的先进集体荣誉称号的，得2分。</w:t>
            </w:r>
          </w:p>
          <w:p w14:paraId="438DB32B">
            <w:pPr>
              <w:keepNext w:val="0"/>
              <w:keepLines w:val="0"/>
              <w:pageBreakBefore w:val="0"/>
              <w:numPr>
                <w:ilvl w:val="0"/>
                <w:numId w:val="0"/>
              </w:numPr>
              <w:kinsoku/>
              <w:wordWrap/>
              <w:overflowPunct/>
              <w:topLinePunct w:val="0"/>
              <w:autoSpaceDE/>
              <w:autoSpaceDN/>
              <w:bidi w:val="0"/>
              <w:spacing w:before="0" w:beforeLines="50" w:line="240" w:lineRule="auto"/>
              <w:ind w:left="0" w:firstLine="420" w:firstLineChars="20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（3）投标人通过质量管理体系认证、环境管理体系认证和职业健康安全管理体系认证且认证范围包括“耕地保护整治服务”“自然资源调查监测”的，每有一个得1分，满分3分。</w:t>
            </w:r>
          </w:p>
          <w:p w14:paraId="606C3042">
            <w:pPr>
              <w:keepNext w:val="0"/>
              <w:keepLines w:val="0"/>
              <w:pageBreakBefore w:val="0"/>
              <w:kinsoku/>
              <w:wordWrap/>
              <w:overflowPunct/>
              <w:topLinePunct w:val="0"/>
              <w:autoSpaceDE/>
              <w:autoSpaceDN/>
              <w:bidi w:val="0"/>
              <w:spacing w:before="0" w:beforeLines="50" w:line="240" w:lineRule="auto"/>
              <w:ind w:firstLine="422" w:firstLineChars="200"/>
              <w:jc w:val="left"/>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 xml:space="preserve">注：提供以上相关证书原件扫描件并加盖供应商单 </w:t>
            </w:r>
          </w:p>
          <w:p w14:paraId="523F670C">
            <w:pPr>
              <w:rPr>
                <w:rFonts w:ascii="Times New Roman" w:hAnsi="Times New Roman" w:eastAsia="宋体" w:cs="Times New Roman"/>
                <w:color w:val="auto"/>
                <w:sz w:val="21"/>
                <w:szCs w:val="21"/>
                <w:highlight w:val="none"/>
              </w:rPr>
            </w:pPr>
            <w:r>
              <w:rPr>
                <w:rFonts w:hint="eastAsia" w:ascii="Times New Roman" w:hAnsi="Times New Roman" w:eastAsia="宋体" w:cs="Times New Roman"/>
                <w:b/>
                <w:bCs/>
                <w:color w:val="auto"/>
                <w:sz w:val="21"/>
                <w:szCs w:val="21"/>
                <w:highlight w:val="none"/>
                <w:lang w:val="en-US" w:eastAsia="zh-CN"/>
              </w:rPr>
              <w:t>位公章，否则不予记分。</w:t>
            </w:r>
          </w:p>
        </w:tc>
      </w:tr>
      <w:tr w14:paraId="4BC2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noWrap w:val="0"/>
            <w:vAlign w:val="center"/>
          </w:tcPr>
          <w:p w14:paraId="0C4128A4">
            <w:pPr>
              <w:keepNext w:val="0"/>
              <w:keepLines w:val="0"/>
              <w:pageBreakBefore w:val="0"/>
              <w:kinsoku/>
              <w:wordWrap/>
              <w:overflowPunct/>
              <w:topLinePunct w:val="0"/>
              <w:autoSpaceDE/>
              <w:autoSpaceDN/>
              <w:bidi w:val="0"/>
              <w:adjustRightInd w:val="0"/>
              <w:spacing w:before="0" w:beforeLines="50" w:line="360" w:lineRule="auto"/>
              <w:textAlignment w:val="baseline"/>
              <w:rPr>
                <w:rFonts w:ascii="宋体" w:hAnsi="宋体" w:eastAsia="宋体" w:cs="Times New Roman"/>
                <w:b/>
                <w:color w:val="auto"/>
                <w:sz w:val="21"/>
                <w:szCs w:val="21"/>
                <w:highlight w:val="none"/>
              </w:rPr>
            </w:pPr>
          </w:p>
        </w:tc>
        <w:tc>
          <w:tcPr>
            <w:tcW w:w="1280" w:type="dxa"/>
            <w:vMerge w:val="continue"/>
            <w:noWrap w:val="0"/>
            <w:vAlign w:val="center"/>
          </w:tcPr>
          <w:p w14:paraId="435C823B">
            <w:pPr>
              <w:keepNext w:val="0"/>
              <w:keepLines w:val="0"/>
              <w:pageBreakBefore w:val="0"/>
              <w:kinsoku/>
              <w:wordWrap/>
              <w:overflowPunct/>
              <w:topLinePunct w:val="0"/>
              <w:autoSpaceDE/>
              <w:autoSpaceDN/>
              <w:bidi w:val="0"/>
              <w:adjustRightInd w:val="0"/>
              <w:spacing w:before="0" w:beforeLines="50" w:line="360" w:lineRule="auto"/>
              <w:textAlignment w:val="baseline"/>
              <w:rPr>
                <w:rFonts w:ascii="宋体" w:hAnsi="宋体" w:eastAsia="宋体" w:cs="Times New Roman"/>
                <w:b/>
                <w:color w:val="auto"/>
                <w:sz w:val="21"/>
                <w:szCs w:val="21"/>
                <w:highlight w:val="none"/>
              </w:rPr>
            </w:pPr>
          </w:p>
        </w:tc>
        <w:tc>
          <w:tcPr>
            <w:tcW w:w="709" w:type="dxa"/>
            <w:vMerge w:val="continue"/>
            <w:noWrap w:val="0"/>
            <w:vAlign w:val="center"/>
          </w:tcPr>
          <w:p w14:paraId="16452903">
            <w:pPr>
              <w:keepNext w:val="0"/>
              <w:keepLines w:val="0"/>
              <w:pageBreakBefore w:val="0"/>
              <w:kinsoku/>
              <w:wordWrap/>
              <w:overflowPunct/>
              <w:topLinePunct w:val="0"/>
              <w:autoSpaceDE/>
              <w:autoSpaceDN/>
              <w:bidi w:val="0"/>
              <w:adjustRightInd w:val="0"/>
              <w:spacing w:before="0" w:beforeLines="50" w:line="360" w:lineRule="auto"/>
              <w:textAlignment w:val="baseline"/>
              <w:rPr>
                <w:rFonts w:ascii="宋体" w:hAnsi="宋体" w:eastAsia="宋体" w:cs="Times New Roman"/>
                <w:b/>
                <w:color w:val="auto"/>
                <w:sz w:val="21"/>
                <w:szCs w:val="21"/>
                <w:highlight w:val="none"/>
              </w:rPr>
            </w:pPr>
          </w:p>
        </w:tc>
        <w:tc>
          <w:tcPr>
            <w:tcW w:w="1559" w:type="dxa"/>
            <w:noWrap w:val="0"/>
            <w:vAlign w:val="center"/>
          </w:tcPr>
          <w:p w14:paraId="686029F9">
            <w:pPr>
              <w:keepNext w:val="0"/>
              <w:keepLines w:val="0"/>
              <w:pageBreakBefore w:val="0"/>
              <w:kinsoku/>
              <w:wordWrap/>
              <w:overflowPunct/>
              <w:topLinePunct w:val="0"/>
              <w:autoSpaceDE/>
              <w:autoSpaceDN/>
              <w:bidi w:val="0"/>
              <w:spacing w:before="0" w:beforeLines="50" w:line="400" w:lineRule="exact"/>
              <w:jc w:val="center"/>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（3）业绩分(</w:t>
            </w:r>
            <w:r>
              <w:rPr>
                <w:rFonts w:hint="eastAsia" w:ascii="宋体" w:hAnsi="宋体" w:eastAsia="宋体" w:cs="Times New Roman"/>
                <w:b/>
                <w:color w:val="auto"/>
                <w:sz w:val="21"/>
                <w:szCs w:val="21"/>
                <w:highlight w:val="none"/>
                <w:lang w:val="en-US" w:eastAsia="zh-CN"/>
              </w:rPr>
              <w:t>5</w:t>
            </w:r>
            <w:r>
              <w:rPr>
                <w:rFonts w:hint="eastAsia" w:ascii="宋体" w:hAnsi="宋体" w:eastAsia="宋体" w:cs="Times New Roman"/>
                <w:b/>
                <w:color w:val="auto"/>
                <w:sz w:val="21"/>
                <w:szCs w:val="21"/>
                <w:highlight w:val="none"/>
              </w:rPr>
              <w:t>分)</w:t>
            </w:r>
          </w:p>
        </w:tc>
        <w:tc>
          <w:tcPr>
            <w:tcW w:w="5448" w:type="dxa"/>
            <w:noWrap w:val="0"/>
            <w:vAlign w:val="center"/>
          </w:tcPr>
          <w:p w14:paraId="451CB55E">
            <w:pPr>
              <w:keepNext w:val="0"/>
              <w:keepLines w:val="0"/>
              <w:pageBreakBefore w:val="0"/>
              <w:kinsoku/>
              <w:wordWrap/>
              <w:overflowPunct/>
              <w:topLinePunct w:val="0"/>
              <w:autoSpaceDE/>
              <w:autoSpaceDN/>
              <w:bidi w:val="0"/>
              <w:spacing w:before="0" w:beforeLines="50" w:line="240" w:lineRule="auto"/>
              <w:jc w:val="left"/>
              <w:rPr>
                <w:rFonts w:ascii="Cambria" w:hAnsi="Cambria" w:eastAsia="宋体" w:cs="Times New Roman"/>
                <w:b/>
                <w:bCs/>
                <w:color w:val="auto"/>
                <w:sz w:val="21"/>
                <w:szCs w:val="21"/>
                <w:highlight w:val="none"/>
              </w:rPr>
            </w:pPr>
            <w:r>
              <w:rPr>
                <w:rFonts w:hint="eastAsia" w:ascii="宋体" w:hAnsi="宋体" w:cs="宋体"/>
                <w:bCs/>
                <w:color w:val="auto"/>
                <w:sz w:val="21"/>
                <w:szCs w:val="21"/>
                <w:highlight w:val="none"/>
                <w:u w:val="none"/>
                <w:lang w:val="en-US" w:eastAsia="zh-CN"/>
              </w:rPr>
              <w:t>2022 年 1 月 1 日至今承担过</w:t>
            </w:r>
            <w:r>
              <w:rPr>
                <w:rFonts w:ascii="Helvetica" w:hAnsi="Helvetica" w:eastAsia="Helvetica" w:cs="Helvetica"/>
                <w:i w:val="0"/>
                <w:caps w:val="0"/>
                <w:color w:val="auto"/>
                <w:spacing w:val="0"/>
                <w:sz w:val="21"/>
                <w:szCs w:val="21"/>
                <w:highlight w:val="none"/>
                <w:u w:val="none"/>
                <w:shd w:val="clear" w:color="auto" w:fill="F5F7FA"/>
              </w:rPr>
              <w:t>耕地后备资源等潜力调查</w:t>
            </w:r>
            <w:r>
              <w:rPr>
                <w:rFonts w:hint="eastAsia" w:ascii="Helvetica" w:hAnsi="Helvetica" w:eastAsia="宋体" w:cs="Helvetica"/>
                <w:i w:val="0"/>
                <w:caps w:val="0"/>
                <w:color w:val="auto"/>
                <w:spacing w:val="0"/>
                <w:sz w:val="21"/>
                <w:szCs w:val="21"/>
                <w:highlight w:val="none"/>
                <w:u w:val="none"/>
                <w:shd w:val="clear" w:color="auto" w:fill="F5F7FA"/>
                <w:lang w:val="en-US" w:eastAsia="zh-CN"/>
              </w:rPr>
              <w:t>等</w:t>
            </w:r>
            <w:r>
              <w:rPr>
                <w:rFonts w:hint="eastAsia" w:ascii="宋体" w:hAnsi="宋体" w:cs="宋体"/>
                <w:bCs/>
                <w:color w:val="auto"/>
                <w:sz w:val="21"/>
                <w:szCs w:val="21"/>
                <w:highlight w:val="none"/>
                <w:u w:val="none"/>
                <w:lang w:val="en-US" w:eastAsia="zh-CN"/>
              </w:rPr>
              <w:t>类似项目的，每项得1分，满分5</w:t>
            </w:r>
            <w:r>
              <w:rPr>
                <w:rFonts w:hint="eastAsia" w:ascii="宋体" w:hAnsi="宋体" w:cs="宋体"/>
                <w:bCs/>
                <w:color w:val="auto"/>
                <w:sz w:val="21"/>
                <w:szCs w:val="21"/>
                <w:highlight w:val="none"/>
                <w:lang w:val="en-US" w:eastAsia="zh-CN"/>
              </w:rPr>
              <w:t>分。</w:t>
            </w:r>
            <w:r>
              <w:rPr>
                <w:rFonts w:hint="eastAsia" w:ascii="Times New Roman" w:hAnsi="Times New Roman" w:eastAsia="宋体" w:cs="Times New Roman"/>
                <w:b/>
                <w:bCs/>
                <w:color w:val="auto"/>
                <w:sz w:val="21"/>
                <w:szCs w:val="21"/>
                <w:highlight w:val="none"/>
                <w:lang w:val="en-US" w:eastAsia="zh-CN"/>
              </w:rPr>
              <w:t>（提供项目合同或中标/成交通知书证明材料，时间以签订时间为准，证明材料原件扫描件需加盖供应商单位公章，否则不予以加分）</w:t>
            </w:r>
          </w:p>
        </w:tc>
      </w:tr>
      <w:tr w14:paraId="4567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6" w:type="dxa"/>
            <w:gridSpan w:val="5"/>
            <w:noWrap w:val="0"/>
            <w:vAlign w:val="center"/>
          </w:tcPr>
          <w:p w14:paraId="0F87A53C">
            <w:pPr>
              <w:keepNext w:val="0"/>
              <w:keepLines w:val="0"/>
              <w:pageBreakBefore w:val="0"/>
              <w:kinsoku/>
              <w:wordWrap/>
              <w:overflowPunct/>
              <w:topLinePunct w:val="0"/>
              <w:autoSpaceDE/>
              <w:autoSpaceDN/>
              <w:bidi w:val="0"/>
              <w:spacing w:before="0" w:beforeLines="50" w:line="360" w:lineRule="auto"/>
              <w:rPr>
                <w:rFonts w:ascii="宋体" w:hAnsi="宋体" w:eastAsia="宋体" w:cs="Courier New"/>
                <w:bCs/>
                <w:color w:val="auto"/>
                <w:sz w:val="21"/>
                <w:szCs w:val="21"/>
                <w:highlight w:val="none"/>
              </w:rPr>
            </w:pPr>
            <w:r>
              <w:rPr>
                <w:rFonts w:hint="eastAsia" w:ascii="宋体" w:hAnsi="宋体" w:eastAsia="宋体" w:cs="Courier New"/>
                <w:b/>
                <w:bCs/>
                <w:color w:val="auto"/>
                <w:sz w:val="21"/>
                <w:szCs w:val="21"/>
                <w:highlight w:val="none"/>
              </w:rPr>
              <w:t>总得分=1+2+3。</w:t>
            </w:r>
          </w:p>
        </w:tc>
      </w:tr>
    </w:tbl>
    <w:p w14:paraId="26C4118F">
      <w:pPr>
        <w:spacing w:line="360" w:lineRule="auto"/>
        <w:ind w:firstLine="420" w:firstLineChars="200"/>
        <w:rPr>
          <w:rFonts w:hint="eastAsia" w:ascii="宋体" w:hAnsi="宋体"/>
          <w:bCs/>
          <w:color w:val="auto"/>
          <w:szCs w:val="21"/>
          <w:highlight w:val="none"/>
        </w:rPr>
      </w:pPr>
    </w:p>
    <w:p w14:paraId="0680ACCA">
      <w:pPr>
        <w:spacing w:line="360" w:lineRule="auto"/>
        <w:ind w:firstLine="420" w:firstLineChars="200"/>
        <w:rPr>
          <w:rFonts w:hint="eastAsia" w:ascii="宋体" w:hAnsi="宋体"/>
          <w:bCs/>
          <w:color w:val="auto"/>
          <w:szCs w:val="21"/>
          <w:highlight w:val="none"/>
        </w:rPr>
      </w:pPr>
    </w:p>
    <w:p w14:paraId="2C70D273">
      <w:pPr>
        <w:pStyle w:val="7"/>
        <w:rPr>
          <w:rFonts w:hint="eastAsia"/>
          <w:color w:val="auto"/>
          <w:highlight w:val="none"/>
        </w:rPr>
      </w:pPr>
    </w:p>
    <w:p w14:paraId="4BDA1B13">
      <w:pPr>
        <w:spacing w:line="360" w:lineRule="auto"/>
        <w:ind w:firstLine="420" w:firstLineChars="200"/>
        <w:rPr>
          <w:rFonts w:hint="eastAsia" w:ascii="宋体" w:hAnsi="宋体"/>
          <w:bCs/>
          <w:color w:val="auto"/>
          <w:szCs w:val="21"/>
          <w:highlight w:val="none"/>
        </w:rPr>
      </w:pPr>
      <w:r>
        <w:rPr>
          <w:rFonts w:ascii="宋体" w:hAnsi="宋体"/>
          <w:bCs/>
          <w:color w:val="auto"/>
          <w:szCs w:val="21"/>
          <w:highlight w:val="none"/>
        </w:rPr>
        <w:t>7.</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由低到高的顺序推荐。评审得分且最后报价相同的，按照技术指标优劣顺序推荐（按技术得分由高到低排序，技术得分相同的按照技术要求偏离分由高到低排序）。评审得分、最后报价、技术得分、技术要求偏离分均相同的，由磋商小组随机抽取推荐。</w:t>
      </w:r>
    </w:p>
    <w:p w14:paraId="1CDDE2BE">
      <w:pPr>
        <w:bidi w:val="0"/>
        <w:rPr>
          <w:color w:val="auto"/>
          <w:highlight w:val="none"/>
        </w:rPr>
      </w:pPr>
    </w:p>
    <w:p w14:paraId="4DAC36A2">
      <w:pPr>
        <w:bidi w:val="0"/>
        <w:rPr>
          <w:rFonts w:hint="eastAsia"/>
          <w:color w:val="auto"/>
          <w:highlight w:val="none"/>
        </w:rPr>
      </w:pPr>
      <w:r>
        <w:rPr>
          <w:color w:val="auto"/>
          <w:highlight w:val="none"/>
        </w:rPr>
        <w:br w:type="page"/>
      </w:r>
    </w:p>
    <w:p w14:paraId="4D418E8D">
      <w:pPr>
        <w:rPr>
          <w:rFonts w:hint="eastAsia"/>
          <w:color w:val="auto"/>
          <w:highlight w:val="none"/>
        </w:rPr>
      </w:pPr>
    </w:p>
    <w:p w14:paraId="0062A484">
      <w:pPr>
        <w:rPr>
          <w:rFonts w:hint="eastAsia"/>
          <w:color w:val="auto"/>
          <w:highlight w:val="none"/>
        </w:rPr>
      </w:pPr>
    </w:p>
    <w:p w14:paraId="2F98C233">
      <w:pPr>
        <w:rPr>
          <w:rFonts w:hint="eastAsia"/>
          <w:color w:val="auto"/>
          <w:highlight w:val="none"/>
        </w:rPr>
      </w:pPr>
    </w:p>
    <w:p w14:paraId="1A8F5B4C">
      <w:pPr>
        <w:rPr>
          <w:rFonts w:hint="eastAsia"/>
          <w:color w:val="auto"/>
          <w:highlight w:val="none"/>
        </w:rPr>
      </w:pPr>
    </w:p>
    <w:p w14:paraId="6D11022B">
      <w:pPr>
        <w:rPr>
          <w:rFonts w:hint="eastAsia"/>
          <w:color w:val="auto"/>
          <w:highlight w:val="none"/>
        </w:rPr>
      </w:pPr>
    </w:p>
    <w:p w14:paraId="666F2AB9">
      <w:pPr>
        <w:rPr>
          <w:rFonts w:hint="eastAsia"/>
          <w:color w:val="auto"/>
          <w:highlight w:val="none"/>
        </w:rPr>
      </w:pPr>
    </w:p>
    <w:p w14:paraId="63D557E7">
      <w:pPr>
        <w:rPr>
          <w:rFonts w:hint="eastAsia"/>
          <w:color w:val="auto"/>
          <w:highlight w:val="none"/>
        </w:rPr>
      </w:pPr>
    </w:p>
    <w:p w14:paraId="464AF368">
      <w:pPr>
        <w:rPr>
          <w:rFonts w:hint="eastAsia"/>
          <w:color w:val="auto"/>
          <w:highlight w:val="none"/>
        </w:rPr>
      </w:pPr>
    </w:p>
    <w:p w14:paraId="271D93A9">
      <w:pPr>
        <w:rPr>
          <w:rFonts w:hint="eastAsia"/>
          <w:color w:val="auto"/>
          <w:highlight w:val="none"/>
        </w:rPr>
      </w:pPr>
    </w:p>
    <w:p w14:paraId="6C374349">
      <w:pPr>
        <w:rPr>
          <w:rFonts w:hint="eastAsia"/>
          <w:color w:val="auto"/>
          <w:highlight w:val="none"/>
        </w:rPr>
      </w:pPr>
    </w:p>
    <w:p w14:paraId="174E9B3E">
      <w:pPr>
        <w:rPr>
          <w:rFonts w:hint="eastAsia"/>
          <w:color w:val="auto"/>
          <w:highlight w:val="none"/>
        </w:rPr>
      </w:pPr>
    </w:p>
    <w:p w14:paraId="6BE51893">
      <w:pPr>
        <w:rPr>
          <w:rFonts w:hint="eastAsia"/>
          <w:color w:val="auto"/>
          <w:highlight w:val="none"/>
        </w:rPr>
      </w:pPr>
    </w:p>
    <w:p w14:paraId="375069B3">
      <w:pPr>
        <w:rPr>
          <w:rFonts w:hint="eastAsia"/>
          <w:color w:val="auto"/>
          <w:highlight w:val="none"/>
        </w:rPr>
      </w:pPr>
    </w:p>
    <w:p w14:paraId="2B9385C9">
      <w:pPr>
        <w:pStyle w:val="2"/>
        <w:jc w:val="center"/>
        <w:rPr>
          <w:rFonts w:hint="eastAsia"/>
          <w:color w:val="auto"/>
          <w:highlight w:val="none"/>
        </w:rPr>
      </w:pPr>
      <w:bookmarkStart w:id="70" w:name="_Toc74323460"/>
      <w:r>
        <w:rPr>
          <w:rFonts w:hint="eastAsia"/>
          <w:color w:val="auto"/>
          <w:highlight w:val="none"/>
        </w:rPr>
        <w:t>第五章 响应文件格式</w:t>
      </w:r>
      <w:bookmarkEnd w:id="70"/>
    </w:p>
    <w:p w14:paraId="280AEA25">
      <w:pPr>
        <w:spacing w:line="240" w:lineRule="atLeast"/>
        <w:rPr>
          <w:rFonts w:hint="eastAsia" w:ascii="宋体" w:hAnsi="宋体"/>
          <w:b/>
          <w:color w:val="auto"/>
          <w:sz w:val="32"/>
          <w:szCs w:val="32"/>
          <w:highlight w:val="none"/>
        </w:rPr>
      </w:pPr>
    </w:p>
    <w:p w14:paraId="63DF6670">
      <w:pPr>
        <w:spacing w:line="240" w:lineRule="atLeast"/>
        <w:rPr>
          <w:rFonts w:hint="eastAsia" w:ascii="宋体" w:hAnsi="宋体"/>
          <w:b/>
          <w:color w:val="auto"/>
          <w:sz w:val="32"/>
          <w:szCs w:val="32"/>
          <w:highlight w:val="none"/>
        </w:rPr>
      </w:pPr>
    </w:p>
    <w:p w14:paraId="6B5BAF6D">
      <w:pPr>
        <w:spacing w:line="240" w:lineRule="atLeast"/>
        <w:rPr>
          <w:rFonts w:hint="eastAsia" w:ascii="宋体" w:hAnsi="宋体"/>
          <w:b/>
          <w:color w:val="auto"/>
          <w:sz w:val="32"/>
          <w:szCs w:val="32"/>
          <w:highlight w:val="none"/>
        </w:rPr>
      </w:pPr>
    </w:p>
    <w:p w14:paraId="58BABE8B">
      <w:pPr>
        <w:spacing w:line="240" w:lineRule="atLeast"/>
        <w:rPr>
          <w:rFonts w:hint="eastAsia" w:ascii="宋体" w:hAnsi="宋体"/>
          <w:b/>
          <w:color w:val="auto"/>
          <w:sz w:val="32"/>
          <w:szCs w:val="32"/>
          <w:highlight w:val="none"/>
        </w:rPr>
      </w:pPr>
    </w:p>
    <w:p w14:paraId="04517621">
      <w:pPr>
        <w:spacing w:line="240" w:lineRule="atLeast"/>
        <w:rPr>
          <w:rFonts w:hint="eastAsia" w:ascii="宋体" w:hAnsi="宋体"/>
          <w:b/>
          <w:color w:val="auto"/>
          <w:sz w:val="32"/>
          <w:szCs w:val="32"/>
          <w:highlight w:val="none"/>
        </w:rPr>
      </w:pPr>
    </w:p>
    <w:p w14:paraId="47D9FD1B">
      <w:pPr>
        <w:spacing w:line="240" w:lineRule="atLeast"/>
        <w:rPr>
          <w:rFonts w:hint="eastAsia" w:ascii="宋体" w:hAnsi="宋体"/>
          <w:b/>
          <w:color w:val="auto"/>
          <w:sz w:val="32"/>
          <w:szCs w:val="32"/>
          <w:highlight w:val="none"/>
        </w:rPr>
      </w:pPr>
    </w:p>
    <w:p w14:paraId="42545CE4">
      <w:pPr>
        <w:spacing w:line="240" w:lineRule="atLeast"/>
        <w:rPr>
          <w:rFonts w:hint="eastAsia" w:ascii="宋体" w:hAnsi="宋体"/>
          <w:b/>
          <w:color w:val="auto"/>
          <w:sz w:val="32"/>
          <w:szCs w:val="32"/>
          <w:highlight w:val="none"/>
        </w:rPr>
      </w:pPr>
    </w:p>
    <w:p w14:paraId="7B4FF142">
      <w:pPr>
        <w:spacing w:line="240" w:lineRule="atLeast"/>
        <w:rPr>
          <w:rFonts w:hint="eastAsia" w:ascii="宋体" w:hAnsi="宋体"/>
          <w:b/>
          <w:color w:val="auto"/>
          <w:sz w:val="32"/>
          <w:szCs w:val="32"/>
          <w:highlight w:val="none"/>
        </w:rPr>
      </w:pPr>
    </w:p>
    <w:p w14:paraId="455EFB1A">
      <w:pPr>
        <w:spacing w:line="240" w:lineRule="atLeast"/>
        <w:rPr>
          <w:rFonts w:hint="eastAsia" w:ascii="宋体" w:hAnsi="宋体"/>
          <w:b/>
          <w:color w:val="auto"/>
          <w:sz w:val="32"/>
          <w:szCs w:val="32"/>
          <w:highlight w:val="none"/>
        </w:rPr>
      </w:pPr>
    </w:p>
    <w:p w14:paraId="373A8632">
      <w:pPr>
        <w:spacing w:line="240" w:lineRule="atLeast"/>
        <w:rPr>
          <w:rFonts w:hint="eastAsia" w:ascii="宋体" w:hAnsi="宋体"/>
          <w:b/>
          <w:color w:val="auto"/>
          <w:sz w:val="32"/>
          <w:szCs w:val="32"/>
          <w:highlight w:val="none"/>
        </w:rPr>
      </w:pPr>
    </w:p>
    <w:p w14:paraId="1E83F9CB">
      <w:pPr>
        <w:spacing w:line="240" w:lineRule="atLeast"/>
        <w:rPr>
          <w:rFonts w:hint="eastAsia" w:ascii="宋体" w:hAnsi="宋体"/>
          <w:b/>
          <w:color w:val="auto"/>
          <w:sz w:val="32"/>
          <w:szCs w:val="32"/>
          <w:highlight w:val="none"/>
        </w:rPr>
      </w:pPr>
    </w:p>
    <w:p w14:paraId="305062F0">
      <w:pPr>
        <w:bidi w:val="0"/>
        <w:rPr>
          <w:rFonts w:hint="eastAsia"/>
          <w:color w:val="auto"/>
          <w:highlight w:val="none"/>
        </w:rPr>
      </w:pPr>
    </w:p>
    <w:p w14:paraId="5706DDB7">
      <w:pPr>
        <w:snapToGrid w:val="0"/>
        <w:spacing w:before="156" w:beforeLines="50" w:after="50"/>
        <w:jc w:val="center"/>
        <w:rPr>
          <w:rFonts w:hint="eastAsia" w:ascii="仿宋_GB2312" w:hAnsi="仿宋_GB2312" w:eastAsia="仿宋_GB2312" w:cs="仿宋_GB2312"/>
          <w:bCs/>
          <w:color w:val="auto"/>
          <w:sz w:val="32"/>
          <w:szCs w:val="32"/>
          <w:highlight w:val="none"/>
        </w:rPr>
      </w:pPr>
    </w:p>
    <w:p w14:paraId="6C3CF966">
      <w:pPr>
        <w:rPr>
          <w:rFonts w:hint="eastAsia"/>
          <w:b/>
          <w:color w:val="auto"/>
          <w:sz w:val="32"/>
          <w:szCs w:val="32"/>
          <w:highlight w:val="none"/>
        </w:rPr>
      </w:pPr>
      <w:bookmarkStart w:id="71" w:name="_Toc31723070"/>
      <w:bookmarkStart w:id="72" w:name="_Toc71366186"/>
      <w:bookmarkStart w:id="73" w:name="_Toc31728084"/>
      <w:bookmarkStart w:id="74" w:name="_Toc44229899"/>
      <w:bookmarkStart w:id="75" w:name="_Toc35611516"/>
      <w:bookmarkStart w:id="76" w:name="_Toc35611438"/>
      <w:r>
        <w:rPr>
          <w:rFonts w:hint="eastAsia"/>
          <w:b/>
          <w:color w:val="auto"/>
          <w:sz w:val="32"/>
          <w:szCs w:val="32"/>
          <w:highlight w:val="none"/>
        </w:rPr>
        <w:br w:type="page"/>
      </w:r>
    </w:p>
    <w:p w14:paraId="2A93539F">
      <w:pPr>
        <w:rPr>
          <w:rFonts w:hint="eastAsia"/>
          <w:b/>
          <w:color w:val="auto"/>
          <w:sz w:val="32"/>
          <w:szCs w:val="32"/>
          <w:highlight w:val="none"/>
        </w:rPr>
      </w:pPr>
      <w:r>
        <w:rPr>
          <w:rFonts w:hint="eastAsia"/>
          <w:b/>
          <w:color w:val="auto"/>
          <w:sz w:val="32"/>
          <w:szCs w:val="32"/>
          <w:highlight w:val="none"/>
        </w:rPr>
        <w:t>一、资格证明文件格式</w:t>
      </w:r>
      <w:bookmarkEnd w:id="71"/>
      <w:bookmarkEnd w:id="72"/>
      <w:bookmarkEnd w:id="73"/>
      <w:bookmarkEnd w:id="74"/>
      <w:bookmarkEnd w:id="75"/>
      <w:bookmarkEnd w:id="76"/>
    </w:p>
    <w:p w14:paraId="504C37ED">
      <w:pPr>
        <w:snapToGrid w:val="0"/>
        <w:spacing w:before="156"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15873559">
      <w:pPr>
        <w:snapToGrid w:val="0"/>
        <w:spacing w:before="156" w:beforeLines="50" w:after="50"/>
        <w:jc w:val="center"/>
        <w:rPr>
          <w:rFonts w:ascii="宋体" w:hAnsi="宋体"/>
          <w:color w:val="auto"/>
          <w:sz w:val="44"/>
          <w:szCs w:val="44"/>
          <w:highlight w:val="none"/>
        </w:rPr>
      </w:pPr>
    </w:p>
    <w:p w14:paraId="4878CFA7">
      <w:pPr>
        <w:snapToGrid w:val="0"/>
        <w:spacing w:before="156"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2F1BEC7B">
      <w:pPr>
        <w:snapToGrid w:val="0"/>
        <w:spacing w:before="156" w:beforeLines="50" w:after="50"/>
        <w:rPr>
          <w:rFonts w:hint="eastAsia" w:ascii="宋体" w:hAnsi="宋体"/>
          <w:color w:val="auto"/>
          <w:sz w:val="24"/>
          <w:szCs w:val="20"/>
          <w:highlight w:val="none"/>
        </w:rPr>
      </w:pPr>
    </w:p>
    <w:p w14:paraId="0CDEF398">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51722968">
      <w:pPr>
        <w:snapToGrid w:val="0"/>
        <w:spacing w:before="156" w:beforeLines="50" w:after="50"/>
        <w:rPr>
          <w:rFonts w:hint="eastAsia" w:ascii="宋体" w:hAnsi="宋体"/>
          <w:bCs/>
          <w:color w:val="auto"/>
          <w:sz w:val="24"/>
          <w:szCs w:val="20"/>
          <w:highlight w:val="none"/>
        </w:rPr>
      </w:pPr>
    </w:p>
    <w:p w14:paraId="72FA40A1">
      <w:pPr>
        <w:snapToGrid w:val="0"/>
        <w:spacing w:before="156" w:beforeLines="50" w:after="50"/>
        <w:rPr>
          <w:rFonts w:hint="eastAsia" w:ascii="宋体" w:hAnsi="宋体"/>
          <w:bCs/>
          <w:color w:val="auto"/>
          <w:sz w:val="24"/>
          <w:szCs w:val="20"/>
          <w:highlight w:val="none"/>
        </w:rPr>
      </w:pPr>
    </w:p>
    <w:p w14:paraId="428DFD76">
      <w:pPr>
        <w:snapToGrid w:val="0"/>
        <w:spacing w:before="156" w:beforeLines="50" w:after="50"/>
        <w:rPr>
          <w:rFonts w:hint="eastAsia" w:ascii="宋体" w:hAnsi="宋体"/>
          <w:bCs/>
          <w:color w:val="auto"/>
          <w:sz w:val="24"/>
          <w:szCs w:val="20"/>
          <w:highlight w:val="none"/>
        </w:rPr>
      </w:pPr>
    </w:p>
    <w:p w14:paraId="4F640841">
      <w:pPr>
        <w:snapToGrid w:val="0"/>
        <w:spacing w:before="156" w:beforeLines="50" w:after="50"/>
        <w:rPr>
          <w:rFonts w:hint="eastAsia" w:ascii="宋体" w:hAnsi="宋体"/>
          <w:bCs/>
          <w:color w:val="auto"/>
          <w:sz w:val="24"/>
          <w:szCs w:val="20"/>
          <w:highlight w:val="none"/>
        </w:rPr>
      </w:pPr>
    </w:p>
    <w:p w14:paraId="11358405">
      <w:pPr>
        <w:snapToGrid w:val="0"/>
        <w:spacing w:before="156" w:beforeLines="50" w:after="50"/>
        <w:rPr>
          <w:rFonts w:hint="eastAsia" w:ascii="宋体" w:hAnsi="宋体"/>
          <w:bCs/>
          <w:color w:val="auto"/>
          <w:sz w:val="24"/>
          <w:szCs w:val="20"/>
          <w:highlight w:val="none"/>
        </w:rPr>
      </w:pPr>
    </w:p>
    <w:p w14:paraId="1B6778C9">
      <w:pPr>
        <w:snapToGrid w:val="0"/>
        <w:spacing w:before="156" w:beforeLines="50" w:after="50"/>
        <w:ind w:firstLine="640" w:firstLineChars="20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玉林市现状耕地和潜力耕地地块实际利用情况调查摸底工作底图制作以及市级复核与数据库成果汇总等工作项目（重）</w:t>
      </w:r>
    </w:p>
    <w:p w14:paraId="651DE3A1">
      <w:pPr>
        <w:snapToGrid w:val="0"/>
        <w:spacing w:before="156" w:beforeLines="50" w:after="50"/>
        <w:ind w:firstLine="720" w:firstLineChars="225"/>
        <w:rPr>
          <w:rFonts w:hint="eastAsia" w:ascii="宋体" w:hAnsi="宋体" w:cs="仿宋_GB2312"/>
          <w:bCs/>
          <w:color w:val="auto"/>
          <w:sz w:val="32"/>
          <w:szCs w:val="32"/>
          <w:highlight w:val="none"/>
        </w:rPr>
      </w:pPr>
    </w:p>
    <w:p w14:paraId="393483E2">
      <w:pPr>
        <w:snapToGrid w:val="0"/>
        <w:spacing w:before="156" w:beforeLines="50" w:after="50"/>
        <w:ind w:firstLine="720" w:firstLineChars="225"/>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项目编号：</w:t>
      </w:r>
      <w:r>
        <w:rPr>
          <w:rFonts w:hint="eastAsia" w:ascii="宋体" w:hAnsi="宋体" w:cs="仿宋_GB2312"/>
          <w:bCs/>
          <w:color w:val="auto"/>
          <w:sz w:val="32"/>
          <w:szCs w:val="32"/>
          <w:highlight w:val="none"/>
          <w:lang w:eastAsia="zh-CN"/>
        </w:rPr>
        <w:t>YLZC2025-C3-990317-DYGS</w:t>
      </w:r>
    </w:p>
    <w:p w14:paraId="00BC55B3">
      <w:pPr>
        <w:snapToGrid w:val="0"/>
        <w:spacing w:before="156" w:beforeLines="50" w:after="50"/>
        <w:ind w:firstLine="720" w:firstLineChars="225"/>
        <w:rPr>
          <w:rFonts w:hint="eastAsia" w:ascii="宋体" w:hAnsi="宋体" w:cs="仿宋_GB2312"/>
          <w:bCs/>
          <w:color w:val="auto"/>
          <w:sz w:val="32"/>
          <w:szCs w:val="32"/>
          <w:highlight w:val="none"/>
        </w:rPr>
      </w:pPr>
    </w:p>
    <w:p w14:paraId="6B87A949">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41EA8FAB">
      <w:pPr>
        <w:snapToGrid w:val="0"/>
        <w:spacing w:before="156" w:beforeLines="50" w:after="50"/>
        <w:ind w:firstLine="720" w:firstLineChars="225"/>
        <w:rPr>
          <w:rFonts w:hint="eastAsia" w:ascii="宋体" w:hAnsi="宋体" w:cs="仿宋_GB2312"/>
          <w:bCs/>
          <w:color w:val="auto"/>
          <w:sz w:val="32"/>
          <w:szCs w:val="32"/>
          <w:highlight w:val="none"/>
        </w:rPr>
      </w:pPr>
    </w:p>
    <w:p w14:paraId="2AFFD0DA">
      <w:pPr>
        <w:pStyle w:val="7"/>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9132FC4">
      <w:pPr>
        <w:snapToGrid w:val="0"/>
        <w:spacing w:before="156" w:beforeLines="50" w:after="50"/>
        <w:ind w:firstLine="640" w:firstLineChars="200"/>
        <w:rPr>
          <w:rFonts w:hint="eastAsia" w:ascii="宋体" w:hAnsi="宋体" w:cs="仿宋_GB2312"/>
          <w:bCs/>
          <w:color w:val="auto"/>
          <w:sz w:val="32"/>
          <w:szCs w:val="32"/>
          <w:highlight w:val="none"/>
        </w:rPr>
      </w:pPr>
    </w:p>
    <w:p w14:paraId="3AF72BAF">
      <w:pPr>
        <w:pStyle w:val="7"/>
        <w:snapToGrid w:val="0"/>
        <w:spacing w:before="50" w:after="50"/>
        <w:ind w:firstLine="720" w:firstLineChars="225"/>
        <w:rPr>
          <w:rFonts w:hint="eastAsia" w:ascii="宋体" w:hAnsi="宋体" w:cs="仿宋_GB2312"/>
          <w:bCs/>
          <w:color w:val="auto"/>
          <w:sz w:val="32"/>
          <w:szCs w:val="32"/>
          <w:highlight w:val="none"/>
        </w:rPr>
      </w:pPr>
    </w:p>
    <w:p w14:paraId="096A0BF0">
      <w:pPr>
        <w:pStyle w:val="7"/>
        <w:snapToGrid w:val="0"/>
        <w:spacing w:before="50" w:after="50"/>
        <w:ind w:firstLine="720" w:firstLineChars="225"/>
        <w:rPr>
          <w:rFonts w:hint="eastAsia" w:ascii="宋体" w:hAnsi="宋体" w:cs="仿宋_GB2312"/>
          <w:bCs/>
          <w:color w:val="auto"/>
          <w:sz w:val="32"/>
          <w:szCs w:val="32"/>
          <w:highlight w:val="none"/>
        </w:rPr>
      </w:pPr>
    </w:p>
    <w:p w14:paraId="0DD8BB14">
      <w:pPr>
        <w:pStyle w:val="7"/>
        <w:snapToGrid w:val="0"/>
        <w:spacing w:before="50" w:after="50"/>
        <w:ind w:firstLine="1280" w:firstLineChars="400"/>
        <w:rPr>
          <w:rFonts w:hint="eastAsia" w:ascii="宋体" w:hAnsi="宋体" w:cs="仿宋_GB2312"/>
          <w:bCs/>
          <w:color w:val="auto"/>
          <w:sz w:val="32"/>
          <w:szCs w:val="32"/>
          <w:highlight w:val="none"/>
        </w:rPr>
      </w:pPr>
    </w:p>
    <w:p w14:paraId="4B129F19">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0D101B2">
      <w:pPr>
        <w:snapToGrid w:val="0"/>
        <w:spacing w:before="156"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5725A699">
      <w:pPr>
        <w:snapToGrid w:val="0"/>
        <w:spacing w:before="156"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06F4726B">
      <w:pPr>
        <w:snapToGrid w:val="0"/>
        <w:spacing w:before="156"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3D9E6F69">
      <w:pPr>
        <w:spacing w:line="300" w:lineRule="auto"/>
        <w:rPr>
          <w:rFonts w:hint="eastAsia" w:ascii="宋体" w:hAnsi="宋体"/>
          <w:color w:val="auto"/>
          <w:szCs w:val="21"/>
          <w:highlight w:val="none"/>
        </w:rPr>
      </w:pPr>
    </w:p>
    <w:p w14:paraId="3DF496AF">
      <w:pPr>
        <w:spacing w:line="300" w:lineRule="auto"/>
        <w:rPr>
          <w:rFonts w:hint="eastAsia" w:ascii="宋体" w:hAnsi="宋体"/>
          <w:color w:val="auto"/>
          <w:szCs w:val="21"/>
          <w:highlight w:val="none"/>
        </w:rPr>
      </w:pPr>
    </w:p>
    <w:p w14:paraId="440C5F33">
      <w:pPr>
        <w:spacing w:line="300" w:lineRule="auto"/>
        <w:rPr>
          <w:rFonts w:hint="eastAsia" w:ascii="宋体" w:hAnsi="宋体"/>
          <w:color w:val="auto"/>
          <w:szCs w:val="21"/>
          <w:highlight w:val="none"/>
        </w:rPr>
      </w:pPr>
    </w:p>
    <w:p w14:paraId="2E63FE75">
      <w:pPr>
        <w:spacing w:line="300" w:lineRule="auto"/>
        <w:rPr>
          <w:rFonts w:hint="eastAsia" w:ascii="宋体" w:hAnsi="宋体"/>
          <w:color w:val="auto"/>
          <w:szCs w:val="21"/>
          <w:highlight w:val="none"/>
        </w:rPr>
      </w:pPr>
    </w:p>
    <w:p w14:paraId="64FAF51B">
      <w:pPr>
        <w:spacing w:line="300" w:lineRule="auto"/>
        <w:rPr>
          <w:rFonts w:hint="eastAsia" w:ascii="宋体" w:hAnsi="宋体"/>
          <w:color w:val="auto"/>
          <w:szCs w:val="21"/>
          <w:highlight w:val="none"/>
        </w:rPr>
      </w:pPr>
    </w:p>
    <w:p w14:paraId="6ED928E2">
      <w:pPr>
        <w:spacing w:line="300" w:lineRule="auto"/>
        <w:rPr>
          <w:rFonts w:hint="eastAsia" w:ascii="宋体" w:hAnsi="宋体"/>
          <w:color w:val="auto"/>
          <w:szCs w:val="21"/>
          <w:highlight w:val="none"/>
        </w:rPr>
      </w:pPr>
    </w:p>
    <w:p w14:paraId="6F13F3B5">
      <w:pPr>
        <w:spacing w:line="300" w:lineRule="auto"/>
        <w:rPr>
          <w:rFonts w:hint="eastAsia" w:ascii="宋体" w:hAnsi="宋体"/>
          <w:color w:val="auto"/>
          <w:szCs w:val="21"/>
          <w:highlight w:val="none"/>
        </w:rPr>
      </w:pPr>
    </w:p>
    <w:p w14:paraId="5296E88C">
      <w:pPr>
        <w:spacing w:line="300" w:lineRule="auto"/>
        <w:rPr>
          <w:rFonts w:hint="eastAsia" w:ascii="宋体" w:hAnsi="宋体"/>
          <w:color w:val="auto"/>
          <w:szCs w:val="21"/>
          <w:highlight w:val="none"/>
        </w:rPr>
      </w:pPr>
    </w:p>
    <w:p w14:paraId="25B63F59">
      <w:pPr>
        <w:spacing w:line="300" w:lineRule="auto"/>
        <w:rPr>
          <w:rFonts w:hint="eastAsia" w:ascii="宋体" w:hAnsi="宋体"/>
          <w:color w:val="auto"/>
          <w:szCs w:val="21"/>
          <w:highlight w:val="none"/>
        </w:rPr>
      </w:pPr>
    </w:p>
    <w:p w14:paraId="6A8BAF14">
      <w:pPr>
        <w:spacing w:line="300" w:lineRule="auto"/>
        <w:rPr>
          <w:rFonts w:hint="eastAsia" w:ascii="宋体" w:hAnsi="宋体"/>
          <w:color w:val="auto"/>
          <w:szCs w:val="21"/>
          <w:highlight w:val="none"/>
        </w:rPr>
      </w:pPr>
    </w:p>
    <w:p w14:paraId="41FBC145">
      <w:pPr>
        <w:spacing w:line="300" w:lineRule="auto"/>
        <w:rPr>
          <w:rFonts w:hint="eastAsia" w:ascii="宋体" w:hAnsi="宋体"/>
          <w:color w:val="auto"/>
          <w:szCs w:val="21"/>
          <w:highlight w:val="none"/>
        </w:rPr>
      </w:pPr>
    </w:p>
    <w:p w14:paraId="4C5C012D">
      <w:pPr>
        <w:spacing w:line="300" w:lineRule="auto"/>
        <w:rPr>
          <w:rFonts w:hint="eastAsia" w:ascii="宋体" w:hAnsi="宋体"/>
          <w:color w:val="auto"/>
          <w:szCs w:val="21"/>
          <w:highlight w:val="none"/>
        </w:rPr>
      </w:pPr>
    </w:p>
    <w:p w14:paraId="7CEC9A9D">
      <w:pPr>
        <w:spacing w:line="300" w:lineRule="auto"/>
        <w:rPr>
          <w:rFonts w:hint="eastAsia" w:ascii="宋体" w:hAnsi="宋体"/>
          <w:color w:val="auto"/>
          <w:szCs w:val="21"/>
          <w:highlight w:val="none"/>
        </w:rPr>
      </w:pPr>
    </w:p>
    <w:p w14:paraId="7D2A2319">
      <w:pPr>
        <w:spacing w:line="300" w:lineRule="auto"/>
        <w:rPr>
          <w:rFonts w:hint="eastAsia" w:ascii="宋体" w:hAnsi="宋体"/>
          <w:color w:val="auto"/>
          <w:szCs w:val="21"/>
          <w:highlight w:val="none"/>
        </w:rPr>
      </w:pPr>
    </w:p>
    <w:p w14:paraId="287A1486">
      <w:pPr>
        <w:spacing w:line="300" w:lineRule="auto"/>
        <w:rPr>
          <w:rFonts w:hint="eastAsia" w:ascii="宋体" w:hAnsi="宋体"/>
          <w:color w:val="auto"/>
          <w:szCs w:val="21"/>
          <w:highlight w:val="none"/>
        </w:rPr>
      </w:pPr>
    </w:p>
    <w:p w14:paraId="571F534A">
      <w:pPr>
        <w:spacing w:line="320" w:lineRule="exact"/>
        <w:jc w:val="left"/>
        <w:rPr>
          <w:rFonts w:hint="eastAsia"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 xml:space="preserve"> </w:t>
      </w:r>
    </w:p>
    <w:p w14:paraId="5267BB83">
      <w:pPr>
        <w:wordWrap w:val="0"/>
        <w:spacing w:before="156" w:beforeLines="50" w:after="50" w:line="320" w:lineRule="exact"/>
        <w:ind w:right="482" w:firstLine="210" w:firstLineChars="100"/>
        <w:contextualSpacing/>
        <w:jc w:val="center"/>
        <w:rPr>
          <w:rFonts w:hint="eastAsia" w:ascii="宋体" w:hAnsi="宋体"/>
          <w:color w:val="auto"/>
          <w:szCs w:val="21"/>
          <w:highlight w:val="none"/>
        </w:rPr>
      </w:pPr>
    </w:p>
    <w:p w14:paraId="455F2A62">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330BA403">
      <w:pPr>
        <w:snapToGrid w:val="0"/>
        <w:spacing w:before="156" w:beforeLines="50" w:after="50" w:line="360" w:lineRule="auto"/>
        <w:jc w:val="center"/>
        <w:rPr>
          <w:rFonts w:hint="eastAsia" w:ascii="宋体" w:hAnsi="宋体"/>
          <w:b/>
          <w:color w:val="auto"/>
          <w:sz w:val="24"/>
          <w:highlight w:val="none"/>
        </w:rPr>
      </w:pPr>
    </w:p>
    <w:p w14:paraId="4FC17BA5">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3323A7B4">
      <w:pPr>
        <w:spacing w:line="360" w:lineRule="auto"/>
        <w:contextualSpacing/>
        <w:jc w:val="center"/>
        <w:rPr>
          <w:rFonts w:hint="eastAsia" w:ascii="宋体" w:hAnsi="宋体"/>
          <w:b/>
          <w:color w:val="auto"/>
          <w:sz w:val="24"/>
          <w:highlight w:val="none"/>
        </w:rPr>
      </w:pPr>
    </w:p>
    <w:tbl>
      <w:tblPr>
        <w:tblStyle w:val="2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CA2B2C3">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7AB3E6">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B15518">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F78928">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B5656E">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872A2A">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FFE105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51E5E3">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1FA523">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AA9892">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200031">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8DC1A03">
            <w:pPr>
              <w:widowControl/>
              <w:spacing w:line="360" w:lineRule="auto"/>
              <w:contextualSpacing/>
              <w:jc w:val="center"/>
              <w:rPr>
                <w:rFonts w:hint="eastAsia" w:ascii="宋体" w:hAnsi="宋体" w:cs="宋体"/>
                <w:color w:val="auto"/>
                <w:kern w:val="0"/>
                <w:sz w:val="24"/>
                <w:highlight w:val="none"/>
              </w:rPr>
            </w:pPr>
          </w:p>
        </w:tc>
      </w:tr>
      <w:tr w14:paraId="2BF511C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B442C1">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0AE316">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84C2F0">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D3ECC2">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D2A989">
            <w:pPr>
              <w:widowControl/>
              <w:spacing w:line="360" w:lineRule="auto"/>
              <w:contextualSpacing/>
              <w:jc w:val="center"/>
              <w:rPr>
                <w:rFonts w:hint="eastAsia" w:ascii="宋体" w:hAnsi="宋体" w:cs="宋体"/>
                <w:color w:val="auto"/>
                <w:kern w:val="0"/>
                <w:sz w:val="24"/>
                <w:highlight w:val="none"/>
              </w:rPr>
            </w:pPr>
          </w:p>
        </w:tc>
      </w:tr>
      <w:tr w14:paraId="56B4B7D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510842">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DA04B59">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2AC28B5">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0784D9E">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AB2B3E2">
            <w:pPr>
              <w:widowControl/>
              <w:spacing w:line="360" w:lineRule="auto"/>
              <w:contextualSpacing/>
              <w:jc w:val="center"/>
              <w:rPr>
                <w:rFonts w:hint="eastAsia" w:ascii="宋体" w:hAnsi="宋体" w:cs="宋体"/>
                <w:color w:val="auto"/>
                <w:kern w:val="0"/>
                <w:sz w:val="24"/>
                <w:highlight w:val="none"/>
              </w:rPr>
            </w:pPr>
          </w:p>
        </w:tc>
      </w:tr>
      <w:tr w14:paraId="33A4855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B0598A">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A324C5">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98698D">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6BA614">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6104BB">
            <w:pPr>
              <w:widowControl/>
              <w:spacing w:line="360" w:lineRule="auto"/>
              <w:contextualSpacing/>
              <w:jc w:val="center"/>
              <w:rPr>
                <w:rFonts w:hint="eastAsia" w:ascii="宋体" w:hAnsi="宋体" w:cs="宋体"/>
                <w:color w:val="auto"/>
                <w:kern w:val="0"/>
                <w:sz w:val="24"/>
                <w:highlight w:val="none"/>
              </w:rPr>
            </w:pPr>
          </w:p>
        </w:tc>
      </w:tr>
    </w:tbl>
    <w:p w14:paraId="081912F8">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49945048">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715DE50">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3104DC0D">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0E2F8590">
      <w:pPr>
        <w:spacing w:line="360" w:lineRule="auto"/>
        <w:ind w:firstLine="420" w:firstLineChars="200"/>
        <w:contextualSpacing/>
        <w:jc w:val="left"/>
        <w:rPr>
          <w:rFonts w:ascii="宋体" w:hAnsi="宋体" w:cs="宋体"/>
          <w:color w:val="auto"/>
          <w:szCs w:val="21"/>
          <w:highlight w:val="none"/>
        </w:rPr>
      </w:pPr>
    </w:p>
    <w:p w14:paraId="7989EE5B">
      <w:pPr>
        <w:spacing w:line="360" w:lineRule="auto"/>
        <w:ind w:firstLine="560" w:firstLineChars="200"/>
        <w:contextualSpacing/>
        <w:jc w:val="left"/>
        <w:rPr>
          <w:rFonts w:hint="eastAsia" w:ascii="宋体" w:hAnsi="宋体" w:cs="宋体"/>
          <w:color w:val="auto"/>
          <w:sz w:val="28"/>
          <w:szCs w:val="28"/>
          <w:highlight w:val="none"/>
        </w:rPr>
      </w:pPr>
    </w:p>
    <w:p w14:paraId="50FAD07C">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1971EAD2">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7CEF9FE6">
      <w:pPr>
        <w:spacing w:line="360" w:lineRule="auto"/>
        <w:ind w:firstLine="480" w:firstLineChars="200"/>
        <w:contextualSpacing/>
        <w:jc w:val="right"/>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4F9C21BC">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3A8C00F1">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06FC2FCA">
      <w:pPr>
        <w:snapToGrid w:val="0"/>
        <w:spacing w:line="360" w:lineRule="auto"/>
        <w:jc w:val="center"/>
        <w:rPr>
          <w:rFonts w:hint="eastAsia" w:ascii="宋体" w:hAnsi="宋体"/>
          <w:b/>
          <w:color w:val="auto"/>
          <w:sz w:val="24"/>
          <w:highlight w:val="none"/>
        </w:rPr>
      </w:pPr>
    </w:p>
    <w:tbl>
      <w:tblPr>
        <w:tblStyle w:val="2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5010803">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966B6B">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D290FC">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2B1755">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F67218">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D85973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02787E">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91AADDC">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A78FBB">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EE8E8F">
            <w:pPr>
              <w:widowControl/>
              <w:spacing w:line="360" w:lineRule="auto"/>
              <w:contextualSpacing/>
              <w:jc w:val="center"/>
              <w:rPr>
                <w:rFonts w:ascii="宋体" w:hAnsi="宋体" w:cs="宋体"/>
                <w:color w:val="auto"/>
                <w:kern w:val="0"/>
                <w:sz w:val="24"/>
                <w:highlight w:val="none"/>
              </w:rPr>
            </w:pPr>
          </w:p>
        </w:tc>
      </w:tr>
      <w:tr w14:paraId="5A5DFFD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EC0873">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F3E61A">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4F13B8">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CDFC6F">
            <w:pPr>
              <w:widowControl/>
              <w:spacing w:line="360" w:lineRule="auto"/>
              <w:contextualSpacing/>
              <w:jc w:val="center"/>
              <w:rPr>
                <w:rFonts w:ascii="宋体" w:hAnsi="宋体" w:cs="宋体"/>
                <w:color w:val="auto"/>
                <w:kern w:val="0"/>
                <w:sz w:val="24"/>
                <w:highlight w:val="none"/>
              </w:rPr>
            </w:pPr>
          </w:p>
        </w:tc>
      </w:tr>
      <w:tr w14:paraId="7DDD537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50F0E0">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CDA7D4">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BE4BCC4">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E35F08">
            <w:pPr>
              <w:widowControl/>
              <w:spacing w:line="360" w:lineRule="auto"/>
              <w:contextualSpacing/>
              <w:jc w:val="center"/>
              <w:rPr>
                <w:rFonts w:ascii="宋体" w:hAnsi="宋体" w:cs="宋体"/>
                <w:color w:val="auto"/>
                <w:kern w:val="0"/>
                <w:sz w:val="24"/>
                <w:highlight w:val="none"/>
              </w:rPr>
            </w:pPr>
          </w:p>
        </w:tc>
      </w:tr>
      <w:tr w14:paraId="3F0C9CF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A5B693">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4B199F">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4C2AF8">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C3820F">
            <w:pPr>
              <w:widowControl/>
              <w:spacing w:line="360" w:lineRule="auto"/>
              <w:contextualSpacing/>
              <w:jc w:val="center"/>
              <w:rPr>
                <w:rFonts w:ascii="宋体" w:hAnsi="宋体" w:cs="宋体"/>
                <w:color w:val="auto"/>
                <w:kern w:val="0"/>
                <w:sz w:val="24"/>
                <w:highlight w:val="none"/>
              </w:rPr>
            </w:pPr>
          </w:p>
        </w:tc>
      </w:tr>
    </w:tbl>
    <w:p w14:paraId="34F4E5A9">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7F2D371F">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37D8E0EA">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5D2962EA">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556EFF27">
      <w:pPr>
        <w:spacing w:line="360" w:lineRule="auto"/>
        <w:contextualSpacing/>
        <w:jc w:val="left"/>
        <w:rPr>
          <w:rFonts w:hint="eastAsia" w:ascii="宋体" w:hAnsi="宋体"/>
          <w:color w:val="auto"/>
          <w:sz w:val="28"/>
          <w:szCs w:val="28"/>
          <w:highlight w:val="none"/>
        </w:rPr>
      </w:pPr>
    </w:p>
    <w:p w14:paraId="5BD0F680">
      <w:pPr>
        <w:spacing w:line="360" w:lineRule="auto"/>
        <w:contextualSpacing/>
        <w:jc w:val="left"/>
        <w:rPr>
          <w:rFonts w:hint="eastAsia" w:ascii="宋体" w:hAnsi="宋体"/>
          <w:color w:val="auto"/>
          <w:sz w:val="28"/>
          <w:szCs w:val="28"/>
          <w:highlight w:val="none"/>
        </w:rPr>
      </w:pPr>
    </w:p>
    <w:p w14:paraId="39F0D551">
      <w:pPr>
        <w:spacing w:line="360" w:lineRule="auto"/>
        <w:contextualSpacing/>
        <w:jc w:val="left"/>
        <w:rPr>
          <w:rFonts w:hint="eastAsia"/>
          <w:color w:val="auto"/>
          <w:sz w:val="28"/>
          <w:szCs w:val="28"/>
          <w:highlight w:val="none"/>
        </w:rPr>
      </w:pPr>
    </w:p>
    <w:p w14:paraId="76858963">
      <w:pPr>
        <w:spacing w:line="360" w:lineRule="auto"/>
        <w:contextualSpacing/>
        <w:jc w:val="left"/>
        <w:rPr>
          <w:rFonts w:hint="eastAsia"/>
          <w:color w:val="auto"/>
          <w:sz w:val="28"/>
          <w:szCs w:val="28"/>
          <w:highlight w:val="none"/>
        </w:rPr>
      </w:pPr>
    </w:p>
    <w:p w14:paraId="4DA205A3">
      <w:pPr>
        <w:spacing w:line="360" w:lineRule="auto"/>
        <w:contextualSpacing/>
        <w:jc w:val="left"/>
        <w:rPr>
          <w:rFonts w:hint="eastAsia"/>
          <w:color w:val="auto"/>
          <w:sz w:val="28"/>
          <w:szCs w:val="28"/>
          <w:highlight w:val="none"/>
        </w:rPr>
      </w:pPr>
    </w:p>
    <w:p w14:paraId="28BD0536">
      <w:pPr>
        <w:spacing w:line="360" w:lineRule="auto"/>
        <w:contextualSpacing/>
        <w:jc w:val="left"/>
        <w:rPr>
          <w:rFonts w:hint="eastAsia" w:ascii="宋体" w:hAnsi="宋体"/>
          <w:color w:val="auto"/>
          <w:sz w:val="28"/>
          <w:szCs w:val="28"/>
          <w:highlight w:val="none"/>
        </w:rPr>
      </w:pPr>
    </w:p>
    <w:p w14:paraId="39BB0C3F">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28F2D9A2">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293F2C8C">
      <w:pPr>
        <w:spacing w:line="360" w:lineRule="auto"/>
        <w:ind w:firstLine="480" w:firstLineChars="200"/>
        <w:contextualSpacing/>
        <w:jc w:val="left"/>
        <w:rPr>
          <w:rFonts w:ascii="宋体" w:hAnsi="宋体"/>
          <w:color w:val="auto"/>
          <w:sz w:val="28"/>
          <w:szCs w:val="28"/>
          <w:highlight w:val="none"/>
        </w:rPr>
      </w:pPr>
      <w:r>
        <w:rPr>
          <w:rFonts w:hint="eastAsia" w:ascii="宋体" w:hAnsi="宋体"/>
          <w:color w:val="auto"/>
          <w:sz w:val="24"/>
          <w:highlight w:val="none"/>
        </w:rPr>
        <w:t xml:space="preserve">                                        年    月    日</w:t>
      </w:r>
    </w:p>
    <w:p w14:paraId="6E97D9A3">
      <w:pPr>
        <w:spacing w:line="320" w:lineRule="exact"/>
        <w:jc w:val="center"/>
        <w:rPr>
          <w:rFonts w:hint="eastAsia"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14:paraId="68CC72EE">
      <w:pPr>
        <w:spacing w:line="320" w:lineRule="exact"/>
        <w:jc w:val="center"/>
        <w:rPr>
          <w:rFonts w:hint="eastAsia" w:ascii="宋体" w:hAnsi="宋体"/>
          <w:color w:val="auto"/>
          <w:sz w:val="24"/>
          <w:szCs w:val="20"/>
          <w:highlight w:val="none"/>
        </w:rPr>
      </w:pPr>
    </w:p>
    <w:p w14:paraId="7E6A4657">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玉林市自然资源局</w:t>
      </w:r>
      <w:r>
        <w:rPr>
          <w:rFonts w:hint="eastAsia" w:ascii="宋体" w:hAnsi="宋体" w:cs="宋体"/>
          <w:color w:val="auto"/>
          <w:sz w:val="24"/>
          <w:highlight w:val="none"/>
        </w:rPr>
        <w:t>：</w:t>
      </w:r>
    </w:p>
    <w:p w14:paraId="7E8535BB">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7656FA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lang w:eastAsia="zh-CN"/>
        </w:rPr>
        <w:t>玉林市现状耕地和潜力耕地地块实际利用情况调查摸底工作底图制作以及市级复核与数据库成果汇总等工作项目（重）</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489C947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7CD20B3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28071EE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1E7B1B6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17E0498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4FEA7C7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7D325FD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7F41ED1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57F0F1A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71EB0C8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20CF04A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4D929B1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495269B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F0AA07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2648B79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6C023F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E0DDA1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5CA3631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6226CB2">
      <w:pPr>
        <w:pStyle w:val="17"/>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543B8995">
      <w:pPr>
        <w:pStyle w:val="17"/>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00037146">
      <w:pPr>
        <w:pStyle w:val="15"/>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14:paraId="1AABA004">
      <w:pPr>
        <w:pStyle w:val="15"/>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7609DEC7">
      <w:pPr>
        <w:pStyle w:val="15"/>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49B62ECD">
      <w:pPr>
        <w:spacing w:line="360" w:lineRule="auto"/>
        <w:contextualSpacing/>
        <w:jc w:val="left"/>
        <w:rPr>
          <w:rFonts w:hint="eastAsia" w:ascii="宋体" w:hAnsi="宋体"/>
          <w:b/>
          <w:color w:val="auto"/>
          <w:sz w:val="24"/>
          <w:highlight w:val="none"/>
        </w:rPr>
      </w:pPr>
      <w:r>
        <w:rPr>
          <w:rFonts w:hint="eastAsia" w:ascii="宋体" w:hAnsi="宋体" w:cs="宋体"/>
          <w:b/>
          <w:color w:val="auto"/>
          <w:sz w:val="24"/>
          <w:highlight w:val="none"/>
        </w:rPr>
        <w:t>注：</w:t>
      </w:r>
      <w:r>
        <w:rPr>
          <w:rFonts w:hint="eastAsia" w:ascii="宋体" w:hAnsi="宋体"/>
          <w:b/>
          <w:color w:val="auto"/>
          <w:sz w:val="24"/>
          <w:highlight w:val="none"/>
        </w:rPr>
        <w:t>如为联合体竞标，盖章处须加盖联合体牵头人电子签章并由联合体牵头人法定代表人分别签字或者盖章或者电子签名，否则响应文件按无效处理。</w:t>
      </w:r>
    </w:p>
    <w:p w14:paraId="081D5981">
      <w:pPr>
        <w:spacing w:line="360" w:lineRule="auto"/>
        <w:contextualSpacing/>
        <w:jc w:val="left"/>
        <w:rPr>
          <w:rFonts w:hint="eastAsia" w:ascii="宋体" w:hAnsi="宋体" w:cs="宋体"/>
          <w:color w:val="auto"/>
          <w:szCs w:val="21"/>
          <w:highlight w:val="none"/>
        </w:rPr>
      </w:pPr>
    </w:p>
    <w:p w14:paraId="1086C9CF">
      <w:pPr>
        <w:spacing w:line="360" w:lineRule="auto"/>
        <w:ind w:firstLine="2415" w:firstLineChars="1150"/>
        <w:contextualSpacing/>
        <w:rPr>
          <w:rFonts w:hint="eastAsia"/>
          <w:color w:val="auto"/>
          <w:highlight w:val="none"/>
        </w:rPr>
      </w:pPr>
      <w:r>
        <w:rPr>
          <w:rFonts w:hint="eastAsia"/>
          <w:color w:val="auto"/>
          <w:highlight w:val="none"/>
        </w:rPr>
        <w:t>法定代表人（</w:t>
      </w:r>
      <w:r>
        <w:rPr>
          <w:rFonts w:hint="eastAsia" w:ascii="宋体" w:hAnsi="宋体"/>
          <w:color w:val="auto"/>
          <w:sz w:val="24"/>
          <w:highlight w:val="none"/>
        </w:rPr>
        <w:t>签字或者盖章或者电子签名</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31A8C223">
      <w:pPr>
        <w:spacing w:line="360" w:lineRule="auto"/>
        <w:ind w:firstLine="3780" w:firstLineChars="1800"/>
        <w:contextualSpacing/>
        <w:rPr>
          <w:rFonts w:hint="eastAsia" w:ascii="宋体" w:hAnsi="宋体" w:cs="宋体"/>
          <w:color w:val="auto"/>
          <w:szCs w:val="21"/>
          <w:highlight w:val="none"/>
          <w:u w:val="single"/>
        </w:rPr>
      </w:pPr>
      <w:r>
        <w:rPr>
          <w:rFonts w:hint="eastAsia"/>
          <w:color w:val="auto"/>
          <w:highlight w:val="none"/>
        </w:rPr>
        <w:t>供应商（电子签章）：</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266316FD">
      <w:pPr>
        <w:pStyle w:val="15"/>
        <w:tabs>
          <w:tab w:val="left" w:pos="939"/>
        </w:tabs>
        <w:spacing w:line="360" w:lineRule="auto"/>
        <w:ind w:left="0" w:leftChars="0" w:firstLine="420" w:firstLineChars="200"/>
        <w:rPr>
          <w:rFonts w:hint="eastAsia"/>
          <w:color w:val="auto"/>
          <w:sz w:val="24"/>
          <w:highlight w:val="none"/>
        </w:rPr>
      </w:pPr>
      <w:r>
        <w:rPr>
          <w:rFonts w:hint="eastAsia" w:ascii="宋体" w:hAnsi="宋体" w:cs="宋体"/>
          <w:color w:val="auto"/>
          <w:szCs w:val="21"/>
          <w:highlight w:val="none"/>
        </w:rPr>
        <w:t xml:space="preserve">                                                        </w:t>
      </w:r>
      <w:r>
        <w:rPr>
          <w:rFonts w:hint="eastAsia"/>
          <w:color w:val="auto"/>
          <w:highlight w:val="none"/>
        </w:rPr>
        <w:t xml:space="preserve"> 年    月    日</w:t>
      </w:r>
    </w:p>
    <w:p w14:paraId="197564F4">
      <w:pPr>
        <w:spacing w:line="360" w:lineRule="auto"/>
        <w:ind w:right="420"/>
        <w:contextualSpacing/>
        <w:jc w:val="left"/>
        <w:rPr>
          <w:rFonts w:ascii="宋体" w:hAnsi="宋体"/>
          <w:b/>
          <w:color w:val="auto"/>
          <w:sz w:val="32"/>
          <w:szCs w:val="32"/>
          <w:highlight w:val="none"/>
        </w:rPr>
      </w:pPr>
      <w:r>
        <w:rPr>
          <w:rFonts w:hint="eastAsia"/>
          <w:color w:val="auto"/>
          <w:sz w:val="24"/>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38D27C6D">
      <w:pPr>
        <w:snapToGrid w:val="0"/>
        <w:spacing w:before="156"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190E1180">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3B6E4212">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4990D99A">
      <w:pPr>
        <w:snapToGrid w:val="0"/>
        <w:spacing w:before="156" w:beforeLines="50" w:after="50"/>
        <w:rPr>
          <w:rFonts w:hint="eastAsia" w:ascii="宋体" w:hAnsi="宋体"/>
          <w:color w:val="auto"/>
          <w:sz w:val="24"/>
          <w:szCs w:val="20"/>
          <w:highlight w:val="none"/>
        </w:rPr>
      </w:pPr>
    </w:p>
    <w:p w14:paraId="464871E2">
      <w:pPr>
        <w:snapToGrid w:val="0"/>
        <w:spacing w:before="156" w:beforeLines="50" w:after="50"/>
        <w:rPr>
          <w:rFonts w:hint="eastAsia" w:ascii="宋体" w:hAnsi="宋体"/>
          <w:color w:val="auto"/>
          <w:sz w:val="24"/>
          <w:szCs w:val="20"/>
          <w:highlight w:val="none"/>
        </w:rPr>
      </w:pPr>
    </w:p>
    <w:p w14:paraId="1D7A8BEC">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71EE7D5F">
      <w:pPr>
        <w:snapToGrid w:val="0"/>
        <w:spacing w:before="156" w:beforeLines="50" w:after="50"/>
        <w:rPr>
          <w:rFonts w:hint="eastAsia" w:ascii="宋体" w:hAnsi="宋体"/>
          <w:bCs/>
          <w:color w:val="auto"/>
          <w:sz w:val="24"/>
          <w:szCs w:val="20"/>
          <w:highlight w:val="none"/>
        </w:rPr>
      </w:pPr>
    </w:p>
    <w:p w14:paraId="19C12FCA">
      <w:pPr>
        <w:snapToGrid w:val="0"/>
        <w:spacing w:before="156" w:beforeLines="50" w:after="50"/>
        <w:rPr>
          <w:rFonts w:hint="eastAsia" w:ascii="宋体" w:hAnsi="宋体"/>
          <w:bCs/>
          <w:color w:val="auto"/>
          <w:sz w:val="24"/>
          <w:szCs w:val="20"/>
          <w:highlight w:val="none"/>
        </w:rPr>
      </w:pPr>
    </w:p>
    <w:p w14:paraId="3F37DA8F">
      <w:pPr>
        <w:snapToGrid w:val="0"/>
        <w:spacing w:before="156" w:beforeLines="50" w:after="50"/>
        <w:rPr>
          <w:rFonts w:hint="eastAsia" w:ascii="宋体" w:hAnsi="宋体"/>
          <w:bCs/>
          <w:color w:val="auto"/>
          <w:sz w:val="24"/>
          <w:szCs w:val="20"/>
          <w:highlight w:val="none"/>
        </w:rPr>
      </w:pPr>
    </w:p>
    <w:p w14:paraId="093F35E5">
      <w:pPr>
        <w:snapToGrid w:val="0"/>
        <w:spacing w:before="156" w:beforeLines="50" w:after="50"/>
        <w:rPr>
          <w:rFonts w:hint="eastAsia" w:ascii="宋体" w:hAnsi="宋体"/>
          <w:bCs/>
          <w:color w:val="auto"/>
          <w:sz w:val="24"/>
          <w:szCs w:val="20"/>
          <w:highlight w:val="none"/>
        </w:rPr>
      </w:pPr>
    </w:p>
    <w:p w14:paraId="3683EF72">
      <w:pPr>
        <w:snapToGrid w:val="0"/>
        <w:spacing w:before="156" w:beforeLines="50" w:after="50"/>
        <w:rPr>
          <w:rFonts w:hint="eastAsia" w:ascii="宋体" w:hAnsi="宋体"/>
          <w:bCs/>
          <w:color w:val="auto"/>
          <w:sz w:val="24"/>
          <w:szCs w:val="20"/>
          <w:highlight w:val="none"/>
        </w:rPr>
      </w:pPr>
    </w:p>
    <w:p w14:paraId="4302F75A">
      <w:pPr>
        <w:snapToGrid w:val="0"/>
        <w:spacing w:before="156" w:beforeLines="50" w:after="50"/>
        <w:ind w:firstLine="640" w:firstLineChars="20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玉林市现状耕地和潜力耕地地块实际利用情况调查摸底工作底图制作以及市级复核与数据库成果汇总等工作项目（重）</w:t>
      </w:r>
    </w:p>
    <w:p w14:paraId="0F78AEE5">
      <w:pPr>
        <w:snapToGrid w:val="0"/>
        <w:spacing w:before="156" w:beforeLines="50" w:after="50"/>
        <w:ind w:firstLine="640" w:firstLineChars="200"/>
        <w:rPr>
          <w:rFonts w:hint="eastAsia" w:ascii="宋体" w:hAnsi="宋体" w:cs="仿宋_GB2312"/>
          <w:bCs/>
          <w:color w:val="auto"/>
          <w:sz w:val="32"/>
          <w:szCs w:val="32"/>
          <w:highlight w:val="none"/>
        </w:rPr>
      </w:pPr>
    </w:p>
    <w:p w14:paraId="37B6EFDC">
      <w:pPr>
        <w:snapToGrid w:val="0"/>
        <w:spacing w:before="156" w:beforeLines="50" w:after="50"/>
        <w:ind w:firstLine="720" w:firstLineChars="225"/>
        <w:rPr>
          <w:rFonts w:hint="eastAsia" w:ascii="宋体" w:hAnsi="宋体" w:cs="仿宋_GB2312"/>
          <w:bCs/>
          <w:color w:val="auto"/>
          <w:sz w:val="32"/>
          <w:szCs w:val="32"/>
          <w:highlight w:val="none"/>
        </w:rPr>
      </w:pPr>
    </w:p>
    <w:p w14:paraId="410613A1">
      <w:pPr>
        <w:snapToGrid w:val="0"/>
        <w:spacing w:before="156" w:beforeLines="50" w:after="50"/>
        <w:ind w:firstLine="640" w:firstLineChars="20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项目编号：</w:t>
      </w:r>
      <w:r>
        <w:rPr>
          <w:rFonts w:hint="eastAsia" w:ascii="宋体" w:hAnsi="宋体" w:cs="仿宋_GB2312"/>
          <w:bCs/>
          <w:color w:val="auto"/>
          <w:sz w:val="32"/>
          <w:szCs w:val="32"/>
          <w:highlight w:val="none"/>
          <w:lang w:eastAsia="zh-CN"/>
        </w:rPr>
        <w:t>YLZC2025-C3-990317-DYGS</w:t>
      </w:r>
    </w:p>
    <w:p w14:paraId="2116E0C6">
      <w:pPr>
        <w:snapToGrid w:val="0"/>
        <w:spacing w:before="156" w:beforeLines="50" w:after="50"/>
        <w:ind w:firstLine="640" w:firstLineChars="200"/>
        <w:rPr>
          <w:rFonts w:hint="eastAsia" w:ascii="宋体" w:hAnsi="宋体" w:cs="仿宋_GB2312"/>
          <w:bCs/>
          <w:color w:val="auto"/>
          <w:sz w:val="32"/>
          <w:szCs w:val="32"/>
          <w:highlight w:val="none"/>
        </w:rPr>
      </w:pPr>
    </w:p>
    <w:p w14:paraId="3F37B29C">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4193236C">
      <w:pPr>
        <w:snapToGrid w:val="0"/>
        <w:spacing w:before="156" w:beforeLines="50" w:after="50"/>
        <w:ind w:firstLine="720" w:firstLineChars="225"/>
        <w:rPr>
          <w:rFonts w:hint="eastAsia" w:ascii="宋体" w:hAnsi="宋体" w:cs="仿宋_GB2312"/>
          <w:bCs/>
          <w:color w:val="auto"/>
          <w:sz w:val="32"/>
          <w:szCs w:val="32"/>
          <w:highlight w:val="none"/>
        </w:rPr>
      </w:pPr>
    </w:p>
    <w:p w14:paraId="02D5F8BD">
      <w:pPr>
        <w:pStyle w:val="7"/>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7A4E168">
      <w:pPr>
        <w:pStyle w:val="7"/>
        <w:snapToGrid w:val="0"/>
        <w:spacing w:before="50" w:after="50"/>
        <w:ind w:firstLine="640" w:firstLineChars="200"/>
        <w:rPr>
          <w:rFonts w:hint="eastAsia" w:ascii="宋体" w:hAnsi="宋体" w:cs="仿宋_GB2312"/>
          <w:bCs/>
          <w:color w:val="auto"/>
          <w:sz w:val="32"/>
          <w:szCs w:val="32"/>
          <w:highlight w:val="none"/>
        </w:rPr>
      </w:pPr>
    </w:p>
    <w:p w14:paraId="77E054E6">
      <w:pPr>
        <w:pStyle w:val="7"/>
        <w:snapToGrid w:val="0"/>
        <w:spacing w:before="50" w:after="50"/>
        <w:ind w:firstLine="720" w:firstLineChars="225"/>
        <w:rPr>
          <w:rFonts w:hint="eastAsia" w:ascii="宋体" w:hAnsi="宋体" w:cs="仿宋_GB2312"/>
          <w:bCs/>
          <w:color w:val="auto"/>
          <w:sz w:val="32"/>
          <w:szCs w:val="32"/>
          <w:highlight w:val="none"/>
        </w:rPr>
      </w:pPr>
    </w:p>
    <w:p w14:paraId="1EA5CDA0">
      <w:pPr>
        <w:pStyle w:val="7"/>
        <w:snapToGrid w:val="0"/>
        <w:spacing w:before="50" w:after="50"/>
        <w:ind w:firstLine="0"/>
        <w:rPr>
          <w:rFonts w:hint="eastAsia" w:ascii="宋体" w:hAnsi="宋体" w:cs="仿宋_GB2312"/>
          <w:bCs/>
          <w:color w:val="auto"/>
          <w:sz w:val="32"/>
          <w:szCs w:val="32"/>
          <w:highlight w:val="none"/>
        </w:rPr>
      </w:pPr>
    </w:p>
    <w:p w14:paraId="25994082">
      <w:pPr>
        <w:pStyle w:val="7"/>
        <w:snapToGrid w:val="0"/>
        <w:spacing w:before="50" w:after="50"/>
        <w:ind w:firstLine="1280" w:firstLineChars="400"/>
        <w:rPr>
          <w:rFonts w:hint="eastAsia" w:ascii="宋体" w:hAnsi="宋体" w:cs="仿宋_GB2312"/>
          <w:bCs/>
          <w:color w:val="auto"/>
          <w:sz w:val="32"/>
          <w:szCs w:val="32"/>
          <w:highlight w:val="none"/>
        </w:rPr>
      </w:pPr>
    </w:p>
    <w:p w14:paraId="48A1E878">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16D37DD">
      <w:pPr>
        <w:snapToGrid w:val="0"/>
        <w:spacing w:before="156" w:beforeLines="50" w:after="50" w:line="360" w:lineRule="auto"/>
        <w:ind w:left="142"/>
        <w:jc w:val="left"/>
        <w:rPr>
          <w:rFonts w:hint="eastAsia"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2C5E019D">
      <w:pPr>
        <w:spacing w:line="520" w:lineRule="exact"/>
        <w:jc w:val="center"/>
        <w:rPr>
          <w:rFonts w:hint="eastAsia" w:ascii="方正小标宋简体" w:hAnsi="方正小标宋简体" w:eastAsia="方正小标宋简体" w:cs="方正小标宋简体"/>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竞  标  报  价  表</w:t>
      </w:r>
    </w:p>
    <w:p w14:paraId="18A9A095">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3B454910">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eastAsia="zh-CN"/>
        </w:rPr>
        <w:t>玉林市现状耕地和潜力耕地地块实际利用情况调查摸底工作底图制作以及市级复核与数据库成果汇总等工作项目（重）</w:t>
      </w:r>
      <w:r>
        <w:rPr>
          <w:rFonts w:hint="eastAsia" w:ascii="宋体" w:hAnsi="宋体" w:cs="仿宋_GB2312"/>
          <w:color w:val="auto"/>
          <w:sz w:val="24"/>
          <w:highlight w:val="none"/>
          <w:u w:val="single"/>
        </w:rPr>
        <w:t xml:space="preserve">   </w:t>
      </w:r>
    </w:p>
    <w:p w14:paraId="13455404">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eastAsia="zh-CN"/>
        </w:rPr>
        <w:t>YLZC2025-C3-990317-DYGS</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0C02E92B">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20EC46B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28"/>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2503"/>
        <w:gridCol w:w="803"/>
        <w:gridCol w:w="1333"/>
        <w:gridCol w:w="1768"/>
        <w:gridCol w:w="1434"/>
        <w:gridCol w:w="1267"/>
      </w:tblGrid>
      <w:tr w14:paraId="6A48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6" w:hRule="atLeast"/>
        </w:trPr>
        <w:tc>
          <w:tcPr>
            <w:tcW w:w="628" w:type="dxa"/>
            <w:tcBorders>
              <w:top w:val="single" w:color="auto" w:sz="4" w:space="0"/>
              <w:left w:val="single" w:color="auto" w:sz="4" w:space="0"/>
              <w:bottom w:val="single" w:color="auto" w:sz="4" w:space="0"/>
              <w:right w:val="single" w:color="auto" w:sz="4" w:space="0"/>
            </w:tcBorders>
            <w:vAlign w:val="center"/>
          </w:tcPr>
          <w:p w14:paraId="09DF71C1">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2503" w:type="dxa"/>
            <w:tcBorders>
              <w:top w:val="single" w:color="auto" w:sz="4" w:space="0"/>
              <w:left w:val="single" w:color="auto" w:sz="4" w:space="0"/>
              <w:bottom w:val="single" w:color="auto" w:sz="4" w:space="0"/>
              <w:right w:val="single" w:color="auto" w:sz="4" w:space="0"/>
            </w:tcBorders>
            <w:vAlign w:val="center"/>
          </w:tcPr>
          <w:p w14:paraId="38061BB2">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服务名称</w:t>
            </w:r>
          </w:p>
        </w:tc>
        <w:tc>
          <w:tcPr>
            <w:tcW w:w="803" w:type="dxa"/>
            <w:tcBorders>
              <w:top w:val="single" w:color="auto" w:sz="4" w:space="0"/>
              <w:left w:val="single" w:color="auto" w:sz="4" w:space="0"/>
              <w:bottom w:val="single" w:color="auto" w:sz="4" w:space="0"/>
              <w:right w:val="single" w:color="auto" w:sz="4" w:space="0"/>
            </w:tcBorders>
            <w:vAlign w:val="center"/>
          </w:tcPr>
          <w:p w14:paraId="20F4C867">
            <w:pPr>
              <w:spacing w:line="360" w:lineRule="auto"/>
              <w:contextualSpacing/>
              <w:jc w:val="center"/>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eastAsia="zh-CN"/>
              </w:rPr>
              <w:t>单位</w:t>
            </w:r>
          </w:p>
        </w:tc>
        <w:tc>
          <w:tcPr>
            <w:tcW w:w="1333" w:type="dxa"/>
            <w:tcBorders>
              <w:top w:val="single" w:color="auto" w:sz="4" w:space="0"/>
              <w:left w:val="single" w:color="auto" w:sz="4" w:space="0"/>
              <w:bottom w:val="single" w:color="auto" w:sz="4" w:space="0"/>
              <w:right w:val="single" w:color="auto" w:sz="4" w:space="0"/>
            </w:tcBorders>
            <w:vAlign w:val="center"/>
          </w:tcPr>
          <w:p w14:paraId="4DB7E69F">
            <w:pPr>
              <w:spacing w:line="360" w:lineRule="auto"/>
              <w:contextualSpacing/>
              <w:jc w:val="center"/>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eastAsia="zh-CN"/>
              </w:rPr>
              <w:t>数量</w:t>
            </w:r>
          </w:p>
        </w:tc>
        <w:tc>
          <w:tcPr>
            <w:tcW w:w="1768" w:type="dxa"/>
            <w:tcBorders>
              <w:top w:val="single" w:color="auto" w:sz="4" w:space="0"/>
              <w:left w:val="single" w:color="auto" w:sz="4" w:space="0"/>
              <w:bottom w:val="single" w:color="auto" w:sz="4" w:space="0"/>
              <w:right w:val="single" w:color="auto" w:sz="4" w:space="0"/>
            </w:tcBorders>
            <w:vAlign w:val="center"/>
          </w:tcPr>
          <w:p w14:paraId="68260995">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单价</w:t>
            </w:r>
          </w:p>
        </w:tc>
        <w:tc>
          <w:tcPr>
            <w:tcW w:w="1434" w:type="dxa"/>
            <w:tcBorders>
              <w:top w:val="single" w:color="auto" w:sz="4" w:space="0"/>
              <w:left w:val="single" w:color="auto" w:sz="4" w:space="0"/>
              <w:bottom w:val="single" w:color="auto" w:sz="4" w:space="0"/>
              <w:right w:val="single" w:color="auto" w:sz="4" w:space="0"/>
            </w:tcBorders>
            <w:vAlign w:val="center"/>
          </w:tcPr>
          <w:p w14:paraId="03D47D4E">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总价</w:t>
            </w:r>
          </w:p>
        </w:tc>
        <w:tc>
          <w:tcPr>
            <w:tcW w:w="1267" w:type="dxa"/>
            <w:tcBorders>
              <w:top w:val="single" w:color="auto" w:sz="4" w:space="0"/>
              <w:left w:val="single" w:color="auto" w:sz="4" w:space="0"/>
              <w:bottom w:val="single" w:color="auto" w:sz="4" w:space="0"/>
              <w:right w:val="single" w:color="auto" w:sz="4" w:space="0"/>
            </w:tcBorders>
            <w:vAlign w:val="center"/>
          </w:tcPr>
          <w:p w14:paraId="7E4CEE55">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7903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0" w:hRule="atLeast"/>
        </w:trPr>
        <w:tc>
          <w:tcPr>
            <w:tcW w:w="628" w:type="dxa"/>
            <w:tcBorders>
              <w:top w:val="single" w:color="auto" w:sz="4" w:space="0"/>
              <w:left w:val="single" w:color="auto" w:sz="4" w:space="0"/>
              <w:bottom w:val="single" w:color="auto" w:sz="4" w:space="0"/>
              <w:right w:val="single" w:color="auto" w:sz="4" w:space="0"/>
            </w:tcBorders>
            <w:vAlign w:val="center"/>
          </w:tcPr>
          <w:p w14:paraId="32E9ACA6">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1</w:t>
            </w:r>
          </w:p>
        </w:tc>
        <w:tc>
          <w:tcPr>
            <w:tcW w:w="2503" w:type="dxa"/>
            <w:tcBorders>
              <w:top w:val="single" w:color="auto" w:sz="4" w:space="0"/>
              <w:left w:val="single" w:color="auto" w:sz="4" w:space="0"/>
              <w:bottom w:val="single" w:color="auto" w:sz="4" w:space="0"/>
              <w:right w:val="single" w:color="auto" w:sz="4" w:space="0"/>
            </w:tcBorders>
            <w:vAlign w:val="center"/>
          </w:tcPr>
          <w:p w14:paraId="1CCE1B81">
            <w:pPr>
              <w:spacing w:line="360" w:lineRule="auto"/>
              <w:contextualSpacing/>
              <w:jc w:val="center"/>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eastAsia="zh-CN"/>
              </w:rPr>
              <w:t>玉林市现状耕地和潜力耕地地块实际利用情况调查摸底工作底图制作以及市级复核与数据库成果汇总等工作项目</w:t>
            </w:r>
          </w:p>
        </w:tc>
        <w:tc>
          <w:tcPr>
            <w:tcW w:w="803" w:type="dxa"/>
            <w:tcBorders>
              <w:top w:val="single" w:color="auto" w:sz="4" w:space="0"/>
              <w:left w:val="single" w:color="auto" w:sz="4" w:space="0"/>
              <w:bottom w:val="single" w:color="auto" w:sz="4" w:space="0"/>
              <w:right w:val="single" w:color="auto" w:sz="4" w:space="0"/>
            </w:tcBorders>
            <w:vAlign w:val="center"/>
          </w:tcPr>
          <w:p w14:paraId="297DE55D">
            <w:pPr>
              <w:spacing w:line="360" w:lineRule="auto"/>
              <w:contextualSpacing/>
              <w:jc w:val="center"/>
              <w:rPr>
                <w:rFonts w:hint="eastAsia" w:ascii="宋体" w:hAnsi="宋体" w:cs="仿宋_GB2312"/>
                <w:color w:val="auto"/>
                <w:sz w:val="24"/>
                <w:highlight w:val="none"/>
                <w:lang w:val="en-US" w:eastAsia="zh-CN"/>
              </w:rPr>
            </w:pPr>
            <w:r>
              <w:rPr>
                <w:rFonts w:hint="eastAsia" w:ascii="宋体" w:hAnsi="宋体" w:cs="仿宋_GB2312"/>
                <w:color w:val="auto"/>
                <w:sz w:val="24"/>
                <w:highlight w:val="none"/>
              </w:rPr>
              <w:t>项</w:t>
            </w:r>
          </w:p>
        </w:tc>
        <w:tc>
          <w:tcPr>
            <w:tcW w:w="1333" w:type="dxa"/>
            <w:tcBorders>
              <w:top w:val="single" w:color="auto" w:sz="4" w:space="0"/>
              <w:left w:val="single" w:color="auto" w:sz="4" w:space="0"/>
              <w:bottom w:val="single" w:color="auto" w:sz="4" w:space="0"/>
              <w:right w:val="single" w:color="auto" w:sz="4" w:space="0"/>
            </w:tcBorders>
            <w:vAlign w:val="center"/>
          </w:tcPr>
          <w:p w14:paraId="1ADC87E1">
            <w:pPr>
              <w:spacing w:line="360" w:lineRule="auto"/>
              <w:contextualSpacing/>
              <w:jc w:val="center"/>
              <w:rPr>
                <w:rFonts w:hint="eastAsia"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1</w:t>
            </w:r>
          </w:p>
        </w:tc>
        <w:tc>
          <w:tcPr>
            <w:tcW w:w="1768" w:type="dxa"/>
            <w:tcBorders>
              <w:top w:val="single" w:color="auto" w:sz="4" w:space="0"/>
              <w:left w:val="single" w:color="auto" w:sz="4" w:space="0"/>
              <w:bottom w:val="single" w:color="auto" w:sz="4" w:space="0"/>
              <w:right w:val="single" w:color="auto" w:sz="4" w:space="0"/>
            </w:tcBorders>
          </w:tcPr>
          <w:p w14:paraId="2A42F167">
            <w:pPr>
              <w:spacing w:line="360" w:lineRule="auto"/>
              <w:contextualSpacing/>
              <w:rPr>
                <w:rFonts w:ascii="宋体" w:hAnsi="宋体" w:cs="仿宋_GB2312"/>
                <w:color w:val="auto"/>
                <w:sz w:val="24"/>
                <w:highlight w:val="none"/>
              </w:rPr>
            </w:pPr>
          </w:p>
        </w:tc>
        <w:tc>
          <w:tcPr>
            <w:tcW w:w="1434" w:type="dxa"/>
            <w:tcBorders>
              <w:top w:val="single" w:color="auto" w:sz="4" w:space="0"/>
              <w:left w:val="single" w:color="auto" w:sz="4" w:space="0"/>
              <w:bottom w:val="single" w:color="auto" w:sz="4" w:space="0"/>
              <w:right w:val="single" w:color="auto" w:sz="4" w:space="0"/>
            </w:tcBorders>
          </w:tcPr>
          <w:p w14:paraId="39EC4BE6">
            <w:pPr>
              <w:spacing w:line="360" w:lineRule="auto"/>
              <w:contextualSpacing/>
              <w:rPr>
                <w:rFonts w:ascii="宋体" w:hAnsi="宋体" w:cs="仿宋_GB2312"/>
                <w:color w:val="auto"/>
                <w:sz w:val="24"/>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650E9C4A">
            <w:pPr>
              <w:spacing w:line="360" w:lineRule="auto"/>
              <w:contextualSpacing/>
              <w:rPr>
                <w:rFonts w:ascii="宋体" w:hAnsi="宋体" w:cs="仿宋_GB2312"/>
                <w:color w:val="auto"/>
                <w:sz w:val="24"/>
                <w:highlight w:val="none"/>
              </w:rPr>
            </w:pPr>
          </w:p>
        </w:tc>
      </w:tr>
      <w:tr w14:paraId="31F2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9736" w:type="dxa"/>
            <w:gridSpan w:val="7"/>
            <w:tcBorders>
              <w:top w:val="single" w:color="auto" w:sz="4" w:space="0"/>
              <w:left w:val="single" w:color="auto" w:sz="4" w:space="0"/>
              <w:bottom w:val="single" w:color="auto" w:sz="4" w:space="0"/>
              <w:right w:val="single" w:color="auto" w:sz="4" w:space="0"/>
            </w:tcBorders>
            <w:vAlign w:val="center"/>
          </w:tcPr>
          <w:p w14:paraId="10334D37">
            <w:pPr>
              <w:spacing w:line="360" w:lineRule="auto"/>
              <w:contextualSpacing/>
              <w:rPr>
                <w:rFonts w:hint="eastAsia"/>
                <w:color w:val="auto"/>
                <w:highlight w:val="none"/>
              </w:rPr>
            </w:pPr>
            <w:r>
              <w:rPr>
                <w:rFonts w:hint="eastAsia" w:ascii="宋体" w:hAnsi="宋体" w:eastAsia="宋体" w:cs="仿宋_GB2312"/>
                <w:color w:val="auto"/>
                <w:kern w:val="2"/>
                <w:sz w:val="24"/>
                <w:szCs w:val="24"/>
                <w:highlight w:val="none"/>
                <w:lang w:val="en-US" w:eastAsia="zh-CN" w:bidi="ar-SA"/>
              </w:rPr>
              <w:t>合计总金额大写：</w:t>
            </w:r>
            <w:r>
              <w:rPr>
                <w:rFonts w:hint="eastAsia" w:ascii="宋体" w:hAnsi="宋体" w:cs="仿宋_GB2312"/>
                <w:color w:val="auto"/>
                <w:sz w:val="24"/>
                <w:highlight w:val="none"/>
              </w:rPr>
              <w:t>人民币</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rPr>
              <w:t>）</w:t>
            </w:r>
          </w:p>
          <w:p w14:paraId="78086CA9">
            <w:pPr>
              <w:pStyle w:val="27"/>
              <w:ind w:left="0" w:leftChars="0" w:firstLine="0" w:firstLineChars="0"/>
              <w:rPr>
                <w:rFonts w:hint="eastAsia" w:eastAsia="宋体"/>
                <w:color w:val="auto"/>
                <w:highlight w:val="none"/>
                <w:lang w:eastAsia="zh-CN"/>
              </w:rPr>
            </w:pPr>
            <w:r>
              <w:rPr>
                <w:rFonts w:hint="eastAsia" w:ascii="宋体" w:hAnsi="宋体" w:cs="仿宋_GB2312"/>
                <w:color w:val="auto"/>
                <w:sz w:val="24"/>
                <w:highlight w:val="none"/>
                <w:lang w:eastAsia="zh-CN"/>
              </w:rPr>
              <w:t>服务期：</w:t>
            </w:r>
            <w:r>
              <w:rPr>
                <w:rFonts w:hint="eastAsia" w:ascii="宋体" w:hAnsi="宋体" w:cs="仿宋_GB2312"/>
                <w:color w:val="auto"/>
                <w:sz w:val="24"/>
                <w:highlight w:val="none"/>
                <w:u w:val="single"/>
                <w:lang w:val="en-US" w:eastAsia="zh-CN"/>
              </w:rPr>
              <w:t xml:space="preserve">           </w:t>
            </w:r>
          </w:p>
        </w:tc>
      </w:tr>
    </w:tbl>
    <w:p w14:paraId="3B7A4147">
      <w:pPr>
        <w:spacing w:line="360" w:lineRule="auto"/>
        <w:contextualSpacing/>
        <w:jc w:val="left"/>
        <w:rPr>
          <w:rFonts w:ascii="宋体" w:hAnsi="宋体" w:cs="仿宋_GB2312"/>
          <w:color w:val="auto"/>
          <w:sz w:val="24"/>
          <w:highlight w:val="none"/>
        </w:rPr>
      </w:pPr>
    </w:p>
    <w:p w14:paraId="1AE6B782">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5066C1DD">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79C33EB4">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3B0CB9D4">
      <w:pPr>
        <w:spacing w:line="360" w:lineRule="auto"/>
        <w:ind w:right="-817" w:rightChars="-389"/>
        <w:contextualSpacing/>
        <w:rPr>
          <w:rFonts w:hint="eastAsia" w:ascii="宋体" w:hAnsi="宋体" w:cs="仿宋_GB2312"/>
          <w:color w:val="auto"/>
          <w:sz w:val="24"/>
          <w:highlight w:val="none"/>
        </w:rPr>
      </w:pPr>
    </w:p>
    <w:p w14:paraId="5FD5B8FC">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3DDDE08F">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52D2DD15">
      <w:pPr>
        <w:spacing w:line="360" w:lineRule="auto"/>
        <w:ind w:right="-817" w:rightChars="-389" w:firstLine="4080" w:firstLineChars="1700"/>
        <w:contextualSpacing/>
        <w:rPr>
          <w:rFonts w:hint="eastAsia" w:ascii="宋体" w:hAnsi="宋体" w:cs="仿宋_GB2312"/>
          <w:b/>
          <w:color w:val="auto"/>
          <w:sz w:val="24"/>
          <w:highlight w:val="none"/>
        </w:rPr>
      </w:pPr>
      <w:r>
        <w:rPr>
          <w:rFonts w:hint="eastAsia" w:ascii="宋体" w:hAnsi="宋体" w:cs="仿宋_GB2312"/>
          <w:color w:val="auto"/>
          <w:sz w:val="24"/>
          <w:highlight w:val="none"/>
        </w:rPr>
        <w:t>日期：   年   月   日</w:t>
      </w:r>
    </w:p>
    <w:p w14:paraId="4B5D446C">
      <w:pPr>
        <w:spacing w:line="360" w:lineRule="auto"/>
        <w:ind w:right="420"/>
        <w:contextualSpacing/>
        <w:jc w:val="left"/>
        <w:rPr>
          <w:rFonts w:hint="eastAsia" w:ascii="宋体" w:hAnsi="宋体"/>
          <w:b/>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14:paraId="36D202DE">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5682C6A7">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3387AD00">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37B37E75">
      <w:pPr>
        <w:snapToGrid w:val="0"/>
        <w:spacing w:before="156" w:beforeLines="50" w:after="50"/>
        <w:rPr>
          <w:rFonts w:hint="eastAsia" w:ascii="宋体" w:hAnsi="宋体"/>
          <w:color w:val="auto"/>
          <w:sz w:val="24"/>
          <w:szCs w:val="20"/>
          <w:highlight w:val="none"/>
        </w:rPr>
      </w:pPr>
    </w:p>
    <w:p w14:paraId="5A2F5B08">
      <w:pPr>
        <w:snapToGrid w:val="0"/>
        <w:spacing w:before="156" w:beforeLines="50" w:after="50"/>
        <w:rPr>
          <w:rFonts w:hint="eastAsia" w:ascii="宋体" w:hAnsi="宋体"/>
          <w:color w:val="auto"/>
          <w:sz w:val="24"/>
          <w:szCs w:val="20"/>
          <w:highlight w:val="none"/>
        </w:rPr>
      </w:pPr>
    </w:p>
    <w:p w14:paraId="684447CF">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7D3D7F42">
      <w:pPr>
        <w:snapToGrid w:val="0"/>
        <w:spacing w:before="156" w:beforeLines="50" w:after="50"/>
        <w:rPr>
          <w:rFonts w:hint="eastAsia" w:ascii="宋体" w:hAnsi="宋体"/>
          <w:bCs/>
          <w:color w:val="auto"/>
          <w:sz w:val="24"/>
          <w:szCs w:val="20"/>
          <w:highlight w:val="none"/>
        </w:rPr>
      </w:pPr>
    </w:p>
    <w:p w14:paraId="0FCD268F">
      <w:pPr>
        <w:snapToGrid w:val="0"/>
        <w:spacing w:before="156" w:beforeLines="50" w:after="50"/>
        <w:rPr>
          <w:rFonts w:hint="eastAsia" w:ascii="宋体" w:hAnsi="宋体"/>
          <w:bCs/>
          <w:color w:val="auto"/>
          <w:sz w:val="24"/>
          <w:szCs w:val="20"/>
          <w:highlight w:val="none"/>
        </w:rPr>
      </w:pPr>
    </w:p>
    <w:p w14:paraId="30943863">
      <w:pPr>
        <w:snapToGrid w:val="0"/>
        <w:spacing w:before="156" w:beforeLines="50" w:after="50"/>
        <w:rPr>
          <w:rFonts w:hint="eastAsia" w:ascii="宋体" w:hAnsi="宋体"/>
          <w:bCs/>
          <w:color w:val="auto"/>
          <w:sz w:val="24"/>
          <w:szCs w:val="20"/>
          <w:highlight w:val="none"/>
        </w:rPr>
      </w:pPr>
    </w:p>
    <w:p w14:paraId="23FB3262">
      <w:pPr>
        <w:snapToGrid w:val="0"/>
        <w:spacing w:before="156" w:beforeLines="50" w:after="50"/>
        <w:rPr>
          <w:rFonts w:hint="eastAsia" w:ascii="宋体" w:hAnsi="宋体"/>
          <w:bCs/>
          <w:color w:val="auto"/>
          <w:sz w:val="24"/>
          <w:szCs w:val="20"/>
          <w:highlight w:val="none"/>
        </w:rPr>
      </w:pPr>
    </w:p>
    <w:p w14:paraId="22248646">
      <w:pPr>
        <w:snapToGrid w:val="0"/>
        <w:spacing w:before="156" w:beforeLines="50" w:after="50"/>
        <w:rPr>
          <w:rFonts w:hint="eastAsia" w:ascii="宋体" w:hAnsi="宋体"/>
          <w:bCs/>
          <w:color w:val="auto"/>
          <w:sz w:val="24"/>
          <w:szCs w:val="20"/>
          <w:highlight w:val="none"/>
        </w:rPr>
      </w:pPr>
    </w:p>
    <w:p w14:paraId="053DCE38">
      <w:pPr>
        <w:snapToGrid w:val="0"/>
        <w:spacing w:before="156" w:beforeLines="50" w:after="50"/>
        <w:ind w:firstLine="640" w:firstLineChars="20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玉林市现状耕地和潜力耕地地块实际利用情况调查摸底工作底图制作以及市级复核与数据库成果汇总等工作项目（重）</w:t>
      </w:r>
    </w:p>
    <w:p w14:paraId="04D64177">
      <w:pPr>
        <w:snapToGrid w:val="0"/>
        <w:spacing w:before="156" w:beforeLines="50" w:after="50"/>
        <w:ind w:firstLine="720" w:firstLineChars="225"/>
        <w:rPr>
          <w:rFonts w:hint="eastAsia" w:ascii="宋体" w:hAnsi="宋体" w:cs="仿宋_GB2312"/>
          <w:bCs/>
          <w:color w:val="auto"/>
          <w:sz w:val="32"/>
          <w:szCs w:val="32"/>
          <w:highlight w:val="none"/>
        </w:rPr>
      </w:pPr>
    </w:p>
    <w:p w14:paraId="65F7412F">
      <w:pPr>
        <w:snapToGrid w:val="0"/>
        <w:spacing w:before="156" w:beforeLines="50" w:after="50"/>
        <w:ind w:firstLine="640" w:firstLineChars="20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项目编号：</w:t>
      </w:r>
      <w:r>
        <w:rPr>
          <w:rFonts w:hint="eastAsia" w:ascii="宋体" w:hAnsi="宋体" w:cs="仿宋_GB2312"/>
          <w:bCs/>
          <w:color w:val="auto"/>
          <w:sz w:val="32"/>
          <w:szCs w:val="32"/>
          <w:highlight w:val="none"/>
          <w:lang w:eastAsia="zh-CN"/>
        </w:rPr>
        <w:t>YLZC2025-C3-990317-DYGS</w:t>
      </w:r>
    </w:p>
    <w:p w14:paraId="580315B5">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1D8A76C2">
      <w:pPr>
        <w:snapToGrid w:val="0"/>
        <w:spacing w:before="156" w:beforeLines="50" w:after="50"/>
        <w:ind w:firstLine="720" w:firstLineChars="225"/>
        <w:rPr>
          <w:rFonts w:hint="eastAsia" w:ascii="宋体" w:hAnsi="宋体" w:cs="仿宋_GB2312"/>
          <w:bCs/>
          <w:color w:val="auto"/>
          <w:sz w:val="32"/>
          <w:szCs w:val="32"/>
          <w:highlight w:val="none"/>
        </w:rPr>
      </w:pPr>
    </w:p>
    <w:p w14:paraId="52C625EB">
      <w:pPr>
        <w:pStyle w:val="7"/>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36A077A">
      <w:pPr>
        <w:pStyle w:val="7"/>
        <w:snapToGrid w:val="0"/>
        <w:spacing w:before="50" w:after="50"/>
        <w:ind w:firstLine="640" w:firstLineChars="200"/>
        <w:rPr>
          <w:rFonts w:hint="eastAsia" w:ascii="宋体" w:hAnsi="宋体" w:cs="仿宋_GB2312"/>
          <w:bCs/>
          <w:color w:val="auto"/>
          <w:sz w:val="32"/>
          <w:szCs w:val="32"/>
          <w:highlight w:val="none"/>
        </w:rPr>
      </w:pPr>
    </w:p>
    <w:p w14:paraId="79788EDF">
      <w:pPr>
        <w:pStyle w:val="7"/>
        <w:snapToGrid w:val="0"/>
        <w:spacing w:before="50" w:after="50"/>
        <w:ind w:firstLine="720" w:firstLineChars="225"/>
        <w:rPr>
          <w:rFonts w:hint="eastAsia" w:ascii="宋体" w:hAnsi="宋体" w:cs="仿宋_GB2312"/>
          <w:bCs/>
          <w:color w:val="auto"/>
          <w:sz w:val="32"/>
          <w:szCs w:val="32"/>
          <w:highlight w:val="none"/>
        </w:rPr>
      </w:pPr>
    </w:p>
    <w:p w14:paraId="531CA9BD">
      <w:pPr>
        <w:pStyle w:val="7"/>
        <w:snapToGrid w:val="0"/>
        <w:spacing w:before="50" w:after="50"/>
        <w:ind w:firstLine="0"/>
        <w:rPr>
          <w:rFonts w:hint="eastAsia" w:ascii="宋体" w:hAnsi="宋体" w:cs="仿宋_GB2312"/>
          <w:bCs/>
          <w:color w:val="auto"/>
          <w:sz w:val="32"/>
          <w:szCs w:val="32"/>
          <w:highlight w:val="none"/>
        </w:rPr>
      </w:pPr>
    </w:p>
    <w:p w14:paraId="0D753846">
      <w:pPr>
        <w:pStyle w:val="7"/>
        <w:snapToGrid w:val="0"/>
        <w:spacing w:before="50" w:after="50"/>
        <w:ind w:firstLine="1280" w:firstLineChars="400"/>
        <w:rPr>
          <w:rFonts w:hint="eastAsia" w:ascii="宋体" w:hAnsi="宋体" w:cs="仿宋_GB2312"/>
          <w:bCs/>
          <w:color w:val="auto"/>
          <w:sz w:val="32"/>
          <w:szCs w:val="32"/>
          <w:highlight w:val="none"/>
        </w:rPr>
      </w:pPr>
    </w:p>
    <w:p w14:paraId="4AD179F2">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7549B23">
      <w:pPr>
        <w:snapToGrid w:val="0"/>
        <w:spacing w:before="156" w:beforeLines="50" w:after="50" w:line="360" w:lineRule="auto"/>
        <w:ind w:right="480" w:firstLine="240" w:firstLineChars="100"/>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199F91DE">
      <w:pPr>
        <w:snapToGrid w:val="0"/>
        <w:spacing w:before="156"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39C6F07B">
      <w:pPr>
        <w:spacing w:line="400" w:lineRule="exact"/>
        <w:rPr>
          <w:rFonts w:hint="eastAsia" w:ascii="仿宋_GB2312" w:hAnsi="仿宋_GB2312" w:eastAsia="仿宋_GB2312" w:cs="仿宋_GB2312"/>
          <w:color w:val="auto"/>
          <w:sz w:val="32"/>
          <w:szCs w:val="32"/>
          <w:highlight w:val="none"/>
        </w:rPr>
      </w:pPr>
    </w:p>
    <w:p w14:paraId="66924C6F">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33BA2FDC">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0F6D38DF">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4C4D44E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77BF313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0DDC227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4A6A201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608E9D4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7E56CB1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03B488E5">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0D1A49B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5376FAF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70B6C57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2FCFD30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29D19A3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3889BA9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7267A56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47506DD1">
      <w:pPr>
        <w:spacing w:line="360" w:lineRule="auto"/>
        <w:ind w:firstLine="480" w:firstLineChars="200"/>
        <w:contextualSpacing/>
        <w:rPr>
          <w:rFonts w:hint="eastAsia" w:ascii="宋体" w:hAnsi="宋体" w:cs="仿宋_GB2312"/>
          <w:color w:val="auto"/>
          <w:sz w:val="24"/>
          <w:highlight w:val="none"/>
        </w:rPr>
      </w:pPr>
    </w:p>
    <w:p w14:paraId="760ADA94">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434A09A5">
      <w:pPr>
        <w:spacing w:line="360" w:lineRule="auto"/>
        <w:contextualSpacing/>
        <w:rPr>
          <w:rFonts w:hint="eastAsia" w:ascii="宋体" w:hAnsi="宋体" w:cs="仿宋_GB2312"/>
          <w:color w:val="auto"/>
          <w:sz w:val="24"/>
          <w:highlight w:val="none"/>
        </w:rPr>
      </w:pPr>
    </w:p>
    <w:p w14:paraId="79C2AFC3">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25E22BA0">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64DF0790">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2940019F">
      <w:pPr>
        <w:spacing w:line="360" w:lineRule="auto"/>
        <w:ind w:left="540"/>
        <w:contextualSpacing/>
        <w:rPr>
          <w:rFonts w:hint="eastAsia" w:ascii="仿宋_GB2312" w:hAnsi="仿宋_GB2312" w:eastAsia="仿宋_GB2312" w:cs="仿宋_GB2312"/>
          <w:color w:val="auto"/>
          <w:sz w:val="32"/>
          <w:szCs w:val="32"/>
          <w:highlight w:val="none"/>
        </w:rPr>
      </w:pPr>
    </w:p>
    <w:p w14:paraId="01C77191">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32703C6E">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4CD86CA6">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66AED5BA">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1E3BECD1">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7C5EC0B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3791F05A">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51E8FA4D">
      <w:pPr>
        <w:spacing w:line="360" w:lineRule="auto"/>
        <w:ind w:left="540"/>
        <w:contextualSpacing/>
        <w:rPr>
          <w:rFonts w:hint="eastAsia" w:ascii="宋体" w:hAnsi="宋体" w:cs="仿宋_GB2312"/>
          <w:color w:val="auto"/>
          <w:sz w:val="24"/>
          <w:highlight w:val="none"/>
        </w:rPr>
      </w:pPr>
    </w:p>
    <w:p w14:paraId="0A1F4FB6">
      <w:pPr>
        <w:spacing w:line="360" w:lineRule="auto"/>
        <w:ind w:left="540"/>
        <w:contextualSpacing/>
        <w:rPr>
          <w:rFonts w:hint="eastAsia" w:ascii="宋体" w:hAnsi="宋体" w:cs="仿宋_GB2312"/>
          <w:color w:val="auto"/>
          <w:sz w:val="24"/>
          <w:highlight w:val="none"/>
        </w:rPr>
      </w:pPr>
    </w:p>
    <w:p w14:paraId="664CA0A3">
      <w:pPr>
        <w:spacing w:line="360" w:lineRule="auto"/>
        <w:ind w:left="540"/>
        <w:contextualSpacing/>
        <w:rPr>
          <w:rFonts w:hint="eastAsia" w:ascii="宋体" w:hAnsi="宋体" w:cs="仿宋_GB2312"/>
          <w:color w:val="auto"/>
          <w:sz w:val="24"/>
          <w:highlight w:val="none"/>
        </w:rPr>
      </w:pPr>
    </w:p>
    <w:p w14:paraId="56AC66FB">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6A5DEC8E">
      <w:pPr>
        <w:spacing w:line="360" w:lineRule="auto"/>
        <w:ind w:left="540"/>
        <w:contextualSpacing/>
        <w:rPr>
          <w:rFonts w:hint="eastAsia" w:ascii="宋体" w:hAnsi="宋体" w:cs="仿宋_GB2312"/>
          <w:color w:val="auto"/>
          <w:sz w:val="24"/>
          <w:highlight w:val="none"/>
        </w:rPr>
      </w:pPr>
    </w:p>
    <w:p w14:paraId="0334686F">
      <w:pPr>
        <w:spacing w:line="360" w:lineRule="auto"/>
        <w:ind w:left="540"/>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7A02D486">
      <w:pPr>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5CC72145">
      <w:pPr>
        <w:spacing w:line="360" w:lineRule="auto"/>
        <w:contextualSpacing/>
        <w:jc w:val="center"/>
        <w:rPr>
          <w:rFonts w:hint="eastAsia" w:ascii="宋体" w:hAnsi="宋体" w:cs="仿宋_GB2312"/>
          <w:b/>
          <w:color w:val="auto"/>
          <w:sz w:val="24"/>
          <w:highlight w:val="none"/>
        </w:rPr>
      </w:pPr>
    </w:p>
    <w:p w14:paraId="07D46EF3">
      <w:pPr>
        <w:spacing w:line="360" w:lineRule="auto"/>
        <w:contextualSpacing/>
        <w:jc w:val="left"/>
        <w:rPr>
          <w:rFonts w:hint="eastAsia" w:ascii="宋体" w:hAnsi="宋体" w:cs="仿宋_GB2312"/>
          <w:color w:val="auto"/>
          <w:sz w:val="24"/>
          <w:highlight w:val="none"/>
        </w:rPr>
      </w:pPr>
    </w:p>
    <w:p w14:paraId="368515B7">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2056CCAD">
      <w:pPr>
        <w:adjustRightInd w:val="0"/>
        <w:snapToGrid w:val="0"/>
        <w:spacing w:line="300" w:lineRule="auto"/>
        <w:jc w:val="left"/>
        <w:rPr>
          <w:rFonts w:hint="eastAsia" w:ascii="宋体" w:hAnsi="宋体"/>
          <w:b/>
          <w:color w:val="auto"/>
          <w:szCs w:val="21"/>
          <w:highlight w:val="none"/>
        </w:rPr>
      </w:pPr>
    </w:p>
    <w:p w14:paraId="498C191E">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ascii="方正小标宋简体" w:hAnsi="方正小标宋简体" w:eastAsia="方正小标宋简体" w:cs="方正小标宋简体"/>
          <w:color w:val="auto"/>
          <w:sz w:val="44"/>
          <w:szCs w:val="44"/>
          <w:highlight w:val="none"/>
        </w:rPr>
        <w:t xml:space="preserve"> </w:t>
      </w:r>
    </w:p>
    <w:p w14:paraId="246683A5">
      <w:pPr>
        <w:spacing w:line="520" w:lineRule="exact"/>
        <w:jc w:val="center"/>
        <w:rPr>
          <w:rFonts w:hint="eastAsia" w:ascii="方正小标宋简体" w:hAnsi="方正小标宋简体" w:eastAsia="方正小标宋简体" w:cs="方正小标宋简体"/>
          <w:color w:val="auto"/>
          <w:sz w:val="44"/>
          <w:szCs w:val="44"/>
          <w:highlight w:val="none"/>
        </w:rPr>
      </w:pPr>
      <w:bookmarkStart w:id="77" w:name="_Hlk65853643"/>
      <w:r>
        <w:rPr>
          <w:rFonts w:hint="eastAsia" w:ascii="方正小标宋简体" w:hAnsi="方正小标宋简体" w:eastAsia="方正小标宋简体" w:cs="方正小标宋简体"/>
          <w:color w:val="auto"/>
          <w:sz w:val="44"/>
          <w:szCs w:val="44"/>
          <w:highlight w:val="none"/>
        </w:rPr>
        <w:t>授权委托书</w:t>
      </w:r>
    </w:p>
    <w:p w14:paraId="6873F45B">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63E5449D">
      <w:pPr>
        <w:spacing w:line="520" w:lineRule="exact"/>
        <w:rPr>
          <w:rFonts w:hint="eastAsia" w:ascii="仿宋_GB2312" w:hAnsi="仿宋_GB2312" w:eastAsia="仿宋_GB2312" w:cs="仿宋_GB2312"/>
          <w:color w:val="auto"/>
          <w:sz w:val="32"/>
          <w:szCs w:val="32"/>
          <w:highlight w:val="none"/>
        </w:rPr>
      </w:pPr>
    </w:p>
    <w:p w14:paraId="566307E6">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玉林市自然资源局</w:t>
      </w:r>
      <w:r>
        <w:rPr>
          <w:rFonts w:hint="eastAsia" w:ascii="宋体" w:hAnsi="宋体" w:cs="仿宋_GB2312"/>
          <w:color w:val="auto"/>
          <w:sz w:val="24"/>
          <w:highlight w:val="none"/>
        </w:rPr>
        <w:t>：</w:t>
      </w:r>
    </w:p>
    <w:p w14:paraId="32D5F36A">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lang w:eastAsia="zh-CN"/>
        </w:rPr>
        <w:t>玉林市现状耕地和潜力耕地地块实际利用情况调查摸底工作底图制作以及市级复核与数据库成果汇总等工作项目（重）</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63860D61">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20D21206">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0C75A3B0">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0F18A3F4">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2BF3ABFE">
      <w:pPr>
        <w:spacing w:line="360" w:lineRule="auto"/>
        <w:rPr>
          <w:rFonts w:hint="eastAsia" w:ascii="宋体" w:hAnsi="宋体" w:cs="仿宋_GB2312"/>
          <w:color w:val="auto"/>
          <w:sz w:val="24"/>
          <w:highlight w:val="none"/>
        </w:rPr>
      </w:pPr>
    </w:p>
    <w:p w14:paraId="1D9F3D75">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033CA376">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58D2A36C">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3EE2A95E">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79F4DEF4">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0F287855">
      <w:pPr>
        <w:spacing w:line="360" w:lineRule="auto"/>
        <w:rPr>
          <w:rFonts w:hint="eastAsia" w:ascii="宋体" w:hAnsi="宋体" w:cs="仿宋_GB2312"/>
          <w:color w:val="auto"/>
          <w:sz w:val="24"/>
          <w:highlight w:val="none"/>
        </w:rPr>
      </w:pPr>
    </w:p>
    <w:p w14:paraId="0360BF89">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3ABD7766">
      <w:pPr>
        <w:spacing w:line="360" w:lineRule="auto"/>
        <w:ind w:firstLine="480" w:firstLineChars="200"/>
        <w:jc w:val="left"/>
        <w:rPr>
          <w:rFonts w:hint="eastAsia" w:ascii="宋体" w:hAnsi="宋体" w:cs="仿宋_GB2312"/>
          <w:color w:val="auto"/>
          <w:sz w:val="24"/>
          <w:highlight w:val="none"/>
        </w:rPr>
      </w:pPr>
      <w:r>
        <w:rPr>
          <w:rFonts w:ascii="宋体" w:hAnsi="宋体" w:cs="仿宋_GB2312"/>
          <w:color w:val="auto"/>
          <w:sz w:val="24"/>
          <w:highlight w:val="none"/>
        </w:rPr>
        <w:t>2.</w:t>
      </w:r>
      <w:bookmarkStart w:id="78" w:name="_Hlk65853109"/>
      <w:bookmarkStart w:id="79" w:name="_Hlk65853542"/>
      <w:r>
        <w:rPr>
          <w:rFonts w:hint="eastAsia" w:ascii="宋体" w:hAnsi="宋体" w:cs="仿宋_GB2312"/>
          <w:color w:val="auto"/>
          <w:sz w:val="24"/>
          <w:highlight w:val="none"/>
        </w:rPr>
        <w:t>法人、其他组织竞标时“我方”是指“我单位”，自然人竞标时“我方”是指“本人”。</w:t>
      </w:r>
      <w:bookmarkEnd w:id="78"/>
    </w:p>
    <w:bookmarkEnd w:id="79"/>
    <w:p w14:paraId="2B358333">
      <w:pPr>
        <w:spacing w:line="360" w:lineRule="auto"/>
        <w:ind w:firstLine="420" w:firstLineChars="200"/>
        <w:jc w:val="left"/>
        <w:rPr>
          <w:rFonts w:hint="eastAsia" w:ascii="仿宋_GB2312" w:hAnsi="仿宋_GB2312" w:eastAsia="仿宋_GB2312" w:cs="仿宋_GB2312"/>
          <w:color w:val="auto"/>
          <w:szCs w:val="21"/>
          <w:highlight w:val="none"/>
        </w:rPr>
      </w:pPr>
    </w:p>
    <w:p w14:paraId="431FFA7D">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r>
      <w:bookmarkEnd w:id="77"/>
      <w:r>
        <w:rPr>
          <w:rFonts w:hint="eastAsia" w:ascii="方正小标宋简体" w:hAnsi="方正小标宋简体" w:eastAsia="方正小标宋简体" w:cs="方正小标宋简体"/>
          <w:bCs/>
          <w:color w:val="auto"/>
          <w:sz w:val="44"/>
          <w:szCs w:val="44"/>
          <w:highlight w:val="none"/>
        </w:rPr>
        <w:t>商务要求偏离表格式</w:t>
      </w:r>
    </w:p>
    <w:p w14:paraId="6F27CF9E">
      <w:pPr>
        <w:spacing w:line="500" w:lineRule="exact"/>
        <w:jc w:val="center"/>
        <w:rPr>
          <w:rFonts w:hint="eastAsia" w:ascii="宋体" w:hAnsi="宋体"/>
          <w:b/>
          <w:i/>
          <w:color w:val="auto"/>
          <w:sz w:val="32"/>
          <w:szCs w:val="32"/>
          <w:highlight w:val="none"/>
        </w:rPr>
      </w:pPr>
      <w:r>
        <w:rPr>
          <w:rFonts w:hint="eastAsia" w:ascii="方正小标宋简体" w:hAnsi="方正小标宋简体" w:eastAsia="方正小标宋简体" w:cs="方正小标宋简体"/>
          <w:bCs/>
          <w:i/>
          <w:color w:val="auto"/>
          <w:sz w:val="32"/>
          <w:szCs w:val="32"/>
          <w:highlight w:val="none"/>
        </w:rPr>
        <w:t>（注：按采购需求具体条款修改）</w:t>
      </w:r>
    </w:p>
    <w:p w14:paraId="18ECBB08">
      <w:pPr>
        <w:spacing w:line="360" w:lineRule="auto"/>
        <w:contextualSpacing/>
        <w:jc w:val="left"/>
        <w:rPr>
          <w:rFonts w:hint="eastAsia" w:ascii="宋体" w:hAnsi="宋体"/>
          <w:color w:val="auto"/>
          <w:sz w:val="24"/>
          <w:highlight w:val="none"/>
        </w:rPr>
      </w:pPr>
    </w:p>
    <w:p w14:paraId="2C8A5B6C">
      <w:pPr>
        <w:spacing w:line="360" w:lineRule="auto"/>
        <w:contextualSpacing/>
        <w:jc w:val="left"/>
        <w:rPr>
          <w:rFonts w:hint="eastAsia" w:ascii="宋体" w:hAnsi="宋体" w:cs="仿宋_GB2312"/>
          <w:color w:val="auto"/>
          <w:sz w:val="24"/>
          <w:highlight w:val="none"/>
          <w:u w:val="single"/>
        </w:rPr>
      </w:pPr>
    </w:p>
    <w:tbl>
      <w:tblPr>
        <w:tblStyle w:val="28"/>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479F1D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0FFB4343">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4FACC743">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2CA303DE">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28D354A6">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偏离说明</w:t>
            </w:r>
          </w:p>
        </w:tc>
      </w:tr>
      <w:tr w14:paraId="225789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1B484868">
            <w:pPr>
              <w:spacing w:line="300" w:lineRule="exact"/>
              <w:jc w:val="center"/>
              <w:rPr>
                <w:rFonts w:ascii="宋体" w:hAnsi="宋体"/>
                <w:color w:val="auto"/>
                <w:szCs w:val="21"/>
                <w:highlight w:val="none"/>
              </w:rPr>
            </w:pPr>
            <w:r>
              <w:rPr>
                <w:rFonts w:hint="eastAsia" w:ascii="宋体" w:hAnsi="宋体"/>
                <w:color w:val="auto"/>
                <w:szCs w:val="21"/>
                <w:highlight w:val="none"/>
              </w:rPr>
              <w:t>服务时间</w:t>
            </w:r>
          </w:p>
        </w:tc>
        <w:tc>
          <w:tcPr>
            <w:tcW w:w="2668" w:type="dxa"/>
            <w:tcBorders>
              <w:top w:val="single" w:color="auto" w:sz="4" w:space="0"/>
              <w:left w:val="single" w:color="auto" w:sz="4" w:space="0"/>
              <w:bottom w:val="single" w:color="auto" w:sz="4" w:space="0"/>
              <w:right w:val="single" w:color="auto" w:sz="4" w:space="0"/>
            </w:tcBorders>
            <w:vAlign w:val="center"/>
          </w:tcPr>
          <w:p w14:paraId="0CA163DD">
            <w:pPr>
              <w:spacing w:line="360"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630F6D5C">
            <w:pPr>
              <w:spacing w:line="360" w:lineRule="auto"/>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3FA8143F">
            <w:pPr>
              <w:spacing w:line="360" w:lineRule="auto"/>
              <w:contextualSpacing/>
              <w:jc w:val="center"/>
              <w:rPr>
                <w:rFonts w:hint="eastAsia" w:ascii="宋体" w:hAnsi="宋体" w:cs="仿宋_GB2312"/>
                <w:color w:val="auto"/>
                <w:sz w:val="24"/>
                <w:highlight w:val="none"/>
              </w:rPr>
            </w:pPr>
          </w:p>
        </w:tc>
      </w:tr>
      <w:tr w14:paraId="101555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186E8D3C">
            <w:pPr>
              <w:spacing w:line="300" w:lineRule="exact"/>
              <w:jc w:val="center"/>
              <w:rPr>
                <w:rFonts w:ascii="宋体" w:hAnsi="宋体"/>
                <w:color w:val="auto"/>
                <w:szCs w:val="21"/>
                <w:highlight w:val="none"/>
              </w:rPr>
            </w:pPr>
            <w:r>
              <w:rPr>
                <w:rFonts w:hint="eastAsia" w:ascii="宋体" w:hAnsi="宋体"/>
                <w:color w:val="auto"/>
                <w:szCs w:val="21"/>
                <w:highlight w:val="none"/>
              </w:rPr>
              <w:t>服务地点</w:t>
            </w:r>
          </w:p>
        </w:tc>
        <w:tc>
          <w:tcPr>
            <w:tcW w:w="2668" w:type="dxa"/>
            <w:tcBorders>
              <w:top w:val="single" w:color="auto" w:sz="4" w:space="0"/>
              <w:left w:val="single" w:color="auto" w:sz="4" w:space="0"/>
              <w:bottom w:val="single" w:color="auto" w:sz="4" w:space="0"/>
              <w:right w:val="single" w:color="auto" w:sz="4" w:space="0"/>
            </w:tcBorders>
            <w:vAlign w:val="center"/>
          </w:tcPr>
          <w:p w14:paraId="271AC6B4">
            <w:pPr>
              <w:spacing w:line="360"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324FB274">
            <w:pPr>
              <w:spacing w:line="360" w:lineRule="auto"/>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6478602C">
            <w:pPr>
              <w:spacing w:line="360" w:lineRule="auto"/>
              <w:contextualSpacing/>
              <w:jc w:val="center"/>
              <w:rPr>
                <w:rFonts w:hint="eastAsia" w:ascii="宋体" w:hAnsi="宋体" w:cs="仿宋_GB2312"/>
                <w:color w:val="auto"/>
                <w:sz w:val="24"/>
                <w:highlight w:val="none"/>
              </w:rPr>
            </w:pPr>
          </w:p>
        </w:tc>
      </w:tr>
      <w:tr w14:paraId="4AF6BF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30C227AB">
            <w:pPr>
              <w:spacing w:line="300" w:lineRule="exact"/>
              <w:jc w:val="center"/>
              <w:rPr>
                <w:rFonts w:ascii="宋体" w:hAnsi="宋体"/>
                <w:color w:val="auto"/>
                <w:szCs w:val="21"/>
                <w:highlight w:val="none"/>
              </w:rPr>
            </w:pPr>
            <w:r>
              <w:rPr>
                <w:rFonts w:hint="eastAsia" w:ascii="宋体" w:hAnsi="宋体"/>
                <w:color w:val="auto"/>
                <w:szCs w:val="21"/>
                <w:highlight w:val="none"/>
              </w:rPr>
              <w:t>服务标准</w:t>
            </w:r>
          </w:p>
        </w:tc>
        <w:tc>
          <w:tcPr>
            <w:tcW w:w="2668" w:type="dxa"/>
            <w:tcBorders>
              <w:top w:val="single" w:color="auto" w:sz="4" w:space="0"/>
              <w:left w:val="single" w:color="auto" w:sz="4" w:space="0"/>
              <w:bottom w:val="single" w:color="auto" w:sz="4" w:space="0"/>
              <w:right w:val="single" w:color="auto" w:sz="4" w:space="0"/>
            </w:tcBorders>
            <w:vAlign w:val="center"/>
          </w:tcPr>
          <w:p w14:paraId="36A99B28">
            <w:pPr>
              <w:spacing w:line="360"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2A1C70D5">
            <w:pPr>
              <w:spacing w:line="360" w:lineRule="auto"/>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647A94C9">
            <w:pPr>
              <w:spacing w:line="360" w:lineRule="auto"/>
              <w:contextualSpacing/>
              <w:jc w:val="center"/>
              <w:rPr>
                <w:rFonts w:hint="eastAsia" w:ascii="宋体" w:hAnsi="宋体" w:cs="仿宋_GB2312"/>
                <w:color w:val="auto"/>
                <w:sz w:val="24"/>
                <w:highlight w:val="none"/>
              </w:rPr>
            </w:pPr>
          </w:p>
        </w:tc>
      </w:tr>
      <w:tr w14:paraId="5B160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5A077D9A">
            <w:pPr>
              <w:spacing w:line="360" w:lineRule="auto"/>
              <w:jc w:val="center"/>
              <w:rPr>
                <w:rFonts w:ascii="宋体" w:cs="宋体"/>
                <w:color w:val="auto"/>
                <w:kern w:val="0"/>
                <w:szCs w:val="21"/>
                <w:highlight w:val="none"/>
              </w:rPr>
            </w:pPr>
            <w:r>
              <w:rPr>
                <w:rFonts w:hint="eastAsia" w:ascii="宋体" w:hAnsi="宋体"/>
                <w:color w:val="auto"/>
                <w:szCs w:val="21"/>
                <w:highlight w:val="none"/>
              </w:rPr>
              <w:t>验收标准</w:t>
            </w:r>
          </w:p>
        </w:tc>
        <w:tc>
          <w:tcPr>
            <w:tcW w:w="2668" w:type="dxa"/>
            <w:tcBorders>
              <w:top w:val="single" w:color="auto" w:sz="4" w:space="0"/>
              <w:left w:val="single" w:color="auto" w:sz="4" w:space="0"/>
              <w:bottom w:val="single" w:color="auto" w:sz="4" w:space="0"/>
              <w:right w:val="single" w:color="auto" w:sz="4" w:space="0"/>
            </w:tcBorders>
            <w:vAlign w:val="center"/>
          </w:tcPr>
          <w:p w14:paraId="382C5AF4">
            <w:pPr>
              <w:spacing w:line="360"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2D00EBCD">
            <w:pPr>
              <w:spacing w:line="360" w:lineRule="auto"/>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447F53CA">
            <w:pPr>
              <w:spacing w:line="360" w:lineRule="auto"/>
              <w:contextualSpacing/>
              <w:jc w:val="center"/>
              <w:rPr>
                <w:rFonts w:hint="eastAsia" w:ascii="宋体" w:hAnsi="宋体" w:cs="仿宋_GB2312"/>
                <w:color w:val="auto"/>
                <w:sz w:val="24"/>
                <w:highlight w:val="none"/>
              </w:rPr>
            </w:pPr>
          </w:p>
        </w:tc>
      </w:tr>
      <w:tr w14:paraId="391D41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570AD144">
            <w:pPr>
              <w:spacing w:line="360" w:lineRule="auto"/>
              <w:jc w:val="center"/>
              <w:rPr>
                <w:rFonts w:hint="eastAsia" w:ascii="宋体" w:hAnsi="宋体"/>
                <w:color w:val="auto"/>
                <w:szCs w:val="21"/>
                <w:highlight w:val="none"/>
              </w:rPr>
            </w:pPr>
            <w:r>
              <w:rPr>
                <w:rFonts w:hint="eastAsia" w:ascii="宋体" w:hAnsi="宋体"/>
                <w:color w:val="auto"/>
                <w:szCs w:val="21"/>
                <w:highlight w:val="none"/>
              </w:rPr>
              <w:t>付款方式</w:t>
            </w:r>
          </w:p>
        </w:tc>
        <w:tc>
          <w:tcPr>
            <w:tcW w:w="2668" w:type="dxa"/>
            <w:tcBorders>
              <w:top w:val="single" w:color="auto" w:sz="4" w:space="0"/>
              <w:left w:val="single" w:color="auto" w:sz="4" w:space="0"/>
              <w:bottom w:val="single" w:color="auto" w:sz="4" w:space="0"/>
              <w:right w:val="single" w:color="auto" w:sz="4" w:space="0"/>
            </w:tcBorders>
            <w:vAlign w:val="center"/>
          </w:tcPr>
          <w:p w14:paraId="6432112B">
            <w:pPr>
              <w:spacing w:line="360"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3C9BBC30">
            <w:pPr>
              <w:spacing w:line="360" w:lineRule="auto"/>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529F3B93">
            <w:pPr>
              <w:spacing w:line="360" w:lineRule="auto"/>
              <w:contextualSpacing/>
              <w:jc w:val="center"/>
              <w:rPr>
                <w:rFonts w:hint="eastAsia" w:ascii="宋体" w:hAnsi="宋体" w:cs="仿宋_GB2312"/>
                <w:color w:val="auto"/>
                <w:sz w:val="24"/>
                <w:highlight w:val="none"/>
              </w:rPr>
            </w:pPr>
          </w:p>
        </w:tc>
      </w:tr>
      <w:tr w14:paraId="591E73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3AEDF70F">
            <w:pPr>
              <w:spacing w:line="360" w:lineRule="auto"/>
              <w:contextualSpacing/>
              <w:jc w:val="center"/>
              <w:rPr>
                <w:rFonts w:hint="eastAsia" w:ascii="宋体" w:hAnsi="宋体" w:cs="仿宋_GB2312"/>
                <w:color w:val="auto"/>
                <w:sz w:val="24"/>
                <w:highlight w:val="none"/>
              </w:rPr>
            </w:pPr>
            <w:r>
              <w:rPr>
                <w:rFonts w:hint="default" w:ascii="Times New Roman" w:hAnsi="Times New Roman" w:eastAsia="宋体" w:cs="Times New Roman"/>
                <w:bCs/>
                <w:color w:val="auto"/>
                <w:sz w:val="24"/>
                <w:szCs w:val="24"/>
                <w:highlight w:val="none"/>
              </w:rPr>
              <w:t>验收标准及要求</w:t>
            </w:r>
          </w:p>
        </w:tc>
        <w:tc>
          <w:tcPr>
            <w:tcW w:w="2668" w:type="dxa"/>
            <w:tcBorders>
              <w:top w:val="single" w:color="auto" w:sz="4" w:space="0"/>
              <w:left w:val="single" w:color="auto" w:sz="4" w:space="0"/>
              <w:bottom w:val="single" w:color="auto" w:sz="4" w:space="0"/>
              <w:right w:val="single" w:color="auto" w:sz="4" w:space="0"/>
            </w:tcBorders>
            <w:vAlign w:val="center"/>
          </w:tcPr>
          <w:p w14:paraId="3D60F9E5">
            <w:pPr>
              <w:spacing w:line="360"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0ABD96A4">
            <w:pPr>
              <w:spacing w:line="360" w:lineRule="auto"/>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5002CE09">
            <w:pPr>
              <w:spacing w:line="360" w:lineRule="auto"/>
              <w:contextualSpacing/>
              <w:jc w:val="center"/>
              <w:rPr>
                <w:rFonts w:hint="eastAsia" w:ascii="宋体" w:hAnsi="宋体" w:cs="仿宋_GB2312"/>
                <w:color w:val="auto"/>
                <w:sz w:val="24"/>
                <w:highlight w:val="none"/>
              </w:rPr>
            </w:pPr>
          </w:p>
        </w:tc>
      </w:tr>
    </w:tbl>
    <w:p w14:paraId="439839AB">
      <w:pPr>
        <w:pStyle w:val="12"/>
        <w:spacing w:after="0"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注：</w:t>
      </w:r>
    </w:p>
    <w:p w14:paraId="354CB8D6">
      <w:pPr>
        <w:pStyle w:val="12"/>
        <w:spacing w:after="0"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1. 说明：应对照磋商文件“第三章 采购需求”中的商务要求逐条作出明确响应，并作出偏离说明。</w:t>
      </w:r>
    </w:p>
    <w:p w14:paraId="7EB5F118">
      <w:pPr>
        <w:spacing w:line="360" w:lineRule="auto"/>
        <w:contextualSpacing/>
        <w:jc w:val="left"/>
        <w:rPr>
          <w:rFonts w:hint="eastAsia" w:ascii="宋体" w:hAnsi="宋体" w:cs="仿宋_GB2312"/>
          <w:color w:val="auto"/>
          <w:sz w:val="24"/>
          <w:highlight w:val="none"/>
          <w:u w:val="single"/>
        </w:rPr>
      </w:pPr>
      <w:r>
        <w:rPr>
          <w:rFonts w:hint="eastAsia" w:ascii="宋体" w:hAnsi="宋体"/>
          <w:color w:val="auto"/>
          <w:kern w:val="0"/>
          <w:sz w:val="24"/>
          <w:highlight w:val="none"/>
        </w:rPr>
        <w:t>2.供应商应根据自身的承诺，对照磋商文件要求在“偏离说明”中注明“正偏离”、“负偏离”或者“无偏离”。既不属于“正偏离”也不属于“负偏离”即为“无偏离”。</w:t>
      </w:r>
    </w:p>
    <w:p w14:paraId="20F81CEB">
      <w:pPr>
        <w:spacing w:line="360" w:lineRule="auto"/>
        <w:ind w:right="-817" w:rightChars="-389"/>
        <w:contextualSpacing/>
        <w:rPr>
          <w:rFonts w:hint="eastAsia" w:ascii="宋体" w:hAnsi="宋体" w:cs="仿宋_GB2312"/>
          <w:color w:val="auto"/>
          <w:sz w:val="24"/>
          <w:highlight w:val="none"/>
        </w:rPr>
      </w:pPr>
    </w:p>
    <w:p w14:paraId="63271FED">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7864E693">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5012FB0C">
      <w:pPr>
        <w:spacing w:line="360" w:lineRule="auto"/>
        <w:ind w:right="-817" w:rightChars="-389" w:firstLine="4080" w:firstLineChars="1700"/>
        <w:contextualSpacing/>
        <w:rPr>
          <w:rFonts w:hint="eastAsia"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14:paraId="2CF52F5C">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199D1E44">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6F48AD2D">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49F1BC48">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14D9EC3E">
      <w:pPr>
        <w:adjustRightInd w:val="0"/>
        <w:snapToGrid w:val="0"/>
        <w:spacing w:line="520" w:lineRule="exact"/>
        <w:rPr>
          <w:rFonts w:hint="eastAsia" w:ascii="宋体" w:hAnsi="宋体"/>
          <w:color w:val="auto"/>
          <w:szCs w:val="21"/>
          <w:highlight w:val="none"/>
          <w:u w:val="single"/>
        </w:rPr>
      </w:pPr>
    </w:p>
    <w:p w14:paraId="39C1326C">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技术要求偏离表</w:t>
      </w:r>
    </w:p>
    <w:p w14:paraId="434EB6B8">
      <w:pPr>
        <w:spacing w:line="520" w:lineRule="exact"/>
        <w:rPr>
          <w:rFonts w:hint="eastAsia" w:ascii="仿宋_GB2312" w:hAnsi="仿宋_GB2312" w:eastAsia="仿宋_GB2312" w:cs="仿宋_GB2312"/>
          <w:color w:val="auto"/>
          <w:sz w:val="32"/>
          <w:szCs w:val="32"/>
          <w:highlight w:val="none"/>
        </w:rPr>
      </w:pPr>
    </w:p>
    <w:p w14:paraId="78A2CF66">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eastAsia="zh-CN"/>
        </w:rPr>
        <w:t>YLZC2025-C3-990317-DYGS</w:t>
      </w:r>
      <w:r>
        <w:rPr>
          <w:rFonts w:hint="eastAsia" w:ascii="宋体" w:hAnsi="宋体" w:cs="仿宋_GB2312"/>
          <w:color w:val="auto"/>
          <w:sz w:val="24"/>
          <w:highlight w:val="none"/>
          <w:u w:val="single"/>
        </w:rPr>
        <w:t xml:space="preserve">  </w:t>
      </w:r>
    </w:p>
    <w:p w14:paraId="149A605D">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eastAsia="zh-CN"/>
        </w:rPr>
        <w:t>玉林市现状耕地和潜力耕地地块实际利用情况调查摸底工作底图制作以及市级复核与数据库成果汇总等工作项目（重）</w:t>
      </w:r>
      <w:r>
        <w:rPr>
          <w:rFonts w:hint="eastAsia" w:ascii="宋体" w:hAnsi="宋体" w:cs="仿宋_GB2312"/>
          <w:color w:val="auto"/>
          <w:sz w:val="24"/>
          <w:highlight w:val="none"/>
          <w:u w:val="single"/>
        </w:rPr>
        <w:t xml:space="preserve">  </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91"/>
        <w:gridCol w:w="992"/>
        <w:gridCol w:w="3292"/>
        <w:gridCol w:w="2963"/>
        <w:gridCol w:w="1616"/>
      </w:tblGrid>
      <w:tr w14:paraId="3B7770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2BCD74BB">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80" w:name="_Toc301781611"/>
            <w:bookmarkStart w:id="81" w:name="_Toc297193185"/>
            <w:bookmarkStart w:id="82" w:name="_Toc373333689"/>
            <w:bookmarkStart w:id="83" w:name="_Toc173211900"/>
            <w:bookmarkStart w:id="84" w:name="_Toc295404981"/>
            <w:bookmarkStart w:id="85" w:name="_Toc254970588"/>
            <w:bookmarkStart w:id="86" w:name="_Toc383699906"/>
            <w:bookmarkStart w:id="87" w:name="_Toc254970729"/>
            <w:bookmarkStart w:id="88" w:name="_Toc173066401"/>
            <w:r>
              <w:rPr>
                <w:rFonts w:hint="eastAsia" w:ascii="宋体" w:hAnsi="宋体" w:eastAsia="宋体" w:cs="仿宋_GB2312"/>
                <w:color w:val="auto"/>
                <w:kern w:val="2"/>
                <w:sz w:val="24"/>
                <w:szCs w:val="24"/>
                <w:highlight w:val="none"/>
              </w:rPr>
              <w:t>序号</w:t>
            </w:r>
            <w:bookmarkEnd w:id="80"/>
            <w:bookmarkEnd w:id="81"/>
            <w:bookmarkEnd w:id="82"/>
            <w:bookmarkEnd w:id="83"/>
            <w:bookmarkEnd w:id="84"/>
            <w:bookmarkEnd w:id="85"/>
            <w:bookmarkEnd w:id="86"/>
            <w:bookmarkEnd w:id="87"/>
            <w:bookmarkEnd w:id="88"/>
          </w:p>
        </w:tc>
        <w:tc>
          <w:tcPr>
            <w:tcW w:w="503" w:type="pct"/>
            <w:tcBorders>
              <w:right w:val="single" w:color="auto" w:sz="4" w:space="0"/>
            </w:tcBorders>
            <w:vAlign w:val="center"/>
          </w:tcPr>
          <w:p w14:paraId="2563BB7D">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名称</w:t>
            </w:r>
          </w:p>
        </w:tc>
        <w:tc>
          <w:tcPr>
            <w:tcW w:w="1670" w:type="pct"/>
            <w:tcBorders>
              <w:left w:val="single" w:color="auto" w:sz="4" w:space="0"/>
            </w:tcBorders>
            <w:vAlign w:val="center"/>
          </w:tcPr>
          <w:p w14:paraId="3EA0A30B">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磋商文件技术要求</w:t>
            </w:r>
          </w:p>
        </w:tc>
        <w:tc>
          <w:tcPr>
            <w:tcW w:w="1503" w:type="pct"/>
            <w:vAlign w:val="center"/>
          </w:tcPr>
          <w:p w14:paraId="018650FC">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89" w:name="_Toc383699908"/>
            <w:bookmarkStart w:id="90" w:name="_Toc373333691"/>
            <w:bookmarkStart w:id="91" w:name="_Toc297193187"/>
            <w:bookmarkStart w:id="92" w:name="_Toc173211902"/>
            <w:bookmarkStart w:id="93" w:name="_Toc173066403"/>
            <w:bookmarkStart w:id="94" w:name="_Toc254970731"/>
            <w:bookmarkStart w:id="95" w:name="_Toc301781613"/>
            <w:bookmarkStart w:id="96" w:name="_Toc254970590"/>
            <w:bookmarkStart w:id="97" w:name="_Toc295404983"/>
            <w:r>
              <w:rPr>
                <w:rFonts w:hint="eastAsia" w:ascii="宋体" w:hAnsi="宋体" w:eastAsia="宋体" w:cs="仿宋_GB2312"/>
                <w:color w:val="auto"/>
                <w:kern w:val="2"/>
                <w:sz w:val="24"/>
                <w:szCs w:val="24"/>
                <w:highlight w:val="none"/>
              </w:rPr>
              <w:t>竞标响应</w:t>
            </w:r>
            <w:bookmarkEnd w:id="89"/>
            <w:bookmarkEnd w:id="90"/>
            <w:bookmarkEnd w:id="91"/>
            <w:bookmarkEnd w:id="92"/>
            <w:bookmarkEnd w:id="93"/>
            <w:bookmarkEnd w:id="94"/>
            <w:bookmarkEnd w:id="95"/>
            <w:bookmarkEnd w:id="96"/>
            <w:bookmarkEnd w:id="97"/>
          </w:p>
        </w:tc>
        <w:tc>
          <w:tcPr>
            <w:tcW w:w="820" w:type="pct"/>
            <w:vAlign w:val="center"/>
          </w:tcPr>
          <w:p w14:paraId="5F754F03">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98" w:name="_Toc173211903"/>
            <w:bookmarkStart w:id="99" w:name="_Toc295404984"/>
            <w:bookmarkStart w:id="100" w:name="_Toc173066404"/>
            <w:bookmarkStart w:id="101" w:name="_Toc373333692"/>
            <w:bookmarkStart w:id="102" w:name="_Toc301781614"/>
            <w:bookmarkStart w:id="103" w:name="_Toc297193188"/>
            <w:bookmarkStart w:id="104" w:name="_Toc254970591"/>
            <w:bookmarkStart w:id="105" w:name="_Toc383699909"/>
            <w:bookmarkStart w:id="106" w:name="_Toc254970732"/>
            <w:r>
              <w:rPr>
                <w:rFonts w:hint="eastAsia" w:ascii="宋体" w:hAnsi="宋体" w:eastAsia="宋体" w:cs="仿宋_GB2312"/>
                <w:color w:val="auto"/>
                <w:kern w:val="2"/>
                <w:sz w:val="24"/>
                <w:szCs w:val="24"/>
                <w:highlight w:val="none"/>
              </w:rPr>
              <w:t>偏离</w:t>
            </w:r>
            <w:bookmarkEnd w:id="98"/>
            <w:bookmarkEnd w:id="99"/>
            <w:bookmarkEnd w:id="100"/>
            <w:bookmarkEnd w:id="101"/>
            <w:bookmarkEnd w:id="102"/>
            <w:bookmarkEnd w:id="103"/>
            <w:bookmarkEnd w:id="104"/>
            <w:bookmarkEnd w:id="105"/>
            <w:bookmarkEnd w:id="106"/>
            <w:bookmarkStart w:id="107" w:name="_Toc301781615"/>
            <w:bookmarkStart w:id="108" w:name="_Toc254970592"/>
            <w:bookmarkStart w:id="109" w:name="_Toc254970733"/>
            <w:bookmarkStart w:id="110" w:name="_Toc383699910"/>
            <w:bookmarkStart w:id="111" w:name="_Toc295404985"/>
            <w:bookmarkStart w:id="112" w:name="_Toc173211904"/>
            <w:bookmarkStart w:id="113" w:name="_Toc297193189"/>
            <w:bookmarkStart w:id="114" w:name="_Toc373333693"/>
            <w:bookmarkStart w:id="115" w:name="_Toc173066405"/>
            <w:r>
              <w:rPr>
                <w:rFonts w:hint="eastAsia" w:ascii="宋体" w:hAnsi="宋体" w:eastAsia="宋体" w:cs="仿宋_GB2312"/>
                <w:color w:val="auto"/>
                <w:kern w:val="2"/>
                <w:sz w:val="24"/>
                <w:szCs w:val="24"/>
                <w:highlight w:val="none"/>
              </w:rPr>
              <w:t>说明</w:t>
            </w:r>
            <w:bookmarkEnd w:id="107"/>
            <w:bookmarkEnd w:id="108"/>
            <w:bookmarkEnd w:id="109"/>
            <w:bookmarkEnd w:id="110"/>
            <w:bookmarkEnd w:id="111"/>
            <w:bookmarkEnd w:id="112"/>
            <w:bookmarkEnd w:id="113"/>
            <w:bookmarkEnd w:id="114"/>
            <w:bookmarkEnd w:id="115"/>
          </w:p>
        </w:tc>
      </w:tr>
      <w:tr w14:paraId="14F0D6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290C0DED">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16" w:name="_Toc254970734"/>
            <w:bookmarkStart w:id="117" w:name="_Toc254970593"/>
            <w:bookmarkStart w:id="118" w:name="_Toc173211905"/>
            <w:bookmarkStart w:id="119" w:name="_Toc297193190"/>
            <w:bookmarkStart w:id="120" w:name="_Toc173066406"/>
            <w:bookmarkStart w:id="121" w:name="_Toc295404986"/>
            <w:bookmarkStart w:id="122" w:name="_Toc301781616"/>
            <w:bookmarkStart w:id="123" w:name="_Toc373333694"/>
            <w:bookmarkStart w:id="124" w:name="_Toc383699911"/>
            <w:r>
              <w:rPr>
                <w:rFonts w:hint="eastAsia" w:ascii="宋体" w:hAnsi="宋体" w:eastAsia="宋体" w:cs="仿宋_GB2312"/>
                <w:color w:val="auto"/>
                <w:kern w:val="2"/>
                <w:sz w:val="24"/>
                <w:szCs w:val="24"/>
                <w:highlight w:val="none"/>
              </w:rPr>
              <w:t>1</w:t>
            </w:r>
            <w:bookmarkEnd w:id="116"/>
            <w:bookmarkEnd w:id="117"/>
            <w:bookmarkEnd w:id="118"/>
            <w:bookmarkEnd w:id="119"/>
            <w:bookmarkEnd w:id="120"/>
            <w:bookmarkEnd w:id="121"/>
            <w:bookmarkEnd w:id="122"/>
            <w:bookmarkEnd w:id="123"/>
            <w:bookmarkEnd w:id="124"/>
          </w:p>
        </w:tc>
        <w:tc>
          <w:tcPr>
            <w:tcW w:w="503" w:type="pct"/>
            <w:tcBorders>
              <w:right w:val="single" w:color="auto" w:sz="4" w:space="0"/>
            </w:tcBorders>
            <w:vAlign w:val="center"/>
          </w:tcPr>
          <w:p w14:paraId="0C566460">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507346ED">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503" w:type="pct"/>
            <w:vAlign w:val="center"/>
          </w:tcPr>
          <w:p w14:paraId="0E42B88E">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820" w:type="pct"/>
            <w:vAlign w:val="center"/>
          </w:tcPr>
          <w:p w14:paraId="715CDB61">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0CCEAB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4F4E1097">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25" w:name="_Toc254970594"/>
            <w:bookmarkStart w:id="126" w:name="_Toc295404987"/>
            <w:bookmarkStart w:id="127" w:name="_Toc383699912"/>
            <w:bookmarkStart w:id="128" w:name="_Toc173066407"/>
            <w:bookmarkStart w:id="129" w:name="_Toc173211906"/>
            <w:bookmarkStart w:id="130" w:name="_Toc301781617"/>
            <w:bookmarkStart w:id="131" w:name="_Toc373333695"/>
            <w:bookmarkStart w:id="132" w:name="_Toc254970735"/>
            <w:bookmarkStart w:id="133" w:name="_Toc297193191"/>
            <w:r>
              <w:rPr>
                <w:rFonts w:hint="eastAsia" w:ascii="宋体" w:hAnsi="宋体" w:eastAsia="宋体" w:cs="仿宋_GB2312"/>
                <w:color w:val="auto"/>
                <w:kern w:val="2"/>
                <w:sz w:val="24"/>
                <w:szCs w:val="24"/>
                <w:highlight w:val="none"/>
              </w:rPr>
              <w:t>2</w:t>
            </w:r>
            <w:bookmarkEnd w:id="125"/>
            <w:bookmarkEnd w:id="126"/>
            <w:bookmarkEnd w:id="127"/>
            <w:bookmarkEnd w:id="128"/>
            <w:bookmarkEnd w:id="129"/>
            <w:bookmarkEnd w:id="130"/>
            <w:bookmarkEnd w:id="131"/>
            <w:bookmarkEnd w:id="132"/>
            <w:bookmarkEnd w:id="133"/>
          </w:p>
        </w:tc>
        <w:tc>
          <w:tcPr>
            <w:tcW w:w="503" w:type="pct"/>
            <w:tcBorders>
              <w:right w:val="single" w:color="auto" w:sz="4" w:space="0"/>
            </w:tcBorders>
            <w:vAlign w:val="center"/>
          </w:tcPr>
          <w:p w14:paraId="02C8A79C">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7B60A607">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503" w:type="pct"/>
            <w:vAlign w:val="center"/>
          </w:tcPr>
          <w:p w14:paraId="268A5A41">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820" w:type="pct"/>
            <w:vAlign w:val="center"/>
          </w:tcPr>
          <w:p w14:paraId="427944C2">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186B33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51D8221B">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34" w:name="_Toc254970595"/>
            <w:bookmarkStart w:id="135" w:name="_Toc297193192"/>
            <w:bookmarkStart w:id="136" w:name="_Toc173066408"/>
            <w:bookmarkStart w:id="137" w:name="_Toc295404988"/>
            <w:bookmarkStart w:id="138" w:name="_Toc173211907"/>
            <w:bookmarkStart w:id="139" w:name="_Toc254970736"/>
            <w:bookmarkStart w:id="140" w:name="_Toc373333696"/>
            <w:bookmarkStart w:id="141" w:name="_Toc383699913"/>
            <w:bookmarkStart w:id="142" w:name="_Toc301781618"/>
            <w:r>
              <w:rPr>
                <w:rFonts w:hint="eastAsia" w:ascii="宋体" w:hAnsi="宋体" w:eastAsia="宋体" w:cs="仿宋_GB2312"/>
                <w:color w:val="auto"/>
                <w:kern w:val="2"/>
                <w:sz w:val="24"/>
                <w:szCs w:val="24"/>
                <w:highlight w:val="none"/>
              </w:rPr>
              <w:t>3</w:t>
            </w:r>
            <w:bookmarkEnd w:id="134"/>
            <w:bookmarkEnd w:id="135"/>
            <w:bookmarkEnd w:id="136"/>
            <w:bookmarkEnd w:id="137"/>
            <w:bookmarkEnd w:id="138"/>
            <w:bookmarkEnd w:id="139"/>
            <w:bookmarkEnd w:id="140"/>
            <w:bookmarkEnd w:id="141"/>
            <w:bookmarkEnd w:id="142"/>
          </w:p>
        </w:tc>
        <w:tc>
          <w:tcPr>
            <w:tcW w:w="503" w:type="pct"/>
            <w:tcBorders>
              <w:right w:val="single" w:color="auto" w:sz="4" w:space="0"/>
            </w:tcBorders>
            <w:vAlign w:val="center"/>
          </w:tcPr>
          <w:p w14:paraId="7CA25328">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67A64494">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503" w:type="pct"/>
            <w:vAlign w:val="center"/>
          </w:tcPr>
          <w:p w14:paraId="730CBCAA">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820" w:type="pct"/>
            <w:vAlign w:val="center"/>
          </w:tcPr>
          <w:p w14:paraId="5FC94B31">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277750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2EAEFF37">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43" w:name="_Toc373333697"/>
            <w:bookmarkStart w:id="144" w:name="_Toc254970596"/>
            <w:bookmarkStart w:id="145" w:name="_Toc383699914"/>
            <w:bookmarkStart w:id="146" w:name="_Toc297193193"/>
            <w:bookmarkStart w:id="147" w:name="_Toc301781619"/>
            <w:bookmarkStart w:id="148" w:name="_Toc173211908"/>
            <w:bookmarkStart w:id="149" w:name="_Toc295404989"/>
            <w:bookmarkStart w:id="150" w:name="_Toc173066409"/>
            <w:bookmarkStart w:id="151" w:name="_Toc254970737"/>
            <w:r>
              <w:rPr>
                <w:rFonts w:hint="eastAsia" w:ascii="宋体" w:hAnsi="宋体" w:eastAsia="宋体" w:cs="仿宋_GB2312"/>
                <w:color w:val="auto"/>
                <w:kern w:val="2"/>
                <w:sz w:val="24"/>
                <w:szCs w:val="24"/>
                <w:highlight w:val="none"/>
              </w:rPr>
              <w:t>4</w:t>
            </w:r>
            <w:bookmarkEnd w:id="143"/>
            <w:bookmarkEnd w:id="144"/>
            <w:bookmarkEnd w:id="145"/>
            <w:bookmarkEnd w:id="146"/>
            <w:bookmarkEnd w:id="147"/>
            <w:bookmarkEnd w:id="148"/>
            <w:bookmarkEnd w:id="149"/>
            <w:bookmarkEnd w:id="150"/>
            <w:bookmarkEnd w:id="151"/>
          </w:p>
        </w:tc>
        <w:tc>
          <w:tcPr>
            <w:tcW w:w="503" w:type="pct"/>
            <w:tcBorders>
              <w:right w:val="single" w:color="auto" w:sz="4" w:space="0"/>
            </w:tcBorders>
            <w:vAlign w:val="center"/>
          </w:tcPr>
          <w:p w14:paraId="4032758E">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3B465A28">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503" w:type="pct"/>
            <w:vAlign w:val="center"/>
          </w:tcPr>
          <w:p w14:paraId="32059BB5">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820" w:type="pct"/>
            <w:vAlign w:val="center"/>
          </w:tcPr>
          <w:p w14:paraId="293A8F3D">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2DB40D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7B24DAA3">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52" w:name="_Toc383699915"/>
            <w:bookmarkStart w:id="153" w:name="_Toc254970738"/>
            <w:bookmarkStart w:id="154" w:name="_Toc295404990"/>
            <w:bookmarkStart w:id="155" w:name="_Toc373333698"/>
            <w:bookmarkStart w:id="156" w:name="_Toc297193194"/>
            <w:bookmarkStart w:id="157" w:name="_Toc173211909"/>
            <w:bookmarkStart w:id="158" w:name="_Toc254970597"/>
            <w:bookmarkStart w:id="159" w:name="_Toc173066410"/>
            <w:bookmarkStart w:id="160" w:name="_Toc301781620"/>
            <w:r>
              <w:rPr>
                <w:rFonts w:hint="eastAsia" w:ascii="宋体" w:hAnsi="宋体" w:eastAsia="宋体" w:cs="仿宋_GB2312"/>
                <w:color w:val="auto"/>
                <w:kern w:val="2"/>
                <w:sz w:val="24"/>
                <w:szCs w:val="24"/>
                <w:highlight w:val="none"/>
              </w:rPr>
              <w:t>5</w:t>
            </w:r>
            <w:bookmarkEnd w:id="152"/>
            <w:bookmarkEnd w:id="153"/>
            <w:bookmarkEnd w:id="154"/>
            <w:bookmarkEnd w:id="155"/>
            <w:bookmarkEnd w:id="156"/>
            <w:bookmarkEnd w:id="157"/>
            <w:bookmarkEnd w:id="158"/>
            <w:bookmarkEnd w:id="159"/>
            <w:bookmarkEnd w:id="160"/>
          </w:p>
        </w:tc>
        <w:tc>
          <w:tcPr>
            <w:tcW w:w="503" w:type="pct"/>
            <w:tcBorders>
              <w:right w:val="single" w:color="auto" w:sz="4" w:space="0"/>
            </w:tcBorders>
            <w:vAlign w:val="center"/>
          </w:tcPr>
          <w:p w14:paraId="3727C4B0">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2AD4122C">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503" w:type="pct"/>
            <w:vAlign w:val="center"/>
          </w:tcPr>
          <w:p w14:paraId="7EA938DD">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820" w:type="pct"/>
            <w:vAlign w:val="center"/>
          </w:tcPr>
          <w:p w14:paraId="2E2F3E4B">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250FE5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vAlign w:val="center"/>
          </w:tcPr>
          <w:p w14:paraId="054E7A5D">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61" w:name="_Toc297193195"/>
            <w:bookmarkStart w:id="162" w:name="_Toc383699916"/>
            <w:bookmarkStart w:id="163" w:name="_Toc295404991"/>
            <w:bookmarkStart w:id="164" w:name="_Toc173066415"/>
            <w:bookmarkStart w:id="165" w:name="_Toc173211914"/>
            <w:bookmarkStart w:id="166" w:name="_Toc373333699"/>
            <w:bookmarkStart w:id="167" w:name="_Toc254970602"/>
            <w:bookmarkStart w:id="168" w:name="_Toc254970743"/>
            <w:bookmarkStart w:id="169" w:name="_Toc301781621"/>
            <w:r>
              <w:rPr>
                <w:rFonts w:hint="eastAsia" w:ascii="宋体" w:hAnsi="宋体" w:eastAsia="宋体" w:cs="仿宋_GB2312"/>
                <w:color w:val="auto"/>
                <w:kern w:val="2"/>
                <w:sz w:val="24"/>
                <w:szCs w:val="24"/>
                <w:highlight w:val="none"/>
              </w:rPr>
              <w:t>…</w:t>
            </w:r>
            <w:bookmarkEnd w:id="161"/>
            <w:bookmarkEnd w:id="162"/>
            <w:bookmarkEnd w:id="163"/>
            <w:bookmarkEnd w:id="164"/>
            <w:bookmarkEnd w:id="165"/>
            <w:bookmarkEnd w:id="166"/>
            <w:bookmarkEnd w:id="167"/>
            <w:bookmarkEnd w:id="168"/>
            <w:bookmarkEnd w:id="169"/>
          </w:p>
        </w:tc>
        <w:tc>
          <w:tcPr>
            <w:tcW w:w="503" w:type="pct"/>
            <w:tcBorders>
              <w:right w:val="single" w:color="auto" w:sz="4" w:space="0"/>
            </w:tcBorders>
            <w:vAlign w:val="center"/>
          </w:tcPr>
          <w:p w14:paraId="15B77981">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2BC7E58A">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503" w:type="pct"/>
            <w:vAlign w:val="center"/>
          </w:tcPr>
          <w:p w14:paraId="39ADB0B5">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820" w:type="pct"/>
            <w:tcBorders>
              <w:right w:val="single" w:color="auto" w:sz="4" w:space="0"/>
            </w:tcBorders>
            <w:vAlign w:val="center"/>
          </w:tcPr>
          <w:p w14:paraId="0A7E647E">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bl>
    <w:p w14:paraId="289C9353">
      <w:pPr>
        <w:adjustRightInd w:val="0"/>
        <w:spacing w:line="360" w:lineRule="auto"/>
        <w:contextualSpacing/>
        <w:rPr>
          <w:rFonts w:hint="eastAsia" w:ascii="宋体" w:hAnsi="宋体" w:cs="仿宋_GB2312"/>
          <w:color w:val="auto"/>
          <w:sz w:val="24"/>
          <w:highlight w:val="none"/>
        </w:rPr>
      </w:pPr>
    </w:p>
    <w:p w14:paraId="5A46C31E">
      <w:pPr>
        <w:pStyle w:val="14"/>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5D571A5A">
      <w:pPr>
        <w:pStyle w:val="14"/>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采购需求”中的技术要求逐条作出明确响应，并作出偏离说明。</w:t>
      </w:r>
    </w:p>
    <w:p w14:paraId="3BF2468C">
      <w:pPr>
        <w:pStyle w:val="14"/>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p>
    <w:p w14:paraId="15823936">
      <w:pPr>
        <w:spacing w:line="360" w:lineRule="auto"/>
        <w:ind w:right="-817" w:rightChars="-389"/>
        <w:contextualSpacing/>
        <w:rPr>
          <w:rFonts w:hint="eastAsia" w:ascii="宋体" w:hAnsi="宋体" w:cs="仿宋_GB2312"/>
          <w:color w:val="auto"/>
          <w:sz w:val="24"/>
          <w:highlight w:val="none"/>
        </w:rPr>
      </w:pPr>
    </w:p>
    <w:p w14:paraId="5F3DFAAE">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7F85ACAF">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36C4762A">
      <w:pPr>
        <w:spacing w:line="360" w:lineRule="auto"/>
        <w:ind w:right="-817" w:rightChars="-389"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4D78C726">
      <w:pPr>
        <w:snapToGrid w:val="0"/>
        <w:spacing w:before="156" w:beforeLines="50" w:after="50"/>
        <w:ind w:left="142"/>
        <w:jc w:val="left"/>
        <w:rPr>
          <w:rFonts w:hint="eastAsia" w:ascii="宋体" w:hAnsi="宋体"/>
          <w:b/>
          <w:color w:val="auto"/>
          <w:sz w:val="24"/>
          <w:highlight w:val="none"/>
        </w:rPr>
      </w:pPr>
      <w:r>
        <w:rPr>
          <w:rFonts w:ascii="宋体" w:hAnsi="宋体" w:cs="仿宋_GB2312"/>
          <w:color w:val="auto"/>
          <w:sz w:val="24"/>
          <w:highlight w:val="none"/>
        </w:rPr>
        <w:br w:type="page"/>
      </w:r>
      <w:r>
        <w:rPr>
          <w:rFonts w:hint="eastAsia" w:ascii="宋体" w:hAnsi="宋体"/>
          <w:b/>
          <w:color w:val="auto"/>
          <w:sz w:val="24"/>
          <w:highlight w:val="none"/>
        </w:rPr>
        <w:t>项目实施人员一览表格式</w:t>
      </w:r>
    </w:p>
    <w:p w14:paraId="23A88E6C">
      <w:pPr>
        <w:snapToGrid w:val="0"/>
        <w:spacing w:before="156" w:beforeLines="50" w:after="50"/>
        <w:ind w:left="142"/>
        <w:jc w:val="left"/>
        <w:rPr>
          <w:rFonts w:hint="eastAsia" w:ascii="宋体" w:hAnsi="宋体"/>
          <w:b/>
          <w:color w:val="auto"/>
          <w:sz w:val="24"/>
          <w:highlight w:val="none"/>
        </w:rPr>
      </w:pPr>
    </w:p>
    <w:p w14:paraId="24FC017F">
      <w:pPr>
        <w:spacing w:line="360" w:lineRule="auto"/>
        <w:ind w:left="142"/>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195"/>
        <w:gridCol w:w="1554"/>
        <w:gridCol w:w="2059"/>
        <w:gridCol w:w="1937"/>
      </w:tblGrid>
      <w:tr w14:paraId="098FD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E77E88C">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vAlign w:val="center"/>
          </w:tcPr>
          <w:p w14:paraId="5891DA88">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2195" w:type="dxa"/>
            <w:vAlign w:val="center"/>
          </w:tcPr>
          <w:p w14:paraId="13E41469">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554" w:type="dxa"/>
            <w:vAlign w:val="center"/>
          </w:tcPr>
          <w:p w14:paraId="5B4C512E">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2059" w:type="dxa"/>
            <w:vAlign w:val="center"/>
          </w:tcPr>
          <w:p w14:paraId="463BEC09">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5E1FBF82">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937" w:type="dxa"/>
            <w:vAlign w:val="center"/>
          </w:tcPr>
          <w:p w14:paraId="70348628">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lang w:val="en-US" w:eastAsia="zh-CN"/>
              </w:rPr>
              <w:t>备注</w:t>
            </w:r>
          </w:p>
        </w:tc>
      </w:tr>
      <w:tr w14:paraId="36C4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90FA169">
            <w:pPr>
              <w:spacing w:line="360" w:lineRule="auto"/>
              <w:contextualSpacing/>
              <w:jc w:val="center"/>
              <w:rPr>
                <w:rFonts w:hint="eastAsia" w:ascii="宋体" w:hAnsi="宋体"/>
                <w:color w:val="auto"/>
                <w:sz w:val="24"/>
                <w:szCs w:val="20"/>
                <w:highlight w:val="none"/>
              </w:rPr>
            </w:pPr>
          </w:p>
        </w:tc>
        <w:tc>
          <w:tcPr>
            <w:tcW w:w="709" w:type="dxa"/>
            <w:vAlign w:val="center"/>
          </w:tcPr>
          <w:p w14:paraId="63AA3CF6">
            <w:pPr>
              <w:spacing w:line="360" w:lineRule="auto"/>
              <w:contextualSpacing/>
              <w:jc w:val="center"/>
              <w:rPr>
                <w:rFonts w:hint="eastAsia" w:ascii="宋体" w:hAnsi="宋体"/>
                <w:color w:val="auto"/>
                <w:sz w:val="24"/>
                <w:szCs w:val="20"/>
                <w:highlight w:val="none"/>
              </w:rPr>
            </w:pPr>
          </w:p>
        </w:tc>
        <w:tc>
          <w:tcPr>
            <w:tcW w:w="2195" w:type="dxa"/>
            <w:vAlign w:val="center"/>
          </w:tcPr>
          <w:p w14:paraId="78CFC4BC">
            <w:pPr>
              <w:spacing w:line="360" w:lineRule="auto"/>
              <w:contextualSpacing/>
              <w:jc w:val="center"/>
              <w:rPr>
                <w:rFonts w:hint="eastAsia" w:ascii="宋体" w:hAnsi="宋体"/>
                <w:color w:val="auto"/>
                <w:sz w:val="24"/>
                <w:szCs w:val="20"/>
                <w:highlight w:val="none"/>
              </w:rPr>
            </w:pPr>
          </w:p>
        </w:tc>
        <w:tc>
          <w:tcPr>
            <w:tcW w:w="1554" w:type="dxa"/>
            <w:vAlign w:val="center"/>
          </w:tcPr>
          <w:p w14:paraId="444F957B">
            <w:pPr>
              <w:spacing w:line="360" w:lineRule="auto"/>
              <w:contextualSpacing/>
              <w:jc w:val="center"/>
              <w:rPr>
                <w:rFonts w:hint="eastAsia" w:ascii="宋体" w:hAnsi="宋体"/>
                <w:color w:val="auto"/>
                <w:sz w:val="24"/>
                <w:szCs w:val="20"/>
                <w:highlight w:val="none"/>
              </w:rPr>
            </w:pPr>
          </w:p>
        </w:tc>
        <w:tc>
          <w:tcPr>
            <w:tcW w:w="2059" w:type="dxa"/>
            <w:vAlign w:val="center"/>
          </w:tcPr>
          <w:p w14:paraId="10538F84">
            <w:pPr>
              <w:spacing w:line="360" w:lineRule="auto"/>
              <w:contextualSpacing/>
              <w:jc w:val="center"/>
              <w:rPr>
                <w:rFonts w:hint="eastAsia" w:ascii="宋体" w:hAnsi="宋体"/>
                <w:color w:val="auto"/>
                <w:sz w:val="24"/>
                <w:szCs w:val="20"/>
                <w:highlight w:val="none"/>
              </w:rPr>
            </w:pPr>
          </w:p>
        </w:tc>
        <w:tc>
          <w:tcPr>
            <w:tcW w:w="1937" w:type="dxa"/>
            <w:vAlign w:val="center"/>
          </w:tcPr>
          <w:p w14:paraId="5BC6B02C">
            <w:pPr>
              <w:spacing w:line="360" w:lineRule="auto"/>
              <w:contextualSpacing/>
              <w:jc w:val="center"/>
              <w:rPr>
                <w:rFonts w:hint="eastAsia" w:ascii="宋体" w:hAnsi="宋体"/>
                <w:color w:val="auto"/>
                <w:sz w:val="24"/>
                <w:szCs w:val="20"/>
                <w:highlight w:val="none"/>
              </w:rPr>
            </w:pPr>
          </w:p>
        </w:tc>
      </w:tr>
      <w:tr w14:paraId="5D1F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A7B3A7F">
            <w:pPr>
              <w:spacing w:line="360" w:lineRule="auto"/>
              <w:contextualSpacing/>
              <w:jc w:val="center"/>
              <w:rPr>
                <w:rFonts w:hint="eastAsia" w:ascii="宋体" w:hAnsi="宋体"/>
                <w:color w:val="auto"/>
                <w:sz w:val="24"/>
                <w:szCs w:val="20"/>
                <w:highlight w:val="none"/>
              </w:rPr>
            </w:pPr>
          </w:p>
        </w:tc>
        <w:tc>
          <w:tcPr>
            <w:tcW w:w="709" w:type="dxa"/>
            <w:vAlign w:val="center"/>
          </w:tcPr>
          <w:p w14:paraId="51E3F5D0">
            <w:pPr>
              <w:spacing w:line="360" w:lineRule="auto"/>
              <w:contextualSpacing/>
              <w:jc w:val="center"/>
              <w:rPr>
                <w:rFonts w:hint="eastAsia" w:ascii="宋体" w:hAnsi="宋体"/>
                <w:color w:val="auto"/>
                <w:sz w:val="24"/>
                <w:szCs w:val="20"/>
                <w:highlight w:val="none"/>
              </w:rPr>
            </w:pPr>
          </w:p>
        </w:tc>
        <w:tc>
          <w:tcPr>
            <w:tcW w:w="2195" w:type="dxa"/>
            <w:vAlign w:val="center"/>
          </w:tcPr>
          <w:p w14:paraId="75689D38">
            <w:pPr>
              <w:spacing w:line="360" w:lineRule="auto"/>
              <w:contextualSpacing/>
              <w:jc w:val="center"/>
              <w:rPr>
                <w:rFonts w:hint="eastAsia" w:ascii="宋体" w:hAnsi="宋体"/>
                <w:color w:val="auto"/>
                <w:sz w:val="24"/>
                <w:szCs w:val="20"/>
                <w:highlight w:val="none"/>
              </w:rPr>
            </w:pPr>
          </w:p>
        </w:tc>
        <w:tc>
          <w:tcPr>
            <w:tcW w:w="1554" w:type="dxa"/>
            <w:vAlign w:val="center"/>
          </w:tcPr>
          <w:p w14:paraId="6BBCF924">
            <w:pPr>
              <w:spacing w:line="360" w:lineRule="auto"/>
              <w:contextualSpacing/>
              <w:jc w:val="center"/>
              <w:rPr>
                <w:rFonts w:hint="eastAsia" w:ascii="宋体" w:hAnsi="宋体"/>
                <w:color w:val="auto"/>
                <w:sz w:val="24"/>
                <w:szCs w:val="20"/>
                <w:highlight w:val="none"/>
              </w:rPr>
            </w:pPr>
          </w:p>
        </w:tc>
        <w:tc>
          <w:tcPr>
            <w:tcW w:w="2059" w:type="dxa"/>
            <w:vAlign w:val="center"/>
          </w:tcPr>
          <w:p w14:paraId="07791212">
            <w:pPr>
              <w:spacing w:line="360" w:lineRule="auto"/>
              <w:contextualSpacing/>
              <w:jc w:val="center"/>
              <w:rPr>
                <w:rFonts w:hint="eastAsia" w:ascii="宋体" w:hAnsi="宋体"/>
                <w:color w:val="auto"/>
                <w:sz w:val="24"/>
                <w:szCs w:val="20"/>
                <w:highlight w:val="none"/>
              </w:rPr>
            </w:pPr>
          </w:p>
        </w:tc>
        <w:tc>
          <w:tcPr>
            <w:tcW w:w="1937" w:type="dxa"/>
            <w:vAlign w:val="center"/>
          </w:tcPr>
          <w:p w14:paraId="33F464BC">
            <w:pPr>
              <w:spacing w:line="360" w:lineRule="auto"/>
              <w:contextualSpacing/>
              <w:jc w:val="center"/>
              <w:rPr>
                <w:rFonts w:hint="eastAsia" w:ascii="宋体" w:hAnsi="宋体"/>
                <w:color w:val="auto"/>
                <w:sz w:val="24"/>
                <w:szCs w:val="20"/>
                <w:highlight w:val="none"/>
              </w:rPr>
            </w:pPr>
          </w:p>
        </w:tc>
      </w:tr>
      <w:tr w14:paraId="17C3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1706BF1">
            <w:pPr>
              <w:spacing w:line="360" w:lineRule="auto"/>
              <w:contextualSpacing/>
              <w:jc w:val="center"/>
              <w:rPr>
                <w:rFonts w:hint="eastAsia" w:ascii="宋体" w:hAnsi="宋体"/>
                <w:color w:val="auto"/>
                <w:sz w:val="24"/>
                <w:szCs w:val="20"/>
                <w:highlight w:val="none"/>
              </w:rPr>
            </w:pPr>
          </w:p>
        </w:tc>
        <w:tc>
          <w:tcPr>
            <w:tcW w:w="709" w:type="dxa"/>
            <w:vAlign w:val="center"/>
          </w:tcPr>
          <w:p w14:paraId="54F73E26">
            <w:pPr>
              <w:spacing w:line="360" w:lineRule="auto"/>
              <w:contextualSpacing/>
              <w:jc w:val="center"/>
              <w:rPr>
                <w:rFonts w:hint="eastAsia" w:ascii="宋体" w:hAnsi="宋体"/>
                <w:color w:val="auto"/>
                <w:sz w:val="24"/>
                <w:szCs w:val="20"/>
                <w:highlight w:val="none"/>
              </w:rPr>
            </w:pPr>
          </w:p>
        </w:tc>
        <w:tc>
          <w:tcPr>
            <w:tcW w:w="2195" w:type="dxa"/>
            <w:vAlign w:val="center"/>
          </w:tcPr>
          <w:p w14:paraId="5F26F2F9">
            <w:pPr>
              <w:spacing w:line="360" w:lineRule="auto"/>
              <w:contextualSpacing/>
              <w:jc w:val="center"/>
              <w:rPr>
                <w:rFonts w:hint="eastAsia" w:ascii="宋体" w:hAnsi="宋体"/>
                <w:color w:val="auto"/>
                <w:sz w:val="24"/>
                <w:szCs w:val="20"/>
                <w:highlight w:val="none"/>
              </w:rPr>
            </w:pPr>
          </w:p>
        </w:tc>
        <w:tc>
          <w:tcPr>
            <w:tcW w:w="1554" w:type="dxa"/>
            <w:vAlign w:val="center"/>
          </w:tcPr>
          <w:p w14:paraId="0880B2B8">
            <w:pPr>
              <w:spacing w:line="360" w:lineRule="auto"/>
              <w:contextualSpacing/>
              <w:jc w:val="center"/>
              <w:rPr>
                <w:rFonts w:hint="eastAsia" w:ascii="宋体" w:hAnsi="宋体"/>
                <w:color w:val="auto"/>
                <w:sz w:val="24"/>
                <w:szCs w:val="20"/>
                <w:highlight w:val="none"/>
              </w:rPr>
            </w:pPr>
          </w:p>
        </w:tc>
        <w:tc>
          <w:tcPr>
            <w:tcW w:w="2059" w:type="dxa"/>
            <w:vAlign w:val="center"/>
          </w:tcPr>
          <w:p w14:paraId="798B2699">
            <w:pPr>
              <w:spacing w:line="360" w:lineRule="auto"/>
              <w:contextualSpacing/>
              <w:jc w:val="center"/>
              <w:rPr>
                <w:rFonts w:hint="eastAsia" w:ascii="宋体" w:hAnsi="宋体"/>
                <w:color w:val="auto"/>
                <w:sz w:val="24"/>
                <w:szCs w:val="20"/>
                <w:highlight w:val="none"/>
              </w:rPr>
            </w:pPr>
          </w:p>
        </w:tc>
        <w:tc>
          <w:tcPr>
            <w:tcW w:w="1937" w:type="dxa"/>
            <w:vAlign w:val="center"/>
          </w:tcPr>
          <w:p w14:paraId="0D8E9028">
            <w:pPr>
              <w:spacing w:line="360" w:lineRule="auto"/>
              <w:contextualSpacing/>
              <w:jc w:val="center"/>
              <w:rPr>
                <w:rFonts w:hint="eastAsia" w:ascii="宋体" w:hAnsi="宋体"/>
                <w:color w:val="auto"/>
                <w:sz w:val="24"/>
                <w:szCs w:val="20"/>
                <w:highlight w:val="none"/>
              </w:rPr>
            </w:pPr>
          </w:p>
        </w:tc>
      </w:tr>
    </w:tbl>
    <w:p w14:paraId="0C662AFC">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5229E9CE">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在填写时，如本表格不适合供应商的实际情况，可根据本表格式自行制表填写。</w:t>
      </w:r>
    </w:p>
    <w:p w14:paraId="402A4595">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供应商应当附本表所列证书的复印件并加盖供应商电子签章。</w:t>
      </w:r>
    </w:p>
    <w:p w14:paraId="50501BFB">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6AF0D048">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供应商（电子签章）：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5FE3C9DE">
      <w:pPr>
        <w:snapToGrid w:val="0"/>
        <w:spacing w:before="50" w:after="156" w:afterLines="50"/>
        <w:jc w:val="left"/>
        <w:rPr>
          <w:rFonts w:hint="eastAsia" w:ascii="宋体" w:hAnsi="宋体"/>
          <w:color w:val="auto"/>
          <w:sz w:val="24"/>
          <w:szCs w:val="20"/>
          <w:highlight w:val="none"/>
        </w:rPr>
      </w:pPr>
    </w:p>
    <w:p w14:paraId="4B165299">
      <w:pPr>
        <w:snapToGrid w:val="0"/>
        <w:spacing w:before="50" w:after="50" w:line="360" w:lineRule="auto"/>
        <w:ind w:right="-817" w:rightChars="-389" w:firstLine="5461" w:firstLineChars="1700"/>
        <w:rPr>
          <w:rFonts w:hint="eastAsia" w:ascii="仿宋_GB2312" w:hAnsi="仿宋_GB2312" w:eastAsia="仿宋_GB2312" w:cs="仿宋_GB2312"/>
          <w:b/>
          <w:color w:val="auto"/>
          <w:sz w:val="32"/>
          <w:szCs w:val="32"/>
          <w:highlight w:val="none"/>
        </w:rPr>
      </w:pPr>
    </w:p>
    <w:p w14:paraId="5ADC0A85">
      <w:pPr>
        <w:spacing w:line="300" w:lineRule="auto"/>
        <w:rPr>
          <w:rFonts w:hint="eastAsia" w:ascii="宋体" w:hAnsi="宋体"/>
          <w:b/>
          <w:bCs/>
          <w:color w:val="auto"/>
          <w:sz w:val="24"/>
          <w:highlight w:val="none"/>
        </w:rPr>
      </w:pPr>
      <w:r>
        <w:rPr>
          <w:rFonts w:ascii="宋体" w:hAnsi="宋体"/>
          <w:b/>
          <w:bCs/>
          <w:color w:val="auto"/>
          <w:sz w:val="24"/>
          <w:highlight w:val="none"/>
        </w:rPr>
        <w:br w:type="page"/>
      </w:r>
      <w:r>
        <w:rPr>
          <w:rFonts w:hint="eastAsia" w:ascii="宋体" w:hAnsi="宋体"/>
          <w:b/>
          <w:bCs/>
          <w:color w:val="auto"/>
          <w:sz w:val="24"/>
          <w:highlight w:val="none"/>
        </w:rPr>
        <w:t>其他文书、文件格式</w:t>
      </w:r>
    </w:p>
    <w:p w14:paraId="315CBEDD">
      <w:pPr>
        <w:spacing w:line="300" w:lineRule="auto"/>
        <w:rPr>
          <w:rFonts w:hint="eastAsia" w:ascii="宋体" w:hAnsi="宋体"/>
          <w:color w:val="auto"/>
          <w:szCs w:val="21"/>
          <w:highlight w:val="none"/>
        </w:rPr>
      </w:pPr>
    </w:p>
    <w:p w14:paraId="16E9DBBA">
      <w:pPr>
        <w:jc w:val="center"/>
        <w:rPr>
          <w:rFonts w:hint="eastAsia" w:ascii="方正小标宋简体" w:hAnsi="方正小标宋简体" w:eastAsia="方正小标宋简体" w:cs="方正小标宋简体"/>
          <w:color w:val="auto"/>
          <w:sz w:val="44"/>
          <w:szCs w:val="44"/>
          <w:highlight w:val="none"/>
        </w:rPr>
      </w:pPr>
      <w:bookmarkStart w:id="170" w:name="_Toc71365926"/>
      <w:r>
        <w:rPr>
          <w:rFonts w:hint="eastAsia" w:ascii="方正小标宋简体" w:hAnsi="方正小标宋简体" w:eastAsia="方正小标宋简体" w:cs="方正小标宋简体"/>
          <w:color w:val="auto"/>
          <w:sz w:val="44"/>
          <w:szCs w:val="44"/>
          <w:highlight w:val="none"/>
        </w:rPr>
        <w:t>中小企业声明函（服务）</w:t>
      </w:r>
      <w:bookmarkEnd w:id="170"/>
    </w:p>
    <w:p w14:paraId="2093EE32">
      <w:pPr>
        <w:spacing w:before="2" w:line="500" w:lineRule="exact"/>
        <w:ind w:firstLine="708" w:firstLineChars="294"/>
        <w:rPr>
          <w:rFonts w:ascii="宋体" w:hAnsi="宋体" w:cs="宋体"/>
          <w:b/>
          <w:bCs/>
          <w:color w:val="auto"/>
          <w:sz w:val="24"/>
          <w:highlight w:val="none"/>
        </w:rPr>
      </w:pPr>
    </w:p>
    <w:p w14:paraId="6D7EAA9E">
      <w:pPr>
        <w:pStyle w:val="13"/>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w:t>
      </w:r>
      <w:r>
        <w:rPr>
          <w:rFonts w:hint="eastAsia" w:ascii="宋体" w:hAnsi="宋体"/>
          <w:color w:val="auto"/>
          <w:sz w:val="24"/>
          <w:highlight w:val="none"/>
          <w:u w:val="single"/>
          <w:lang w:eastAsia="zh-CN"/>
        </w:rPr>
        <w:t>玉林市现状耕地和潜力耕地地块实际利用情况调查摸底工作底图制作以及市级复核与数据库成果汇总等工作项目（重）</w:t>
      </w:r>
      <w:r>
        <w:rPr>
          <w:rFonts w:ascii="宋体" w:hAnsi="宋体"/>
          <w:color w:val="auto"/>
          <w:sz w:val="24"/>
          <w:highlight w:val="none"/>
          <w:u w:val="single"/>
        </w:rPr>
        <w:t>）</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7070F5C5">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6AC69B80">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7B4B0F98">
      <w:pPr>
        <w:pStyle w:val="13"/>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0B7387A0">
      <w:pPr>
        <w:pStyle w:val="13"/>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29E6E0CD">
      <w:pPr>
        <w:pStyle w:val="13"/>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11F6A94D">
      <w:pPr>
        <w:pStyle w:val="13"/>
        <w:spacing w:before="56" w:line="500" w:lineRule="exact"/>
        <w:ind w:right="1808" w:firstLine="705" w:firstLineChars="294"/>
        <w:rPr>
          <w:rFonts w:hint="eastAsia" w:ascii="宋体" w:hAnsi="宋体"/>
          <w:color w:val="auto"/>
          <w:sz w:val="24"/>
          <w:highlight w:val="none"/>
        </w:rPr>
      </w:pPr>
    </w:p>
    <w:p w14:paraId="7CAFB669">
      <w:pPr>
        <w:pStyle w:val="13"/>
        <w:spacing w:before="56" w:line="500" w:lineRule="exact"/>
        <w:ind w:right="650" w:firstLine="5625" w:firstLineChars="2344"/>
        <w:rPr>
          <w:rFonts w:ascii="宋体" w:hAnsi="宋体"/>
          <w:color w:val="auto"/>
          <w:sz w:val="24"/>
          <w:highlight w:val="none"/>
        </w:rPr>
      </w:pPr>
      <w:r>
        <w:rPr>
          <w:rFonts w:ascii="宋体" w:hAnsi="宋体"/>
          <w:color w:val="auto"/>
          <w:sz w:val="24"/>
          <w:highlight w:val="none"/>
        </w:rPr>
        <w:t xml:space="preserve">企业名称（章）： </w:t>
      </w:r>
    </w:p>
    <w:p w14:paraId="2719328C">
      <w:pPr>
        <w:pStyle w:val="13"/>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14:paraId="03D89777">
      <w:pPr>
        <w:spacing w:line="52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403786A">
      <w:pPr>
        <w:spacing w:line="528" w:lineRule="exact"/>
        <w:ind w:left="1871" w:firstLine="720" w:firstLineChars="300"/>
        <w:rPr>
          <w:rFonts w:hint="eastAsia" w:ascii="Arial Unicode MS" w:hAnsi="Arial Unicode MS" w:eastAsia="Arial Unicode MS" w:cs="Arial Unicode MS"/>
          <w:color w:val="auto"/>
          <w:sz w:val="40"/>
          <w:szCs w:val="40"/>
          <w:highlight w:val="none"/>
        </w:rPr>
      </w:pPr>
      <w:r>
        <w:rPr>
          <w:rFonts w:ascii="宋体" w:hAnsi="宋体"/>
          <w:color w:val="auto"/>
          <w:sz w:val="24"/>
          <w:highlight w:val="none"/>
        </w:rPr>
        <w:br w:type="page"/>
      </w:r>
      <w:r>
        <w:rPr>
          <w:rFonts w:hint="eastAsia" w:ascii="Arial Unicode MS" w:hAnsi="Arial Unicode MS" w:eastAsia="Arial Unicode MS" w:cs="Arial Unicode MS"/>
          <w:color w:val="auto"/>
          <w:sz w:val="40"/>
          <w:szCs w:val="40"/>
          <w:highlight w:val="none"/>
        </w:rPr>
        <w:t>中小微企业划型标准</w:t>
      </w:r>
    </w:p>
    <w:tbl>
      <w:tblPr>
        <w:tblStyle w:val="28"/>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563E9F44">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6F2FDBEC">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3DF2E388">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5BCFF44">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0CFD08A8">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32D908C">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58CC76CF">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486688B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B39A9E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0F8A948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622905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F1DFF8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16B23F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505F89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3A7F14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A21EAB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346A794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22D9CF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FF628C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17ABC49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4355EF2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81D09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B0D9828">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7C2B43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BAEE2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DCC975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30834CC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738217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5F5259A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4BD2FF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299660D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7173E0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9FA21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09A2E28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0B58E89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92E85F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EFE081C">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E676D2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56BF73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3D9CA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108167F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78563E5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3AD84D6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D06C82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7A8929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5A8C04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332A3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263153E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14F096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3C7585A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182126">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6A5219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9FB145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9B0C3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07BF2A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59E1E0C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6804347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A6C5F2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6782AAD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C779F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B8AE9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23FFA6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18EDF0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A60D9A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C9A14ED">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8974C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E1CBAD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4BDB7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7FB516E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1ADDCA4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16DFBB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2B10AB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5CA869B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E7F26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77101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3DD73A2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07737F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95C344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D5D5C0B">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A2886B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D9D55E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920E8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75D478C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1B18F33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7AFE568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067A06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041FE6D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1D7A9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2F2C15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5B6362F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7FDEAE6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BA80CC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E07AAEB">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6D1F9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C70E48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F99ED4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33B4F0D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138D94B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9E516F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1BA4FF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511AA9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C09317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F4AA96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683AC24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03429E2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2B230B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EB5FB58">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42C29C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CC28F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AE6E5B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68036EE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311F5D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733096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FC3169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0DA22C2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ADA32D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003627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0B3649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D6DF8D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A751E0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19A3987">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0CB48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23C882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59E609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7F1FBAD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4E7D1C1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8625D0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2B9003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78CD5A5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D1F3C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9E63F1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037E645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3260D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58B3CD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6C8A0E3">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01CDDB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272989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23D3F1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532DF9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F6DC6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781112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84D1E5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441521D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5D79E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F009DB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0A56591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1BFFF1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1F80DD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7C39C00">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B9D8A9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5C3969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7CC2FB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7FC3D34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7B33CF9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B17000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CDFBA4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196789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28ECA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E44EA5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0C3570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6F9CF7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F59D40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E78C73A">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7C1A95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1DD6B5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FE2779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238ADF0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1AAF1D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5FCBF5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9A6163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2EE05E6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3B3D30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831DFC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2D6779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6FD4FFD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5D480D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F95CB96">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1B063A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DB90F9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A2B4E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69D83C3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54D4801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0C06183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25B33C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70E0C7D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C8FA6A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E738DD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3CE4D1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46A3C1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2E3DA38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E5257F4">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361B4E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9BD6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8A99C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75175DA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5A4BC8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5C6CCC1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792CB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0BCC3EF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C73B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8631DF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644580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6B24B5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F719FE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BC4D074">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CDDA1A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5881538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3FBE7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0878374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23F6058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5C31137">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750B92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06AB3FC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A25A5C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994B0D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30B70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F49113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257F20BC">
      <w:pPr>
        <w:spacing w:line="560" w:lineRule="exact"/>
        <w:ind w:firstLine="525" w:firstLineChars="250"/>
        <w:rPr>
          <w:rFonts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8F57FDC">
      <w:pPr>
        <w:pStyle w:val="17"/>
        <w:jc w:val="center"/>
        <w:outlineLvl w:val="9"/>
        <w:rPr>
          <w:rFonts w:hAnsi="宋体"/>
          <w:color w:val="auto"/>
          <w:highlight w:val="none"/>
        </w:rPr>
        <w:sectPr>
          <w:pgSz w:w="11906" w:h="16838"/>
          <w:pgMar w:top="1134" w:right="1134" w:bottom="1134" w:left="1134" w:header="720" w:footer="720" w:gutter="0"/>
          <w:cols w:space="720" w:num="1"/>
          <w:docGrid w:type="lines" w:linePitch="331" w:charSpace="0"/>
        </w:sectPr>
      </w:pPr>
    </w:p>
    <w:p w14:paraId="639D11F0">
      <w:pPr>
        <w:rPr>
          <w:rFonts w:ascii="宋体" w:hAnsi="宋体"/>
          <w:color w:val="auto"/>
          <w:sz w:val="24"/>
          <w:highlight w:val="none"/>
        </w:rPr>
      </w:pPr>
    </w:p>
    <w:p w14:paraId="71090CE7">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残疾人福利性单位声明函</w:t>
      </w:r>
    </w:p>
    <w:p w14:paraId="740D58DF">
      <w:pPr>
        <w:spacing w:line="360" w:lineRule="auto"/>
        <w:contextualSpacing/>
        <w:rPr>
          <w:rFonts w:hint="eastAsia" w:ascii="仿宋_GB2312" w:hAnsi="仿宋_GB2312" w:eastAsia="仿宋_GB2312" w:cs="仿宋_GB2312"/>
          <w:color w:val="auto"/>
          <w:sz w:val="32"/>
          <w:szCs w:val="32"/>
          <w:highlight w:val="none"/>
        </w:rPr>
      </w:pPr>
    </w:p>
    <w:p w14:paraId="206F5FD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4501B19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49E88667">
      <w:pPr>
        <w:spacing w:line="360" w:lineRule="auto"/>
        <w:contextualSpacing/>
        <w:rPr>
          <w:rFonts w:hint="eastAsia" w:ascii="宋体" w:hAnsi="宋体" w:cs="仿宋_GB2312"/>
          <w:color w:val="auto"/>
          <w:sz w:val="24"/>
          <w:highlight w:val="none"/>
        </w:rPr>
      </w:pPr>
    </w:p>
    <w:p w14:paraId="2680D8B6">
      <w:pPr>
        <w:spacing w:line="360" w:lineRule="auto"/>
        <w:contextualSpacing/>
        <w:rPr>
          <w:rFonts w:hint="eastAsia" w:ascii="宋体" w:hAnsi="宋体" w:cs="仿宋_GB2312"/>
          <w:color w:val="auto"/>
          <w:sz w:val="24"/>
          <w:highlight w:val="none"/>
        </w:rPr>
      </w:pPr>
    </w:p>
    <w:p w14:paraId="0769580A">
      <w:pPr>
        <w:spacing w:line="360" w:lineRule="auto"/>
        <w:contextualSpacing/>
        <w:rPr>
          <w:rFonts w:hint="eastAsia" w:ascii="宋体" w:hAnsi="宋体" w:cs="仿宋_GB2312"/>
          <w:color w:val="auto"/>
          <w:sz w:val="24"/>
          <w:highlight w:val="none"/>
        </w:rPr>
      </w:pPr>
    </w:p>
    <w:p w14:paraId="32ACBA5B">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单位名称（盖章）：</w:t>
      </w:r>
    </w:p>
    <w:p w14:paraId="20221EC2">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6AA970C8">
      <w:pPr>
        <w:spacing w:line="360" w:lineRule="auto"/>
        <w:contextualSpacing/>
        <w:rPr>
          <w:rFonts w:hint="eastAsia" w:ascii="宋体" w:hAnsi="宋体" w:cs="仿宋_GB2312"/>
          <w:color w:val="auto"/>
          <w:sz w:val="24"/>
          <w:highlight w:val="none"/>
        </w:rPr>
      </w:pPr>
    </w:p>
    <w:p w14:paraId="022D78BE">
      <w:pPr>
        <w:spacing w:line="360" w:lineRule="auto"/>
        <w:contextualSpacing/>
        <w:rPr>
          <w:rFonts w:hint="eastAsia" w:ascii="宋体" w:hAnsi="宋体" w:cs="仿宋_GB2312"/>
          <w:color w:val="auto"/>
          <w:sz w:val="24"/>
          <w:highlight w:val="none"/>
        </w:rPr>
      </w:pPr>
    </w:p>
    <w:p w14:paraId="67D5B8CA">
      <w:pPr>
        <w:spacing w:line="360" w:lineRule="auto"/>
        <w:contextualSpacing/>
        <w:rPr>
          <w:rFonts w:hint="eastAsia" w:ascii="宋体" w:hAnsi="宋体" w:cs="仿宋_GB2312"/>
          <w:color w:val="auto"/>
          <w:sz w:val="24"/>
          <w:highlight w:val="none"/>
        </w:rPr>
      </w:pPr>
    </w:p>
    <w:p w14:paraId="4E03E765">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0FDAA3BD">
      <w:pPr>
        <w:spacing w:line="360" w:lineRule="auto"/>
        <w:jc w:val="center"/>
        <w:rPr>
          <w:rFonts w:ascii="宋体" w:hAnsi="宋体" w:cs="仿宋_GB2312"/>
          <w:color w:val="auto"/>
          <w:sz w:val="24"/>
          <w:highlight w:val="none"/>
        </w:rPr>
      </w:pPr>
      <w:r>
        <w:rPr>
          <w:rFonts w:ascii="宋体" w:hAnsi="宋体" w:cs="仿宋_GB2312"/>
          <w:color w:val="auto"/>
          <w:sz w:val="24"/>
          <w:highlight w:val="none"/>
        </w:rPr>
        <w:br w:type="page"/>
      </w:r>
    </w:p>
    <w:p w14:paraId="0C7B009A">
      <w:pPr>
        <w:spacing w:line="360" w:lineRule="auto"/>
        <w:jc w:val="center"/>
        <w:rPr>
          <w:rFonts w:hint="eastAsia"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7B6101AC">
      <w:pPr>
        <w:pStyle w:val="17"/>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56B4A60C">
      <w:pPr>
        <w:pStyle w:val="17"/>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A19B445">
      <w:pPr>
        <w:pStyle w:val="17"/>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D63EE60">
      <w:pPr>
        <w:pStyle w:val="17"/>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8EACC87">
      <w:pPr>
        <w:pStyle w:val="17"/>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3888ABED">
      <w:pPr>
        <w:pStyle w:val="17"/>
        <w:spacing w:line="36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0E7AB71">
      <w:pPr>
        <w:pStyle w:val="17"/>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336A1A6">
      <w:pPr>
        <w:pStyle w:val="17"/>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06CF7272">
      <w:pPr>
        <w:pStyle w:val="17"/>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4ED36DCA">
      <w:pPr>
        <w:pStyle w:val="17"/>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656D8855">
      <w:pPr>
        <w:pStyle w:val="1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0A4A033F">
      <w:pPr>
        <w:pStyle w:val="1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643B9C7F">
      <w:pPr>
        <w:pStyle w:val="17"/>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6073AFD7">
      <w:pPr>
        <w:pStyle w:val="17"/>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74991B0D">
      <w:pPr>
        <w:pStyle w:val="17"/>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3E4F13CE">
      <w:pPr>
        <w:pStyle w:val="17"/>
        <w:spacing w:line="360" w:lineRule="auto"/>
        <w:ind w:left="25" w:leftChars="12" w:firstLine="472"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162468E2">
      <w:pPr>
        <w:pStyle w:val="1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2CA63508">
      <w:pPr>
        <w:pStyle w:val="1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59B86DE2">
      <w:pPr>
        <w:pStyle w:val="1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645F996F">
      <w:pPr>
        <w:pStyle w:val="1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4CC1A278">
      <w:pPr>
        <w:pStyle w:val="17"/>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0BA92387">
      <w:pPr>
        <w:pStyle w:val="1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48482166">
      <w:pPr>
        <w:pStyle w:val="1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3F9EE094">
      <w:pPr>
        <w:pStyle w:val="17"/>
        <w:spacing w:line="360" w:lineRule="auto"/>
        <w:ind w:left="25" w:leftChars="12" w:firstLine="352" w:firstLineChars="147"/>
        <w:contextualSpacing/>
        <w:rPr>
          <w:rFonts w:hint="eastAsia" w:hAnsi="宋体"/>
          <w:color w:val="auto"/>
          <w:sz w:val="24"/>
          <w:szCs w:val="24"/>
          <w:highlight w:val="none"/>
        </w:rPr>
      </w:pPr>
    </w:p>
    <w:p w14:paraId="1033CC2B">
      <w:pPr>
        <w:pStyle w:val="1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5F66364D">
      <w:pPr>
        <w:pStyle w:val="17"/>
        <w:spacing w:line="360" w:lineRule="auto"/>
        <w:ind w:firstLine="480" w:firstLineChars="200"/>
        <w:contextualSpacing/>
        <w:rPr>
          <w:rFonts w:hint="eastAsia" w:hAnsi="宋体"/>
          <w:b/>
          <w:color w:val="auto"/>
          <w:sz w:val="24"/>
          <w:szCs w:val="24"/>
          <w:highlight w:val="none"/>
        </w:rPr>
      </w:pPr>
      <w:r>
        <w:rPr>
          <w:rFonts w:hint="eastAsia" w:hAnsi="宋体"/>
          <w:color w:val="auto"/>
          <w:sz w:val="24"/>
          <w:szCs w:val="24"/>
          <w:highlight w:val="none"/>
        </w:rPr>
        <w:t>日期：</w:t>
      </w:r>
    </w:p>
    <w:p w14:paraId="7740704F">
      <w:pPr>
        <w:pStyle w:val="17"/>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2A1BC60F">
      <w:pPr>
        <w:pStyle w:val="17"/>
        <w:spacing w:line="36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10433322">
      <w:pPr>
        <w:pStyle w:val="17"/>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BF895E9">
      <w:pPr>
        <w:pStyle w:val="17"/>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0FDAC57A">
      <w:pPr>
        <w:pStyle w:val="17"/>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795A20D7">
      <w:pPr>
        <w:pStyle w:val="17"/>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1168D046">
      <w:pPr>
        <w:pStyle w:val="17"/>
        <w:snapToGrid w:val="0"/>
        <w:rPr>
          <w:rFonts w:hint="eastAsia"/>
          <w:b/>
          <w:color w:val="auto"/>
          <w:sz w:val="24"/>
          <w:szCs w:val="24"/>
          <w:highlight w:val="none"/>
        </w:rPr>
      </w:pPr>
    </w:p>
    <w:p w14:paraId="1585E1BB">
      <w:pPr>
        <w:rPr>
          <w:rFonts w:hint="eastAsia"/>
          <w:color w:val="auto"/>
          <w:sz w:val="32"/>
          <w:szCs w:val="40"/>
          <w:highlight w:val="none"/>
        </w:rPr>
      </w:pPr>
    </w:p>
    <w:p w14:paraId="5D20A9B1">
      <w:pPr>
        <w:rPr>
          <w:rFonts w:hint="eastAsia"/>
          <w:color w:val="auto"/>
          <w:sz w:val="32"/>
          <w:szCs w:val="40"/>
          <w:highlight w:val="none"/>
        </w:rPr>
      </w:pPr>
    </w:p>
    <w:p w14:paraId="30BB56F2">
      <w:pPr>
        <w:rPr>
          <w:rFonts w:hint="eastAsia"/>
          <w:color w:val="auto"/>
          <w:sz w:val="32"/>
          <w:szCs w:val="40"/>
          <w:highlight w:val="none"/>
        </w:rPr>
      </w:pPr>
    </w:p>
    <w:p w14:paraId="0CBED623">
      <w:pPr>
        <w:rPr>
          <w:rFonts w:hint="eastAsia"/>
          <w:color w:val="auto"/>
          <w:sz w:val="32"/>
          <w:szCs w:val="40"/>
          <w:highlight w:val="none"/>
        </w:rPr>
      </w:pPr>
    </w:p>
    <w:p w14:paraId="1981401D">
      <w:pPr>
        <w:rPr>
          <w:rFonts w:hint="eastAsia"/>
          <w:color w:val="auto"/>
          <w:sz w:val="32"/>
          <w:szCs w:val="40"/>
          <w:highlight w:val="none"/>
        </w:rPr>
      </w:pPr>
    </w:p>
    <w:p w14:paraId="1A6A79C0">
      <w:pPr>
        <w:rPr>
          <w:rFonts w:hint="eastAsia"/>
          <w:color w:val="auto"/>
          <w:sz w:val="32"/>
          <w:szCs w:val="40"/>
          <w:highlight w:val="none"/>
        </w:rPr>
      </w:pPr>
    </w:p>
    <w:p w14:paraId="440AF5CA">
      <w:pPr>
        <w:rPr>
          <w:rFonts w:hint="eastAsia"/>
          <w:color w:val="auto"/>
          <w:sz w:val="32"/>
          <w:szCs w:val="40"/>
          <w:highlight w:val="none"/>
        </w:rPr>
      </w:pPr>
    </w:p>
    <w:p w14:paraId="4702BF77">
      <w:pPr>
        <w:rPr>
          <w:rFonts w:hint="eastAsia"/>
          <w:color w:val="auto"/>
          <w:sz w:val="32"/>
          <w:szCs w:val="40"/>
          <w:highlight w:val="none"/>
        </w:rPr>
      </w:pPr>
    </w:p>
    <w:p w14:paraId="6771AF7C">
      <w:pPr>
        <w:rPr>
          <w:rFonts w:hint="eastAsia"/>
          <w:color w:val="auto"/>
          <w:sz w:val="32"/>
          <w:szCs w:val="40"/>
          <w:highlight w:val="none"/>
        </w:rPr>
      </w:pPr>
    </w:p>
    <w:p w14:paraId="1387486C">
      <w:pPr>
        <w:rPr>
          <w:rFonts w:hint="eastAsia"/>
          <w:color w:val="auto"/>
          <w:sz w:val="32"/>
          <w:szCs w:val="40"/>
          <w:highlight w:val="none"/>
        </w:rPr>
      </w:pPr>
    </w:p>
    <w:p w14:paraId="40C2AD07">
      <w:pPr>
        <w:rPr>
          <w:rFonts w:hint="eastAsia"/>
          <w:color w:val="auto"/>
          <w:sz w:val="32"/>
          <w:szCs w:val="40"/>
          <w:highlight w:val="none"/>
        </w:rPr>
      </w:pPr>
    </w:p>
    <w:p w14:paraId="75F7EB32">
      <w:pPr>
        <w:rPr>
          <w:rFonts w:hint="eastAsia"/>
          <w:color w:val="auto"/>
          <w:sz w:val="32"/>
          <w:szCs w:val="40"/>
          <w:highlight w:val="none"/>
        </w:rPr>
      </w:pPr>
    </w:p>
    <w:p w14:paraId="25D71739">
      <w:pPr>
        <w:rPr>
          <w:rFonts w:hint="eastAsia"/>
          <w:color w:val="auto"/>
          <w:sz w:val="32"/>
          <w:szCs w:val="40"/>
          <w:highlight w:val="none"/>
        </w:rPr>
      </w:pPr>
    </w:p>
    <w:p w14:paraId="0684611F">
      <w:pPr>
        <w:rPr>
          <w:rFonts w:hint="eastAsia"/>
          <w:color w:val="auto"/>
          <w:sz w:val="32"/>
          <w:szCs w:val="40"/>
          <w:highlight w:val="none"/>
        </w:rPr>
      </w:pPr>
    </w:p>
    <w:p w14:paraId="0A271FB6">
      <w:pPr>
        <w:spacing w:line="360" w:lineRule="auto"/>
        <w:jc w:val="center"/>
        <w:rPr>
          <w:rFonts w:hint="eastAsia" w:ascii="方正小标宋简体" w:hAnsi="方正小标宋简体" w:eastAsia="方正小标宋简体" w:cs="方正小标宋简体"/>
          <w:color w:val="auto"/>
          <w:sz w:val="44"/>
          <w:szCs w:val="44"/>
          <w:highlight w:val="none"/>
        </w:rPr>
      </w:pPr>
    </w:p>
    <w:p w14:paraId="61A8926A">
      <w:pP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p>
    <w:p w14:paraId="4BACF051">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6238238A">
      <w:pPr>
        <w:pStyle w:val="17"/>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082F8ECB">
      <w:pPr>
        <w:pStyle w:val="17"/>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5200BEE">
      <w:pPr>
        <w:pStyle w:val="17"/>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FFE5E69">
      <w:pPr>
        <w:pStyle w:val="17"/>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4150A420">
      <w:pPr>
        <w:pStyle w:val="17"/>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24285A9">
      <w:pPr>
        <w:pStyle w:val="17"/>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3437C91">
      <w:pPr>
        <w:pStyle w:val="17"/>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2BA0B8B">
      <w:pPr>
        <w:pStyle w:val="17"/>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13DC0A0">
      <w:pPr>
        <w:pStyle w:val="17"/>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77D2FB8C">
      <w:pPr>
        <w:pStyle w:val="17"/>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7E3EB1A5">
      <w:pPr>
        <w:pStyle w:val="17"/>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F115490">
      <w:pPr>
        <w:pStyle w:val="17"/>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7F4ED01F">
      <w:pPr>
        <w:pStyle w:val="17"/>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07BC95D7">
      <w:pPr>
        <w:pStyle w:val="17"/>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0D84F1E1">
      <w:pPr>
        <w:pStyle w:val="17"/>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0EEEBE72">
      <w:pPr>
        <w:pStyle w:val="17"/>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A608607">
      <w:pPr>
        <w:pStyle w:val="17"/>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1618FB5">
      <w:pPr>
        <w:pStyle w:val="17"/>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63700D9D">
      <w:pPr>
        <w:pStyle w:val="17"/>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7F915882">
      <w:pPr>
        <w:pStyle w:val="17"/>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097E2A27">
      <w:pPr>
        <w:pStyle w:val="17"/>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07A6EAEA">
      <w:pPr>
        <w:pStyle w:val="17"/>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0298B5C2">
      <w:pPr>
        <w:pStyle w:val="17"/>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4A3CB70">
      <w:pPr>
        <w:pStyle w:val="17"/>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52279FD8">
      <w:pPr>
        <w:pStyle w:val="17"/>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0575ED62">
      <w:pPr>
        <w:pStyle w:val="17"/>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47427BC6">
      <w:pPr>
        <w:pStyle w:val="17"/>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59E8AB21">
      <w:pPr>
        <w:pStyle w:val="17"/>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05D00AEE">
      <w:pPr>
        <w:pStyle w:val="17"/>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6E113D1E">
      <w:pPr>
        <w:pStyle w:val="17"/>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577E07A3">
      <w:pPr>
        <w:pStyle w:val="17"/>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0C5EF9EF">
      <w:pPr>
        <w:pStyle w:val="17"/>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70B18E3">
      <w:pPr>
        <w:pStyle w:val="17"/>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4492917C">
      <w:pPr>
        <w:pStyle w:val="17"/>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74424A7">
      <w:pPr>
        <w:pStyle w:val="17"/>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195D0255">
      <w:pPr>
        <w:pStyle w:val="17"/>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5BF682B7">
      <w:pPr>
        <w:pStyle w:val="17"/>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5B907C59">
      <w:pPr>
        <w:pStyle w:val="17"/>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0C69A438">
      <w:pPr>
        <w:pStyle w:val="1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25226FC7">
      <w:pPr>
        <w:pStyle w:val="17"/>
        <w:spacing w:line="360" w:lineRule="auto"/>
        <w:ind w:left="25" w:leftChars="12" w:firstLine="352" w:firstLineChars="147"/>
        <w:rPr>
          <w:rFonts w:hint="eastAsia" w:hAnsi="宋体"/>
          <w:color w:val="auto"/>
          <w:sz w:val="24"/>
          <w:szCs w:val="24"/>
          <w:highlight w:val="none"/>
        </w:rPr>
      </w:pPr>
    </w:p>
    <w:p w14:paraId="25F02010">
      <w:pPr>
        <w:pStyle w:val="1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2CB3A770">
      <w:pPr>
        <w:pStyle w:val="17"/>
        <w:spacing w:line="360" w:lineRule="auto"/>
        <w:ind w:left="25" w:leftChars="12" w:firstLine="352" w:firstLineChars="147"/>
        <w:rPr>
          <w:rFonts w:hint="eastAsia" w:hAnsi="宋体"/>
          <w:color w:val="auto"/>
          <w:sz w:val="24"/>
          <w:szCs w:val="24"/>
          <w:highlight w:val="none"/>
        </w:rPr>
      </w:pPr>
    </w:p>
    <w:p w14:paraId="1C17081F">
      <w:pPr>
        <w:pStyle w:val="1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057846D4">
      <w:pPr>
        <w:pStyle w:val="17"/>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 xml:space="preserve">                                                                                 </w:t>
      </w:r>
    </w:p>
    <w:p w14:paraId="7A80A033">
      <w:pPr>
        <w:pStyle w:val="17"/>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74EB9D78">
      <w:pPr>
        <w:pStyle w:val="17"/>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0C924F39">
      <w:pPr>
        <w:pStyle w:val="17"/>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BF8B602">
      <w:pPr>
        <w:pStyle w:val="17"/>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38AC0D87">
      <w:pPr>
        <w:pStyle w:val="17"/>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38CBB22D">
      <w:pPr>
        <w:pStyle w:val="17"/>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1D44E47A">
      <w:pPr>
        <w:pStyle w:val="17"/>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6BC6C8C3">
      <w:pPr>
        <w:pStyle w:val="2"/>
        <w:jc w:val="center"/>
        <w:rPr>
          <w:rFonts w:hint="eastAsia"/>
          <w:color w:val="auto"/>
          <w:highlight w:val="none"/>
        </w:rPr>
      </w:pPr>
      <w:bookmarkStart w:id="171" w:name="_Toc74323461"/>
      <w:r>
        <w:rPr>
          <w:rFonts w:hint="eastAsia"/>
          <w:color w:val="auto"/>
          <w:highlight w:val="none"/>
        </w:rPr>
        <w:t>第六章 合同文本</w:t>
      </w:r>
      <w:bookmarkEnd w:id="171"/>
    </w:p>
    <w:p w14:paraId="3FA3847C">
      <w:pPr>
        <w:spacing w:line="520" w:lineRule="exact"/>
        <w:rPr>
          <w:rFonts w:hint="eastAsia" w:ascii="宋体" w:hAnsi="宋体" w:cs="Courier New"/>
          <w:b/>
          <w:color w:val="auto"/>
          <w:sz w:val="32"/>
          <w:szCs w:val="32"/>
          <w:highlight w:val="none"/>
        </w:rPr>
      </w:pPr>
    </w:p>
    <w:p w14:paraId="29E7576A">
      <w:pPr>
        <w:spacing w:line="360" w:lineRule="auto"/>
        <w:ind w:right="800"/>
        <w:rPr>
          <w:rFonts w:ascii="宋体" w:hAnsi="宋体" w:cs="宋体"/>
          <w:bCs/>
          <w:color w:val="auto"/>
          <w:szCs w:val="21"/>
          <w:highlight w:val="none"/>
          <w:u w:val="single"/>
        </w:rPr>
      </w:pPr>
      <w:r>
        <w:rPr>
          <w:rFonts w:hint="eastAsia" w:ascii="宋体" w:hAnsi="宋体" w:cs="宋体"/>
          <w:color w:val="auto"/>
          <w:szCs w:val="21"/>
          <w:highlight w:val="none"/>
        </w:rPr>
        <w:t>采购计划号：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bCs/>
          <w:color w:val="auto"/>
          <w:szCs w:val="21"/>
          <w:highlight w:val="none"/>
        </w:rPr>
        <w:t>合同编号：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58A48D52">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404E051">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项目编号：</w:t>
      </w:r>
      <w:r>
        <w:rPr>
          <w:rFonts w:ascii="宋体" w:hAnsi="宋体" w:cs="宋体"/>
          <w:color w:val="auto"/>
          <w:szCs w:val="21"/>
          <w:highlight w:val="none"/>
          <w:u w:val="single"/>
        </w:rPr>
        <w:t xml:space="preserve">                          </w:t>
      </w:r>
    </w:p>
    <w:p w14:paraId="18DC7656">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043BC16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32C123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w:t>
      </w:r>
      <w:r>
        <w:rPr>
          <w:rFonts w:hint="eastAsia" w:ascii="宋体" w:hAnsi="宋体"/>
          <w:color w:val="auto"/>
          <w:szCs w:val="21"/>
          <w:highlight w:val="none"/>
        </w:rPr>
        <w:t>磋商文件规定条款和乙方响应文件及其承诺，甲乙双方签订本合同。</w:t>
      </w:r>
    </w:p>
    <w:p w14:paraId="6032785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第一条　合同标的</w:t>
      </w:r>
    </w:p>
    <w:p w14:paraId="41DC8E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1、项目一览表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14B0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6EB8576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587B17E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vAlign w:val="center"/>
          </w:tcPr>
          <w:p w14:paraId="7510781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vAlign w:val="center"/>
          </w:tcPr>
          <w:p w14:paraId="49796A8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vAlign w:val="center"/>
          </w:tcPr>
          <w:p w14:paraId="1EB891B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vAlign w:val="center"/>
          </w:tcPr>
          <w:p w14:paraId="689E825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  价</w:t>
            </w:r>
          </w:p>
          <w:p w14:paraId="2F96D07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207" w:type="dxa"/>
            <w:tcBorders>
              <w:top w:val="single" w:color="auto" w:sz="4" w:space="0"/>
              <w:left w:val="single" w:color="auto" w:sz="4" w:space="0"/>
              <w:bottom w:val="single" w:color="auto" w:sz="4" w:space="0"/>
              <w:right w:val="single" w:color="auto" w:sz="4" w:space="0"/>
            </w:tcBorders>
            <w:vAlign w:val="center"/>
          </w:tcPr>
          <w:p w14:paraId="58ABB72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总 </w:t>
            </w:r>
            <w:r>
              <w:rPr>
                <w:rFonts w:ascii="宋体" w:hAnsi="宋体" w:cs="宋体"/>
                <w:color w:val="auto"/>
                <w:szCs w:val="21"/>
                <w:highlight w:val="none"/>
              </w:rPr>
              <w:t xml:space="preserve"> </w:t>
            </w:r>
            <w:r>
              <w:rPr>
                <w:rFonts w:hint="eastAsia" w:ascii="宋体" w:hAnsi="宋体" w:cs="宋体"/>
                <w:color w:val="auto"/>
                <w:szCs w:val="21"/>
                <w:highlight w:val="none"/>
              </w:rPr>
              <w:t>价</w:t>
            </w:r>
          </w:p>
          <w:p w14:paraId="15E4BB8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r>
      <w:tr w14:paraId="40A0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0D2A066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详见报价表</w:t>
            </w:r>
          </w:p>
        </w:tc>
      </w:tr>
      <w:tr w14:paraId="10AC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02AC7234">
            <w:pPr>
              <w:spacing w:line="360" w:lineRule="auto"/>
              <w:rPr>
                <w:rFonts w:ascii="宋体" w:hAnsi="宋体" w:cs="宋体"/>
                <w:color w:val="auto"/>
                <w:szCs w:val="21"/>
                <w:highlight w:val="none"/>
              </w:rPr>
            </w:pPr>
            <w:r>
              <w:rPr>
                <w:rFonts w:hint="eastAsia" w:ascii="宋体" w:hAnsi="宋体" w:cs="宋体"/>
                <w:color w:val="auto"/>
                <w:szCs w:val="21"/>
                <w:highlight w:val="none"/>
              </w:rPr>
              <w:t>人民币合计金额（大写）：</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元整（¥</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bl>
    <w:p w14:paraId="526C8B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2、合同合计金额包括但不限于满足全部采购需求所应提供的服务的价格；包括履行服务的费用、人工费、培训费、运输费（如有）、履约验收、保险、税费及其他一切费用等所有费用。</w:t>
      </w:r>
    </w:p>
    <w:p w14:paraId="3E4C5C1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第二条　质量保证</w:t>
      </w:r>
    </w:p>
    <w:p w14:paraId="0E2C756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7DFD2284">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第三条　权利保证</w:t>
      </w:r>
    </w:p>
    <w:p w14:paraId="1CD1FCD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1、乙方应保证所提供服务在使用时不会侵犯任何第三方的专利权、商标权、工业设计权等知识产权及其他合法权利，且所有权、处分权等没有受到任何限制。</w:t>
      </w:r>
    </w:p>
    <w:p w14:paraId="4721ADB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74AD0709">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第四条　交付和验收</w:t>
      </w:r>
    </w:p>
    <w:p w14:paraId="1334E7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1、服务期限：</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，服务地点：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4D0FCF5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2、乙方应按响应文件的承诺向甲方提供相应的服务，并提供所服务内容的相关技术资料。</w:t>
      </w:r>
    </w:p>
    <w:p w14:paraId="0D37E0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3、乙方提供不符合响应文件和本合同规定的服务成果，甲方有权拒绝接受。</w:t>
      </w:r>
    </w:p>
    <w:p w14:paraId="3A10862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63441C4E">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5、甲乙双方应按照《</w:t>
      </w:r>
      <w:r>
        <w:rPr>
          <w:rFonts w:ascii="宋体" w:hAnsi="宋体" w:cs="宋体"/>
          <w:color w:val="auto"/>
          <w:szCs w:val="21"/>
          <w:highlight w:val="none"/>
        </w:rPr>
        <w:t>广西壮族自治区政府采购项目履约验收管理办法</w:t>
      </w:r>
      <w:r>
        <w:rPr>
          <w:rFonts w:hint="eastAsia" w:ascii="宋体" w:hAnsi="宋体" w:cs="宋体"/>
          <w:color w:val="auto"/>
          <w:szCs w:val="21"/>
          <w:highlight w:val="none"/>
        </w:rPr>
        <w:t>》、双方合同、响应文件验收。</w:t>
      </w:r>
    </w:p>
    <w:p w14:paraId="62A828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6、甲方在初步验收或者最终验收过程中如发现乙方提供的服务成果不满足响应文件及本合同规定的，可暂缓向乙方付款，直到乙方及时完善并提交相应的服务成果且经甲方验收合格后，方可办理付款。</w:t>
      </w:r>
    </w:p>
    <w:p w14:paraId="63BC0B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7、甲方验收时以书面形式提出异议的，乙方应自收到甲方书面异议后五个工作日内及时予以解决，否则甲方有权不出具服务验收合格单。</w:t>
      </w:r>
    </w:p>
    <w:p w14:paraId="4EC4FF5A">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第五条  售后服务及培训</w:t>
      </w:r>
    </w:p>
    <w:p w14:paraId="7A8F29A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1、乙方应按照国家有关法律法规和本合同所附的《售后服务承诺》要求为甲方提供相应的售后服务。</w:t>
      </w:r>
    </w:p>
    <w:p w14:paraId="1C02D9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2、甲方应提供必要测试条件（如场地、电源、水源等）。</w:t>
      </w:r>
    </w:p>
    <w:p w14:paraId="02E0C4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3、乙方负责甲方有关人员的培训。培训时间、地点：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70E58FAE">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第六条　付款方式</w:t>
      </w:r>
    </w:p>
    <w:p w14:paraId="4F8B021D">
      <w:pPr>
        <w:snapToGrid w:val="0"/>
        <w:spacing w:line="360" w:lineRule="auto"/>
        <w:ind w:firstLine="420" w:firstLineChars="200"/>
        <w:rPr>
          <w:rFonts w:hint="default" w:ascii="Times New Roman" w:hAnsi="Times New Roman" w:eastAsia="宋体" w:cs="Times New Roman"/>
          <w:b w:val="0"/>
          <w:bCs/>
          <w:color w:val="auto"/>
          <w:sz w:val="21"/>
          <w:szCs w:val="21"/>
          <w:highlight w:val="none"/>
          <w:lang w:eastAsia="zh-CN"/>
        </w:rPr>
      </w:pPr>
      <w:r>
        <w:rPr>
          <w:rFonts w:hint="eastAsia" w:cs="Times New Roman"/>
          <w:b w:val="0"/>
          <w:bCs/>
          <w:color w:val="auto"/>
          <w:sz w:val="21"/>
          <w:szCs w:val="21"/>
          <w:highlight w:val="none"/>
          <w:lang w:val="zh-CN" w:eastAsia="zh-CN"/>
        </w:rPr>
        <w:t>签订合同后15个工作日内甲方以转账方式向乙方一次性支付合同总价的30%（预付款），玉林市现状耕地和潜力耕地地块实际利用情况调查摸底工作底图制作以及市级复核与数据库成果汇总等工作项目（重）完成并通过审查后20个工作日内，甲方以转账方式向乙方一次性支付合同总价的70%。</w:t>
      </w:r>
    </w:p>
    <w:p w14:paraId="296652AA">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第七条　履约保证金</w:t>
      </w:r>
    </w:p>
    <w:p w14:paraId="6027F802">
      <w:pPr>
        <w:ind w:firstLine="420" w:firstLineChars="200"/>
        <w:rPr>
          <w:rFonts w:hint="eastAsia"/>
          <w:color w:val="auto"/>
          <w:highlight w:val="none"/>
        </w:rPr>
      </w:pPr>
      <w:r>
        <w:rPr>
          <w:rFonts w:hint="eastAsia"/>
          <w:color w:val="auto"/>
          <w:highlight w:val="none"/>
        </w:rPr>
        <w:t>本项目不收取履约保证金。</w:t>
      </w:r>
    </w:p>
    <w:p w14:paraId="11157D3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第八条  税费</w:t>
      </w:r>
    </w:p>
    <w:p w14:paraId="0DA582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0D205BB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第九条　违约责任</w:t>
      </w:r>
    </w:p>
    <w:p w14:paraId="41F8AA8F">
      <w:pPr>
        <w:snapToGrid w:val="0"/>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1、除不可抗力原因外，乙方没有按照合同规定的时间提供服务的，甲方可要求乙方支付违约金。每推迟一天按合同金额的3‰支付违约金，该违约金累计不超过合同金额的10%。</w:t>
      </w:r>
      <w:r>
        <w:rPr>
          <w:rFonts w:hint="eastAsia" w:ascii="宋体" w:hAnsi="宋体" w:cs="宋体"/>
          <w:color w:val="auto"/>
          <w:szCs w:val="21"/>
          <w:highlight w:val="none"/>
        </w:rPr>
        <w:t xml:space="preserve">                                  </w:t>
      </w:r>
    </w:p>
    <w:p w14:paraId="4926973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2、乙方提供的服务如侵犯了第三方合法权益而引发的任何纠纷或者诉讼，均由乙方负责交涉并承担全部责任。</w:t>
      </w:r>
    </w:p>
    <w:p w14:paraId="1F1C8B9E">
      <w:pPr>
        <w:snapToGrid w:val="0"/>
        <w:spacing w:line="360" w:lineRule="auto"/>
        <w:ind w:firstLine="420" w:firstLineChars="200"/>
        <w:rPr>
          <w:rFonts w:hint="eastAsia" w:ascii="宋体" w:hAnsi="宋体" w:cs="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、甲方延期付款的，每天向乙方偿付延期款额3‰滞纳金，但滞纳金累计不得超过延期款额5%。</w:t>
      </w:r>
    </w:p>
    <w:p w14:paraId="7D0BF3C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第十条  不可抗力事件处理</w:t>
      </w:r>
    </w:p>
    <w:p w14:paraId="347C8D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2500E2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52A822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14:paraId="6FDBD771">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第十一条  合同争议解决</w:t>
      </w:r>
    </w:p>
    <w:p w14:paraId="29E5B20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1、因服务质量问题发生争议的，应邀请国家认可的质量检测机构进行鉴定。服务符合标准的，鉴定费由甲方承担；服务不符合标准的，鉴定费由乙方承担。</w:t>
      </w:r>
    </w:p>
    <w:p w14:paraId="07D510A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2、因履行本合同引起的或者与本合同有关的争议，甲乙双方应首先通过友好协商解决，如果协商不能解决，可向甲方所在地有管辖权的人民法院提起诉讼。</w:t>
      </w:r>
    </w:p>
    <w:p w14:paraId="59D2B77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3、诉讼期间，本合同继续履行。</w:t>
      </w:r>
    </w:p>
    <w:p w14:paraId="05A0823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第十二条  合同生效及其它</w:t>
      </w:r>
    </w:p>
    <w:p w14:paraId="4D6F84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1、合同经双方法定代表人或者授权代表签字并加盖单位公章后生效（委托代理人签字的需后附授权委托书，格式自拟）。</w:t>
      </w:r>
    </w:p>
    <w:p w14:paraId="0BCF7A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2、合同执行中涉及采购资金和采购内容修改或者补充的，须经财政部门审批，并签书面补充协议报财政部门备案，方可作为主合同不可分割的一部分。</w:t>
      </w:r>
    </w:p>
    <w:p w14:paraId="384D2E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3、本合同未尽事宜，遵照《中华人民共和国民法典》有关条文执行。</w:t>
      </w:r>
    </w:p>
    <w:p w14:paraId="708B61B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第十三条　合同的变更、终止与转让</w:t>
      </w:r>
    </w:p>
    <w:p w14:paraId="11B480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1、除《中华人民共和国政府采购法》第五十条规定的情形外，本合同一经签订，甲乙双方不得擅自变更、中止或者终止。</w:t>
      </w:r>
    </w:p>
    <w:p w14:paraId="694AA6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14:paraId="443922CE">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第十四条　签订本合同依据</w:t>
      </w:r>
    </w:p>
    <w:p w14:paraId="5D263B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成交通知书</w:t>
      </w:r>
      <w:r>
        <w:rPr>
          <w:rFonts w:hint="eastAsia" w:ascii="宋体" w:hAnsi="宋体" w:cs="宋体"/>
          <w:color w:val="auto"/>
          <w:szCs w:val="21"/>
          <w:highlight w:val="none"/>
        </w:rPr>
        <w:t>；</w:t>
      </w:r>
    </w:p>
    <w:p w14:paraId="065F5C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2、竞标报价表；</w:t>
      </w:r>
    </w:p>
    <w:p w14:paraId="668F7B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3、商务条款偏离表和技术需求偏离表；</w:t>
      </w:r>
    </w:p>
    <w:p w14:paraId="48409D4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、服务方案（如有）；</w:t>
      </w:r>
      <w:r>
        <w:rPr>
          <w:rFonts w:ascii="宋体" w:hAnsi="宋体" w:cs="宋体"/>
          <w:color w:val="auto"/>
          <w:szCs w:val="21"/>
          <w:highlight w:val="none"/>
        </w:rPr>
        <w:t xml:space="preserve"> </w:t>
      </w:r>
    </w:p>
    <w:p w14:paraId="0DFB3E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5、响应文件中的其他相关文件。</w:t>
      </w:r>
    </w:p>
    <w:p w14:paraId="1EB2BAE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、上述合同文件互相补充和解释。如果合同文件之间存在矛盾或者不一致之处，以上述文件的排列顺序在先者为准。</w:t>
      </w:r>
    </w:p>
    <w:p w14:paraId="14CDA985">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第十五条　</w:t>
      </w:r>
      <w:r>
        <w:rPr>
          <w:rFonts w:hint="eastAsia" w:ascii="宋体" w:hAnsi="宋体" w:cs="宋体"/>
          <w:color w:val="auto"/>
          <w:szCs w:val="21"/>
          <w:highlight w:val="none"/>
        </w:rPr>
        <w:t>本合同一式四份，具有同等法律效力，财政部门（政府采购监管部门）、采购代理机构各一份，甲乙双方各一份（可根据需要另增加）。</w:t>
      </w:r>
    </w:p>
    <w:p w14:paraId="039B21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本合同甲乙双方签字盖章后生效，自签订之日起七个工作日内，甲方应当将合同副本报同级财政部门备案。</w:t>
      </w:r>
    </w:p>
    <w:p w14:paraId="21D23C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tbl>
      <w:tblPr>
        <w:tblStyle w:val="28"/>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01B6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vAlign w:val="center"/>
          </w:tcPr>
          <w:p w14:paraId="3AD2DC8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甲方：（章）</w:t>
            </w:r>
          </w:p>
          <w:p w14:paraId="1D71676E">
            <w:pPr>
              <w:snapToGrid w:val="0"/>
              <w:spacing w:line="360" w:lineRule="auto"/>
              <w:rPr>
                <w:rFonts w:hint="eastAsia" w:ascii="宋体" w:hAnsi="宋体" w:cs="宋体"/>
                <w:color w:val="auto"/>
                <w:szCs w:val="21"/>
                <w:highlight w:val="none"/>
              </w:rPr>
            </w:pPr>
          </w:p>
          <w:p w14:paraId="407DE214">
            <w:pPr>
              <w:snapToGrid w:val="0"/>
              <w:spacing w:line="360" w:lineRule="auto"/>
              <w:rPr>
                <w:rFonts w:hint="eastAsia" w:ascii="宋体" w:hAnsi="宋体" w:cs="宋体"/>
                <w:color w:val="auto"/>
                <w:szCs w:val="21"/>
                <w:highlight w:val="none"/>
              </w:rPr>
            </w:pPr>
          </w:p>
          <w:p w14:paraId="7CEFF4E7">
            <w:pPr>
              <w:snapToGrid w:val="0"/>
              <w:spacing w:line="360" w:lineRule="auto"/>
              <w:ind w:firstLine="945" w:firstLineChars="450"/>
              <w:jc w:val="right"/>
              <w:rPr>
                <w:rFonts w:hint="eastAsia" w:ascii="宋体" w:hAnsi="宋体" w:cs="宋体"/>
                <w:color w:val="auto"/>
                <w:szCs w:val="21"/>
                <w:highlight w:val="none"/>
              </w:rPr>
            </w:pPr>
          </w:p>
          <w:p w14:paraId="0DCE00BA">
            <w:pPr>
              <w:snapToGrid w:val="0"/>
              <w:spacing w:line="360" w:lineRule="auto"/>
              <w:ind w:firstLine="945" w:firstLineChars="450"/>
              <w:jc w:val="right"/>
              <w:rPr>
                <w:rFonts w:ascii="宋体" w:hAnsi="宋体" w:cs="宋体"/>
                <w:color w:val="auto"/>
                <w:szCs w:val="21"/>
                <w:highlight w:val="none"/>
              </w:rPr>
            </w:pPr>
            <w:r>
              <w:rPr>
                <w:rFonts w:hint="eastAsia" w:ascii="宋体" w:hAnsi="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14:paraId="73EA919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1BD69587">
            <w:pPr>
              <w:snapToGrid w:val="0"/>
              <w:spacing w:line="360" w:lineRule="auto"/>
              <w:rPr>
                <w:rFonts w:hint="eastAsia" w:ascii="宋体" w:hAnsi="宋体" w:cs="宋体"/>
                <w:color w:val="auto"/>
                <w:szCs w:val="21"/>
                <w:highlight w:val="none"/>
              </w:rPr>
            </w:pPr>
          </w:p>
          <w:p w14:paraId="7A456A7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3DF8B040">
            <w:pPr>
              <w:snapToGrid w:val="0"/>
              <w:spacing w:line="360" w:lineRule="auto"/>
              <w:jc w:val="right"/>
              <w:rPr>
                <w:rFonts w:hint="eastAsia" w:ascii="宋体" w:hAnsi="宋体" w:cs="宋体"/>
                <w:color w:val="auto"/>
                <w:szCs w:val="21"/>
                <w:highlight w:val="none"/>
              </w:rPr>
            </w:pPr>
          </w:p>
          <w:p w14:paraId="42A99D59">
            <w:pPr>
              <w:snapToGrid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7D3C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6E1B75A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单位地址：</w:t>
            </w:r>
            <w:r>
              <w:rPr>
                <w:rFonts w:ascii="宋体" w:hAnsi="宋体" w:cs="宋体"/>
                <w:color w:val="auto"/>
                <w:szCs w:val="21"/>
                <w:highlight w:val="none"/>
              </w:rPr>
              <w:t xml:space="preserve"> </w:t>
            </w:r>
          </w:p>
        </w:tc>
        <w:tc>
          <w:tcPr>
            <w:tcW w:w="4583" w:type="dxa"/>
            <w:tcBorders>
              <w:top w:val="single" w:color="auto" w:sz="4" w:space="0"/>
              <w:left w:val="single" w:color="auto" w:sz="4" w:space="0"/>
              <w:bottom w:val="single" w:color="auto" w:sz="4" w:space="0"/>
              <w:right w:val="single" w:color="auto" w:sz="4" w:space="0"/>
            </w:tcBorders>
            <w:vAlign w:val="center"/>
          </w:tcPr>
          <w:p w14:paraId="6975460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单位地址： </w:t>
            </w:r>
          </w:p>
        </w:tc>
      </w:tr>
      <w:tr w14:paraId="0DB6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33997CB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vAlign w:val="center"/>
          </w:tcPr>
          <w:p w14:paraId="035CFF4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r>
      <w:tr w14:paraId="21B7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FFF869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委托代理人：</w:t>
            </w:r>
          </w:p>
        </w:tc>
        <w:tc>
          <w:tcPr>
            <w:tcW w:w="4583" w:type="dxa"/>
            <w:tcBorders>
              <w:top w:val="single" w:color="auto" w:sz="4" w:space="0"/>
              <w:left w:val="single" w:color="auto" w:sz="4" w:space="0"/>
              <w:bottom w:val="single" w:color="auto" w:sz="4" w:space="0"/>
              <w:right w:val="single" w:color="auto" w:sz="4" w:space="0"/>
            </w:tcBorders>
            <w:vAlign w:val="center"/>
          </w:tcPr>
          <w:p w14:paraId="4CF3513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委托代理人：</w:t>
            </w:r>
          </w:p>
        </w:tc>
      </w:tr>
      <w:tr w14:paraId="4F95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1FB78E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vAlign w:val="center"/>
          </w:tcPr>
          <w:p w14:paraId="23315D2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r>
      <w:tr w14:paraId="1C4C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67AB63C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vAlign w:val="center"/>
          </w:tcPr>
          <w:p w14:paraId="1D40064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r>
      <w:tr w14:paraId="17E8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79CE3B7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vAlign w:val="center"/>
          </w:tcPr>
          <w:p w14:paraId="0F1547B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r>
      <w:tr w14:paraId="52F9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E68CF1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14:paraId="77EBD32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r>
    </w:tbl>
    <w:p w14:paraId="0ADB7C14">
      <w:pPr>
        <w:widowControl/>
        <w:jc w:val="left"/>
        <w:rPr>
          <w:rFonts w:ascii="宋体" w:hAnsi="宋体" w:cs="宋体"/>
          <w:color w:val="auto"/>
          <w:sz w:val="20"/>
          <w:szCs w:val="20"/>
          <w:highlight w:val="none"/>
        </w:rPr>
      </w:pPr>
    </w:p>
    <w:p w14:paraId="7974619C">
      <w:pPr>
        <w:spacing w:before="4"/>
        <w:rPr>
          <w:rFonts w:hint="eastAsia" w:ascii="宋体" w:hAnsi="宋体" w:cs="宋体"/>
          <w:color w:val="auto"/>
          <w:sz w:val="6"/>
          <w:szCs w:val="6"/>
          <w:highlight w:val="none"/>
        </w:rPr>
      </w:pPr>
    </w:p>
    <w:p w14:paraId="7F702DC8">
      <w:pPr>
        <w:spacing w:line="360" w:lineRule="exact"/>
        <w:rPr>
          <w:rFonts w:hint="eastAsia" w:ascii="宋体" w:hAnsi="宋体" w:cs="宋体"/>
          <w:color w:val="auto"/>
          <w:kern w:val="0"/>
          <w:sz w:val="30"/>
          <w:szCs w:val="30"/>
          <w:highlight w:val="none"/>
        </w:rPr>
      </w:pPr>
    </w:p>
    <w:p w14:paraId="2512E1BD">
      <w:pPr>
        <w:rPr>
          <w:color w:val="auto"/>
          <w:highlight w:val="none"/>
        </w:rPr>
      </w:pPr>
    </w:p>
    <w:sectPr>
      <w:footerReference r:id="rId7" w:type="first"/>
      <w:footerReference r:id="rId6" w:type="default"/>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script"/>
    <w:pitch w:val="default"/>
    <w:sig w:usb0="00000000" w:usb1="00000000" w:usb2="00000000" w:usb3="00000000" w:csb0="00040000" w:csb1="00000000"/>
  </w:font>
  <w:font w:name="Malgun Gothic">
    <w:panose1 w:val="020B0503020000020004"/>
    <w:charset w:val="81"/>
    <w:family w:val="swiss"/>
    <w:pitch w:val="default"/>
    <w:sig w:usb0="9000002F" w:usb1="29D77CFB" w:usb2="00000012" w:usb3="00000000" w:csb0="00080001" w:csb1="00000000"/>
  </w:font>
  <w:font w:name="Helvetica">
    <w:altName w:val="Arial"/>
    <w:panose1 w:val="020B0504020202030204"/>
    <w:charset w:val="00"/>
    <w:family w:val="auto"/>
    <w:pitch w:val="default"/>
    <w:sig w:usb0="00000000" w:usb1="00000000" w:usb2="00000000" w:usb3="00000000" w:csb0="00000093" w:csb1="00000000"/>
  </w:font>
  <w:font w:name="Wingdings 2">
    <w:altName w:val="Wingdings"/>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C2CEA">
    <w:pPr>
      <w:pStyle w:val="20"/>
      <w:tabs>
        <w:tab w:val="center" w:pos="4439"/>
        <w:tab w:val="clear" w:pos="4153"/>
      </w:tabs>
      <w:jc w:val="both"/>
    </w:pPr>
  </w:p>
  <w:p w14:paraId="05E2F124">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2ABB8">
    <w:pPr>
      <w:pStyle w:val="20"/>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44C1E9">
                          <w:pPr>
                            <w:pStyle w:val="20"/>
                          </w:pPr>
                          <w:r>
                            <w:fldChar w:fldCharType="begin"/>
                          </w:r>
                          <w:r>
                            <w:instrText xml:space="preserve"> PAGE  \* MERGEFORMAT </w:instrText>
                          </w:r>
                          <w:r>
                            <w:fldChar w:fldCharType="separate"/>
                          </w:r>
                          <w:r>
                            <w:rPr>
                              <w:lang w:val="en-US" w:eastAsia="zh-CN"/>
                            </w:rPr>
                            <w:t>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1C44C1E9">
                    <w:pPr>
                      <w:pStyle w:val="20"/>
                    </w:pPr>
                    <w:r>
                      <w:fldChar w:fldCharType="begin"/>
                    </w:r>
                    <w:r>
                      <w:instrText xml:space="preserve"> PAGE  \* MERGEFORMAT </w:instrText>
                    </w:r>
                    <w:r>
                      <w:fldChar w:fldCharType="separate"/>
                    </w:r>
                    <w:r>
                      <w:rPr>
                        <w:lang w:val="en-US" w:eastAsia="zh-CN"/>
                      </w:rPr>
                      <w:t>3</w:t>
                    </w:r>
                    <w:r>
                      <w:fldChar w:fldCharType="end"/>
                    </w:r>
                  </w:p>
                </w:txbxContent>
              </v:textbox>
            </v:shape>
          </w:pict>
        </mc:Fallback>
      </mc:AlternateContent>
    </w:r>
  </w:p>
  <w:p w14:paraId="5E3BC4C4">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CBDA8">
    <w:pPr>
      <w:pStyle w:val="20"/>
      <w:jc w:val="center"/>
    </w:pPr>
    <w:r>
      <w:pict>
        <v:shape id="文本框 5121"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3C18E786">
                <w:pPr>
                  <w:pStyle w:val="20"/>
                  <w:jc w:val="center"/>
                </w:pPr>
                <w:r>
                  <w:fldChar w:fldCharType="begin"/>
                </w:r>
                <w:r>
                  <w:instrText xml:space="preserve"> PAGE  \* MERGEFORMAT </w:instrText>
                </w:r>
                <w:r>
                  <w:fldChar w:fldCharType="separate"/>
                </w:r>
                <w:r>
                  <w:rPr>
                    <w:lang w:val="en-US" w:eastAsia="zh-CN"/>
                  </w:rPr>
                  <w:t>70</w:t>
                </w:r>
                <w:r>
                  <w:fldChar w:fldCharType="end"/>
                </w:r>
              </w:p>
            </w:txbxContent>
          </v:textbox>
        </v:shape>
      </w:pict>
    </w:r>
  </w:p>
  <w:p w14:paraId="182AB54E">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9198C">
    <w:pPr>
      <w:pStyle w:val="20"/>
    </w:pPr>
    <w:r>
      <w:pict>
        <v:shape id="文本框 5122"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0FEFEB71">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4</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5600C">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52D38B"/>
    <w:multiLevelType w:val="singleLevel"/>
    <w:tmpl w:val="D152D38B"/>
    <w:lvl w:ilvl="0" w:tentative="0">
      <w:start w:val="3"/>
      <w:numFmt w:val="chineseCounting"/>
      <w:suff w:val="space"/>
      <w:lvlText w:val="第%1章"/>
      <w:lvlJc w:val="left"/>
      <w:rPr>
        <w:rFonts w:hint="eastAsia"/>
      </w:rPr>
    </w:lvl>
  </w:abstractNum>
  <w:abstractNum w:abstractNumId="1">
    <w:nsid w:val="DB28889C"/>
    <w:multiLevelType w:val="singleLevel"/>
    <w:tmpl w:val="DB28889C"/>
    <w:lvl w:ilvl="0" w:tentative="0">
      <w:start w:val="1"/>
      <w:numFmt w:val="decimal"/>
      <w:lvlText w:val="%1."/>
      <w:lvlJc w:val="left"/>
      <w:pPr>
        <w:tabs>
          <w:tab w:val="left" w:pos="312"/>
        </w:tabs>
      </w:pPr>
    </w:lvl>
  </w:abstractNum>
  <w:abstractNum w:abstractNumId="2">
    <w:nsid w:val="43AED267"/>
    <w:multiLevelType w:val="singleLevel"/>
    <w:tmpl w:val="43AED267"/>
    <w:lvl w:ilvl="0" w:tentative="0">
      <w:start w:val="4"/>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xOTI1ODY4NWRjMzhmMGVhZjE4MGFiYTgxYTI1NGIifQ=="/>
  </w:docVars>
  <w:rsids>
    <w:rsidRoot w:val="00166F9F"/>
    <w:rsid w:val="00047001"/>
    <w:rsid w:val="000C253A"/>
    <w:rsid w:val="00166F9F"/>
    <w:rsid w:val="001747BE"/>
    <w:rsid w:val="00177059"/>
    <w:rsid w:val="00177BA3"/>
    <w:rsid w:val="001A251E"/>
    <w:rsid w:val="00250AFB"/>
    <w:rsid w:val="002C3826"/>
    <w:rsid w:val="002E3584"/>
    <w:rsid w:val="003259DE"/>
    <w:rsid w:val="003A1BE1"/>
    <w:rsid w:val="003B1B61"/>
    <w:rsid w:val="004277C9"/>
    <w:rsid w:val="00441591"/>
    <w:rsid w:val="004D4C30"/>
    <w:rsid w:val="005077B5"/>
    <w:rsid w:val="00547787"/>
    <w:rsid w:val="00550021"/>
    <w:rsid w:val="00576D65"/>
    <w:rsid w:val="005B46D6"/>
    <w:rsid w:val="005E0AA6"/>
    <w:rsid w:val="00600CB9"/>
    <w:rsid w:val="00615EA1"/>
    <w:rsid w:val="007D79EA"/>
    <w:rsid w:val="00806567"/>
    <w:rsid w:val="0086349B"/>
    <w:rsid w:val="008C0D01"/>
    <w:rsid w:val="00902C2A"/>
    <w:rsid w:val="00991E08"/>
    <w:rsid w:val="009A2F38"/>
    <w:rsid w:val="00A34428"/>
    <w:rsid w:val="00B61942"/>
    <w:rsid w:val="00B77094"/>
    <w:rsid w:val="00B8147A"/>
    <w:rsid w:val="00BB71A9"/>
    <w:rsid w:val="00C122F0"/>
    <w:rsid w:val="00D26ABD"/>
    <w:rsid w:val="00E62F58"/>
    <w:rsid w:val="00E7278D"/>
    <w:rsid w:val="00E91E7A"/>
    <w:rsid w:val="00F30F79"/>
    <w:rsid w:val="00F76805"/>
    <w:rsid w:val="00F8272C"/>
    <w:rsid w:val="00F909D6"/>
    <w:rsid w:val="012A2737"/>
    <w:rsid w:val="01303AC5"/>
    <w:rsid w:val="013C41BF"/>
    <w:rsid w:val="01A20BB9"/>
    <w:rsid w:val="01C42C19"/>
    <w:rsid w:val="01E52B01"/>
    <w:rsid w:val="02300221"/>
    <w:rsid w:val="02413F96"/>
    <w:rsid w:val="02832A46"/>
    <w:rsid w:val="032B1BE2"/>
    <w:rsid w:val="033E4BBF"/>
    <w:rsid w:val="039E740C"/>
    <w:rsid w:val="03A219EA"/>
    <w:rsid w:val="03B10EED"/>
    <w:rsid w:val="03B64756"/>
    <w:rsid w:val="03B7227C"/>
    <w:rsid w:val="03BD5AE4"/>
    <w:rsid w:val="03D35307"/>
    <w:rsid w:val="042518C8"/>
    <w:rsid w:val="043B4C5B"/>
    <w:rsid w:val="046E6DDE"/>
    <w:rsid w:val="04727D76"/>
    <w:rsid w:val="04936845"/>
    <w:rsid w:val="04D05CEB"/>
    <w:rsid w:val="04E9263C"/>
    <w:rsid w:val="05551D4C"/>
    <w:rsid w:val="05C50C80"/>
    <w:rsid w:val="05C80770"/>
    <w:rsid w:val="05D666A6"/>
    <w:rsid w:val="05F70902"/>
    <w:rsid w:val="060818B0"/>
    <w:rsid w:val="06141CCB"/>
    <w:rsid w:val="061F121B"/>
    <w:rsid w:val="06230CEF"/>
    <w:rsid w:val="06247573"/>
    <w:rsid w:val="064A658A"/>
    <w:rsid w:val="069D1BFD"/>
    <w:rsid w:val="06B16CD7"/>
    <w:rsid w:val="06BF1B73"/>
    <w:rsid w:val="06C13B3D"/>
    <w:rsid w:val="06D33870"/>
    <w:rsid w:val="07155C37"/>
    <w:rsid w:val="07181283"/>
    <w:rsid w:val="07342561"/>
    <w:rsid w:val="078A03D3"/>
    <w:rsid w:val="07EB4B31"/>
    <w:rsid w:val="07F46FEF"/>
    <w:rsid w:val="07F7358F"/>
    <w:rsid w:val="0822685D"/>
    <w:rsid w:val="08EB4EA1"/>
    <w:rsid w:val="090917CB"/>
    <w:rsid w:val="091747E2"/>
    <w:rsid w:val="09572537"/>
    <w:rsid w:val="097950BE"/>
    <w:rsid w:val="09806BB8"/>
    <w:rsid w:val="09A90347"/>
    <w:rsid w:val="09AB4631"/>
    <w:rsid w:val="09DF42DA"/>
    <w:rsid w:val="09F63AFE"/>
    <w:rsid w:val="0A0A57FB"/>
    <w:rsid w:val="0A3E5BBE"/>
    <w:rsid w:val="0A463FB5"/>
    <w:rsid w:val="0A854E82"/>
    <w:rsid w:val="0AB15C77"/>
    <w:rsid w:val="0ABD7054"/>
    <w:rsid w:val="0AE93662"/>
    <w:rsid w:val="0B260413"/>
    <w:rsid w:val="0B621946"/>
    <w:rsid w:val="0B9A670B"/>
    <w:rsid w:val="0C0E49AF"/>
    <w:rsid w:val="0C2661F0"/>
    <w:rsid w:val="0C3F70ED"/>
    <w:rsid w:val="0C547201"/>
    <w:rsid w:val="0C8C24F7"/>
    <w:rsid w:val="0C992E66"/>
    <w:rsid w:val="0CA5237F"/>
    <w:rsid w:val="0CAD0AD3"/>
    <w:rsid w:val="0CBD0903"/>
    <w:rsid w:val="0CBD2B44"/>
    <w:rsid w:val="0CEA36C2"/>
    <w:rsid w:val="0D222E5C"/>
    <w:rsid w:val="0D9A0C44"/>
    <w:rsid w:val="0D9D0734"/>
    <w:rsid w:val="0DC43EB1"/>
    <w:rsid w:val="0E5444C8"/>
    <w:rsid w:val="0E741E30"/>
    <w:rsid w:val="0F240212"/>
    <w:rsid w:val="0F621C35"/>
    <w:rsid w:val="0F9B0CA3"/>
    <w:rsid w:val="0FCE1079"/>
    <w:rsid w:val="0FFC3E38"/>
    <w:rsid w:val="10120F66"/>
    <w:rsid w:val="10CD1330"/>
    <w:rsid w:val="10F90377"/>
    <w:rsid w:val="11100294"/>
    <w:rsid w:val="11496C09"/>
    <w:rsid w:val="114F1D45"/>
    <w:rsid w:val="115C1F4F"/>
    <w:rsid w:val="11665A0D"/>
    <w:rsid w:val="11B60016"/>
    <w:rsid w:val="11EB4164"/>
    <w:rsid w:val="11EC3A38"/>
    <w:rsid w:val="120D40DA"/>
    <w:rsid w:val="122136E2"/>
    <w:rsid w:val="12521AED"/>
    <w:rsid w:val="1254771D"/>
    <w:rsid w:val="127B3728"/>
    <w:rsid w:val="12850115"/>
    <w:rsid w:val="12A90717"/>
    <w:rsid w:val="12BD702D"/>
    <w:rsid w:val="12FD185B"/>
    <w:rsid w:val="13A445CA"/>
    <w:rsid w:val="13B32A60"/>
    <w:rsid w:val="13D33102"/>
    <w:rsid w:val="13D334C9"/>
    <w:rsid w:val="13D34EB0"/>
    <w:rsid w:val="13E706E2"/>
    <w:rsid w:val="14397409"/>
    <w:rsid w:val="143C4803"/>
    <w:rsid w:val="1476335E"/>
    <w:rsid w:val="14D273DE"/>
    <w:rsid w:val="15147E3F"/>
    <w:rsid w:val="15634895"/>
    <w:rsid w:val="15B8435D"/>
    <w:rsid w:val="15D73C01"/>
    <w:rsid w:val="15E76F05"/>
    <w:rsid w:val="15E96C0C"/>
    <w:rsid w:val="15EC4007"/>
    <w:rsid w:val="15FD0A59"/>
    <w:rsid w:val="16337E88"/>
    <w:rsid w:val="167C35DD"/>
    <w:rsid w:val="16BE3BF5"/>
    <w:rsid w:val="173619DD"/>
    <w:rsid w:val="175B58E8"/>
    <w:rsid w:val="17D80CE7"/>
    <w:rsid w:val="17FD787B"/>
    <w:rsid w:val="180D75BF"/>
    <w:rsid w:val="181141F9"/>
    <w:rsid w:val="183103F7"/>
    <w:rsid w:val="185C1918"/>
    <w:rsid w:val="187A1D9E"/>
    <w:rsid w:val="18AD3F21"/>
    <w:rsid w:val="18CF0624"/>
    <w:rsid w:val="18ED431E"/>
    <w:rsid w:val="19033B41"/>
    <w:rsid w:val="191A70DD"/>
    <w:rsid w:val="194B7296"/>
    <w:rsid w:val="19A44E6C"/>
    <w:rsid w:val="19EF056A"/>
    <w:rsid w:val="1A4B1C44"/>
    <w:rsid w:val="1A78055F"/>
    <w:rsid w:val="1A7A6085"/>
    <w:rsid w:val="1A8C400A"/>
    <w:rsid w:val="1AA17AB6"/>
    <w:rsid w:val="1AC15A62"/>
    <w:rsid w:val="1AD5775F"/>
    <w:rsid w:val="1B2156F1"/>
    <w:rsid w:val="1B5E7755"/>
    <w:rsid w:val="1B634D6B"/>
    <w:rsid w:val="1B80591D"/>
    <w:rsid w:val="1BA0299A"/>
    <w:rsid w:val="1BD96DDB"/>
    <w:rsid w:val="1C2E5379"/>
    <w:rsid w:val="1C321776"/>
    <w:rsid w:val="1C56667E"/>
    <w:rsid w:val="1C735482"/>
    <w:rsid w:val="1C8F393E"/>
    <w:rsid w:val="1CAA0778"/>
    <w:rsid w:val="1CB33AD0"/>
    <w:rsid w:val="1CCD08F6"/>
    <w:rsid w:val="1CD852E5"/>
    <w:rsid w:val="1D84721B"/>
    <w:rsid w:val="1DE33F41"/>
    <w:rsid w:val="1DF83E91"/>
    <w:rsid w:val="1DFB74DD"/>
    <w:rsid w:val="1E4D585F"/>
    <w:rsid w:val="1E646F98"/>
    <w:rsid w:val="1E6F3A27"/>
    <w:rsid w:val="1E8474D2"/>
    <w:rsid w:val="1E870D71"/>
    <w:rsid w:val="1E90231B"/>
    <w:rsid w:val="1EB61656"/>
    <w:rsid w:val="1ED57D2E"/>
    <w:rsid w:val="1EDA5344"/>
    <w:rsid w:val="1F574BE7"/>
    <w:rsid w:val="1FA47700"/>
    <w:rsid w:val="1FBF453A"/>
    <w:rsid w:val="1FF853EE"/>
    <w:rsid w:val="203767C6"/>
    <w:rsid w:val="204F58BE"/>
    <w:rsid w:val="205D622D"/>
    <w:rsid w:val="206C6470"/>
    <w:rsid w:val="20C03B7F"/>
    <w:rsid w:val="20DB1848"/>
    <w:rsid w:val="21182427"/>
    <w:rsid w:val="21B24356"/>
    <w:rsid w:val="21B87493"/>
    <w:rsid w:val="21D510A9"/>
    <w:rsid w:val="21F4671D"/>
    <w:rsid w:val="21F82FAD"/>
    <w:rsid w:val="220A24B9"/>
    <w:rsid w:val="22910410"/>
    <w:rsid w:val="22AC349C"/>
    <w:rsid w:val="22BD1205"/>
    <w:rsid w:val="22D813C9"/>
    <w:rsid w:val="22E5250A"/>
    <w:rsid w:val="22EE7610"/>
    <w:rsid w:val="235D6544"/>
    <w:rsid w:val="23B87C1E"/>
    <w:rsid w:val="23FE7D27"/>
    <w:rsid w:val="240D7F6A"/>
    <w:rsid w:val="24561911"/>
    <w:rsid w:val="24955979"/>
    <w:rsid w:val="24A7216D"/>
    <w:rsid w:val="25014EBB"/>
    <w:rsid w:val="2504136D"/>
    <w:rsid w:val="2516422C"/>
    <w:rsid w:val="25257535"/>
    <w:rsid w:val="253F4153"/>
    <w:rsid w:val="259C77F7"/>
    <w:rsid w:val="25B368EF"/>
    <w:rsid w:val="25EF6937"/>
    <w:rsid w:val="2650413E"/>
    <w:rsid w:val="26DF753D"/>
    <w:rsid w:val="270C4509"/>
    <w:rsid w:val="27252E5E"/>
    <w:rsid w:val="273E043A"/>
    <w:rsid w:val="27554102"/>
    <w:rsid w:val="27620233"/>
    <w:rsid w:val="27CE7C21"/>
    <w:rsid w:val="27DF5D00"/>
    <w:rsid w:val="27EB6814"/>
    <w:rsid w:val="28D63020"/>
    <w:rsid w:val="28FC235B"/>
    <w:rsid w:val="291D29FD"/>
    <w:rsid w:val="29F00112"/>
    <w:rsid w:val="2A077209"/>
    <w:rsid w:val="2A0E0598"/>
    <w:rsid w:val="2A465F84"/>
    <w:rsid w:val="2A7B4487"/>
    <w:rsid w:val="2A95250A"/>
    <w:rsid w:val="2AB90504"/>
    <w:rsid w:val="2AFB1696"/>
    <w:rsid w:val="2B0379D1"/>
    <w:rsid w:val="2B1E480B"/>
    <w:rsid w:val="2B2168FA"/>
    <w:rsid w:val="2B2362C5"/>
    <w:rsid w:val="2B54647E"/>
    <w:rsid w:val="2B563FA5"/>
    <w:rsid w:val="2B681F2A"/>
    <w:rsid w:val="2B7C5BBF"/>
    <w:rsid w:val="2B886128"/>
    <w:rsid w:val="2BC25ADE"/>
    <w:rsid w:val="2BDD3CFB"/>
    <w:rsid w:val="2BF65788"/>
    <w:rsid w:val="2C131E96"/>
    <w:rsid w:val="2C8754E2"/>
    <w:rsid w:val="2CDD4252"/>
    <w:rsid w:val="2D1660E1"/>
    <w:rsid w:val="2D720E3E"/>
    <w:rsid w:val="2D867915"/>
    <w:rsid w:val="2DD65871"/>
    <w:rsid w:val="2DF1367E"/>
    <w:rsid w:val="2E3F3DC3"/>
    <w:rsid w:val="2E494294"/>
    <w:rsid w:val="2E4A454F"/>
    <w:rsid w:val="2E5549E7"/>
    <w:rsid w:val="2EC76F67"/>
    <w:rsid w:val="2F045407"/>
    <w:rsid w:val="2F3B52FD"/>
    <w:rsid w:val="2F594063"/>
    <w:rsid w:val="301E705B"/>
    <w:rsid w:val="30631342"/>
    <w:rsid w:val="306B6744"/>
    <w:rsid w:val="30815D33"/>
    <w:rsid w:val="30DC3D95"/>
    <w:rsid w:val="31124E12"/>
    <w:rsid w:val="315E0057"/>
    <w:rsid w:val="318555E4"/>
    <w:rsid w:val="31857392"/>
    <w:rsid w:val="31AC36B5"/>
    <w:rsid w:val="31C545FB"/>
    <w:rsid w:val="31CC1158"/>
    <w:rsid w:val="325A081E"/>
    <w:rsid w:val="327B6E8F"/>
    <w:rsid w:val="328238D1"/>
    <w:rsid w:val="328E671A"/>
    <w:rsid w:val="329F26D5"/>
    <w:rsid w:val="32A83F98"/>
    <w:rsid w:val="32C72463"/>
    <w:rsid w:val="32DF2AD1"/>
    <w:rsid w:val="3350577D"/>
    <w:rsid w:val="33D508EE"/>
    <w:rsid w:val="33F425AD"/>
    <w:rsid w:val="342235BE"/>
    <w:rsid w:val="343155AF"/>
    <w:rsid w:val="343C3F54"/>
    <w:rsid w:val="343D03F7"/>
    <w:rsid w:val="34757B91"/>
    <w:rsid w:val="349D49F2"/>
    <w:rsid w:val="34E940DB"/>
    <w:rsid w:val="34EC597A"/>
    <w:rsid w:val="350B4052"/>
    <w:rsid w:val="35170C48"/>
    <w:rsid w:val="35720F09"/>
    <w:rsid w:val="357240D1"/>
    <w:rsid w:val="35C45D5A"/>
    <w:rsid w:val="360A3779"/>
    <w:rsid w:val="36394BEF"/>
    <w:rsid w:val="36E96615"/>
    <w:rsid w:val="370F76FD"/>
    <w:rsid w:val="375C0B95"/>
    <w:rsid w:val="3765128B"/>
    <w:rsid w:val="37E868CC"/>
    <w:rsid w:val="38033706"/>
    <w:rsid w:val="38083F02"/>
    <w:rsid w:val="38624A88"/>
    <w:rsid w:val="3862667F"/>
    <w:rsid w:val="388163D9"/>
    <w:rsid w:val="389044E9"/>
    <w:rsid w:val="38A8605B"/>
    <w:rsid w:val="38B92017"/>
    <w:rsid w:val="38D56A65"/>
    <w:rsid w:val="39A6259B"/>
    <w:rsid w:val="39B76556"/>
    <w:rsid w:val="39F452CD"/>
    <w:rsid w:val="39F74554"/>
    <w:rsid w:val="3A080BE1"/>
    <w:rsid w:val="3A465B2C"/>
    <w:rsid w:val="3A4B4EF0"/>
    <w:rsid w:val="3A606BEE"/>
    <w:rsid w:val="3A6564D3"/>
    <w:rsid w:val="3A6B6B40"/>
    <w:rsid w:val="3A7379ED"/>
    <w:rsid w:val="3A7601BF"/>
    <w:rsid w:val="3ACF78CF"/>
    <w:rsid w:val="3AE74C19"/>
    <w:rsid w:val="3B07174F"/>
    <w:rsid w:val="3B1C4FA0"/>
    <w:rsid w:val="3B313289"/>
    <w:rsid w:val="3B733902"/>
    <w:rsid w:val="3B7C1CD6"/>
    <w:rsid w:val="3B7F12F6"/>
    <w:rsid w:val="3BD72EE0"/>
    <w:rsid w:val="3BDF0EF5"/>
    <w:rsid w:val="3C237ED3"/>
    <w:rsid w:val="3C3A346E"/>
    <w:rsid w:val="3C48129D"/>
    <w:rsid w:val="3C8249BF"/>
    <w:rsid w:val="3CC82828"/>
    <w:rsid w:val="3CD236A7"/>
    <w:rsid w:val="3CE27D8E"/>
    <w:rsid w:val="3D45031D"/>
    <w:rsid w:val="3DD113D0"/>
    <w:rsid w:val="3DE43692"/>
    <w:rsid w:val="3E0E2161"/>
    <w:rsid w:val="3E1D6BA4"/>
    <w:rsid w:val="3E88226F"/>
    <w:rsid w:val="3EC87493"/>
    <w:rsid w:val="3EDE6333"/>
    <w:rsid w:val="3EE37DED"/>
    <w:rsid w:val="3FE016D0"/>
    <w:rsid w:val="3FE13153"/>
    <w:rsid w:val="403703F1"/>
    <w:rsid w:val="40490124"/>
    <w:rsid w:val="40BE6018"/>
    <w:rsid w:val="40D735C1"/>
    <w:rsid w:val="40DC4AF4"/>
    <w:rsid w:val="40E35E83"/>
    <w:rsid w:val="40E816EB"/>
    <w:rsid w:val="40EE65D6"/>
    <w:rsid w:val="40FA4F7A"/>
    <w:rsid w:val="411502A2"/>
    <w:rsid w:val="413E755D"/>
    <w:rsid w:val="414D154E"/>
    <w:rsid w:val="41911D83"/>
    <w:rsid w:val="419D4283"/>
    <w:rsid w:val="41D25008"/>
    <w:rsid w:val="420E33D3"/>
    <w:rsid w:val="42CC0448"/>
    <w:rsid w:val="42FC147E"/>
    <w:rsid w:val="430622FC"/>
    <w:rsid w:val="433A3D54"/>
    <w:rsid w:val="43456981"/>
    <w:rsid w:val="43650DD1"/>
    <w:rsid w:val="43E95AA6"/>
    <w:rsid w:val="43FB1735"/>
    <w:rsid w:val="445A645C"/>
    <w:rsid w:val="44A616A1"/>
    <w:rsid w:val="44A818BD"/>
    <w:rsid w:val="44D02BC2"/>
    <w:rsid w:val="44D426B2"/>
    <w:rsid w:val="44E93C84"/>
    <w:rsid w:val="450B59A8"/>
    <w:rsid w:val="451D4E62"/>
    <w:rsid w:val="452151CC"/>
    <w:rsid w:val="45774DEB"/>
    <w:rsid w:val="46081EE8"/>
    <w:rsid w:val="46164604"/>
    <w:rsid w:val="46832BE1"/>
    <w:rsid w:val="46BF2EEE"/>
    <w:rsid w:val="46D85D5E"/>
    <w:rsid w:val="470B6B20"/>
    <w:rsid w:val="471548BC"/>
    <w:rsid w:val="471D19C3"/>
    <w:rsid w:val="473016F6"/>
    <w:rsid w:val="4760647F"/>
    <w:rsid w:val="47745A86"/>
    <w:rsid w:val="47B238B2"/>
    <w:rsid w:val="47D604EF"/>
    <w:rsid w:val="48013092"/>
    <w:rsid w:val="4851401A"/>
    <w:rsid w:val="48591CAE"/>
    <w:rsid w:val="48BD520B"/>
    <w:rsid w:val="48DF0FFD"/>
    <w:rsid w:val="48FD385A"/>
    <w:rsid w:val="49023556"/>
    <w:rsid w:val="49382AE4"/>
    <w:rsid w:val="49804BB7"/>
    <w:rsid w:val="498A77E3"/>
    <w:rsid w:val="49A10689"/>
    <w:rsid w:val="49AD1724"/>
    <w:rsid w:val="49EB5DA8"/>
    <w:rsid w:val="4A805AFA"/>
    <w:rsid w:val="4A867813"/>
    <w:rsid w:val="4AD87C28"/>
    <w:rsid w:val="4AF018C8"/>
    <w:rsid w:val="4BF70A34"/>
    <w:rsid w:val="4C2D08FA"/>
    <w:rsid w:val="4C6C31D0"/>
    <w:rsid w:val="4CA94424"/>
    <w:rsid w:val="4D330192"/>
    <w:rsid w:val="4D4128AF"/>
    <w:rsid w:val="4D7C5695"/>
    <w:rsid w:val="4D813083"/>
    <w:rsid w:val="4D981DA3"/>
    <w:rsid w:val="4DA16EA9"/>
    <w:rsid w:val="4DA42E3E"/>
    <w:rsid w:val="4E0A6715"/>
    <w:rsid w:val="4E1C4782"/>
    <w:rsid w:val="4E9E5ADF"/>
    <w:rsid w:val="4EB22E8E"/>
    <w:rsid w:val="4EC866B8"/>
    <w:rsid w:val="4F443F90"/>
    <w:rsid w:val="4F824AB9"/>
    <w:rsid w:val="4FC357FD"/>
    <w:rsid w:val="50265D8C"/>
    <w:rsid w:val="504B3788"/>
    <w:rsid w:val="50C50B26"/>
    <w:rsid w:val="511B6F73"/>
    <w:rsid w:val="512027DB"/>
    <w:rsid w:val="5137016C"/>
    <w:rsid w:val="51422751"/>
    <w:rsid w:val="5150612E"/>
    <w:rsid w:val="515406D7"/>
    <w:rsid w:val="51A90426"/>
    <w:rsid w:val="51C15D6C"/>
    <w:rsid w:val="51D50278"/>
    <w:rsid w:val="51E657D3"/>
    <w:rsid w:val="51F03D04"/>
    <w:rsid w:val="51FF6894"/>
    <w:rsid w:val="52C13B4A"/>
    <w:rsid w:val="52C673B2"/>
    <w:rsid w:val="52D91433"/>
    <w:rsid w:val="52D970E6"/>
    <w:rsid w:val="5315521C"/>
    <w:rsid w:val="53277E51"/>
    <w:rsid w:val="539407F9"/>
    <w:rsid w:val="53DA1367"/>
    <w:rsid w:val="53DC242E"/>
    <w:rsid w:val="53EC07E2"/>
    <w:rsid w:val="5415239F"/>
    <w:rsid w:val="547F5A6B"/>
    <w:rsid w:val="54A31759"/>
    <w:rsid w:val="54AC114B"/>
    <w:rsid w:val="54C052D0"/>
    <w:rsid w:val="55202DAA"/>
    <w:rsid w:val="55627866"/>
    <w:rsid w:val="55E06161"/>
    <w:rsid w:val="55EA33B8"/>
    <w:rsid w:val="56B16AC1"/>
    <w:rsid w:val="56D71B8E"/>
    <w:rsid w:val="56D77F7F"/>
    <w:rsid w:val="56EB73E7"/>
    <w:rsid w:val="56FD7708"/>
    <w:rsid w:val="57437223"/>
    <w:rsid w:val="578735B4"/>
    <w:rsid w:val="5794182D"/>
    <w:rsid w:val="580249E9"/>
    <w:rsid w:val="58360B36"/>
    <w:rsid w:val="585711D8"/>
    <w:rsid w:val="58705DF6"/>
    <w:rsid w:val="58DC16DE"/>
    <w:rsid w:val="59162E41"/>
    <w:rsid w:val="599E2E37"/>
    <w:rsid w:val="59C83A10"/>
    <w:rsid w:val="59FD5DAF"/>
    <w:rsid w:val="5A1629CD"/>
    <w:rsid w:val="5A1D5B0A"/>
    <w:rsid w:val="5A250E62"/>
    <w:rsid w:val="5A61633E"/>
    <w:rsid w:val="5AA91A93"/>
    <w:rsid w:val="5AB5422F"/>
    <w:rsid w:val="5AF455F5"/>
    <w:rsid w:val="5B060C94"/>
    <w:rsid w:val="5B206B2E"/>
    <w:rsid w:val="5B21162A"/>
    <w:rsid w:val="5B2630E4"/>
    <w:rsid w:val="5B4041A6"/>
    <w:rsid w:val="5B5C6B06"/>
    <w:rsid w:val="5BA1276A"/>
    <w:rsid w:val="5BAA7871"/>
    <w:rsid w:val="5BAC183B"/>
    <w:rsid w:val="5BD14DFE"/>
    <w:rsid w:val="5BF037E6"/>
    <w:rsid w:val="5C166CB5"/>
    <w:rsid w:val="5C1A3C8F"/>
    <w:rsid w:val="5C3655A9"/>
    <w:rsid w:val="5C8413DC"/>
    <w:rsid w:val="5C8F6882"/>
    <w:rsid w:val="5C91458D"/>
    <w:rsid w:val="5CD31049"/>
    <w:rsid w:val="5D3A70EE"/>
    <w:rsid w:val="5D720862"/>
    <w:rsid w:val="5DC664B8"/>
    <w:rsid w:val="5DD72473"/>
    <w:rsid w:val="5E000A67"/>
    <w:rsid w:val="5E053485"/>
    <w:rsid w:val="5E0A598D"/>
    <w:rsid w:val="5E2C023E"/>
    <w:rsid w:val="5E68028B"/>
    <w:rsid w:val="5E892403"/>
    <w:rsid w:val="5E9D546B"/>
    <w:rsid w:val="5EA44A4C"/>
    <w:rsid w:val="5ECA1FD8"/>
    <w:rsid w:val="5ED41D7B"/>
    <w:rsid w:val="5EE50BC0"/>
    <w:rsid w:val="5EE83548"/>
    <w:rsid w:val="5F48187B"/>
    <w:rsid w:val="5F50072F"/>
    <w:rsid w:val="5F6917F1"/>
    <w:rsid w:val="5F8807DF"/>
    <w:rsid w:val="5FBC7B73"/>
    <w:rsid w:val="603E67DA"/>
    <w:rsid w:val="60A056E7"/>
    <w:rsid w:val="60C243CC"/>
    <w:rsid w:val="60EE412A"/>
    <w:rsid w:val="6109328C"/>
    <w:rsid w:val="617A7CE6"/>
    <w:rsid w:val="61826B9A"/>
    <w:rsid w:val="61AB4343"/>
    <w:rsid w:val="61CA58C7"/>
    <w:rsid w:val="61CD42B9"/>
    <w:rsid w:val="62586279"/>
    <w:rsid w:val="62703CE2"/>
    <w:rsid w:val="62872D6C"/>
    <w:rsid w:val="62C456BC"/>
    <w:rsid w:val="62CE02E9"/>
    <w:rsid w:val="62DD41FF"/>
    <w:rsid w:val="62F15D85"/>
    <w:rsid w:val="62F615EE"/>
    <w:rsid w:val="630C2BBF"/>
    <w:rsid w:val="630E1733"/>
    <w:rsid w:val="63352116"/>
    <w:rsid w:val="64104931"/>
    <w:rsid w:val="642503DD"/>
    <w:rsid w:val="64306D81"/>
    <w:rsid w:val="64671D6D"/>
    <w:rsid w:val="6491119F"/>
    <w:rsid w:val="64915A72"/>
    <w:rsid w:val="654518E8"/>
    <w:rsid w:val="654900FB"/>
    <w:rsid w:val="659B647C"/>
    <w:rsid w:val="659D3FA3"/>
    <w:rsid w:val="65B23EF2"/>
    <w:rsid w:val="65C52709"/>
    <w:rsid w:val="660D2ED6"/>
    <w:rsid w:val="662B7800"/>
    <w:rsid w:val="66346B47"/>
    <w:rsid w:val="66612AFE"/>
    <w:rsid w:val="66952ECC"/>
    <w:rsid w:val="66BE68C6"/>
    <w:rsid w:val="66D33FCD"/>
    <w:rsid w:val="66E74270"/>
    <w:rsid w:val="6716400D"/>
    <w:rsid w:val="67472418"/>
    <w:rsid w:val="67705D15"/>
    <w:rsid w:val="67A27F96"/>
    <w:rsid w:val="67F00D02"/>
    <w:rsid w:val="67F5796C"/>
    <w:rsid w:val="67FE215F"/>
    <w:rsid w:val="682D3D04"/>
    <w:rsid w:val="687221D0"/>
    <w:rsid w:val="688431F8"/>
    <w:rsid w:val="689B67A8"/>
    <w:rsid w:val="68BC5088"/>
    <w:rsid w:val="692C3FBB"/>
    <w:rsid w:val="6937148E"/>
    <w:rsid w:val="696077C1"/>
    <w:rsid w:val="69763488"/>
    <w:rsid w:val="69821E2D"/>
    <w:rsid w:val="69B1626F"/>
    <w:rsid w:val="69DB153D"/>
    <w:rsid w:val="6A5D01A4"/>
    <w:rsid w:val="6A840AB4"/>
    <w:rsid w:val="6AAD6A36"/>
    <w:rsid w:val="6AD42215"/>
    <w:rsid w:val="6AE27497"/>
    <w:rsid w:val="6B2111D2"/>
    <w:rsid w:val="6B317667"/>
    <w:rsid w:val="6B431148"/>
    <w:rsid w:val="6BE20961"/>
    <w:rsid w:val="6C3A69EF"/>
    <w:rsid w:val="6C904861"/>
    <w:rsid w:val="6C90660F"/>
    <w:rsid w:val="6CB22A29"/>
    <w:rsid w:val="6CB26586"/>
    <w:rsid w:val="6D1E1E6D"/>
    <w:rsid w:val="6D1F1741"/>
    <w:rsid w:val="6D2011DA"/>
    <w:rsid w:val="6D25380D"/>
    <w:rsid w:val="6D301BA0"/>
    <w:rsid w:val="6D4A77F3"/>
    <w:rsid w:val="6D6F7A97"/>
    <w:rsid w:val="6DF57072"/>
    <w:rsid w:val="6E0E3C8F"/>
    <w:rsid w:val="6E260D3B"/>
    <w:rsid w:val="6E531FEA"/>
    <w:rsid w:val="6E5D2F46"/>
    <w:rsid w:val="6F316126"/>
    <w:rsid w:val="6F437969"/>
    <w:rsid w:val="6F9C6257"/>
    <w:rsid w:val="6F9F1D1E"/>
    <w:rsid w:val="6FD95198"/>
    <w:rsid w:val="70567B70"/>
    <w:rsid w:val="70673B2B"/>
    <w:rsid w:val="706758D9"/>
    <w:rsid w:val="70B87C2E"/>
    <w:rsid w:val="70BC5C25"/>
    <w:rsid w:val="70D54F38"/>
    <w:rsid w:val="70EB02B8"/>
    <w:rsid w:val="71121CE9"/>
    <w:rsid w:val="711D41EA"/>
    <w:rsid w:val="714874B8"/>
    <w:rsid w:val="715440AF"/>
    <w:rsid w:val="718907D9"/>
    <w:rsid w:val="71CC5ED8"/>
    <w:rsid w:val="72042F0F"/>
    <w:rsid w:val="72747E4B"/>
    <w:rsid w:val="727E6F0A"/>
    <w:rsid w:val="72C9287B"/>
    <w:rsid w:val="72D84ABC"/>
    <w:rsid w:val="72E2393D"/>
    <w:rsid w:val="73012015"/>
    <w:rsid w:val="732950C8"/>
    <w:rsid w:val="7338355D"/>
    <w:rsid w:val="736311C0"/>
    <w:rsid w:val="73944970"/>
    <w:rsid w:val="73B11409"/>
    <w:rsid w:val="73DB31E4"/>
    <w:rsid w:val="73F25E01"/>
    <w:rsid w:val="747D2D22"/>
    <w:rsid w:val="747F7695"/>
    <w:rsid w:val="74836A59"/>
    <w:rsid w:val="7487479C"/>
    <w:rsid w:val="749D3FBF"/>
    <w:rsid w:val="74B51309"/>
    <w:rsid w:val="74C3047D"/>
    <w:rsid w:val="74C4658C"/>
    <w:rsid w:val="7536411F"/>
    <w:rsid w:val="75427091"/>
    <w:rsid w:val="75475CD9"/>
    <w:rsid w:val="75AC5855"/>
    <w:rsid w:val="75C5221E"/>
    <w:rsid w:val="762B1157"/>
    <w:rsid w:val="764221C2"/>
    <w:rsid w:val="76481D09"/>
    <w:rsid w:val="764F3097"/>
    <w:rsid w:val="76826D3C"/>
    <w:rsid w:val="76927E73"/>
    <w:rsid w:val="76AB6DEC"/>
    <w:rsid w:val="76CC293A"/>
    <w:rsid w:val="76F854DD"/>
    <w:rsid w:val="773A3D47"/>
    <w:rsid w:val="77807396"/>
    <w:rsid w:val="778F1D25"/>
    <w:rsid w:val="77B533CE"/>
    <w:rsid w:val="77E617D9"/>
    <w:rsid w:val="77F263D0"/>
    <w:rsid w:val="77F51A1C"/>
    <w:rsid w:val="781E639C"/>
    <w:rsid w:val="78395DAD"/>
    <w:rsid w:val="783A38D3"/>
    <w:rsid w:val="78434E7D"/>
    <w:rsid w:val="786C0283"/>
    <w:rsid w:val="787943FB"/>
    <w:rsid w:val="788A03B6"/>
    <w:rsid w:val="78BE4504"/>
    <w:rsid w:val="78CF6711"/>
    <w:rsid w:val="78E57CE3"/>
    <w:rsid w:val="78F63C9E"/>
    <w:rsid w:val="792574FE"/>
    <w:rsid w:val="792E3438"/>
    <w:rsid w:val="7936503F"/>
    <w:rsid w:val="7956298E"/>
    <w:rsid w:val="7967694A"/>
    <w:rsid w:val="798B088A"/>
    <w:rsid w:val="79A454A8"/>
    <w:rsid w:val="79B37DE1"/>
    <w:rsid w:val="7A12695B"/>
    <w:rsid w:val="7A3D5A83"/>
    <w:rsid w:val="7A782F9B"/>
    <w:rsid w:val="7A805F15"/>
    <w:rsid w:val="7A8F43AA"/>
    <w:rsid w:val="7AC04563"/>
    <w:rsid w:val="7AE5221C"/>
    <w:rsid w:val="7B22521E"/>
    <w:rsid w:val="7B6E0463"/>
    <w:rsid w:val="7B783090"/>
    <w:rsid w:val="7B906335"/>
    <w:rsid w:val="7B9D6653"/>
    <w:rsid w:val="7B9F77D7"/>
    <w:rsid w:val="7BB43683"/>
    <w:rsid w:val="7C570EF7"/>
    <w:rsid w:val="7C9B74EC"/>
    <w:rsid w:val="7CE87DA1"/>
    <w:rsid w:val="7D140B97"/>
    <w:rsid w:val="7D242978"/>
    <w:rsid w:val="7D256900"/>
    <w:rsid w:val="7D6F2271"/>
    <w:rsid w:val="7D717D97"/>
    <w:rsid w:val="7D7B14C7"/>
    <w:rsid w:val="7D7E28C2"/>
    <w:rsid w:val="7E144221"/>
    <w:rsid w:val="7E2B263C"/>
    <w:rsid w:val="7E2B6198"/>
    <w:rsid w:val="7E444597"/>
    <w:rsid w:val="7EF0118F"/>
    <w:rsid w:val="7F17496E"/>
    <w:rsid w:val="7F736048"/>
    <w:rsid w:val="7F945FBF"/>
    <w:rsid w:val="7FD10FC1"/>
    <w:rsid w:val="7FEC5DFB"/>
    <w:rsid w:val="7FF01447"/>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nhideWhenUsed="0" w:uiPriority="9"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iPriority="99"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38"/>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widowControl/>
      <w:spacing w:before="120" w:after="120" w:line="360" w:lineRule="auto"/>
      <w:outlineLvl w:val="3"/>
    </w:pPr>
    <w:rPr>
      <w:rFonts w:ascii="Arial" w:hAnsi="Arial" w:eastAsia="黑体"/>
      <w:b/>
      <w:bCs/>
      <w:kern w:val="0"/>
      <w:sz w:val="24"/>
    </w:rPr>
  </w:style>
  <w:style w:type="paragraph" w:styleId="6">
    <w:name w:val="heading 5"/>
    <w:basedOn w:val="1"/>
    <w:next w:val="7"/>
    <w:link w:val="39"/>
    <w:qFormat/>
    <w:uiPriority w:val="9"/>
    <w:pPr>
      <w:keepNext/>
      <w:keepLines/>
      <w:spacing w:before="280" w:after="290" w:line="376" w:lineRule="auto"/>
      <w:outlineLvl w:val="4"/>
    </w:pPr>
    <w:rPr>
      <w:b/>
      <w:bCs/>
      <w:sz w:val="28"/>
      <w:szCs w:val="28"/>
    </w:rPr>
  </w:style>
  <w:style w:type="paragraph" w:styleId="8">
    <w:name w:val="heading 8"/>
    <w:basedOn w:val="1"/>
    <w:next w:val="1"/>
    <w:link w:val="42"/>
    <w:qFormat/>
    <w:uiPriority w:val="9"/>
    <w:pPr>
      <w:keepNext/>
      <w:keepLines/>
      <w:spacing w:before="240" w:after="64" w:line="320" w:lineRule="auto"/>
      <w:outlineLvl w:val="7"/>
    </w:pPr>
    <w:rPr>
      <w:rFonts w:ascii="等线 Light" w:hAnsi="等线 Light" w:eastAsia="等线 Light"/>
      <w:sz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420"/>
    </w:pPr>
    <w:rPr>
      <w:szCs w:val="20"/>
    </w:rPr>
  </w:style>
  <w:style w:type="paragraph" w:styleId="9">
    <w:name w:val="index 8"/>
    <w:basedOn w:val="1"/>
    <w:next w:val="1"/>
    <w:qFormat/>
    <w:uiPriority w:val="0"/>
    <w:pPr>
      <w:ind w:left="2940"/>
    </w:pPr>
  </w:style>
  <w:style w:type="paragraph" w:styleId="10">
    <w:name w:val="List Number"/>
    <w:basedOn w:val="1"/>
    <w:qFormat/>
    <w:uiPriority w:val="99"/>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44"/>
    <w:qFormat/>
    <w:uiPriority w:val="99"/>
    <w:pPr>
      <w:jc w:val="left"/>
    </w:pPr>
  </w:style>
  <w:style w:type="paragraph" w:styleId="12">
    <w:name w:val="Body Text 3"/>
    <w:basedOn w:val="1"/>
    <w:link w:val="45"/>
    <w:unhideWhenUsed/>
    <w:qFormat/>
    <w:uiPriority w:val="99"/>
    <w:pPr>
      <w:spacing w:after="120"/>
    </w:pPr>
    <w:rPr>
      <w:sz w:val="16"/>
      <w:szCs w:val="16"/>
    </w:rPr>
  </w:style>
  <w:style w:type="paragraph" w:styleId="13">
    <w:name w:val="Body Text"/>
    <w:basedOn w:val="1"/>
    <w:link w:val="47"/>
    <w:unhideWhenUsed/>
    <w:qFormat/>
    <w:uiPriority w:val="99"/>
    <w:pPr>
      <w:spacing w:after="120"/>
    </w:pPr>
  </w:style>
  <w:style w:type="paragraph" w:styleId="14">
    <w:name w:val="Body Text Indent"/>
    <w:basedOn w:val="1"/>
    <w:link w:val="48"/>
    <w:qFormat/>
    <w:uiPriority w:val="99"/>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Block Text"/>
    <w:basedOn w:val="1"/>
    <w:qFormat/>
    <w:uiPriority w:val="0"/>
    <w:pPr>
      <w:spacing w:after="120"/>
      <w:ind w:left="1440" w:leftChars="700" w:right="1440" w:rightChars="700"/>
    </w:pPr>
    <w:rPr>
      <w:rFonts w:ascii="Times New Roman" w:hAnsi="Times New Roman" w:eastAsia="宋体" w:cs="Times New Roman"/>
    </w:rPr>
  </w:style>
  <w:style w:type="paragraph" w:styleId="17">
    <w:name w:val="Plain Text"/>
    <w:basedOn w:val="1"/>
    <w:link w:val="50"/>
    <w:qFormat/>
    <w:uiPriority w:val="0"/>
    <w:rPr>
      <w:rFonts w:ascii="宋体" w:hAnsi="Courier New"/>
      <w:kern w:val="0"/>
      <w:sz w:val="20"/>
      <w:szCs w:val="21"/>
    </w:rPr>
  </w:style>
  <w:style w:type="paragraph" w:styleId="18">
    <w:name w:val="Date"/>
    <w:basedOn w:val="1"/>
    <w:next w:val="1"/>
    <w:link w:val="51"/>
    <w:unhideWhenUsed/>
    <w:qFormat/>
    <w:uiPriority w:val="99"/>
    <w:pPr>
      <w:ind w:left="100" w:leftChars="2500"/>
    </w:pPr>
  </w:style>
  <w:style w:type="paragraph" w:styleId="19">
    <w:name w:val="Balloon Text"/>
    <w:basedOn w:val="1"/>
    <w:link w:val="52"/>
    <w:qFormat/>
    <w:uiPriority w:val="99"/>
    <w:rPr>
      <w:sz w:val="18"/>
      <w:szCs w:val="18"/>
    </w:rPr>
  </w:style>
  <w:style w:type="paragraph" w:styleId="20">
    <w:name w:val="footer"/>
    <w:basedOn w:val="1"/>
    <w:link w:val="53"/>
    <w:unhideWhenUsed/>
    <w:qFormat/>
    <w:uiPriority w:val="99"/>
    <w:pPr>
      <w:tabs>
        <w:tab w:val="center" w:pos="4153"/>
        <w:tab w:val="right" w:pos="8306"/>
      </w:tabs>
      <w:snapToGrid w:val="0"/>
      <w:jc w:val="left"/>
    </w:pPr>
    <w:rPr>
      <w:kern w:val="0"/>
      <w:sz w:val="18"/>
      <w:szCs w:val="18"/>
    </w:rPr>
  </w:style>
  <w:style w:type="paragraph" w:styleId="21">
    <w:name w:val="envelope return"/>
    <w:basedOn w:val="1"/>
    <w:qFormat/>
    <w:uiPriority w:val="99"/>
    <w:pPr>
      <w:snapToGrid w:val="0"/>
    </w:pPr>
    <w:rPr>
      <w:rFonts w:ascii="Arial" w:hAnsi="Arial"/>
    </w:rPr>
  </w:style>
  <w:style w:type="paragraph" w:styleId="22">
    <w:name w:val="header"/>
    <w:basedOn w:val="1"/>
    <w:link w:val="5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unhideWhenUsed/>
    <w:qFormat/>
    <w:uiPriority w:val="39"/>
  </w:style>
  <w:style w:type="paragraph" w:styleId="24">
    <w:name w:val="toc 2"/>
    <w:basedOn w:val="1"/>
    <w:next w:val="1"/>
    <w:unhideWhenUsed/>
    <w:qFormat/>
    <w:uiPriority w:val="39"/>
    <w:pPr>
      <w:tabs>
        <w:tab w:val="right" w:leader="dot" w:pos="8296"/>
      </w:tabs>
      <w:ind w:left="420" w:leftChars="200"/>
    </w:pPr>
  </w:style>
  <w:style w:type="paragraph" w:styleId="25">
    <w:name w:val="Normal (Web)"/>
    <w:basedOn w:val="1"/>
    <w:unhideWhenUsed/>
    <w:qFormat/>
    <w:uiPriority w:val="99"/>
    <w:rPr>
      <w:rFonts w:ascii="Calibri" w:hAnsi="Calibri"/>
      <w:kern w:val="0"/>
      <w:sz w:val="24"/>
    </w:rPr>
  </w:style>
  <w:style w:type="paragraph" w:styleId="26">
    <w:name w:val="annotation subject"/>
    <w:basedOn w:val="11"/>
    <w:next w:val="11"/>
    <w:link w:val="55"/>
    <w:qFormat/>
    <w:uiPriority w:val="99"/>
    <w:rPr>
      <w:b/>
      <w:bCs/>
    </w:rPr>
  </w:style>
  <w:style w:type="paragraph" w:styleId="27">
    <w:name w:val="Body Text First Indent"/>
    <w:basedOn w:val="1"/>
    <w:qFormat/>
    <w:uiPriority w:val="0"/>
    <w:pPr>
      <w:autoSpaceDE/>
      <w:autoSpaceDN/>
      <w:adjustRightInd/>
      <w:ind w:firstLine="420" w:firstLineChars="100"/>
      <w:jc w:val="both"/>
    </w:pPr>
    <w:rPr>
      <w:rFonts w:ascii="Times New Roman"/>
      <w:kern w:val="2"/>
      <w:sz w:val="21"/>
      <w:szCs w:val="24"/>
    </w:rPr>
  </w:style>
  <w:style w:type="table" w:styleId="29">
    <w:name w:val="Table Grid"/>
    <w:basedOn w:val="2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endnote reference"/>
    <w:unhideWhenUsed/>
    <w:qFormat/>
    <w:uiPriority w:val="99"/>
    <w:rPr>
      <w:vertAlign w:val="superscript"/>
    </w:rPr>
  </w:style>
  <w:style w:type="character" w:styleId="32">
    <w:name w:val="FollowedHyperlink"/>
    <w:unhideWhenUsed/>
    <w:qFormat/>
    <w:uiPriority w:val="99"/>
    <w:rPr>
      <w:color w:val="800080"/>
      <w:u w:val="single"/>
    </w:rPr>
  </w:style>
  <w:style w:type="character" w:styleId="33">
    <w:name w:val="Hyperlink"/>
    <w:unhideWhenUsed/>
    <w:qFormat/>
    <w:uiPriority w:val="99"/>
    <w:rPr>
      <w:color w:val="0000FF"/>
      <w:u w:val="single"/>
    </w:rPr>
  </w:style>
  <w:style w:type="character" w:styleId="34">
    <w:name w:val="annotation reference"/>
    <w:qFormat/>
    <w:uiPriority w:val="0"/>
    <w:rPr>
      <w:sz w:val="21"/>
      <w:szCs w:val="21"/>
    </w:rPr>
  </w:style>
  <w:style w:type="paragraph" w:customStyle="1" w:styleId="35">
    <w:name w:val="Default"/>
    <w:next w:val="1"/>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character" w:customStyle="1" w:styleId="36">
    <w:name w:val="标题 1 Char"/>
    <w:basedOn w:val="30"/>
    <w:link w:val="2"/>
    <w:qFormat/>
    <w:uiPriority w:val="9"/>
    <w:rPr>
      <w:b/>
      <w:bCs/>
      <w:kern w:val="44"/>
      <w:sz w:val="44"/>
      <w:szCs w:val="44"/>
    </w:rPr>
  </w:style>
  <w:style w:type="character" w:customStyle="1" w:styleId="37">
    <w:name w:val="标题 2 Char"/>
    <w:basedOn w:val="30"/>
    <w:qFormat/>
    <w:uiPriority w:val="9"/>
    <w:rPr>
      <w:rFonts w:asciiTheme="majorHAnsi" w:hAnsiTheme="majorHAnsi" w:eastAsiaTheme="majorEastAsia" w:cstheme="majorBidi"/>
      <w:b/>
      <w:bCs/>
      <w:kern w:val="2"/>
      <w:sz w:val="32"/>
      <w:szCs w:val="32"/>
    </w:rPr>
  </w:style>
  <w:style w:type="character" w:customStyle="1" w:styleId="38">
    <w:name w:val="标题 3 Char"/>
    <w:basedOn w:val="30"/>
    <w:link w:val="4"/>
    <w:qFormat/>
    <w:uiPriority w:val="9"/>
    <w:rPr>
      <w:b/>
      <w:bCs/>
      <w:kern w:val="2"/>
      <w:sz w:val="32"/>
      <w:szCs w:val="32"/>
    </w:rPr>
  </w:style>
  <w:style w:type="character" w:customStyle="1" w:styleId="39">
    <w:name w:val="标题 5 Char"/>
    <w:basedOn w:val="30"/>
    <w:link w:val="6"/>
    <w:qFormat/>
    <w:uiPriority w:val="9"/>
    <w:rPr>
      <w:b/>
      <w:bCs/>
      <w:kern w:val="2"/>
      <w:sz w:val="28"/>
      <w:szCs w:val="28"/>
    </w:rPr>
  </w:style>
  <w:style w:type="character" w:customStyle="1" w:styleId="40">
    <w:name w:val="标题 8 Char"/>
    <w:basedOn w:val="30"/>
    <w:qFormat/>
    <w:uiPriority w:val="9"/>
    <w:rPr>
      <w:rFonts w:asciiTheme="majorHAnsi" w:hAnsiTheme="majorHAnsi" w:eastAsiaTheme="majorEastAsia" w:cstheme="majorBidi"/>
      <w:kern w:val="2"/>
      <w:sz w:val="24"/>
      <w:szCs w:val="24"/>
    </w:rPr>
  </w:style>
  <w:style w:type="character" w:customStyle="1" w:styleId="41">
    <w:name w:val="标题 2 Char1"/>
    <w:link w:val="3"/>
    <w:qFormat/>
    <w:uiPriority w:val="9"/>
    <w:rPr>
      <w:rFonts w:ascii="Cambria" w:hAnsi="Cambria"/>
      <w:b/>
      <w:bCs/>
      <w:kern w:val="2"/>
      <w:sz w:val="32"/>
      <w:szCs w:val="32"/>
    </w:rPr>
  </w:style>
  <w:style w:type="character" w:customStyle="1" w:styleId="42">
    <w:name w:val="标题 8 Char1"/>
    <w:link w:val="8"/>
    <w:qFormat/>
    <w:uiPriority w:val="9"/>
    <w:rPr>
      <w:rFonts w:ascii="等线 Light" w:hAnsi="等线 Light" w:eastAsia="等线 Light"/>
      <w:kern w:val="2"/>
      <w:sz w:val="24"/>
      <w:szCs w:val="24"/>
    </w:rPr>
  </w:style>
  <w:style w:type="character" w:customStyle="1" w:styleId="43">
    <w:name w:val="批注文字 Char"/>
    <w:basedOn w:val="30"/>
    <w:qFormat/>
    <w:uiPriority w:val="99"/>
    <w:rPr>
      <w:kern w:val="2"/>
      <w:sz w:val="21"/>
      <w:szCs w:val="24"/>
    </w:rPr>
  </w:style>
  <w:style w:type="character" w:customStyle="1" w:styleId="44">
    <w:name w:val="批注文字 Char1"/>
    <w:link w:val="11"/>
    <w:qFormat/>
    <w:uiPriority w:val="99"/>
    <w:rPr>
      <w:kern w:val="2"/>
      <w:sz w:val="21"/>
      <w:szCs w:val="24"/>
    </w:rPr>
  </w:style>
  <w:style w:type="character" w:customStyle="1" w:styleId="45">
    <w:name w:val="正文文本 3 Char"/>
    <w:basedOn w:val="30"/>
    <w:link w:val="12"/>
    <w:qFormat/>
    <w:uiPriority w:val="99"/>
    <w:rPr>
      <w:kern w:val="2"/>
      <w:sz w:val="16"/>
      <w:szCs w:val="16"/>
    </w:rPr>
  </w:style>
  <w:style w:type="character" w:customStyle="1" w:styleId="46">
    <w:name w:val="正文文本 Char"/>
    <w:basedOn w:val="30"/>
    <w:qFormat/>
    <w:uiPriority w:val="99"/>
    <w:rPr>
      <w:kern w:val="2"/>
      <w:sz w:val="21"/>
      <w:szCs w:val="24"/>
    </w:rPr>
  </w:style>
  <w:style w:type="character" w:customStyle="1" w:styleId="47">
    <w:name w:val="正文文本 Char1"/>
    <w:link w:val="13"/>
    <w:qFormat/>
    <w:uiPriority w:val="99"/>
    <w:rPr>
      <w:kern w:val="2"/>
      <w:sz w:val="21"/>
      <w:szCs w:val="24"/>
    </w:rPr>
  </w:style>
  <w:style w:type="character" w:customStyle="1" w:styleId="48">
    <w:name w:val="正文文本缩进 Char"/>
    <w:basedOn w:val="30"/>
    <w:link w:val="14"/>
    <w:qFormat/>
    <w:uiPriority w:val="99"/>
    <w:rPr>
      <w:rFonts w:ascii="仿宋_GB2312" w:eastAsia="仿宋_GB2312"/>
      <w:sz w:val="32"/>
    </w:rPr>
  </w:style>
  <w:style w:type="character" w:customStyle="1" w:styleId="49">
    <w:name w:val="纯文本 Char"/>
    <w:basedOn w:val="30"/>
    <w:qFormat/>
    <w:uiPriority w:val="0"/>
    <w:rPr>
      <w:rFonts w:ascii="宋体" w:hAnsi="Courier New" w:cs="Courier New"/>
      <w:kern w:val="2"/>
      <w:sz w:val="21"/>
      <w:szCs w:val="21"/>
    </w:rPr>
  </w:style>
  <w:style w:type="character" w:customStyle="1" w:styleId="50">
    <w:name w:val="纯文本 Char1"/>
    <w:link w:val="17"/>
    <w:qFormat/>
    <w:uiPriority w:val="0"/>
    <w:rPr>
      <w:rFonts w:ascii="宋体" w:hAnsi="Courier New"/>
      <w:szCs w:val="21"/>
    </w:rPr>
  </w:style>
  <w:style w:type="character" w:customStyle="1" w:styleId="51">
    <w:name w:val="日期 Char"/>
    <w:basedOn w:val="30"/>
    <w:link w:val="18"/>
    <w:qFormat/>
    <w:uiPriority w:val="99"/>
    <w:rPr>
      <w:kern w:val="2"/>
      <w:sz w:val="21"/>
      <w:szCs w:val="24"/>
    </w:rPr>
  </w:style>
  <w:style w:type="character" w:customStyle="1" w:styleId="52">
    <w:name w:val="批注框文本 Char"/>
    <w:basedOn w:val="30"/>
    <w:link w:val="19"/>
    <w:qFormat/>
    <w:uiPriority w:val="99"/>
    <w:rPr>
      <w:kern w:val="2"/>
      <w:sz w:val="18"/>
      <w:szCs w:val="18"/>
    </w:rPr>
  </w:style>
  <w:style w:type="character" w:customStyle="1" w:styleId="53">
    <w:name w:val="页脚 Char"/>
    <w:basedOn w:val="30"/>
    <w:link w:val="20"/>
    <w:qFormat/>
    <w:uiPriority w:val="99"/>
    <w:rPr>
      <w:sz w:val="18"/>
      <w:szCs w:val="18"/>
    </w:rPr>
  </w:style>
  <w:style w:type="character" w:customStyle="1" w:styleId="54">
    <w:name w:val="页眉 Char"/>
    <w:basedOn w:val="30"/>
    <w:link w:val="22"/>
    <w:qFormat/>
    <w:uiPriority w:val="99"/>
    <w:rPr>
      <w:sz w:val="18"/>
      <w:szCs w:val="18"/>
    </w:rPr>
  </w:style>
  <w:style w:type="character" w:customStyle="1" w:styleId="55">
    <w:name w:val="批注主题 Char"/>
    <w:basedOn w:val="43"/>
    <w:link w:val="26"/>
    <w:qFormat/>
    <w:uiPriority w:val="99"/>
    <w:rPr>
      <w:b/>
      <w:bCs/>
      <w:kern w:val="2"/>
      <w:sz w:val="21"/>
      <w:szCs w:val="24"/>
    </w:rPr>
  </w:style>
  <w:style w:type="character" w:customStyle="1" w:styleId="56">
    <w:name w:val="标题 1 字符1"/>
    <w:qFormat/>
    <w:uiPriority w:val="0"/>
    <w:rPr>
      <w:b/>
      <w:bCs/>
      <w:kern w:val="44"/>
      <w:sz w:val="44"/>
      <w:szCs w:val="44"/>
    </w:rPr>
  </w:style>
  <w:style w:type="character" w:customStyle="1" w:styleId="57">
    <w:name w:val="textcontents"/>
    <w:qFormat/>
    <w:uiPriority w:val="0"/>
  </w:style>
  <w:style w:type="character" w:customStyle="1" w:styleId="58">
    <w:name w:val="纯文本 字符"/>
    <w:qFormat/>
    <w:uiPriority w:val="0"/>
    <w:rPr>
      <w:rFonts w:ascii="宋体" w:hAnsi="Courier New" w:eastAsia="宋体" w:cs="Courier New"/>
      <w:szCs w:val="21"/>
    </w:rPr>
  </w:style>
  <w:style w:type="character" w:customStyle="1" w:styleId="59">
    <w:name w:val="纯文本 字符2"/>
    <w:qFormat/>
    <w:uiPriority w:val="0"/>
    <w:rPr>
      <w:rFonts w:ascii="宋体" w:hAnsi="Courier New" w:eastAsia="宋体" w:cs="Courier New"/>
      <w:szCs w:val="21"/>
    </w:rPr>
  </w:style>
  <w:style w:type="character" w:customStyle="1" w:styleId="60">
    <w:name w:val="批注文字 字符1"/>
    <w:qFormat/>
    <w:uiPriority w:val="0"/>
    <w:rPr>
      <w:rFonts w:ascii="Times New Roman" w:hAnsi="Times New Roman"/>
      <w:kern w:val="2"/>
      <w:sz w:val="21"/>
      <w:szCs w:val="24"/>
    </w:rPr>
  </w:style>
  <w:style w:type="character" w:customStyle="1" w:styleId="6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2">
    <w:name w:val="纯文本 字符1"/>
    <w:qFormat/>
    <w:uiPriority w:val="0"/>
    <w:rPr>
      <w:rFonts w:ascii="宋体" w:hAnsi="Courier New"/>
    </w:rPr>
  </w:style>
  <w:style w:type="character" w:customStyle="1" w:styleId="63">
    <w:name w:val="批注文字 字符"/>
    <w:qFormat/>
    <w:uiPriority w:val="0"/>
    <w:rPr>
      <w:rFonts w:ascii="Times New Roman" w:hAnsi="Times New Roman"/>
      <w:kern w:val="2"/>
      <w:sz w:val="21"/>
      <w:szCs w:val="24"/>
    </w:rPr>
  </w:style>
  <w:style w:type="character" w:customStyle="1" w:styleId="64">
    <w:name w:val="apple-style-span"/>
    <w:qFormat/>
    <w:uiPriority w:val="0"/>
  </w:style>
  <w:style w:type="paragraph" w:customStyle="1" w:styleId="65">
    <w:name w:val="默认段落字体 Para Char Char Char Char Char Char Char Char Char1 Char Char Char Char"/>
    <w:basedOn w:val="1"/>
    <w:qFormat/>
    <w:uiPriority w:val="99"/>
    <w:rPr>
      <w:rFonts w:ascii="Tahoma" w:hAnsi="Tahoma"/>
      <w:sz w:val="24"/>
      <w:szCs w:val="20"/>
    </w:rPr>
  </w:style>
  <w:style w:type="paragraph" w:customStyle="1" w:styleId="66">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styleId="67">
    <w:name w:val="List Paragraph"/>
    <w:basedOn w:val="1"/>
    <w:qFormat/>
    <w:uiPriority w:val="34"/>
    <w:pPr>
      <w:ind w:firstLine="420" w:firstLineChars="200"/>
    </w:pPr>
  </w:style>
  <w:style w:type="paragraph" w:customStyle="1" w:styleId="68">
    <w:name w:val="Table Paragraph"/>
    <w:basedOn w:val="1"/>
    <w:qFormat/>
    <w:uiPriority w:val="1"/>
    <w:pPr>
      <w:jc w:val="left"/>
    </w:pPr>
    <w:rPr>
      <w:rFonts w:ascii="Calibri" w:hAnsi="Calibri"/>
      <w:kern w:val="0"/>
      <w:sz w:val="22"/>
      <w:szCs w:val="22"/>
      <w:lang w:eastAsia="en-US"/>
    </w:rPr>
  </w:style>
  <w:style w:type="character" w:customStyle="1" w:styleId="69">
    <w:name w:val="正文文本 字符"/>
    <w:qFormat/>
    <w:uiPriority w:val="0"/>
    <w:rPr>
      <w:rFonts w:ascii="Times New Roman" w:hAnsi="Times New Roman"/>
      <w:kern w:val="2"/>
      <w:sz w:val="21"/>
      <w:szCs w:val="24"/>
    </w:rPr>
  </w:style>
  <w:style w:type="character" w:customStyle="1" w:styleId="70">
    <w:name w:val="批注文字 Char2"/>
    <w:qFormat/>
    <w:uiPriority w:val="0"/>
    <w:rPr>
      <w:rFonts w:ascii="Times New Roman" w:hAnsi="Times New Roman"/>
      <w:kern w:val="2"/>
      <w:sz w:val="21"/>
      <w:szCs w:val="24"/>
    </w:rPr>
  </w:style>
  <w:style w:type="character" w:customStyle="1" w:styleId="71">
    <w:name w:val="正文2 Char Char"/>
    <w:link w:val="72"/>
    <w:qFormat/>
    <w:uiPriority w:val="0"/>
    <w:rPr>
      <w:kern w:val="2"/>
      <w:sz w:val="24"/>
    </w:rPr>
  </w:style>
  <w:style w:type="paragraph" w:customStyle="1" w:styleId="72">
    <w:name w:val="正文2"/>
    <w:basedOn w:val="1"/>
    <w:link w:val="71"/>
    <w:qFormat/>
    <w:uiPriority w:val="0"/>
    <w:pPr>
      <w:adjustRightInd w:val="0"/>
      <w:spacing w:before="156" w:line="360" w:lineRule="auto"/>
      <w:ind w:firstLine="510" w:firstLineChars="200"/>
    </w:pPr>
    <w:rPr>
      <w:sz w:val="24"/>
      <w:szCs w:val="20"/>
    </w:rPr>
  </w:style>
  <w:style w:type="paragraph" w:customStyle="1" w:styleId="73">
    <w:name w:val="表格文字"/>
    <w:basedOn w:val="1"/>
    <w:qFormat/>
    <w:uiPriority w:val="0"/>
    <w:pPr>
      <w:spacing w:before="25" w:after="25"/>
      <w:jc w:val="left"/>
    </w:pPr>
    <w:rPr>
      <w:bCs/>
      <w:spacing w:val="10"/>
      <w:kern w:val="0"/>
      <w:sz w:val="24"/>
    </w:rPr>
  </w:style>
  <w:style w:type="character" w:customStyle="1" w:styleId="74">
    <w:name w:val="批注文字 字符2"/>
    <w:qFormat/>
    <w:uiPriority w:val="0"/>
    <w:rPr>
      <w:kern w:val="2"/>
      <w:sz w:val="21"/>
      <w:szCs w:val="24"/>
    </w:rPr>
  </w:style>
  <w:style w:type="character" w:customStyle="1" w:styleId="75">
    <w:name w:val="纯文本 字符3"/>
    <w:qFormat/>
    <w:uiPriority w:val="0"/>
    <w:rPr>
      <w:rFonts w:ascii="宋体" w:hAnsi="Courier New"/>
      <w:szCs w:val="21"/>
    </w:rPr>
  </w:style>
  <w:style w:type="character" w:customStyle="1" w:styleId="76">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4099"/>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405</Words>
  <Characters>495</Characters>
  <Lines>318</Lines>
  <Paragraphs>89</Paragraphs>
  <TotalTime>6</TotalTime>
  <ScaleCrop>false</ScaleCrop>
  <LinksUpToDate>false</LinksUpToDate>
  <CharactersWithSpaces>545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2022-08-17T01:36:00Z</dcterms:created>
  <dc:creator>xb21cn</dc:creator>
  <cp:lastModifiedBy>沉淀</cp:lastModifiedBy>
  <cp:lastPrinted>2025-08-04T07:11:00Z</cp:lastPrinted>
  <dcterms:modified xsi:type="dcterms:W3CDTF">2025-09-29T09:45:26Z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B2F1F9473BAF4B55B116F4743B034D1D</vt:lpwstr>
  </property>
  <property fmtid="{D5CDD505-2E9C-101B-9397-08002B2CF9AE}" pid="4" name="KSOTemplateDocerSaveRecord">
    <vt:lpwstr>eyJoZGlkIjoiNTc0MzZkZmQwN2YwNGQ2YzUzN2RjNDI2OTMzMzkzN2QiLCJ1c2VySWQiOiI3MzE1NzA0ODAifQ==</vt:lpwstr>
  </property>
</Properties>
</file>