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1E8A1A">
      <w:pPr>
        <w:spacing w:line="1000" w:lineRule="exact"/>
        <w:jc w:val="center"/>
        <w:rPr>
          <w:rFonts w:hint="eastAsia" w:ascii="宋体" w:hAnsi="宋体" w:eastAsia="宋体" w:cs="宋体"/>
          <w:b/>
          <w:bCs/>
          <w:color w:val="auto"/>
          <w:sz w:val="72"/>
          <w:highlight w:val="none"/>
        </w:rPr>
      </w:pPr>
      <w:r>
        <w:rPr>
          <w:rFonts w:hint="eastAsia" w:ascii="宋体" w:hAnsi="宋体" w:cs="宋体"/>
          <w:b/>
          <w:bCs/>
          <w:color w:val="auto"/>
          <w:sz w:val="56"/>
          <w:szCs w:val="22"/>
          <w:highlight w:val="none"/>
          <w:lang w:eastAsia="zh-CN"/>
        </w:rPr>
        <w:t>广西龙珂建设工程集团有限公司</w:t>
      </w:r>
      <w:r>
        <w:rPr>
          <w:rFonts w:hint="eastAsia" w:ascii="宋体" w:hAnsi="宋体" w:eastAsia="宋体" w:cs="宋体"/>
          <w:b/>
          <w:bCs/>
          <w:color w:val="auto"/>
          <w:sz w:val="72"/>
          <w:highlight w:val="none"/>
        </w:rPr>
        <w:cr/>
      </w:r>
    </w:p>
    <w:p w14:paraId="12B2A4D8">
      <w:pPr>
        <w:spacing w:line="1000" w:lineRule="exact"/>
        <w:jc w:val="center"/>
        <w:rPr>
          <w:rFonts w:hint="eastAsia" w:ascii="宋体" w:hAnsi="宋体" w:eastAsia="宋体" w:cs="宋体"/>
          <w:b/>
          <w:color w:val="auto"/>
          <w:sz w:val="84"/>
          <w:szCs w:val="84"/>
          <w:highlight w:val="none"/>
        </w:rPr>
      </w:pPr>
    </w:p>
    <w:p w14:paraId="38275BBE">
      <w:pPr>
        <w:spacing w:line="1000" w:lineRule="exact"/>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rPr>
        <w:t>竞争性磋商文件</w:t>
      </w:r>
      <w:r>
        <w:rPr>
          <w:rFonts w:hint="eastAsia" w:ascii="宋体" w:hAnsi="宋体" w:eastAsia="宋体" w:cs="宋体"/>
          <w:b/>
          <w:color w:val="auto"/>
          <w:sz w:val="84"/>
          <w:szCs w:val="84"/>
          <w:highlight w:val="none"/>
        </w:rPr>
        <w:cr/>
      </w:r>
      <w:r>
        <w:rPr>
          <w:rFonts w:hint="eastAsia" w:ascii="宋体" w:hAnsi="宋体" w:eastAsia="宋体" w:cs="宋体"/>
          <w:b/>
          <w:color w:val="auto"/>
          <w:sz w:val="84"/>
          <w:szCs w:val="84"/>
          <w:highlight w:val="none"/>
        </w:rPr>
        <w:cr/>
      </w:r>
    </w:p>
    <w:p w14:paraId="13B30965">
      <w:pPr>
        <w:pStyle w:val="12"/>
        <w:ind w:firstLine="3990" w:firstLineChars="1900"/>
        <w:rPr>
          <w:rFonts w:hint="eastAsia" w:ascii="宋体" w:hAnsi="宋体" w:eastAsia="宋体" w:cs="宋体"/>
          <w:color w:val="auto"/>
          <w:highlight w:val="none"/>
        </w:rPr>
      </w:pPr>
    </w:p>
    <w:p w14:paraId="389F4189">
      <w:pPr>
        <w:pStyle w:val="12"/>
        <w:rPr>
          <w:rFonts w:hint="eastAsia" w:ascii="宋体" w:hAnsi="宋体" w:eastAsia="宋体" w:cs="宋体"/>
          <w:color w:val="auto"/>
          <w:highlight w:val="none"/>
        </w:rPr>
      </w:pPr>
    </w:p>
    <w:p w14:paraId="6B6BF7C0">
      <w:pPr>
        <w:ind w:left="2082" w:leftChars="304" w:hanging="1444" w:hangingChars="400"/>
        <w:jc w:val="both"/>
        <w:rPr>
          <w:rFonts w:hint="eastAsia" w:ascii="宋体" w:hAnsi="宋体" w:eastAsia="宋体" w:cs="宋体"/>
          <w:b/>
          <w:bCs/>
          <w:color w:val="auto"/>
          <w:spacing w:val="40"/>
          <w:sz w:val="28"/>
          <w:szCs w:val="22"/>
          <w:highlight w:val="none"/>
          <w:lang w:val="en-US" w:eastAsia="zh-CN"/>
        </w:rPr>
      </w:pPr>
      <w:r>
        <w:rPr>
          <w:rFonts w:hint="eastAsia" w:ascii="宋体" w:hAnsi="宋体" w:eastAsia="宋体" w:cs="宋体"/>
          <w:b/>
          <w:bCs/>
          <w:color w:val="auto"/>
          <w:spacing w:val="40"/>
          <w:sz w:val="28"/>
          <w:szCs w:val="22"/>
          <w:highlight w:val="none"/>
        </w:rPr>
        <w:t>项目名称：</w:t>
      </w:r>
      <w:r>
        <w:rPr>
          <w:rFonts w:hint="eastAsia" w:ascii="宋体" w:hAnsi="宋体" w:cs="宋体"/>
          <w:b/>
          <w:bCs/>
          <w:color w:val="auto"/>
          <w:spacing w:val="40"/>
          <w:sz w:val="28"/>
          <w:szCs w:val="22"/>
          <w:highlight w:val="none"/>
          <w:lang w:eastAsia="zh-CN"/>
        </w:rPr>
        <w:t>贵县古墓葬群红岭顶八一路古墓保护工程</w:t>
      </w:r>
    </w:p>
    <w:p w14:paraId="1407351D">
      <w:pPr>
        <w:ind w:firstLine="639" w:firstLineChars="177"/>
        <w:rPr>
          <w:rFonts w:hint="eastAsia" w:ascii="宋体" w:hAnsi="宋体" w:eastAsia="宋体" w:cs="宋体"/>
          <w:color w:val="auto"/>
          <w:highlight w:val="none"/>
        </w:rPr>
      </w:pPr>
      <w:r>
        <w:rPr>
          <w:rFonts w:hint="eastAsia" w:ascii="宋体" w:hAnsi="宋体" w:eastAsia="宋体" w:cs="宋体"/>
          <w:b/>
          <w:bCs/>
          <w:color w:val="auto"/>
          <w:spacing w:val="40"/>
          <w:sz w:val="28"/>
          <w:szCs w:val="22"/>
          <w:highlight w:val="none"/>
        </w:rPr>
        <w:t>项目编号</w:t>
      </w:r>
      <w:r>
        <w:rPr>
          <w:rFonts w:hint="eastAsia" w:ascii="宋体" w:hAnsi="宋体" w:eastAsia="宋体" w:cs="宋体"/>
          <w:b/>
          <w:bCs/>
          <w:color w:val="auto"/>
          <w:spacing w:val="40"/>
          <w:sz w:val="28"/>
          <w:szCs w:val="22"/>
          <w:highlight w:val="none"/>
          <w:lang w:eastAsia="zh-CN"/>
        </w:rPr>
        <w:t>：GGZC2025-C2-990150-GXLK</w:t>
      </w:r>
    </w:p>
    <w:p w14:paraId="37A062A8">
      <w:pPr>
        <w:ind w:firstLine="401" w:firstLineChars="100"/>
        <w:jc w:val="both"/>
        <w:rPr>
          <w:rFonts w:hint="default" w:ascii="宋体" w:hAnsi="宋体" w:eastAsia="宋体" w:cs="宋体"/>
          <w:b/>
          <w:bCs/>
          <w:color w:val="auto"/>
          <w:spacing w:val="40"/>
          <w:sz w:val="32"/>
          <w:highlight w:val="none"/>
          <w:lang w:val="en-US"/>
        </w:rPr>
      </w:pPr>
    </w:p>
    <w:p w14:paraId="13A2BB6E">
      <w:pPr>
        <w:ind w:firstLine="1050" w:firstLineChars="500"/>
        <w:rPr>
          <w:rFonts w:hint="eastAsia" w:ascii="宋体" w:hAnsi="宋体" w:eastAsia="宋体" w:cs="宋体"/>
          <w:color w:val="auto"/>
          <w:highlight w:val="none"/>
        </w:rPr>
      </w:pPr>
    </w:p>
    <w:p w14:paraId="2DC91313">
      <w:pPr>
        <w:ind w:firstLine="1050" w:firstLineChars="500"/>
        <w:rPr>
          <w:rFonts w:hint="eastAsia" w:ascii="宋体" w:hAnsi="宋体" w:eastAsia="宋体" w:cs="宋体"/>
          <w:color w:val="auto"/>
          <w:highlight w:val="none"/>
        </w:rPr>
      </w:pPr>
    </w:p>
    <w:p w14:paraId="17F6E57F">
      <w:pPr>
        <w:ind w:firstLine="1050" w:firstLineChars="500"/>
        <w:rPr>
          <w:rFonts w:hint="eastAsia" w:ascii="宋体" w:hAnsi="宋体" w:eastAsia="宋体" w:cs="宋体"/>
          <w:color w:val="auto"/>
          <w:highlight w:val="none"/>
        </w:rPr>
      </w:pPr>
    </w:p>
    <w:p w14:paraId="248E636A">
      <w:pPr>
        <w:pStyle w:val="9"/>
        <w:rPr>
          <w:rFonts w:hint="eastAsia"/>
          <w:color w:val="auto"/>
          <w:highlight w:val="none"/>
        </w:rPr>
      </w:pPr>
    </w:p>
    <w:p w14:paraId="1F151638">
      <w:pPr>
        <w:ind w:left="-2" w:leftChars="-1" w:firstLine="630" w:firstLineChars="300"/>
        <w:rPr>
          <w:rFonts w:hint="eastAsia" w:ascii="宋体" w:hAnsi="宋体" w:eastAsia="宋体" w:cs="宋体"/>
          <w:color w:val="auto"/>
          <w:highlight w:val="none"/>
        </w:rPr>
      </w:pPr>
    </w:p>
    <w:p w14:paraId="3F026CCC">
      <w:pPr>
        <w:ind w:left="-2" w:leftChars="-1" w:firstLine="630" w:firstLineChars="300"/>
        <w:rPr>
          <w:rFonts w:hint="eastAsia" w:ascii="宋体" w:hAnsi="宋体" w:eastAsia="宋体" w:cs="宋体"/>
          <w:color w:val="auto"/>
          <w:highlight w:val="none"/>
        </w:rPr>
      </w:pPr>
    </w:p>
    <w:p w14:paraId="11F5C860">
      <w:pPr>
        <w:ind w:left="-2" w:leftChars="-1" w:firstLine="630" w:firstLineChars="300"/>
        <w:rPr>
          <w:rFonts w:hint="eastAsia" w:ascii="宋体" w:hAnsi="宋体" w:eastAsia="宋体" w:cs="宋体"/>
          <w:color w:val="auto"/>
          <w:highlight w:val="none"/>
        </w:rPr>
      </w:pPr>
    </w:p>
    <w:p w14:paraId="5D20816E">
      <w:pPr>
        <w:pStyle w:val="13"/>
        <w:rPr>
          <w:rFonts w:hint="eastAsia"/>
          <w:color w:val="auto"/>
          <w:highlight w:val="none"/>
        </w:rPr>
      </w:pPr>
    </w:p>
    <w:p w14:paraId="380E0C4A">
      <w:pPr>
        <w:ind w:firstLine="643" w:firstLineChars="200"/>
        <w:rPr>
          <w:rFonts w:hint="eastAsia" w:ascii="宋体" w:hAnsi="宋体" w:cs="宋体"/>
          <w:b/>
          <w:bCs/>
          <w:color w:val="auto"/>
          <w:sz w:val="32"/>
          <w:highlight w:val="none"/>
          <w:lang w:val="en-US" w:eastAsia="zh-CN"/>
        </w:rPr>
      </w:pPr>
      <w:r>
        <w:rPr>
          <w:rFonts w:hint="eastAsia" w:ascii="宋体" w:hAnsi="宋体" w:eastAsia="宋体" w:cs="宋体"/>
          <w:b/>
          <w:bCs/>
          <w:color w:val="auto"/>
          <w:sz w:val="32"/>
          <w:highlight w:val="none"/>
          <w:lang w:val="en-US" w:eastAsia="zh-CN"/>
        </w:rPr>
        <w:t xml:space="preserve">  </w:t>
      </w:r>
      <w:r>
        <w:rPr>
          <w:rFonts w:hint="eastAsia" w:ascii="宋体" w:hAnsi="宋体" w:cs="宋体"/>
          <w:b/>
          <w:bCs/>
          <w:color w:val="auto"/>
          <w:sz w:val="32"/>
          <w:highlight w:val="none"/>
          <w:lang w:val="en-US" w:eastAsia="zh-CN"/>
        </w:rPr>
        <w:t>采   购   人：贵港市文化广电体育和旅游局</w:t>
      </w:r>
    </w:p>
    <w:p w14:paraId="4C0FC5A8">
      <w:pPr>
        <w:ind w:firstLine="964" w:firstLineChars="300"/>
        <w:rPr>
          <w:rFonts w:hint="eastAsia" w:ascii="宋体" w:hAnsi="宋体" w:cs="宋体"/>
          <w:b/>
          <w:bCs/>
          <w:color w:val="auto"/>
          <w:sz w:val="32"/>
          <w:highlight w:val="none"/>
          <w:lang w:eastAsia="zh-CN"/>
        </w:rPr>
      </w:pPr>
      <w:r>
        <w:rPr>
          <w:rFonts w:hint="eastAsia" w:ascii="宋体" w:hAnsi="宋体" w:eastAsia="宋体" w:cs="宋体"/>
          <w:b/>
          <w:bCs/>
          <w:color w:val="auto"/>
          <w:sz w:val="32"/>
          <w:highlight w:val="none"/>
        </w:rPr>
        <w:t>采购代理机构：</w:t>
      </w:r>
      <w:r>
        <w:rPr>
          <w:rFonts w:hint="eastAsia" w:ascii="宋体" w:hAnsi="宋体" w:cs="宋体"/>
          <w:b/>
          <w:bCs/>
          <w:color w:val="auto"/>
          <w:sz w:val="32"/>
          <w:highlight w:val="none"/>
          <w:lang w:eastAsia="zh-CN"/>
        </w:rPr>
        <w:t>广西龙珂建设工程集团有限公司</w:t>
      </w:r>
    </w:p>
    <w:p w14:paraId="605FBAEB">
      <w:pPr>
        <w:ind w:firstLine="643" w:firstLineChars="200"/>
        <w:rPr>
          <w:rFonts w:hint="eastAsia" w:ascii="宋体" w:hAnsi="宋体" w:eastAsia="宋体" w:cs="宋体"/>
          <w:color w:val="auto"/>
          <w:sz w:val="32"/>
          <w:szCs w:val="32"/>
          <w:highlight w:val="none"/>
        </w:rPr>
      </w:pPr>
      <w:r>
        <w:rPr>
          <w:rFonts w:hint="eastAsia" w:ascii="宋体" w:hAnsi="宋体" w:cs="宋体"/>
          <w:b/>
          <w:bCs/>
          <w:color w:val="auto"/>
          <w:sz w:val="32"/>
          <w:highlight w:val="none"/>
          <w:lang w:eastAsia="zh-CN"/>
        </w:rPr>
        <w:t xml:space="preserve"> </w:t>
      </w:r>
      <w:r>
        <w:rPr>
          <w:rFonts w:hint="eastAsia" w:ascii="宋体" w:hAnsi="宋体" w:eastAsia="宋体" w:cs="宋体"/>
          <w:b/>
          <w:bCs/>
          <w:color w:val="auto"/>
          <w:sz w:val="32"/>
          <w:highlight w:val="none"/>
        </w:rPr>
        <w:t xml:space="preserve"> </w:t>
      </w:r>
      <w:r>
        <w:rPr>
          <w:rFonts w:hint="eastAsia" w:ascii="宋体" w:hAnsi="宋体" w:eastAsia="宋体" w:cs="宋体"/>
          <w:b/>
          <w:bCs/>
          <w:color w:val="auto"/>
          <w:spacing w:val="40"/>
          <w:kern w:val="0"/>
          <w:sz w:val="32"/>
          <w:highlight w:val="none"/>
        </w:rPr>
        <w:t xml:space="preserve">           </w:t>
      </w:r>
      <w:r>
        <w:rPr>
          <w:rFonts w:hint="eastAsia" w:ascii="宋体" w:hAnsi="宋体" w:eastAsia="宋体" w:cs="宋体"/>
          <w:color w:val="auto"/>
          <w:sz w:val="32"/>
          <w:szCs w:val="32"/>
          <w:highlight w:val="none"/>
        </w:rPr>
        <w:t xml:space="preserve">     </w:t>
      </w:r>
    </w:p>
    <w:p w14:paraId="67D238E8">
      <w:pPr>
        <w:ind w:firstLine="3694" w:firstLineChars="1150"/>
        <w:rPr>
          <w:rFonts w:hint="eastAsia" w:ascii="宋体" w:hAnsi="宋体" w:eastAsia="宋体" w:cs="宋体"/>
          <w:color w:val="auto"/>
          <w:sz w:val="32"/>
          <w:highlight w:val="none"/>
        </w:rPr>
      </w:pPr>
      <w:r>
        <w:rPr>
          <w:rFonts w:hint="eastAsia" w:ascii="宋体" w:hAnsi="宋体" w:cs="宋体"/>
          <w:b/>
          <w:bCs/>
          <w:color w:val="auto"/>
          <w:sz w:val="32"/>
          <w:highlight w:val="none"/>
          <w:lang w:val="en-US" w:eastAsia="zh-CN"/>
        </w:rPr>
        <w:t>2025</w:t>
      </w:r>
      <w:r>
        <w:rPr>
          <w:rFonts w:hint="eastAsia" w:ascii="宋体" w:hAnsi="宋体" w:eastAsia="宋体" w:cs="宋体"/>
          <w:b/>
          <w:bCs/>
          <w:color w:val="auto"/>
          <w:sz w:val="32"/>
          <w:highlight w:val="none"/>
        </w:rPr>
        <w:t>年</w:t>
      </w:r>
      <w:r>
        <w:rPr>
          <w:rFonts w:hint="eastAsia" w:ascii="宋体" w:hAnsi="宋体" w:cs="宋体"/>
          <w:b/>
          <w:bCs/>
          <w:color w:val="auto"/>
          <w:sz w:val="32"/>
          <w:highlight w:val="none"/>
          <w:lang w:val="en-US" w:eastAsia="zh-CN"/>
        </w:rPr>
        <w:t>07</w:t>
      </w:r>
      <w:r>
        <w:rPr>
          <w:rFonts w:hint="eastAsia" w:ascii="宋体" w:hAnsi="宋体" w:eastAsia="宋体" w:cs="宋体"/>
          <w:b/>
          <w:bCs/>
          <w:color w:val="auto"/>
          <w:sz w:val="32"/>
          <w:highlight w:val="none"/>
        </w:rPr>
        <w:t>月</w:t>
      </w:r>
    </w:p>
    <w:p w14:paraId="2A1BE0A4">
      <w:pPr>
        <w:pStyle w:val="15"/>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30"/>
          <w:szCs w:val="30"/>
          <w:highlight w:val="none"/>
          <w:lang w:eastAsia="zh-CN"/>
        </w:rPr>
        <w:sectPr>
          <w:pgSz w:w="11906" w:h="16838"/>
          <w:pgMar w:top="1418" w:right="1115" w:bottom="1418" w:left="1131" w:header="851" w:footer="992" w:gutter="0"/>
          <w:pgNumType w:fmt="decimal" w:start="1"/>
          <w:cols w:space="720" w:num="1"/>
          <w:titlePg/>
          <w:docGrid w:type="lines" w:linePitch="312" w:charSpace="0"/>
        </w:sectPr>
      </w:pPr>
    </w:p>
    <w:p w14:paraId="0E93ECCD">
      <w:pPr>
        <w:rPr>
          <w:rFonts w:hint="eastAsia"/>
          <w:color w:val="auto"/>
          <w:highlight w:val="none"/>
          <w:lang w:eastAsia="zh-CN"/>
        </w:rPr>
      </w:pPr>
    </w:p>
    <w:p w14:paraId="7C37D9A8">
      <w:pPr>
        <w:pStyle w:val="15"/>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48"/>
          <w:szCs w:val="48"/>
          <w:highlight w:val="none"/>
          <w:lang w:eastAsia="zh-CN"/>
        </w:rPr>
      </w:pPr>
      <w:r>
        <w:rPr>
          <w:rFonts w:hint="eastAsia" w:ascii="宋体" w:hAnsi="宋体" w:eastAsia="宋体" w:cs="宋体"/>
          <w:b/>
          <w:color w:val="auto"/>
          <w:spacing w:val="-6"/>
          <w:kern w:val="0"/>
          <w:sz w:val="48"/>
          <w:szCs w:val="48"/>
          <w:highlight w:val="none"/>
          <w:lang w:eastAsia="zh-CN"/>
        </w:rPr>
        <w:t>目</w:t>
      </w:r>
      <w:r>
        <w:rPr>
          <w:rFonts w:hint="eastAsia" w:ascii="宋体" w:hAnsi="宋体" w:eastAsia="宋体" w:cs="宋体"/>
          <w:b/>
          <w:color w:val="auto"/>
          <w:spacing w:val="-6"/>
          <w:kern w:val="0"/>
          <w:sz w:val="48"/>
          <w:szCs w:val="48"/>
          <w:highlight w:val="none"/>
          <w:lang w:val="en-US" w:eastAsia="zh-CN"/>
        </w:rPr>
        <w:t xml:space="preserve">  </w:t>
      </w:r>
      <w:r>
        <w:rPr>
          <w:rFonts w:hint="eastAsia" w:ascii="宋体" w:hAnsi="宋体" w:eastAsia="宋体" w:cs="宋体"/>
          <w:b/>
          <w:color w:val="auto"/>
          <w:spacing w:val="-6"/>
          <w:kern w:val="0"/>
          <w:sz w:val="48"/>
          <w:szCs w:val="48"/>
          <w:highlight w:val="none"/>
          <w:lang w:eastAsia="zh-CN"/>
        </w:rPr>
        <w:t>录</w:t>
      </w:r>
    </w:p>
    <w:p w14:paraId="58EEBE74">
      <w:pPr>
        <w:rPr>
          <w:rFonts w:hint="eastAsia"/>
          <w:color w:val="auto"/>
          <w:highlight w:val="none"/>
          <w:lang w:eastAsia="zh-CN"/>
        </w:rPr>
      </w:pPr>
    </w:p>
    <w:p w14:paraId="729359A9">
      <w:pPr>
        <w:pStyle w:val="15"/>
        <w:tabs>
          <w:tab w:val="right" w:leader="dot" w:pos="9660"/>
        </w:tabs>
        <w:rPr>
          <w:color w:val="auto"/>
          <w:sz w:val="28"/>
          <w:szCs w:val="36"/>
          <w:highlight w:val="none"/>
        </w:rPr>
      </w:pPr>
      <w:r>
        <w:rPr>
          <w:rFonts w:hint="eastAsia" w:ascii="宋体" w:hAnsi="宋体" w:eastAsia="宋体" w:cs="宋体"/>
          <w:b/>
          <w:color w:val="auto"/>
          <w:spacing w:val="-6"/>
          <w:kern w:val="0"/>
          <w:sz w:val="36"/>
          <w:szCs w:val="36"/>
          <w:highlight w:val="none"/>
        </w:rPr>
        <w:fldChar w:fldCharType="begin"/>
      </w:r>
      <w:r>
        <w:rPr>
          <w:rFonts w:hint="eastAsia" w:ascii="宋体" w:hAnsi="宋体" w:eastAsia="宋体" w:cs="宋体"/>
          <w:b/>
          <w:color w:val="auto"/>
          <w:spacing w:val="-6"/>
          <w:kern w:val="0"/>
          <w:sz w:val="36"/>
          <w:szCs w:val="36"/>
          <w:highlight w:val="none"/>
        </w:rPr>
        <w:instrText xml:space="preserve">TOC \o "1-2" \h \u </w:instrText>
      </w:r>
      <w:r>
        <w:rPr>
          <w:rFonts w:hint="eastAsia" w:ascii="宋体" w:hAnsi="宋体" w:eastAsia="宋体" w:cs="宋体"/>
          <w:b/>
          <w:color w:val="auto"/>
          <w:spacing w:val="-6"/>
          <w:kern w:val="0"/>
          <w:sz w:val="36"/>
          <w:szCs w:val="36"/>
          <w:highlight w:val="none"/>
        </w:rPr>
        <w:fldChar w:fldCharType="separate"/>
      </w: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_Toc4654 </w:instrText>
      </w:r>
      <w:r>
        <w:rPr>
          <w:rFonts w:hint="eastAsia" w:ascii="宋体" w:hAnsi="宋体" w:eastAsia="宋体" w:cs="宋体"/>
          <w:color w:val="auto"/>
          <w:spacing w:val="-6"/>
          <w:kern w:val="0"/>
          <w:sz w:val="28"/>
          <w:szCs w:val="36"/>
          <w:highlight w:val="none"/>
        </w:rPr>
        <w:fldChar w:fldCharType="separate"/>
      </w:r>
      <w:r>
        <w:rPr>
          <w:rFonts w:hint="eastAsia" w:ascii="宋体" w:hAnsi="宋体" w:eastAsia="宋体" w:cs="宋体"/>
          <w:color w:val="auto"/>
          <w:sz w:val="28"/>
          <w:szCs w:val="44"/>
          <w:highlight w:val="none"/>
          <w:lang w:eastAsia="zh-CN"/>
        </w:rPr>
        <w:t>第一章</w:t>
      </w:r>
      <w:r>
        <w:rPr>
          <w:rFonts w:hint="eastAsia" w:ascii="宋体" w:hAnsi="宋体" w:eastAsia="宋体" w:cs="宋体"/>
          <w:color w:val="auto"/>
          <w:sz w:val="28"/>
          <w:szCs w:val="44"/>
          <w:highlight w:val="none"/>
          <w:lang w:val="en-US" w:eastAsia="zh-CN"/>
        </w:rPr>
        <w:t xml:space="preserve">  </w:t>
      </w:r>
      <w:r>
        <w:rPr>
          <w:rFonts w:hint="eastAsia" w:ascii="宋体" w:hAnsi="宋体" w:eastAsia="宋体" w:cs="宋体"/>
          <w:color w:val="auto"/>
          <w:sz w:val="28"/>
          <w:szCs w:val="44"/>
          <w:highlight w:val="none"/>
        </w:rPr>
        <w:t>竞争性磋商公告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_Toc4654 \h </w:instrText>
      </w:r>
      <w:r>
        <w:rPr>
          <w:color w:val="auto"/>
          <w:sz w:val="28"/>
          <w:szCs w:val="36"/>
          <w:highlight w:val="none"/>
        </w:rPr>
        <w:fldChar w:fldCharType="separate"/>
      </w:r>
      <w:r>
        <w:rPr>
          <w:color w:val="auto"/>
          <w:sz w:val="28"/>
          <w:szCs w:val="36"/>
          <w:highlight w:val="none"/>
        </w:rPr>
        <w:t>2</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670B8E78">
      <w:pPr>
        <w:pStyle w:val="15"/>
        <w:tabs>
          <w:tab w:val="right" w:leader="dot" w:pos="9660"/>
        </w:tabs>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_Toc30160 </w:instrText>
      </w:r>
      <w:r>
        <w:rPr>
          <w:rFonts w:hint="eastAsia" w:ascii="宋体" w:hAnsi="宋体" w:eastAsia="宋体" w:cs="宋体"/>
          <w:color w:val="auto"/>
          <w:spacing w:val="-6"/>
          <w:kern w:val="0"/>
          <w:sz w:val="28"/>
          <w:szCs w:val="36"/>
          <w:highlight w:val="none"/>
        </w:rPr>
        <w:fldChar w:fldCharType="separate"/>
      </w:r>
      <w:r>
        <w:rPr>
          <w:rFonts w:hint="eastAsia" w:ascii="宋体" w:hAnsi="宋体" w:eastAsia="宋体" w:cs="宋体"/>
          <w:color w:val="auto"/>
          <w:sz w:val="28"/>
          <w:szCs w:val="44"/>
          <w:highlight w:val="none"/>
          <w:lang w:eastAsia="zh-CN"/>
        </w:rPr>
        <w:t>第二章</w:t>
      </w:r>
      <w:r>
        <w:rPr>
          <w:rFonts w:hint="eastAsia" w:ascii="宋体" w:hAnsi="宋体" w:eastAsia="宋体" w:cs="宋体"/>
          <w:color w:val="auto"/>
          <w:sz w:val="28"/>
          <w:szCs w:val="44"/>
          <w:highlight w:val="none"/>
          <w:lang w:val="en-US" w:eastAsia="zh-CN"/>
        </w:rPr>
        <w:t xml:space="preserve"> </w:t>
      </w:r>
      <w:r>
        <w:rPr>
          <w:rFonts w:hint="eastAsia" w:ascii="宋体" w:hAnsi="宋体" w:eastAsia="宋体" w:cs="宋体"/>
          <w:color w:val="auto"/>
          <w:sz w:val="28"/>
          <w:szCs w:val="44"/>
          <w:highlight w:val="none"/>
        </w:rPr>
        <w:t>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_Toc30160 \h </w:instrText>
      </w:r>
      <w:r>
        <w:rPr>
          <w:color w:val="auto"/>
          <w:sz w:val="28"/>
          <w:szCs w:val="36"/>
          <w:highlight w:val="none"/>
        </w:rPr>
        <w:fldChar w:fldCharType="separate"/>
      </w:r>
      <w:r>
        <w:rPr>
          <w:color w:val="auto"/>
          <w:sz w:val="28"/>
          <w:szCs w:val="36"/>
          <w:highlight w:val="none"/>
        </w:rPr>
        <w:t>5</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7F653F4E">
      <w:pPr>
        <w:pStyle w:val="15"/>
        <w:tabs>
          <w:tab w:val="right" w:leader="dot" w:pos="9660"/>
        </w:tabs>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_Toc31415 </w:instrText>
      </w:r>
      <w:r>
        <w:rPr>
          <w:rFonts w:hint="eastAsia" w:ascii="宋体" w:hAnsi="宋体" w:eastAsia="宋体" w:cs="宋体"/>
          <w:color w:val="auto"/>
          <w:spacing w:val="-6"/>
          <w:kern w:val="0"/>
          <w:sz w:val="28"/>
          <w:szCs w:val="36"/>
          <w:highlight w:val="none"/>
        </w:rPr>
        <w:fldChar w:fldCharType="separate"/>
      </w:r>
      <w:r>
        <w:rPr>
          <w:rFonts w:hint="eastAsia"/>
          <w:color w:val="auto"/>
          <w:sz w:val="28"/>
          <w:szCs w:val="44"/>
          <w:highlight w:val="none"/>
        </w:rPr>
        <w:t xml:space="preserve">第三章  </w:t>
      </w:r>
      <w:r>
        <w:rPr>
          <w:rFonts w:hint="eastAsia"/>
          <w:color w:val="auto"/>
          <w:sz w:val="28"/>
          <w:szCs w:val="44"/>
          <w:highlight w:val="none"/>
          <w:lang w:eastAsia="zh-CN"/>
        </w:rPr>
        <w:t>工程量清单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_Toc31415 \h </w:instrText>
      </w:r>
      <w:r>
        <w:rPr>
          <w:color w:val="auto"/>
          <w:sz w:val="28"/>
          <w:szCs w:val="36"/>
          <w:highlight w:val="none"/>
        </w:rPr>
        <w:fldChar w:fldCharType="separate"/>
      </w:r>
      <w:r>
        <w:rPr>
          <w:color w:val="auto"/>
          <w:sz w:val="28"/>
          <w:szCs w:val="36"/>
          <w:highlight w:val="none"/>
        </w:rPr>
        <w:t>27</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6C8368A6">
      <w:pPr>
        <w:pStyle w:val="15"/>
        <w:tabs>
          <w:tab w:val="right" w:leader="dot" w:pos="9660"/>
        </w:tabs>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_Toc17774 </w:instrText>
      </w:r>
      <w:r>
        <w:rPr>
          <w:rFonts w:hint="eastAsia" w:ascii="宋体" w:hAnsi="宋体" w:eastAsia="宋体" w:cs="宋体"/>
          <w:color w:val="auto"/>
          <w:spacing w:val="-6"/>
          <w:kern w:val="0"/>
          <w:sz w:val="28"/>
          <w:szCs w:val="36"/>
          <w:highlight w:val="none"/>
        </w:rPr>
        <w:fldChar w:fldCharType="separate"/>
      </w:r>
      <w:r>
        <w:rPr>
          <w:rFonts w:hint="eastAsia" w:ascii="宋体" w:hAnsi="宋体" w:eastAsia="宋体" w:cs="宋体"/>
          <w:color w:val="auto"/>
          <w:sz w:val="28"/>
          <w:szCs w:val="44"/>
          <w:highlight w:val="none"/>
          <w:lang w:eastAsia="zh-CN"/>
        </w:rPr>
        <w:t>第四章</w:t>
      </w:r>
      <w:r>
        <w:rPr>
          <w:rFonts w:hint="eastAsia" w:ascii="宋体" w:hAnsi="宋体" w:eastAsia="宋体" w:cs="宋体"/>
          <w:color w:val="auto"/>
          <w:sz w:val="28"/>
          <w:szCs w:val="44"/>
          <w:highlight w:val="none"/>
          <w:lang w:val="en-US" w:eastAsia="zh-CN"/>
        </w:rPr>
        <w:t xml:space="preserve"> </w:t>
      </w:r>
      <w:r>
        <w:rPr>
          <w:rFonts w:hint="eastAsia" w:ascii="宋体" w:hAnsi="宋体" w:eastAsia="宋体" w:cs="宋体"/>
          <w:color w:val="auto"/>
          <w:sz w:val="28"/>
          <w:szCs w:val="44"/>
          <w:highlight w:val="none"/>
        </w:rPr>
        <w:t>评审办法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_Toc17774 \h </w:instrText>
      </w:r>
      <w:r>
        <w:rPr>
          <w:color w:val="auto"/>
          <w:sz w:val="28"/>
          <w:szCs w:val="36"/>
          <w:highlight w:val="none"/>
        </w:rPr>
        <w:fldChar w:fldCharType="separate"/>
      </w:r>
      <w:r>
        <w:rPr>
          <w:color w:val="auto"/>
          <w:sz w:val="28"/>
          <w:szCs w:val="36"/>
          <w:highlight w:val="none"/>
        </w:rPr>
        <w:t>28</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2AA02A08">
      <w:pPr>
        <w:pStyle w:val="15"/>
        <w:tabs>
          <w:tab w:val="right" w:leader="dot" w:pos="9660"/>
        </w:tabs>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_Toc7776 </w:instrText>
      </w:r>
      <w:r>
        <w:rPr>
          <w:rFonts w:hint="eastAsia" w:ascii="宋体" w:hAnsi="宋体" w:eastAsia="宋体" w:cs="宋体"/>
          <w:color w:val="auto"/>
          <w:spacing w:val="-6"/>
          <w:kern w:val="0"/>
          <w:sz w:val="28"/>
          <w:szCs w:val="36"/>
          <w:highlight w:val="none"/>
        </w:rPr>
        <w:fldChar w:fldCharType="separate"/>
      </w:r>
      <w:r>
        <w:rPr>
          <w:rFonts w:hint="eastAsia" w:ascii="宋体" w:hAnsi="宋体" w:eastAsia="宋体" w:cs="宋体"/>
          <w:color w:val="auto"/>
          <w:sz w:val="28"/>
          <w:szCs w:val="44"/>
          <w:highlight w:val="none"/>
          <w:lang w:eastAsia="zh-CN"/>
        </w:rPr>
        <w:t>第五章</w:t>
      </w:r>
      <w:r>
        <w:rPr>
          <w:rFonts w:hint="eastAsia" w:ascii="宋体" w:hAnsi="宋体" w:eastAsia="宋体" w:cs="宋体"/>
          <w:color w:val="auto"/>
          <w:sz w:val="28"/>
          <w:szCs w:val="44"/>
          <w:highlight w:val="none"/>
          <w:lang w:val="en-US" w:eastAsia="zh-CN"/>
        </w:rPr>
        <w:t xml:space="preserve"> </w:t>
      </w:r>
      <w:r>
        <w:rPr>
          <w:rFonts w:hint="eastAsia" w:ascii="宋体" w:hAnsi="宋体" w:eastAsia="宋体" w:cs="宋体"/>
          <w:color w:val="auto"/>
          <w:sz w:val="28"/>
          <w:szCs w:val="44"/>
          <w:highlight w:val="none"/>
        </w:rPr>
        <w:t>采购合同（合同主要条款及格式）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_Toc7776 \h </w:instrText>
      </w:r>
      <w:r>
        <w:rPr>
          <w:color w:val="auto"/>
          <w:sz w:val="28"/>
          <w:szCs w:val="36"/>
          <w:highlight w:val="none"/>
        </w:rPr>
        <w:fldChar w:fldCharType="separate"/>
      </w:r>
      <w:r>
        <w:rPr>
          <w:color w:val="auto"/>
          <w:sz w:val="28"/>
          <w:szCs w:val="36"/>
          <w:highlight w:val="none"/>
        </w:rPr>
        <w:t>35</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3EBA13F0">
      <w:pPr>
        <w:pStyle w:val="16"/>
        <w:tabs>
          <w:tab w:val="right" w:leader="dot" w:pos="9660"/>
        </w:tabs>
        <w:ind w:left="0" w:leftChars="0" w:firstLine="0" w:firstLineChars="0"/>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_Toc32030 </w:instrText>
      </w:r>
      <w:r>
        <w:rPr>
          <w:rFonts w:hint="eastAsia" w:ascii="宋体" w:hAnsi="宋体" w:eastAsia="宋体" w:cs="宋体"/>
          <w:color w:val="auto"/>
          <w:spacing w:val="-6"/>
          <w:kern w:val="0"/>
          <w:sz w:val="28"/>
          <w:szCs w:val="36"/>
          <w:highlight w:val="none"/>
        </w:rPr>
        <w:fldChar w:fldCharType="separate"/>
      </w:r>
      <w:r>
        <w:rPr>
          <w:rFonts w:hint="eastAsia" w:ascii="宋体" w:hAnsi="宋体" w:eastAsia="宋体" w:cs="宋体"/>
          <w:bCs/>
          <w:color w:val="auto"/>
          <w:kern w:val="44"/>
          <w:sz w:val="28"/>
          <w:szCs w:val="44"/>
          <w:highlight w:val="none"/>
        </w:rPr>
        <w:t xml:space="preserve">第六章  </w:t>
      </w:r>
      <w:r>
        <w:rPr>
          <w:rFonts w:hint="eastAsia" w:ascii="宋体" w:hAnsi="宋体" w:eastAsia="宋体" w:cs="宋体"/>
          <w:bCs/>
          <w:color w:val="auto"/>
          <w:sz w:val="28"/>
          <w:szCs w:val="44"/>
          <w:highlight w:val="none"/>
        </w:rPr>
        <w:t>响应文件（格式）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_Toc32030 \h </w:instrText>
      </w:r>
      <w:r>
        <w:rPr>
          <w:color w:val="auto"/>
          <w:sz w:val="28"/>
          <w:szCs w:val="36"/>
          <w:highlight w:val="none"/>
        </w:rPr>
        <w:fldChar w:fldCharType="separate"/>
      </w:r>
      <w:r>
        <w:rPr>
          <w:color w:val="auto"/>
          <w:sz w:val="28"/>
          <w:szCs w:val="36"/>
          <w:highlight w:val="none"/>
        </w:rPr>
        <w:t>78</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64F7EAE8">
      <w:pPr>
        <w:pStyle w:val="15"/>
        <w:tabs>
          <w:tab w:val="right" w:leader="dot" w:pos="9660"/>
        </w:tabs>
        <w:rPr>
          <w:color w:val="auto"/>
          <w:sz w:val="28"/>
          <w:szCs w:val="36"/>
          <w:highlight w:val="none"/>
        </w:rPr>
      </w:pPr>
      <w:r>
        <w:rPr>
          <w:rFonts w:hint="eastAsia" w:ascii="宋体" w:hAnsi="宋体" w:eastAsia="宋体" w:cs="宋体"/>
          <w:color w:val="auto"/>
          <w:spacing w:val="-6"/>
          <w:kern w:val="0"/>
          <w:sz w:val="28"/>
          <w:szCs w:val="36"/>
          <w:highlight w:val="none"/>
        </w:rPr>
        <w:fldChar w:fldCharType="begin"/>
      </w:r>
      <w:r>
        <w:rPr>
          <w:rFonts w:hint="eastAsia" w:ascii="宋体" w:hAnsi="宋体" w:eastAsia="宋体" w:cs="宋体"/>
          <w:color w:val="auto"/>
          <w:spacing w:val="-6"/>
          <w:kern w:val="0"/>
          <w:sz w:val="28"/>
          <w:szCs w:val="36"/>
          <w:highlight w:val="none"/>
        </w:rPr>
        <w:instrText xml:space="preserve"> HYPERLINK \l _Toc6063 </w:instrText>
      </w:r>
      <w:r>
        <w:rPr>
          <w:rFonts w:hint="eastAsia" w:ascii="宋体" w:hAnsi="宋体" w:eastAsia="宋体" w:cs="宋体"/>
          <w:color w:val="auto"/>
          <w:spacing w:val="-6"/>
          <w:kern w:val="0"/>
          <w:sz w:val="28"/>
          <w:szCs w:val="36"/>
          <w:highlight w:val="none"/>
        </w:rPr>
        <w:fldChar w:fldCharType="separate"/>
      </w:r>
      <w:r>
        <w:rPr>
          <w:rFonts w:hint="eastAsia"/>
          <w:color w:val="auto"/>
          <w:sz w:val="28"/>
          <w:szCs w:val="36"/>
          <w:highlight w:val="none"/>
        </w:rPr>
        <w:t>第七章、图纸</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_Toc6063 \h </w:instrText>
      </w:r>
      <w:r>
        <w:rPr>
          <w:color w:val="auto"/>
          <w:sz w:val="28"/>
          <w:szCs w:val="36"/>
          <w:highlight w:val="none"/>
        </w:rPr>
        <w:fldChar w:fldCharType="separate"/>
      </w:r>
      <w:r>
        <w:rPr>
          <w:color w:val="auto"/>
          <w:sz w:val="28"/>
          <w:szCs w:val="36"/>
          <w:highlight w:val="none"/>
        </w:rPr>
        <w:t>100</w:t>
      </w:r>
      <w:r>
        <w:rPr>
          <w:color w:val="auto"/>
          <w:sz w:val="28"/>
          <w:szCs w:val="36"/>
          <w:highlight w:val="none"/>
        </w:rPr>
        <w:fldChar w:fldCharType="end"/>
      </w:r>
      <w:r>
        <w:rPr>
          <w:rFonts w:hint="eastAsia" w:ascii="宋体" w:hAnsi="宋体" w:eastAsia="宋体" w:cs="宋体"/>
          <w:color w:val="auto"/>
          <w:spacing w:val="-6"/>
          <w:kern w:val="0"/>
          <w:sz w:val="28"/>
          <w:szCs w:val="36"/>
          <w:highlight w:val="none"/>
        </w:rPr>
        <w:fldChar w:fldCharType="end"/>
      </w:r>
    </w:p>
    <w:p w14:paraId="063793B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36"/>
          <w:szCs w:val="36"/>
          <w:highlight w:val="none"/>
        </w:rPr>
      </w:pPr>
      <w:r>
        <w:rPr>
          <w:rFonts w:hint="eastAsia" w:ascii="宋体" w:hAnsi="宋体" w:eastAsia="宋体" w:cs="宋体"/>
          <w:color w:val="auto"/>
          <w:spacing w:val="-6"/>
          <w:kern w:val="0"/>
          <w:sz w:val="28"/>
          <w:szCs w:val="36"/>
          <w:highlight w:val="none"/>
        </w:rPr>
        <w:fldChar w:fldCharType="end"/>
      </w:r>
    </w:p>
    <w:p w14:paraId="421B6EE9">
      <w:pPr>
        <w:pStyle w:val="3"/>
        <w:rPr>
          <w:rFonts w:hint="eastAsia" w:ascii="宋体" w:hAnsi="宋体" w:eastAsia="宋体" w:cs="宋体"/>
          <w:color w:val="auto"/>
          <w:spacing w:val="-6"/>
          <w:kern w:val="0"/>
          <w:sz w:val="24"/>
          <w:szCs w:val="24"/>
          <w:highlight w:val="none"/>
        </w:rPr>
      </w:pPr>
    </w:p>
    <w:p w14:paraId="64532D44">
      <w:pPr>
        <w:rPr>
          <w:rFonts w:hint="eastAsia" w:ascii="宋体" w:hAnsi="宋体" w:eastAsia="宋体" w:cs="宋体"/>
          <w:color w:val="auto"/>
          <w:spacing w:val="-6"/>
          <w:kern w:val="0"/>
          <w:sz w:val="24"/>
          <w:szCs w:val="24"/>
          <w:highlight w:val="none"/>
        </w:rPr>
      </w:pPr>
    </w:p>
    <w:p w14:paraId="48F7A898">
      <w:pPr>
        <w:pStyle w:val="3"/>
        <w:rPr>
          <w:rFonts w:hint="eastAsia" w:ascii="宋体" w:hAnsi="宋体" w:eastAsia="宋体" w:cs="宋体"/>
          <w:color w:val="auto"/>
          <w:spacing w:val="-6"/>
          <w:kern w:val="0"/>
          <w:sz w:val="24"/>
          <w:szCs w:val="24"/>
          <w:highlight w:val="none"/>
        </w:rPr>
      </w:pPr>
    </w:p>
    <w:p w14:paraId="76D1CDD5">
      <w:pPr>
        <w:rPr>
          <w:rFonts w:hint="eastAsia" w:ascii="宋体" w:hAnsi="宋体" w:eastAsia="宋体" w:cs="宋体"/>
          <w:color w:val="auto"/>
          <w:spacing w:val="-6"/>
          <w:kern w:val="0"/>
          <w:sz w:val="24"/>
          <w:szCs w:val="24"/>
          <w:highlight w:val="none"/>
        </w:rPr>
      </w:pPr>
    </w:p>
    <w:p w14:paraId="5DDBF444">
      <w:pPr>
        <w:pStyle w:val="3"/>
        <w:rPr>
          <w:rFonts w:hint="eastAsia" w:ascii="宋体" w:hAnsi="宋体" w:eastAsia="宋体" w:cs="宋体"/>
          <w:color w:val="auto"/>
          <w:spacing w:val="-6"/>
          <w:kern w:val="0"/>
          <w:sz w:val="24"/>
          <w:szCs w:val="24"/>
          <w:highlight w:val="none"/>
        </w:rPr>
      </w:pPr>
    </w:p>
    <w:p w14:paraId="6B6C16E8">
      <w:pPr>
        <w:rPr>
          <w:color w:val="auto"/>
          <w:highlight w:val="none"/>
        </w:rPr>
      </w:pPr>
    </w:p>
    <w:p w14:paraId="1FF2CD9F">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32"/>
          <w:szCs w:val="32"/>
          <w:highlight w:val="none"/>
        </w:rPr>
        <w:sectPr>
          <w:footerReference r:id="rId4" w:type="first"/>
          <w:footerReference r:id="rId3" w:type="default"/>
          <w:pgSz w:w="11906" w:h="16838"/>
          <w:pgMar w:top="1418" w:right="1115" w:bottom="1418" w:left="1131" w:header="851" w:footer="992" w:gutter="0"/>
          <w:pgNumType w:fmt="decimal" w:start="1"/>
          <w:cols w:space="720" w:num="1"/>
          <w:titlePg/>
          <w:docGrid w:type="lines" w:linePitch="312" w:charSpace="0"/>
        </w:sectPr>
      </w:pPr>
      <w:bookmarkStart w:id="0" w:name="_Toc26809"/>
      <w:bookmarkStart w:id="1" w:name="_Toc28359011"/>
      <w:bookmarkStart w:id="2" w:name="_Toc35393797"/>
      <w:bookmarkStart w:id="3" w:name="_Toc30170"/>
      <w:bookmarkStart w:id="4" w:name="_Toc21930"/>
    </w:p>
    <w:p w14:paraId="2617BDC9">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32"/>
          <w:szCs w:val="32"/>
          <w:highlight w:val="none"/>
        </w:rPr>
      </w:pPr>
      <w:bookmarkStart w:id="5" w:name="_Toc4654"/>
      <w:r>
        <w:rPr>
          <w:rFonts w:hint="eastAsia" w:ascii="宋体" w:hAnsi="宋体" w:eastAsia="宋体" w:cs="宋体"/>
          <w:color w:val="auto"/>
          <w:sz w:val="32"/>
          <w:szCs w:val="32"/>
          <w:highlight w:val="none"/>
          <w:lang w:eastAsia="zh-CN"/>
        </w:rPr>
        <w:t>第一章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竞争性磋商公告</w:t>
      </w:r>
      <w:bookmarkEnd w:id="0"/>
      <w:bookmarkEnd w:id="1"/>
      <w:bookmarkEnd w:id="2"/>
      <w:bookmarkEnd w:id="3"/>
      <w:bookmarkEnd w:id="4"/>
      <w:bookmarkEnd w:id="5"/>
    </w:p>
    <w:tbl>
      <w:tblPr>
        <w:tblStyle w:val="28"/>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1D69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9320" w:type="dxa"/>
            <w:vAlign w:val="top"/>
          </w:tcPr>
          <w:p w14:paraId="1D4C49B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DA0F4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4"/>
                <w:highlight w:val="none"/>
                <w:lang w:val="en-US" w:eastAsia="zh-CN" w:bidi="ar-SA"/>
              </w:rPr>
              <w:t>贵县古墓葬群红岭顶八一路古墓保护工程</w:t>
            </w:r>
            <w:r>
              <w:rPr>
                <w:rFonts w:hint="eastAsia" w:ascii="宋体" w:hAnsi="宋体" w:eastAsia="宋体" w:cs="宋体"/>
                <w:b w:val="0"/>
                <w:bCs w:val="0"/>
                <w:color w:val="auto"/>
                <w:kern w:val="2"/>
                <w:sz w:val="21"/>
                <w:szCs w:val="24"/>
                <w:highlight w:val="none"/>
                <w:lang w:val="en-US" w:eastAsia="zh-CN" w:bidi="ar-SA"/>
              </w:rPr>
              <w:t>的潜在供应商登陆广西政府采购云平台（https://www.gcy.zfcg.gxzf.gov.cn/）免费下载竞争性磋商文件电子版，并于</w:t>
            </w:r>
            <w:r>
              <w:rPr>
                <w:rFonts w:hint="eastAsia" w:ascii="宋体" w:hAnsi="宋体" w:cs="宋体"/>
                <w:b w:val="0"/>
                <w:bCs w:val="0"/>
                <w:color w:val="auto"/>
                <w:kern w:val="2"/>
                <w:sz w:val="21"/>
                <w:szCs w:val="24"/>
                <w:highlight w:val="none"/>
                <w:lang w:val="en-US" w:eastAsia="zh-CN" w:bidi="ar-SA"/>
              </w:rPr>
              <w:t>2025</w:t>
            </w:r>
            <w:r>
              <w:rPr>
                <w:rFonts w:hint="eastAsia" w:ascii="宋体" w:hAnsi="宋体" w:eastAsia="宋体" w:cs="宋体"/>
                <w:b w:val="0"/>
                <w:bCs w:val="0"/>
                <w:color w:val="auto"/>
                <w:kern w:val="2"/>
                <w:sz w:val="21"/>
                <w:szCs w:val="24"/>
                <w:highlight w:val="none"/>
                <w:lang w:val="en-US" w:eastAsia="zh-CN" w:bidi="ar-SA"/>
              </w:rPr>
              <w:t>年</w:t>
            </w:r>
            <w:r>
              <w:rPr>
                <w:rFonts w:hint="eastAsia" w:ascii="宋体" w:hAnsi="宋体" w:cs="宋体"/>
                <w:b w:val="0"/>
                <w:bCs w:val="0"/>
                <w:color w:val="auto"/>
                <w:kern w:val="2"/>
                <w:sz w:val="21"/>
                <w:szCs w:val="24"/>
                <w:highlight w:val="none"/>
                <w:lang w:val="en-US" w:eastAsia="zh-CN" w:bidi="ar-SA"/>
              </w:rPr>
              <w:t>07</w:t>
            </w:r>
            <w:r>
              <w:rPr>
                <w:rFonts w:hint="eastAsia" w:ascii="宋体" w:hAnsi="宋体" w:eastAsia="宋体" w:cs="宋体"/>
                <w:b w:val="0"/>
                <w:bCs w:val="0"/>
                <w:color w:val="auto"/>
                <w:kern w:val="2"/>
                <w:sz w:val="21"/>
                <w:szCs w:val="24"/>
                <w:highlight w:val="none"/>
                <w:lang w:val="en-US" w:eastAsia="zh-CN" w:bidi="ar-SA"/>
              </w:rPr>
              <w:t>月</w:t>
            </w:r>
            <w:r>
              <w:rPr>
                <w:rFonts w:hint="eastAsia" w:ascii="宋体" w:hAnsi="宋体" w:cs="宋体"/>
                <w:b w:val="0"/>
                <w:bCs w:val="0"/>
                <w:color w:val="auto"/>
                <w:kern w:val="2"/>
                <w:sz w:val="21"/>
                <w:szCs w:val="24"/>
                <w:highlight w:val="none"/>
                <w:lang w:val="en-US" w:eastAsia="zh-CN" w:bidi="ar-SA"/>
              </w:rPr>
              <w:t>23</w:t>
            </w:r>
            <w:r>
              <w:rPr>
                <w:rFonts w:hint="eastAsia" w:ascii="宋体" w:hAnsi="宋体" w:eastAsia="宋体" w:cs="宋体"/>
                <w:b w:val="0"/>
                <w:bCs w:val="0"/>
                <w:color w:val="auto"/>
                <w:kern w:val="2"/>
                <w:sz w:val="21"/>
                <w:szCs w:val="24"/>
                <w:highlight w:val="none"/>
                <w:lang w:val="en-US" w:eastAsia="zh-CN" w:bidi="ar-SA"/>
              </w:rPr>
              <w:t>日</w:t>
            </w:r>
            <w:r>
              <w:rPr>
                <w:rFonts w:hint="eastAsia" w:ascii="宋体" w:hAnsi="宋体" w:cs="宋体"/>
                <w:b w:val="0"/>
                <w:bCs w:val="0"/>
                <w:color w:val="auto"/>
                <w:kern w:val="2"/>
                <w:sz w:val="21"/>
                <w:szCs w:val="24"/>
                <w:highlight w:val="none"/>
                <w:lang w:val="en-US" w:eastAsia="zh-CN" w:bidi="ar-SA"/>
              </w:rPr>
              <w:t>9</w:t>
            </w:r>
            <w:r>
              <w:rPr>
                <w:rFonts w:hint="eastAsia" w:ascii="宋体" w:hAnsi="宋体" w:eastAsia="宋体" w:cs="宋体"/>
                <w:b w:val="0"/>
                <w:bCs w:val="0"/>
                <w:color w:val="auto"/>
                <w:kern w:val="2"/>
                <w:sz w:val="21"/>
                <w:szCs w:val="24"/>
                <w:highlight w:val="none"/>
                <w:lang w:val="en-US" w:eastAsia="zh-CN" w:bidi="ar-SA"/>
              </w:rPr>
              <w:t>点</w:t>
            </w:r>
            <w:r>
              <w:rPr>
                <w:rFonts w:hint="eastAsia" w:ascii="宋体" w:hAnsi="宋体" w:cs="宋体"/>
                <w:b w:val="0"/>
                <w:bCs w:val="0"/>
                <w:color w:val="auto"/>
                <w:kern w:val="2"/>
                <w:sz w:val="21"/>
                <w:szCs w:val="24"/>
                <w:highlight w:val="none"/>
                <w:lang w:val="en-US" w:eastAsia="zh-CN" w:bidi="ar-SA"/>
              </w:rPr>
              <w:t>00</w:t>
            </w:r>
            <w:r>
              <w:rPr>
                <w:rFonts w:hint="eastAsia" w:ascii="宋体" w:hAnsi="宋体" w:eastAsia="宋体" w:cs="宋体"/>
                <w:b w:val="0"/>
                <w:bCs w:val="0"/>
                <w:color w:val="auto"/>
                <w:kern w:val="2"/>
                <w:sz w:val="21"/>
                <w:szCs w:val="24"/>
                <w:highlight w:val="none"/>
                <w:lang w:val="en-US" w:eastAsia="zh-CN" w:bidi="ar-SA"/>
              </w:rPr>
              <w:t>分（北京时间）前提交</w:t>
            </w:r>
            <w:r>
              <w:rPr>
                <w:rFonts w:hint="eastAsia" w:ascii="宋体" w:hAnsi="宋体" w:cs="宋体"/>
                <w:b w:val="0"/>
                <w:bCs w:val="0"/>
                <w:color w:val="auto"/>
                <w:kern w:val="2"/>
                <w:sz w:val="21"/>
                <w:szCs w:val="24"/>
                <w:highlight w:val="none"/>
                <w:lang w:val="en-US" w:eastAsia="zh-CN" w:bidi="ar-SA"/>
              </w:rPr>
              <w:t>响应</w:t>
            </w:r>
            <w:r>
              <w:rPr>
                <w:rFonts w:hint="eastAsia" w:ascii="宋体" w:hAnsi="宋体" w:eastAsia="宋体" w:cs="宋体"/>
                <w:b w:val="0"/>
                <w:bCs w:val="0"/>
                <w:color w:val="auto"/>
                <w:kern w:val="2"/>
                <w:sz w:val="21"/>
                <w:szCs w:val="24"/>
                <w:highlight w:val="none"/>
                <w:lang w:val="en-US" w:eastAsia="zh-CN" w:bidi="ar-SA"/>
              </w:rPr>
              <w:t>文件。</w:t>
            </w:r>
          </w:p>
        </w:tc>
      </w:tr>
    </w:tbl>
    <w:p w14:paraId="6C67DC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rPr>
      </w:pPr>
      <w:bookmarkStart w:id="6" w:name="_Toc28359012"/>
      <w:bookmarkStart w:id="7" w:name="_Toc35393629"/>
      <w:bookmarkStart w:id="8" w:name="_Toc35393798"/>
      <w:bookmarkStart w:id="9" w:name="_Toc28359089"/>
      <w:r>
        <w:rPr>
          <w:rFonts w:hint="eastAsia" w:ascii="宋体" w:hAnsi="宋体" w:eastAsia="宋体" w:cs="宋体"/>
          <w:b/>
          <w:bCs/>
          <w:color w:val="auto"/>
          <w:sz w:val="21"/>
          <w:szCs w:val="21"/>
          <w:highlight w:val="none"/>
        </w:rPr>
        <w:t>一、项目基本情况</w:t>
      </w:r>
      <w:bookmarkEnd w:id="6"/>
      <w:bookmarkEnd w:id="7"/>
      <w:bookmarkEnd w:id="8"/>
      <w:bookmarkEnd w:id="9"/>
    </w:p>
    <w:p w14:paraId="4FDF876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bookmarkStart w:id="10" w:name="_Toc35393799"/>
      <w:bookmarkStart w:id="11" w:name="_Toc28359090"/>
      <w:bookmarkStart w:id="12" w:name="_Toc35393630"/>
      <w:bookmarkStart w:id="13" w:name="_Toc28359013"/>
      <w:r>
        <w:rPr>
          <w:rFonts w:hint="eastAsia" w:ascii="宋体" w:hAnsi="宋体" w:eastAsia="宋体" w:cs="宋体"/>
          <w:color w:val="auto"/>
          <w:sz w:val="21"/>
          <w:szCs w:val="21"/>
          <w:highlight w:val="none"/>
          <w:lang w:val="en-US" w:eastAsia="zh-CN"/>
        </w:rPr>
        <w:t>项目编号：GGZC2025-C2-990150-GXLK</w:t>
      </w:r>
    </w:p>
    <w:p w14:paraId="281A90D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项目名称：</w:t>
      </w:r>
      <w:r>
        <w:rPr>
          <w:rFonts w:hint="eastAsia" w:ascii="宋体" w:hAnsi="宋体" w:cs="宋体"/>
          <w:color w:val="auto"/>
          <w:sz w:val="21"/>
          <w:szCs w:val="21"/>
          <w:highlight w:val="none"/>
          <w:lang w:val="en-US" w:eastAsia="zh-CN"/>
        </w:rPr>
        <w:t>贵县古墓葬群红岭顶八一路古墓保护工程</w:t>
      </w:r>
    </w:p>
    <w:p w14:paraId="0D2ADA0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采购方式：竞争性磋商 </w:t>
      </w:r>
    </w:p>
    <w:p w14:paraId="1ECA850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预算总金额（元）：</w:t>
      </w:r>
      <w:r>
        <w:rPr>
          <w:rFonts w:hint="eastAsia" w:ascii="宋体" w:hAnsi="宋体" w:cs="宋体"/>
          <w:color w:val="auto"/>
          <w:sz w:val="21"/>
          <w:szCs w:val="21"/>
          <w:highlight w:val="none"/>
          <w:lang w:val="en-US" w:eastAsia="zh-CN"/>
        </w:rPr>
        <w:t>100000.00</w:t>
      </w:r>
      <w:r>
        <w:rPr>
          <w:rFonts w:hint="eastAsia" w:ascii="宋体" w:hAnsi="宋体" w:eastAsia="宋体" w:cs="宋体"/>
          <w:color w:val="auto"/>
          <w:sz w:val="21"/>
          <w:szCs w:val="21"/>
          <w:highlight w:val="none"/>
          <w:lang w:val="en-US" w:eastAsia="zh-CN"/>
        </w:rPr>
        <w:t xml:space="preserve"> </w:t>
      </w:r>
    </w:p>
    <w:p w14:paraId="2BB0F8A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采购需求：</w:t>
      </w:r>
      <w:r>
        <w:rPr>
          <w:rFonts w:hint="eastAsia" w:ascii="宋体" w:hAnsi="宋体" w:cs="宋体"/>
          <w:color w:val="auto"/>
          <w:sz w:val="21"/>
          <w:szCs w:val="21"/>
          <w:highlight w:val="none"/>
          <w:lang w:val="en-US" w:eastAsia="zh-CN"/>
        </w:rPr>
        <w:t>贵县古墓葬群红岭顶八一路古墓保护工程1项，（具体详见施工图纸及工程量清单。）</w:t>
      </w:r>
      <w:r>
        <w:rPr>
          <w:rFonts w:hint="eastAsia" w:ascii="宋体" w:hAnsi="宋体" w:eastAsia="宋体" w:cs="宋体"/>
          <w:color w:val="auto"/>
          <w:sz w:val="21"/>
          <w:szCs w:val="21"/>
          <w:highlight w:val="none"/>
          <w:lang w:val="en-US" w:eastAsia="zh-CN"/>
        </w:rPr>
        <w:t>。</w:t>
      </w:r>
    </w:p>
    <w:p w14:paraId="7538DA8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标项名称:</w:t>
      </w:r>
      <w:r>
        <w:rPr>
          <w:rFonts w:hint="eastAsia" w:ascii="宋体" w:hAnsi="宋体" w:cs="宋体"/>
          <w:color w:val="auto"/>
          <w:sz w:val="21"/>
          <w:szCs w:val="21"/>
          <w:highlight w:val="none"/>
          <w:lang w:val="en-US" w:eastAsia="zh-CN"/>
        </w:rPr>
        <w:t>贵县古墓葬群红岭顶八一路古墓保护工程</w:t>
      </w:r>
    </w:p>
    <w:p w14:paraId="70045DB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w:t>
      </w:r>
      <w:r>
        <w:rPr>
          <w:rFonts w:hint="eastAsia" w:ascii="宋体" w:hAnsi="宋体" w:cs="宋体"/>
          <w:color w:val="auto"/>
          <w:sz w:val="21"/>
          <w:szCs w:val="21"/>
          <w:highlight w:val="none"/>
          <w:lang w:val="en-US" w:eastAsia="zh-CN"/>
        </w:rPr>
        <w:t>1项</w:t>
      </w:r>
    </w:p>
    <w:p w14:paraId="12A36DB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预算金额（元）:</w:t>
      </w:r>
      <w:r>
        <w:rPr>
          <w:rFonts w:hint="eastAsia" w:ascii="宋体" w:hAnsi="宋体" w:cs="宋体"/>
          <w:color w:val="auto"/>
          <w:sz w:val="21"/>
          <w:szCs w:val="21"/>
          <w:highlight w:val="none"/>
          <w:lang w:val="en-US" w:eastAsia="zh-CN"/>
        </w:rPr>
        <w:t xml:space="preserve">100000.00 </w:t>
      </w:r>
    </w:p>
    <w:p w14:paraId="4C26879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简要规格描述或项目基本概况介绍、用途：</w:t>
      </w:r>
      <w:r>
        <w:rPr>
          <w:rFonts w:hint="eastAsia" w:ascii="宋体" w:hAnsi="宋体" w:cs="宋体"/>
          <w:color w:val="auto"/>
          <w:sz w:val="21"/>
          <w:szCs w:val="21"/>
          <w:highlight w:val="none"/>
          <w:lang w:val="en-US" w:eastAsia="zh-CN"/>
        </w:rPr>
        <w:t>古墓墓室本体加固保护工程:封门、甬道、前室、北耳室、南耳室、后室的现状加固和生物病害处理。保护设施和环境整治工程 (1)清除封士堆上杂物并进行修整，(2)发掘区域建设钢结构保护棚:(3)草葬周边区域环境治理。（具体详见施工图纸及工程量清单。）</w:t>
      </w:r>
    </w:p>
    <w:p w14:paraId="71D5265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最高限价（如有）：</w:t>
      </w:r>
      <w:r>
        <w:rPr>
          <w:rFonts w:hint="eastAsia" w:ascii="宋体" w:hAnsi="宋体" w:cs="宋体"/>
          <w:color w:val="auto"/>
          <w:sz w:val="21"/>
          <w:szCs w:val="21"/>
          <w:highlight w:val="none"/>
          <w:lang w:val="en-US" w:eastAsia="zh-CN"/>
        </w:rPr>
        <w:t>912977.07元</w:t>
      </w:r>
    </w:p>
    <w:p w14:paraId="3CD7FB5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合同履约期限：自合同签订之日起</w:t>
      </w:r>
      <w:r>
        <w:rPr>
          <w:rFonts w:hint="eastAsia" w:ascii="宋体" w:hAnsi="宋体" w:cs="宋体"/>
          <w:color w:val="auto"/>
          <w:sz w:val="21"/>
          <w:szCs w:val="21"/>
          <w:highlight w:val="none"/>
          <w:lang w:val="en-US" w:eastAsia="zh-CN"/>
        </w:rPr>
        <w:t>180日历天</w:t>
      </w:r>
      <w:r>
        <w:rPr>
          <w:rFonts w:hint="eastAsia" w:ascii="宋体" w:hAnsi="宋体" w:eastAsia="宋体" w:cs="宋体"/>
          <w:color w:val="auto"/>
          <w:sz w:val="21"/>
          <w:szCs w:val="21"/>
          <w:highlight w:val="none"/>
          <w:lang w:val="en-US" w:eastAsia="zh-CN"/>
        </w:rPr>
        <w:t>内完工</w:t>
      </w:r>
    </w:p>
    <w:p w14:paraId="20CEFD9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本标项</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lang w:val="en-US" w:eastAsia="zh-CN"/>
        </w:rPr>
        <w:t>接受联合体投标</w:t>
      </w:r>
      <w:bookmarkStart w:id="2433" w:name="_GoBack"/>
      <w:bookmarkEnd w:id="2433"/>
    </w:p>
    <w:p w14:paraId="600C042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r>
        <w:rPr>
          <w:rFonts w:hint="eastAsia" w:ascii="宋体" w:hAnsi="宋体" w:cs="宋体"/>
          <w:color w:val="auto"/>
          <w:sz w:val="21"/>
          <w:szCs w:val="21"/>
          <w:highlight w:val="none"/>
          <w:lang w:val="en-US" w:eastAsia="zh-CN"/>
        </w:rPr>
        <w:t>无</w:t>
      </w:r>
    </w:p>
    <w:p w14:paraId="030E08F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29B3AB2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满足《中华人民共和国政府采购法》第二十二条规定；</w:t>
      </w:r>
    </w:p>
    <w:p w14:paraId="1D9BC6A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lang w:eastAsia="zh-CN"/>
        </w:rPr>
        <w:t>本项目为</w:t>
      </w:r>
      <w:r>
        <w:rPr>
          <w:rFonts w:hint="eastAsia" w:ascii="宋体" w:hAnsi="宋体" w:eastAsia="宋体" w:cs="宋体"/>
          <w:color w:val="auto"/>
          <w:sz w:val="21"/>
          <w:szCs w:val="21"/>
          <w:highlight w:val="none"/>
        </w:rPr>
        <w:t>专门面向中小</w:t>
      </w:r>
      <w:r>
        <w:rPr>
          <w:rFonts w:hint="eastAsia" w:ascii="宋体" w:hAnsi="宋体" w:eastAsia="宋体" w:cs="宋体"/>
          <w:color w:val="auto"/>
          <w:sz w:val="21"/>
          <w:szCs w:val="21"/>
          <w:highlight w:val="none"/>
          <w:lang w:eastAsia="zh-CN"/>
        </w:rPr>
        <w:t>微</w:t>
      </w:r>
      <w:r>
        <w:rPr>
          <w:rFonts w:hint="eastAsia" w:ascii="宋体" w:hAnsi="宋体" w:eastAsia="宋体" w:cs="宋体"/>
          <w:color w:val="auto"/>
          <w:sz w:val="21"/>
          <w:szCs w:val="21"/>
          <w:highlight w:val="none"/>
        </w:rPr>
        <w:t>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4B8B2830">
      <w:pPr>
        <w:keepNext w:val="0"/>
        <w:keepLines w:val="0"/>
        <w:pageBreakBefore w:val="0"/>
        <w:widowControl/>
        <w:kinsoku w:val="0"/>
        <w:wordWrap/>
        <w:overflowPunct/>
        <w:topLinePunct w:val="0"/>
        <w:autoSpaceDE w:val="0"/>
        <w:autoSpaceDN w:val="0"/>
        <w:bidi w:val="0"/>
        <w:adjustRightInd w:val="0"/>
        <w:snapToGrid w:val="0"/>
        <w:spacing w:before="165" w:line="360" w:lineRule="exact"/>
        <w:ind w:right="166" w:firstLine="420" w:firstLineChars="20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bookmarkStart w:id="16" w:name="_Toc35393800"/>
      <w:bookmarkStart w:id="17" w:name="_Toc35393631"/>
      <w:r>
        <w:rPr>
          <w:rFonts w:hint="eastAsia" w:ascii="宋体" w:hAnsi="宋体" w:eastAsia="宋体" w:cs="宋体"/>
          <w:color w:val="auto"/>
          <w:sz w:val="21"/>
          <w:szCs w:val="21"/>
          <w:highlight w:val="none"/>
          <w:lang w:val="en-US" w:eastAsia="zh-CN"/>
        </w:rPr>
        <w:t>具备国家文物局颁发的文物保护工程</w:t>
      </w:r>
      <w:r>
        <w:rPr>
          <w:rFonts w:hint="eastAsia" w:ascii="宋体" w:hAnsi="宋体" w:cs="宋体"/>
          <w:color w:val="auto"/>
          <w:sz w:val="21"/>
          <w:szCs w:val="21"/>
          <w:highlight w:val="none"/>
          <w:lang w:val="en-US" w:eastAsia="zh-CN"/>
        </w:rPr>
        <w:t>施工二级（含）以上资质，业务范围包含古文化遗址古墓葬或古遗址古墓葬保护</w:t>
      </w:r>
      <w:r>
        <w:rPr>
          <w:rFonts w:hint="eastAsia" w:ascii="宋体" w:hAnsi="宋体" w:eastAsia="宋体" w:cs="宋体"/>
          <w:color w:val="auto"/>
          <w:sz w:val="21"/>
          <w:szCs w:val="21"/>
          <w:highlight w:val="none"/>
          <w:lang w:val="en-US" w:eastAsia="zh-CN"/>
        </w:rPr>
        <w:t>，</w:t>
      </w:r>
      <w:r>
        <w:rPr>
          <w:rFonts w:hint="eastAsia"/>
          <w:color w:val="auto"/>
          <w:szCs w:val="21"/>
          <w:highlight w:val="none"/>
        </w:rPr>
        <w:t>具有有效的安全生产许可证</w:t>
      </w:r>
      <w:r>
        <w:rPr>
          <w:rFonts w:hint="eastAsia"/>
          <w:color w:val="auto"/>
          <w:szCs w:val="21"/>
          <w:highlight w:val="none"/>
          <w:lang w:eastAsia="zh-CN"/>
        </w:rPr>
        <w:t>，</w:t>
      </w:r>
      <w:r>
        <w:rPr>
          <w:rFonts w:hint="eastAsia" w:ascii="宋体" w:hAnsi="宋体" w:eastAsia="宋体" w:cs="宋体"/>
          <w:color w:val="auto"/>
          <w:sz w:val="21"/>
          <w:szCs w:val="21"/>
          <w:highlight w:val="none"/>
          <w:lang w:val="en-US" w:eastAsia="zh-CN"/>
        </w:rPr>
        <w:t>并在人员、设备、资金等方面具备相应的施工能力。</w:t>
      </w:r>
      <w:r>
        <w:rPr>
          <w:rFonts w:hint="eastAsia" w:ascii="宋体" w:hAnsi="宋体" w:cs="宋体"/>
          <w:color w:val="auto"/>
          <w:sz w:val="21"/>
          <w:szCs w:val="21"/>
          <w:highlight w:val="none"/>
          <w:lang w:val="en-US" w:eastAsia="zh-CN"/>
        </w:rPr>
        <w:t>项目经理须具备中国古迹遗址保护协会颁发的文物保护工程责任工程师证书，且同时具备有中级（含）以上职称。</w:t>
      </w:r>
    </w:p>
    <w:bookmarkEnd w:id="14"/>
    <w:bookmarkEnd w:id="15"/>
    <w:bookmarkEnd w:id="16"/>
    <w:bookmarkEnd w:id="17"/>
    <w:p w14:paraId="7F25D246">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28359095"/>
      <w:bookmarkStart w:id="21" w:name="_Toc35393805"/>
      <w:bookmarkStart w:id="22" w:name="_Toc35393636"/>
      <w:bookmarkStart w:id="23" w:name="_Toc28359018"/>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6EB5CAA6">
      <w:pPr>
        <w:spacing w:line="380" w:lineRule="exact"/>
        <w:ind w:firstLine="540"/>
        <w:rPr>
          <w:rFonts w:hint="eastAsia" w:ascii="宋体" w:hAnsi="宋体" w:eastAsia="宋体" w:cs="宋体"/>
          <w:bCs/>
          <w:color w:val="auto"/>
          <w:kern w:val="0"/>
          <w:szCs w:val="21"/>
          <w:highlight w:val="none"/>
        </w:rPr>
      </w:pPr>
      <w:bookmarkStart w:id="24" w:name="_Toc28359005"/>
      <w:bookmarkStart w:id="25" w:name="_Toc28359082"/>
      <w:bookmarkStart w:id="26" w:name="_Toc35393793"/>
      <w:bookmarkStart w:id="27" w:name="_Toc35393624"/>
      <w:r>
        <w:rPr>
          <w:rFonts w:hint="eastAsia" w:ascii="宋体" w:hAnsi="宋体" w:eastAsia="宋体" w:cs="宋体"/>
          <w:bCs/>
          <w:color w:val="auto"/>
          <w:kern w:val="0"/>
          <w:szCs w:val="21"/>
          <w:highlight w:val="none"/>
        </w:rPr>
        <w:t>时间：</w:t>
      </w:r>
      <w:r>
        <w:rPr>
          <w:rFonts w:hint="eastAsia" w:ascii="宋体" w:hAnsi="宋体" w:cs="宋体"/>
          <w:bCs/>
          <w:color w:val="auto"/>
          <w:kern w:val="0"/>
          <w:szCs w:val="21"/>
          <w:highlight w:val="none"/>
          <w:lang w:eastAsia="zh-CN"/>
        </w:rPr>
        <w:t>公告发布之日起</w:t>
      </w:r>
      <w:r>
        <w:rPr>
          <w:rFonts w:hint="eastAsia" w:ascii="宋体" w:hAnsi="宋体" w:eastAsia="宋体" w:cs="宋体"/>
          <w:bCs/>
          <w:color w:val="auto"/>
          <w:kern w:val="0"/>
          <w:szCs w:val="21"/>
          <w:highlight w:val="none"/>
        </w:rPr>
        <w:t>至</w:t>
      </w:r>
      <w:r>
        <w:rPr>
          <w:rFonts w:hint="eastAsia" w:ascii="宋体" w:hAnsi="宋体" w:eastAsia="宋体" w:cs="宋体"/>
          <w:color w:val="auto"/>
          <w:kern w:val="2"/>
          <w:sz w:val="21"/>
          <w:szCs w:val="21"/>
          <w:highlight w:val="none"/>
          <w:lang w:val="en-US" w:eastAsia="zh-CN" w:bidi="ar-SA"/>
        </w:rPr>
        <w:t>投标文件递交的截止时间</w:t>
      </w:r>
      <w:r>
        <w:rPr>
          <w:rFonts w:hint="eastAsia" w:ascii="宋体" w:hAnsi="宋体" w:eastAsia="宋体" w:cs="宋体"/>
          <w:bCs/>
          <w:color w:val="auto"/>
          <w:kern w:val="0"/>
          <w:szCs w:val="21"/>
          <w:highlight w:val="none"/>
        </w:rPr>
        <w:t>，每天上午00:00至12:00，下午12:00至23:59（北京时间，法定节假日除外）</w:t>
      </w:r>
    </w:p>
    <w:p w14:paraId="6E0B9364">
      <w:pPr>
        <w:spacing w:line="380" w:lineRule="exact"/>
        <w:ind w:firstLine="54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地点（网址）：广西政府采购云平台（https://www.gcy.zfcg.gxzf.gov.cn/）线上获取  </w:t>
      </w:r>
    </w:p>
    <w:p w14:paraId="60B47B0A">
      <w:pPr>
        <w:keepNext w:val="0"/>
        <w:keepLines w:val="0"/>
        <w:pageBreakBefore w:val="0"/>
        <w:widowControl w:val="0"/>
        <w:kinsoku/>
        <w:wordWrap/>
        <w:overflowPunct/>
        <w:topLinePunct w:val="0"/>
        <w:bidi w:val="0"/>
        <w:snapToGrid/>
        <w:spacing w:line="420" w:lineRule="exact"/>
        <w:ind w:firstLine="420" w:firstLineChars="200"/>
        <w:textAlignment w:val="auto"/>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方式：</w:t>
      </w:r>
      <w:r>
        <w:rPr>
          <w:rFonts w:hint="eastAsia" w:ascii="宋体" w:hAnsi="宋体" w:eastAsia="宋体" w:cs="宋体"/>
          <w:bCs/>
          <w:color w:val="auto"/>
          <w:kern w:val="0"/>
          <w:szCs w:val="21"/>
          <w:highlight w:val="none"/>
          <w:lang w:val="en-US" w:eastAsia="zh-CN"/>
        </w:rPr>
        <w:t>供应商</w:t>
      </w:r>
      <w:r>
        <w:rPr>
          <w:rFonts w:hint="eastAsia" w:ascii="宋体" w:hAnsi="宋体" w:eastAsia="宋体" w:cs="宋体"/>
          <w:color w:val="auto"/>
          <w:kern w:val="2"/>
          <w:sz w:val="21"/>
          <w:szCs w:val="21"/>
          <w:highlight w:val="none"/>
          <w:lang w:val="en-US" w:eastAsia="zh-CN"/>
        </w:rPr>
        <w:t>登录广西政府采购云平台（ https://www.gcy.zfcg.gxzf.gov.cn/）在线申请获取采购文件（进入“项目采购”应用，在获取采购文件菜单中选择项目，申请获取采购文件）</w:t>
      </w:r>
      <w:r>
        <w:rPr>
          <w:rFonts w:hint="eastAsia" w:ascii="宋体" w:hAnsi="宋体" w:eastAsia="宋体" w:cs="宋体"/>
          <w:bCs/>
          <w:color w:val="auto"/>
          <w:kern w:val="0"/>
          <w:szCs w:val="21"/>
          <w:highlight w:val="none"/>
        </w:rPr>
        <w:t>。</w:t>
      </w:r>
    </w:p>
    <w:p w14:paraId="62CDBC33">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bookmarkEnd w:id="24"/>
      <w:bookmarkEnd w:id="25"/>
      <w:r>
        <w:rPr>
          <w:rFonts w:hint="eastAsia" w:ascii="宋体" w:hAnsi="宋体" w:eastAsia="宋体" w:cs="宋体"/>
          <w:b/>
          <w:bCs/>
          <w:color w:val="auto"/>
          <w:sz w:val="21"/>
          <w:szCs w:val="21"/>
          <w:highlight w:val="none"/>
          <w:lang w:eastAsia="zh-CN"/>
        </w:rPr>
        <w:t>提交</w:t>
      </w:r>
      <w:r>
        <w:rPr>
          <w:rFonts w:hint="eastAsia" w:ascii="宋体" w:hAnsi="宋体" w:eastAsia="宋体" w:cs="宋体"/>
          <w:b/>
          <w:bCs/>
          <w:color w:val="auto"/>
          <w:sz w:val="21"/>
          <w:szCs w:val="21"/>
          <w:highlight w:val="none"/>
        </w:rPr>
        <w:t>时间和地点</w:t>
      </w:r>
      <w:bookmarkEnd w:id="26"/>
      <w:bookmarkEnd w:id="27"/>
    </w:p>
    <w:p w14:paraId="095FE6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cs="宋体"/>
          <w:color w:val="auto"/>
          <w:sz w:val="21"/>
          <w:szCs w:val="21"/>
          <w:highlight w:val="none"/>
          <w:lang w:eastAsia="zh-CN"/>
        </w:rPr>
        <w:t>2025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07</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0分</w:t>
      </w:r>
      <w:r>
        <w:rPr>
          <w:rFonts w:hint="eastAsia" w:ascii="宋体" w:hAnsi="宋体" w:eastAsia="宋体" w:cs="宋体"/>
          <w:bCs/>
          <w:color w:val="auto"/>
          <w:sz w:val="21"/>
          <w:szCs w:val="21"/>
          <w:highlight w:val="none"/>
        </w:rPr>
        <w:t>（北京时间）。</w:t>
      </w:r>
    </w:p>
    <w:p w14:paraId="175BEA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r>
        <w:rPr>
          <w:rFonts w:hint="eastAsia" w:ascii="宋体" w:hAnsi="宋体" w:cs="Times New Roman"/>
          <w:color w:val="auto"/>
          <w:szCs w:val="21"/>
          <w:highlight w:val="none"/>
          <w:lang w:eastAsia="zh-CN"/>
        </w:rPr>
        <w:t>。</w:t>
      </w:r>
    </w:p>
    <w:p w14:paraId="239D3E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五、开启</w:t>
      </w:r>
    </w:p>
    <w:p w14:paraId="48E850F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cs="宋体"/>
          <w:color w:val="auto"/>
          <w:sz w:val="21"/>
          <w:szCs w:val="21"/>
          <w:highlight w:val="none"/>
          <w:lang w:eastAsia="zh-CN"/>
        </w:rPr>
        <w:t>2025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07</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0分</w:t>
      </w:r>
      <w:r>
        <w:rPr>
          <w:rFonts w:hint="eastAsia" w:ascii="宋体" w:hAnsi="宋体" w:eastAsia="宋体" w:cs="宋体"/>
          <w:color w:val="auto"/>
          <w:sz w:val="21"/>
          <w:szCs w:val="21"/>
          <w:highlight w:val="none"/>
        </w:rPr>
        <w:t>（北京时间）截标后。</w:t>
      </w:r>
    </w:p>
    <w:p w14:paraId="6A860D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地点：通过广西政府采购云平台实行在线解密开启。</w:t>
      </w:r>
    </w:p>
    <w:p w14:paraId="123D42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bookmarkStart w:id="28" w:name="_Toc28359007"/>
      <w:bookmarkStart w:id="29" w:name="_Toc28359084"/>
      <w:bookmarkStart w:id="30" w:name="_Toc35393794"/>
      <w:bookmarkStart w:id="31" w:name="_Toc35393625"/>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02B0468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个工作日。</w:t>
      </w:r>
    </w:p>
    <w:p w14:paraId="252F42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0620DE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本项目无需缴纳</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保证金。</w:t>
      </w:r>
    </w:p>
    <w:p w14:paraId="3684B259">
      <w:pPr>
        <w:keepNext w:val="0"/>
        <w:keepLines w:val="0"/>
        <w:pageBreakBefore w:val="0"/>
        <w:widowControl w:val="0"/>
        <w:numPr>
          <w:ilvl w:val="0"/>
          <w:numId w:val="0"/>
        </w:numPr>
        <w:kinsoku/>
        <w:wordWrap/>
        <w:overflowPunct/>
        <w:topLinePunct w:val="0"/>
        <w:bidi w:val="0"/>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2、本项目所属行业：建筑业。</w:t>
      </w:r>
    </w:p>
    <w:p w14:paraId="6213BA5A">
      <w:pPr>
        <w:keepNext w:val="0"/>
        <w:keepLines w:val="0"/>
        <w:pageBreakBefore w:val="0"/>
        <w:widowControl w:val="0"/>
        <w:numPr>
          <w:ilvl w:val="0"/>
          <w:numId w:val="0"/>
        </w:numPr>
        <w:kinsoku/>
        <w:wordWrap/>
        <w:overflowPunct/>
        <w:topLinePunct w:val="0"/>
        <w:bidi w:val="0"/>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66349783">
      <w:pPr>
        <w:keepNext w:val="0"/>
        <w:keepLines w:val="0"/>
        <w:pageBreakBefore w:val="0"/>
        <w:widowControl w:val="0"/>
        <w:numPr>
          <w:ilvl w:val="0"/>
          <w:numId w:val="0"/>
        </w:numPr>
        <w:kinsoku/>
        <w:wordWrap/>
        <w:overflowPunct/>
        <w:topLinePunct w:val="0"/>
        <w:bidi w:val="0"/>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单位负责人为同一人或者存在直接控股、管理关系的，不得参加同一合同项下的政府采购活动。</w:t>
      </w:r>
    </w:p>
    <w:p w14:paraId="73FEC124">
      <w:pPr>
        <w:keepNext w:val="0"/>
        <w:keepLines w:val="0"/>
        <w:pageBreakBefore w:val="0"/>
        <w:widowControl w:val="0"/>
        <w:numPr>
          <w:ilvl w:val="0"/>
          <w:numId w:val="0"/>
        </w:numPr>
        <w:kinsoku/>
        <w:wordWrap/>
        <w:overflowPunct/>
        <w:topLinePunct w:val="0"/>
        <w:bidi w:val="0"/>
        <w:snapToGrid/>
        <w:spacing w:line="420" w:lineRule="exact"/>
        <w:ind w:firstLine="420" w:firstLineChars="200"/>
        <w:textAlignment w:val="auto"/>
        <w:rPr>
          <w:rFonts w:hint="eastAsia" w:eastAsia="宋体"/>
          <w:color w:val="auto"/>
          <w:highlight w:val="none"/>
          <w:lang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本项目信息发布媒体：http://www.ccgp.gov.cn（中国政府采购网）、http://www.ccgp-guangxi.gov.cn/（广西壮族自治区政府采购网）、（zfcg.czj.guilin.gov.cn）</w:t>
      </w:r>
      <w:r>
        <w:rPr>
          <w:rFonts w:hint="eastAsia" w:ascii="宋体" w:hAnsi="宋体" w:cs="宋体"/>
          <w:color w:val="auto"/>
          <w:sz w:val="21"/>
          <w:szCs w:val="21"/>
          <w:highlight w:val="none"/>
          <w:lang w:eastAsia="zh-CN"/>
        </w:rPr>
        <w:t>（贵港市</w:t>
      </w:r>
      <w:r>
        <w:rPr>
          <w:rFonts w:hint="eastAsia" w:ascii="宋体" w:hAnsi="宋体" w:eastAsia="宋体" w:cs="宋体"/>
          <w:color w:val="auto"/>
          <w:sz w:val="21"/>
          <w:szCs w:val="21"/>
          <w:highlight w:val="none"/>
        </w:rPr>
        <w:t>政府采购网</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13B34190">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sz w:val="21"/>
          <w:szCs w:val="21"/>
          <w:highlight w:val="none"/>
          <w:u w:val="none"/>
          <w:lang w:val="en-US" w:eastAsia="zh-CN"/>
        </w:rPr>
      </w:pPr>
      <w:r>
        <w:rPr>
          <w:rFonts w:hint="eastAsia" w:ascii="宋体" w:hAnsi="宋体" w:cs="宋体"/>
          <w:b w:val="0"/>
          <w:bCs/>
          <w:color w:val="auto"/>
          <w:sz w:val="21"/>
          <w:szCs w:val="21"/>
          <w:highlight w:val="none"/>
          <w:u w:val="none"/>
          <w:lang w:val="en-US" w:eastAsia="zh-CN"/>
        </w:rPr>
        <w:t>6、</w:t>
      </w:r>
      <w:r>
        <w:rPr>
          <w:rFonts w:hint="eastAsia" w:ascii="宋体" w:hAnsi="宋体" w:eastAsia="宋体" w:cs="宋体"/>
          <w:b w:val="0"/>
          <w:bCs/>
          <w:color w:val="auto"/>
          <w:sz w:val="21"/>
          <w:szCs w:val="21"/>
          <w:highlight w:val="none"/>
          <w:u w:val="none"/>
          <w:lang w:val="en-US" w:eastAsia="zh-CN"/>
        </w:rPr>
        <w:t>本项目需要落实的政府采购政策：</w:t>
      </w:r>
    </w:p>
    <w:p w14:paraId="543E1CD2">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（1）政府采购促进中小企业发展。</w:t>
      </w:r>
    </w:p>
    <w:p w14:paraId="57123748">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w:t>
      </w:r>
      <w:r>
        <w:rPr>
          <w:rFonts w:hint="eastAsia" w:ascii="宋体" w:hAnsi="宋体" w:cs="宋体"/>
          <w:b w:val="0"/>
          <w:bCs/>
          <w:color w:val="auto"/>
          <w:sz w:val="21"/>
          <w:szCs w:val="21"/>
          <w:highlight w:val="none"/>
          <w:u w:val="none"/>
          <w:lang w:val="en-US" w:eastAsia="zh-CN"/>
        </w:rPr>
        <w:t>2</w:t>
      </w:r>
      <w:r>
        <w:rPr>
          <w:rFonts w:hint="eastAsia" w:ascii="宋体" w:hAnsi="宋体" w:eastAsia="宋体" w:cs="宋体"/>
          <w:b w:val="0"/>
          <w:bCs/>
          <w:color w:val="auto"/>
          <w:sz w:val="21"/>
          <w:szCs w:val="21"/>
          <w:highlight w:val="none"/>
          <w:u w:val="none"/>
          <w:lang w:val="en-US" w:eastAsia="zh-CN"/>
        </w:rPr>
        <w:t>）政府采购促进残疾人就业政策。</w:t>
      </w:r>
    </w:p>
    <w:p w14:paraId="22B4A26C">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w:t>
      </w:r>
      <w:r>
        <w:rPr>
          <w:rFonts w:hint="eastAsia" w:ascii="宋体" w:hAnsi="宋体" w:cs="宋体"/>
          <w:b w:val="0"/>
          <w:bCs/>
          <w:color w:val="auto"/>
          <w:sz w:val="21"/>
          <w:szCs w:val="21"/>
          <w:highlight w:val="none"/>
          <w:u w:val="none"/>
          <w:lang w:val="en-US" w:eastAsia="zh-CN"/>
        </w:rPr>
        <w:t>3</w:t>
      </w:r>
      <w:r>
        <w:rPr>
          <w:rFonts w:hint="eastAsia" w:ascii="宋体" w:hAnsi="宋体" w:eastAsia="宋体" w:cs="宋体"/>
          <w:b w:val="0"/>
          <w:bCs/>
          <w:color w:val="auto"/>
          <w:sz w:val="21"/>
          <w:szCs w:val="21"/>
          <w:highlight w:val="none"/>
          <w:u w:val="none"/>
          <w:lang w:val="en-US" w:eastAsia="zh-CN"/>
        </w:rPr>
        <w:t>）政府采购支持监狱企业发展。</w:t>
      </w:r>
    </w:p>
    <w:p w14:paraId="6BE8CD28">
      <w:pPr>
        <w:pStyle w:val="30"/>
        <w:keepNext w:val="0"/>
        <w:keepLines w:val="0"/>
        <w:pageBreakBefore w:val="0"/>
        <w:widowControl w:val="0"/>
        <w:kinsoku/>
        <w:wordWrap/>
        <w:overflowPunct/>
        <w:topLinePunct w:val="0"/>
        <w:bidi w:val="0"/>
        <w:snapToGrid/>
        <w:spacing w:line="420" w:lineRule="exact"/>
        <w:ind w:left="420" w:leftChars="200" w:firstLine="0" w:firstLineChars="0"/>
        <w:jc w:val="left"/>
        <w:textAlignment w:val="auto"/>
        <w:rPr>
          <w:rFonts w:hint="eastAsia" w:ascii="宋体" w:hAnsi="宋体" w:eastAsia="宋体" w:cs="宋体"/>
          <w:b w:val="0"/>
          <w:bCs/>
          <w:color w:val="auto"/>
          <w:sz w:val="21"/>
          <w:szCs w:val="21"/>
          <w:highlight w:val="none"/>
          <w:u w:val="none"/>
          <w:lang w:val="en-US" w:eastAsia="zh-CN"/>
        </w:rPr>
      </w:pPr>
      <w:r>
        <w:rPr>
          <w:rFonts w:hint="eastAsia" w:ascii="宋体" w:hAnsi="宋体" w:cs="宋体"/>
          <w:b w:val="0"/>
          <w:bCs/>
          <w:color w:val="auto"/>
          <w:sz w:val="21"/>
          <w:szCs w:val="21"/>
          <w:highlight w:val="none"/>
          <w:u w:val="none"/>
          <w:lang w:val="en-US" w:eastAsia="zh-CN"/>
        </w:rPr>
        <w:t>7</w:t>
      </w:r>
      <w:r>
        <w:rPr>
          <w:rFonts w:hint="eastAsia" w:ascii="宋体" w:hAnsi="宋体" w:eastAsia="宋体" w:cs="宋体"/>
          <w:b w:val="0"/>
          <w:bCs/>
          <w:color w:val="auto"/>
          <w:sz w:val="21"/>
          <w:szCs w:val="21"/>
          <w:highlight w:val="none"/>
          <w:u w:val="none"/>
          <w:lang w:val="en-US" w:eastAsia="zh-CN"/>
        </w:rPr>
        <w:t>.供应商竞标注意事项</w:t>
      </w:r>
    </w:p>
    <w:p w14:paraId="4614E35C">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1）本项目为全流程电子化采购项目，通过广西政府采购云平台（https://www.gcy.zfcg.gxzf.gov.cn/）实行在线电子竞标，供应商应先安装“广西政府采购云平台电子交易客户端”（请自行前往广西政府采购云平台进行下载），并按照本项目竞争性磋商文件和广西政府采购云平台的要求编制、加密后在提交响应文件截止时间前通过网络上传至 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3670F28B">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cs="宋体"/>
          <w:b w:val="0"/>
          <w:bCs/>
          <w:color w:val="auto"/>
          <w:kern w:val="2"/>
          <w:sz w:val="21"/>
          <w:szCs w:val="21"/>
          <w:highlight w:val="none"/>
          <w:u w:val="none"/>
          <w:lang w:val="en-US" w:eastAsia="zh-CN" w:bidi="ar-SA"/>
        </w:rPr>
        <w:t xml:space="preserve">  </w:t>
      </w:r>
      <w:r>
        <w:rPr>
          <w:rFonts w:hint="eastAsia" w:ascii="宋体" w:hAnsi="宋体" w:eastAsia="宋体" w:cs="宋体"/>
          <w:b w:val="0"/>
          <w:bCs/>
          <w:color w:val="auto"/>
          <w:kern w:val="2"/>
          <w:sz w:val="21"/>
          <w:szCs w:val="21"/>
          <w:highlight w:val="none"/>
          <w:u w:val="none"/>
          <w:lang w:val="en-US" w:eastAsia="zh-CN" w:bidi="ar-SA"/>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广西政府采购云平台客服热线：95763）。</w:t>
      </w:r>
    </w:p>
    <w:p w14:paraId="5348D3E4">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cs="宋体"/>
          <w:b w:val="0"/>
          <w:bCs/>
          <w:color w:val="auto"/>
          <w:kern w:val="2"/>
          <w:sz w:val="21"/>
          <w:szCs w:val="21"/>
          <w:highlight w:val="none"/>
          <w:u w:val="none"/>
          <w:lang w:val="en-US" w:eastAsia="zh-CN" w:bidi="ar-SA"/>
        </w:rPr>
        <w:t xml:space="preserve">  </w:t>
      </w:r>
      <w:r>
        <w:rPr>
          <w:rFonts w:hint="eastAsia" w:ascii="宋体" w:hAnsi="宋体" w:eastAsia="宋体" w:cs="宋体"/>
          <w:b w:val="0"/>
          <w:bCs/>
          <w:color w:val="auto"/>
          <w:kern w:val="2"/>
          <w:sz w:val="21"/>
          <w:szCs w:val="21"/>
          <w:highlight w:val="none"/>
          <w:u w:val="none"/>
          <w:lang w:val="en-US" w:eastAsia="zh-CN" w:bidi="ar-SA"/>
        </w:rPr>
        <w:t>（3）CA证书在线解密：首次响应文件开启时，需携带制作响应文件时用来加密的有效数字证书（CA认证）登录广西政府采购云平台电子开标大厅现场按规定时间对加密的响应文件进行解密，否则后果自负。</w:t>
      </w:r>
    </w:p>
    <w:p w14:paraId="1A509242">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cs="宋体"/>
          <w:b w:val="0"/>
          <w:bCs/>
          <w:color w:val="auto"/>
          <w:kern w:val="2"/>
          <w:sz w:val="21"/>
          <w:szCs w:val="21"/>
          <w:highlight w:val="none"/>
          <w:u w:val="none"/>
          <w:lang w:val="en-US" w:eastAsia="zh-CN" w:bidi="ar-SA"/>
        </w:rPr>
        <w:t xml:space="preserve">  </w:t>
      </w:r>
      <w:r>
        <w:rPr>
          <w:rFonts w:hint="eastAsia" w:ascii="宋体" w:hAnsi="宋体" w:eastAsia="宋体" w:cs="宋体"/>
          <w:b w:val="0"/>
          <w:bCs/>
          <w:color w:val="auto"/>
          <w:kern w:val="2"/>
          <w:sz w:val="21"/>
          <w:szCs w:val="21"/>
          <w:highlight w:val="none"/>
          <w:u w:val="none"/>
          <w:lang w:val="en-US" w:eastAsia="zh-CN" w:bidi="ar-SA"/>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17C917BA">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kern w:val="2"/>
          <w:sz w:val="21"/>
          <w:szCs w:val="21"/>
          <w:highlight w:val="none"/>
          <w:u w:val="none"/>
          <w:lang w:val="en-US" w:eastAsia="zh-CN" w:bidi="ar-SA"/>
        </w:rPr>
      </w:pPr>
      <w:r>
        <w:rPr>
          <w:rFonts w:hint="eastAsia" w:ascii="宋体" w:hAnsi="宋体" w:eastAsia="宋体" w:cs="宋体"/>
          <w:b w:val="0"/>
          <w:bCs/>
          <w:color w:val="auto"/>
          <w:kern w:val="2"/>
          <w:sz w:val="21"/>
          <w:szCs w:val="21"/>
          <w:highlight w:val="none"/>
          <w:u w:val="none"/>
          <w:lang w:val="en-US" w:eastAsia="zh-CN" w:bidi="ar-SA"/>
        </w:rPr>
        <w:t xml:space="preserve"> </w:t>
      </w:r>
      <w:r>
        <w:rPr>
          <w:rFonts w:hint="eastAsia" w:ascii="宋体" w:hAnsi="宋体" w:cs="宋体"/>
          <w:b w:val="0"/>
          <w:bCs/>
          <w:color w:val="auto"/>
          <w:kern w:val="2"/>
          <w:sz w:val="21"/>
          <w:szCs w:val="21"/>
          <w:highlight w:val="none"/>
          <w:u w:val="none"/>
          <w:lang w:val="en-US" w:eastAsia="zh-CN" w:bidi="ar-SA"/>
        </w:rPr>
        <w:t xml:space="preserve"> </w:t>
      </w:r>
      <w:r>
        <w:rPr>
          <w:rFonts w:hint="eastAsia" w:ascii="宋体" w:hAnsi="宋体" w:eastAsia="宋体" w:cs="宋体"/>
          <w:b w:val="0"/>
          <w:bCs/>
          <w:color w:val="auto"/>
          <w:kern w:val="2"/>
          <w:sz w:val="21"/>
          <w:szCs w:val="21"/>
          <w:highlight w:val="none"/>
          <w:u w:val="none"/>
          <w:lang w:val="en-US" w:eastAsia="zh-CN" w:bidi="ar-SA"/>
        </w:rPr>
        <w:t>（4）供应商需要在具备有摄像头及语音功能且互联网网络状况良好的电脑登录广西政府采购云平台远程开标大厅参与本次谈判，否则后果自负。</w:t>
      </w:r>
    </w:p>
    <w:p w14:paraId="58216225">
      <w:pPr>
        <w:pStyle w:val="30"/>
        <w:keepNext w:val="0"/>
        <w:keepLines w:val="0"/>
        <w:pageBreakBefore w:val="0"/>
        <w:widowControl w:val="0"/>
        <w:kinsoku/>
        <w:wordWrap/>
        <w:overflowPunct/>
        <w:topLinePunct w:val="0"/>
        <w:bidi w:val="0"/>
        <w:snapToGrid/>
        <w:spacing w:line="420" w:lineRule="exact"/>
        <w:ind w:firstLine="420" w:firstLineChars="200"/>
        <w:jc w:val="left"/>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eastAsia="zh-CN"/>
        </w:rPr>
        <w:t>八</w:t>
      </w:r>
      <w:r>
        <w:rPr>
          <w:rFonts w:hint="eastAsia" w:ascii="宋体" w:hAnsi="宋体" w:eastAsia="宋体" w:cs="宋体"/>
          <w:b w:val="0"/>
          <w:bCs/>
          <w:color w:val="auto"/>
          <w:sz w:val="21"/>
          <w:szCs w:val="21"/>
          <w:highlight w:val="none"/>
          <w:u w:val="none"/>
        </w:rPr>
        <w:t>、凡对本次采购提出询问，请按以下方式联系。</w:t>
      </w:r>
      <w:bookmarkEnd w:id="20"/>
      <w:bookmarkEnd w:id="21"/>
      <w:bookmarkEnd w:id="22"/>
      <w:bookmarkEnd w:id="23"/>
    </w:p>
    <w:p w14:paraId="37F5ABC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145AF87D">
      <w:pPr>
        <w:keepNext w:val="0"/>
        <w:keepLines w:val="0"/>
        <w:pageBreakBefore w:val="0"/>
        <w:widowControl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贵港市文化广电体育和旅游局</w:t>
      </w:r>
    </w:p>
    <w:p w14:paraId="74E202C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地址：</w:t>
      </w:r>
      <w:r>
        <w:rPr>
          <w:rFonts w:hint="eastAsia" w:ascii="宋体" w:hAnsi="宋体" w:cs="宋体"/>
          <w:color w:val="auto"/>
          <w:sz w:val="21"/>
          <w:szCs w:val="21"/>
          <w:highlight w:val="none"/>
          <w:lang w:eastAsia="zh-CN"/>
        </w:rPr>
        <w:t>贵港市港北区民主路198号</w:t>
      </w:r>
    </w:p>
    <w:p w14:paraId="0F9E339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联系人：</w:t>
      </w:r>
      <w:r>
        <w:rPr>
          <w:rFonts w:hint="eastAsia" w:ascii="宋体" w:hAnsi="宋体" w:cs="宋体"/>
          <w:color w:val="auto"/>
          <w:sz w:val="21"/>
          <w:szCs w:val="21"/>
          <w:highlight w:val="none"/>
          <w:lang w:val="en-US" w:eastAsia="zh-CN"/>
        </w:rPr>
        <w:t xml:space="preserve">莫茹冰   </w:t>
      </w:r>
      <w:r>
        <w:rPr>
          <w:rFonts w:hint="eastAsia" w:ascii="宋体" w:hAnsi="宋体" w:eastAsia="宋体" w:cs="宋体"/>
          <w:color w:val="auto"/>
          <w:sz w:val="21"/>
          <w:szCs w:val="21"/>
          <w:highlight w:val="none"/>
        </w:rPr>
        <w:t xml:space="preserve"> 联系电话：</w:t>
      </w:r>
      <w:r>
        <w:rPr>
          <w:rFonts w:hint="eastAsia" w:ascii="宋体" w:hAnsi="宋体" w:cs="宋体"/>
          <w:color w:val="auto"/>
          <w:sz w:val="21"/>
          <w:szCs w:val="21"/>
          <w:highlight w:val="none"/>
          <w:lang w:val="en-US" w:eastAsia="zh-CN"/>
        </w:rPr>
        <w:t xml:space="preserve"> 0775-4560787 </w:t>
      </w:r>
    </w:p>
    <w:p w14:paraId="2CABA7D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70DEACC6">
      <w:pPr>
        <w:keepNext w:val="0"/>
        <w:keepLines w:val="0"/>
        <w:pageBreakBefore w:val="0"/>
        <w:widowControl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r>
        <w:rPr>
          <w:rFonts w:hint="eastAsia" w:ascii="宋体" w:hAnsi="宋体" w:cs="宋体"/>
          <w:color w:val="auto"/>
          <w:sz w:val="21"/>
          <w:szCs w:val="21"/>
          <w:highlight w:val="none"/>
          <w:lang w:val="en-US" w:eastAsia="zh-CN"/>
        </w:rPr>
        <w:t>广西龙珂建设工程集团有限公司</w:t>
      </w:r>
    </w:p>
    <w:p w14:paraId="61BE55E8">
      <w:pPr>
        <w:keepNext w:val="0"/>
        <w:keepLines w:val="0"/>
        <w:pageBreakBefore w:val="0"/>
        <w:widowControl w:val="0"/>
        <w:kinsoku/>
        <w:wordWrap/>
        <w:overflowPunct/>
        <w:topLinePunct w:val="0"/>
        <w:autoSpaceDE/>
        <w:autoSpaceDN/>
        <w:bidi w:val="0"/>
        <w:adjustRightInd/>
        <w:snapToGrid/>
        <w:spacing w:line="420" w:lineRule="exact"/>
        <w:ind w:firstLine="630" w:firstLineChars="3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w:t>
      </w:r>
      <w:r>
        <w:rPr>
          <w:rFonts w:hint="eastAsia" w:ascii="宋体" w:hAnsi="宋体" w:cs="宋体"/>
          <w:color w:val="auto"/>
          <w:sz w:val="21"/>
          <w:szCs w:val="21"/>
          <w:highlight w:val="none"/>
          <w:lang w:val="en-US" w:eastAsia="zh-CN"/>
        </w:rPr>
        <w:t>广西壮族自治区贵港市港北区港城镇金港住大道与达开路交汇东南角万豪国际大酒店·万豪丽城2幢2单元2-1603号</w:t>
      </w:r>
    </w:p>
    <w:p w14:paraId="75298CC9">
      <w:pPr>
        <w:keepNext w:val="0"/>
        <w:keepLines w:val="0"/>
        <w:pageBreakBefore w:val="0"/>
        <w:widowControl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w:t>
      </w:r>
      <w:r>
        <w:rPr>
          <w:rFonts w:hint="eastAsia" w:ascii="宋体" w:hAnsi="宋体" w:cs="宋体"/>
          <w:color w:val="auto"/>
          <w:sz w:val="21"/>
          <w:szCs w:val="21"/>
          <w:highlight w:val="none"/>
          <w:lang w:val="en-US" w:eastAsia="zh-CN"/>
        </w:rPr>
        <w:t>张兵雪</w:t>
      </w:r>
      <w:r>
        <w:rPr>
          <w:rFonts w:hint="eastAsia" w:ascii="宋体" w:hAnsi="宋体" w:eastAsia="宋体" w:cs="宋体"/>
          <w:color w:val="auto"/>
          <w:sz w:val="21"/>
          <w:szCs w:val="21"/>
          <w:highlight w:val="none"/>
          <w:lang w:val="en-US" w:eastAsia="zh-CN"/>
        </w:rPr>
        <w:t xml:space="preserve">   </w:t>
      </w:r>
    </w:p>
    <w:p w14:paraId="05A66024">
      <w:pPr>
        <w:keepNext w:val="0"/>
        <w:keepLines w:val="0"/>
        <w:pageBreakBefore w:val="0"/>
        <w:widowControl w:val="0"/>
        <w:kinsoku/>
        <w:wordWrap/>
        <w:overflowPunct/>
        <w:topLinePunct w:val="0"/>
        <w:autoSpaceDE/>
        <w:autoSpaceDN/>
        <w:bidi w:val="0"/>
        <w:adjustRightInd/>
        <w:snapToGrid/>
        <w:spacing w:line="420" w:lineRule="exact"/>
        <w:ind w:left="0" w:leftChars="0" w:firstLine="630" w:firstLineChars="3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cs="宋体"/>
          <w:color w:val="auto"/>
          <w:sz w:val="21"/>
          <w:szCs w:val="21"/>
          <w:highlight w:val="none"/>
          <w:lang w:val="en-US" w:eastAsia="zh-CN"/>
        </w:rPr>
        <w:t>15577130410</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lang w:val="en-US" w:eastAsia="zh-CN"/>
        </w:rPr>
        <w:t xml:space="preserve">                     </w:t>
      </w:r>
    </w:p>
    <w:p w14:paraId="7797FFCF">
      <w:pPr>
        <w:keepNext w:val="0"/>
        <w:keepLines w:val="0"/>
        <w:pageBreakBefore w:val="0"/>
        <w:widowControl w:val="0"/>
        <w:kinsoku/>
        <w:wordWrap/>
        <w:overflowPunct/>
        <w:topLinePunct w:val="0"/>
        <w:autoSpaceDE/>
        <w:autoSpaceDN/>
        <w:bidi w:val="0"/>
        <w:adjustRightInd/>
        <w:snapToGrid/>
        <w:spacing w:line="360" w:lineRule="auto"/>
        <w:ind w:firstLine="525" w:firstLineChars="25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p>
    <w:p w14:paraId="24797ECF">
      <w:pPr>
        <w:keepNext w:val="0"/>
        <w:keepLines w:val="0"/>
        <w:pageBreakBefore w:val="0"/>
        <w:widowControl w:val="0"/>
        <w:kinsoku/>
        <w:wordWrap/>
        <w:overflowPunct/>
        <w:topLinePunct w:val="0"/>
        <w:autoSpaceDE/>
        <w:autoSpaceDN/>
        <w:bidi w:val="0"/>
        <w:adjustRightInd/>
        <w:snapToGrid/>
        <w:spacing w:line="360" w:lineRule="auto"/>
        <w:ind w:firstLine="525" w:firstLineChars="250"/>
        <w:jc w:val="center"/>
        <w:textAlignment w:val="auto"/>
        <w:rPr>
          <w:rFonts w:hint="eastAsia" w:ascii="宋体" w:hAnsi="宋体" w:eastAsia="宋体"/>
          <w:color w:val="auto"/>
          <w:szCs w:val="21"/>
          <w:highlight w:val="none"/>
          <w:lang w:eastAsia="zh-CN"/>
        </w:rPr>
      </w:pP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color w:val="auto"/>
          <w:szCs w:val="21"/>
          <w:highlight w:val="none"/>
          <w:lang w:eastAsia="zh-CN"/>
        </w:rPr>
        <w:t>广西龙珂建设工程集团有限公司</w:t>
      </w:r>
    </w:p>
    <w:p w14:paraId="59A760C6">
      <w:pPr>
        <w:keepNext w:val="0"/>
        <w:keepLines w:val="0"/>
        <w:pageBreakBefore w:val="0"/>
        <w:widowControl w:val="0"/>
        <w:kinsoku/>
        <w:wordWrap/>
        <w:overflowPunct/>
        <w:topLinePunct w:val="0"/>
        <w:autoSpaceDE/>
        <w:autoSpaceDN/>
        <w:bidi w:val="0"/>
        <w:adjustRightInd/>
        <w:snapToGrid/>
        <w:spacing w:line="360" w:lineRule="auto"/>
        <w:ind w:firstLine="6720" w:firstLineChars="3200"/>
        <w:textAlignment w:val="auto"/>
        <w:rPr>
          <w:rFonts w:hint="eastAsia" w:ascii="宋体" w:hAnsi="宋体"/>
          <w:color w:val="auto"/>
          <w:szCs w:val="21"/>
          <w:highlight w:val="none"/>
        </w:rPr>
      </w:pPr>
      <w:r>
        <w:rPr>
          <w:rFonts w:hint="eastAsia" w:ascii="宋体" w:hAnsi="宋体"/>
          <w:color w:val="auto"/>
          <w:szCs w:val="21"/>
          <w:highlight w:val="none"/>
          <w:lang w:eastAsia="zh-CN"/>
        </w:rPr>
        <w:t>2025</w:t>
      </w:r>
      <w:r>
        <w:rPr>
          <w:rFonts w:hint="eastAsia" w:ascii="宋体" w:hAnsi="宋体"/>
          <w:color w:val="auto"/>
          <w:szCs w:val="21"/>
          <w:highlight w:val="none"/>
        </w:rPr>
        <w:t>年</w:t>
      </w:r>
      <w:r>
        <w:rPr>
          <w:rFonts w:hint="eastAsia" w:ascii="宋体" w:hAnsi="宋体"/>
          <w:color w:val="auto"/>
          <w:szCs w:val="21"/>
          <w:highlight w:val="none"/>
          <w:lang w:val="en-US" w:eastAsia="zh-CN"/>
        </w:rPr>
        <w:t>07</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w:t>
      </w:r>
      <w:bookmarkStart w:id="34" w:name="_Toc26924"/>
    </w:p>
    <w:p w14:paraId="5D9F44C5">
      <w:pPr>
        <w:pStyle w:val="13"/>
        <w:rPr>
          <w:rFonts w:hint="eastAsia"/>
          <w:color w:val="auto"/>
          <w:highlight w:val="none"/>
        </w:rPr>
      </w:pPr>
    </w:p>
    <w:p w14:paraId="1798A2BB">
      <w:pPr>
        <w:pStyle w:val="13"/>
        <w:rPr>
          <w:rFonts w:hint="eastAsia"/>
          <w:color w:val="auto"/>
          <w:highlight w:val="none"/>
        </w:rPr>
      </w:pPr>
    </w:p>
    <w:p w14:paraId="639C2330">
      <w:pPr>
        <w:pStyle w:val="13"/>
        <w:rPr>
          <w:rFonts w:hint="eastAsia"/>
          <w:color w:val="auto"/>
          <w:highlight w:val="none"/>
        </w:rPr>
      </w:pPr>
    </w:p>
    <w:p w14:paraId="222E9955">
      <w:pPr>
        <w:rPr>
          <w:rFonts w:hint="eastAsia"/>
          <w:color w:val="auto"/>
          <w:highlight w:val="none"/>
        </w:rPr>
      </w:pPr>
    </w:p>
    <w:p w14:paraId="7ABF30A9">
      <w:pPr>
        <w:pStyle w:val="13"/>
        <w:rPr>
          <w:rFonts w:hint="eastAsia"/>
          <w:color w:val="auto"/>
          <w:highlight w:val="none"/>
        </w:rPr>
      </w:pPr>
    </w:p>
    <w:p w14:paraId="3478E8CE">
      <w:pPr>
        <w:pStyle w:val="13"/>
        <w:rPr>
          <w:rFonts w:hint="eastAsia"/>
          <w:color w:val="auto"/>
          <w:highlight w:val="none"/>
        </w:rPr>
      </w:pPr>
    </w:p>
    <w:p w14:paraId="3F21380E">
      <w:pPr>
        <w:pStyle w:val="13"/>
        <w:rPr>
          <w:rFonts w:hint="eastAsia"/>
          <w:color w:val="auto"/>
          <w:highlight w:val="none"/>
        </w:rPr>
      </w:pPr>
    </w:p>
    <w:p w14:paraId="7834AD42">
      <w:pPr>
        <w:pStyle w:val="13"/>
        <w:rPr>
          <w:rFonts w:hint="eastAsia"/>
          <w:color w:val="auto"/>
          <w:highlight w:val="none"/>
          <w:lang w:eastAsia="zh-CN"/>
        </w:rPr>
      </w:pPr>
    </w:p>
    <w:p w14:paraId="15821366">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br w:type="page"/>
      </w:r>
    </w:p>
    <w:p w14:paraId="23FDD555">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32"/>
          <w:szCs w:val="32"/>
          <w:highlight w:val="none"/>
        </w:rPr>
      </w:pPr>
      <w:bookmarkStart w:id="35" w:name="_Toc30160"/>
      <w:r>
        <w:rPr>
          <w:rFonts w:hint="eastAsia" w:ascii="宋体" w:hAnsi="宋体" w:eastAsia="宋体" w:cs="宋体"/>
          <w:color w:val="auto"/>
          <w:sz w:val="32"/>
          <w:szCs w:val="32"/>
          <w:highlight w:val="none"/>
          <w:lang w:eastAsia="zh-CN"/>
        </w:rPr>
        <w:t>第二章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供应商须知</w:t>
      </w:r>
      <w:bookmarkEnd w:id="35"/>
    </w:p>
    <w:p w14:paraId="577FC225">
      <w:pPr>
        <w:pStyle w:val="3"/>
        <w:keepNext/>
        <w:keepLines/>
        <w:pageBreakBefore w:val="0"/>
        <w:widowControl w:val="0"/>
        <w:tabs>
          <w:tab w:val="left" w:pos="567"/>
        </w:tabs>
        <w:kinsoku/>
        <w:wordWrap/>
        <w:overflowPunct/>
        <w:topLinePunct w:val="0"/>
        <w:autoSpaceDE/>
        <w:autoSpaceDN/>
        <w:bidi w:val="0"/>
        <w:adjustRightInd/>
        <w:snapToGrid/>
        <w:spacing w:line="400" w:lineRule="exact"/>
        <w:jc w:val="center"/>
        <w:textAlignment w:val="auto"/>
        <w:rPr>
          <w:rFonts w:hint="eastAsia"/>
          <w:color w:val="auto"/>
          <w:highlight w:val="none"/>
          <w:lang w:eastAsia="zh-CN"/>
        </w:rPr>
      </w:pPr>
      <w:bookmarkStart w:id="36" w:name="_Toc1585"/>
      <w:bookmarkStart w:id="37" w:name="_Toc21622"/>
      <w:bookmarkStart w:id="38" w:name="_Toc13547"/>
      <w:bookmarkStart w:id="39" w:name="_Toc25063"/>
      <w:bookmarkStart w:id="40" w:name="_Toc9508"/>
      <w:r>
        <w:rPr>
          <w:rFonts w:hint="eastAsia" w:ascii="宋体" w:hAnsi="宋体" w:eastAsia="宋体" w:cs="宋体"/>
          <w:b/>
          <w:bCs w:val="0"/>
          <w:color w:val="auto"/>
          <w:sz w:val="24"/>
          <w:szCs w:val="24"/>
          <w:highlight w:val="none"/>
        </w:rPr>
        <w:t>供 应 商 须 知 前 附 表</w:t>
      </w:r>
      <w:bookmarkEnd w:id="36"/>
      <w:bookmarkEnd w:id="37"/>
      <w:bookmarkEnd w:id="38"/>
      <w:bookmarkEnd w:id="39"/>
      <w:bookmarkEnd w:id="40"/>
    </w:p>
    <w:bookmarkEnd w:id="34"/>
    <w:tbl>
      <w:tblPr>
        <w:tblStyle w:val="27"/>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5DA4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Align w:val="center"/>
          </w:tcPr>
          <w:p w14:paraId="12CD253C">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42" w:type="dxa"/>
            <w:vAlign w:val="center"/>
          </w:tcPr>
          <w:p w14:paraId="1A0B933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775" w:type="dxa"/>
            <w:vAlign w:val="center"/>
          </w:tcPr>
          <w:p w14:paraId="3779B998">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6912" w:type="dxa"/>
            <w:vAlign w:val="center"/>
          </w:tcPr>
          <w:p w14:paraId="1E3DE3C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内容、要求</w:t>
            </w:r>
          </w:p>
        </w:tc>
      </w:tr>
      <w:tr w14:paraId="39F7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2FA85C1B">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942" w:type="dxa"/>
            <w:vAlign w:val="center"/>
          </w:tcPr>
          <w:p w14:paraId="5C759377">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75" w:type="dxa"/>
            <w:vAlign w:val="center"/>
          </w:tcPr>
          <w:p w14:paraId="7B7A8CC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6912" w:type="dxa"/>
            <w:vAlign w:val="center"/>
          </w:tcPr>
          <w:p w14:paraId="60E88C7F">
            <w:pPr>
              <w:pageBreakBefore w:val="0"/>
              <w:widowControl w:val="0"/>
              <w:kinsoku/>
              <w:wordWrap/>
              <w:overflowPunct/>
              <w:topLinePunct w:val="0"/>
              <w:autoSpaceDE/>
              <w:autoSpaceDN/>
              <w:bidi w:val="0"/>
              <w:adjustRightInd/>
              <w:spacing w:line="440" w:lineRule="exact"/>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贵县古墓葬群红岭顶八一路古墓保护工程</w:t>
            </w:r>
            <w:r>
              <w:rPr>
                <w:rFonts w:hint="eastAsia" w:ascii="宋体" w:hAnsi="宋体" w:eastAsia="宋体" w:cs="宋体"/>
                <w:color w:val="auto"/>
                <w:sz w:val="21"/>
                <w:szCs w:val="21"/>
                <w:highlight w:val="none"/>
              </w:rPr>
              <w:t xml:space="preserve"> </w:t>
            </w:r>
          </w:p>
          <w:p w14:paraId="1EE64038">
            <w:pPr>
              <w:pageBreakBefore w:val="0"/>
              <w:widowControl w:val="0"/>
              <w:kinsoku/>
              <w:wordWrap/>
              <w:overflowPunct/>
              <w:topLinePunct w:val="0"/>
              <w:autoSpaceDE/>
              <w:autoSpaceDN/>
              <w:bidi w:val="0"/>
              <w:adjustRightInd/>
              <w:spacing w:line="440" w:lineRule="exact"/>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lang w:eastAsia="zh-CN"/>
              </w:rPr>
              <w:t>项目编号：GGZC2025-C2-990150-GXLK</w:t>
            </w:r>
            <w:r>
              <w:rPr>
                <w:rFonts w:hint="eastAsia" w:ascii="宋体" w:hAnsi="宋体" w:cs="宋体"/>
                <w:color w:val="auto"/>
                <w:sz w:val="21"/>
                <w:szCs w:val="21"/>
                <w:highlight w:val="none"/>
                <w:lang w:val="en-US" w:eastAsia="zh-CN"/>
              </w:rPr>
              <w:t xml:space="preserve"> </w:t>
            </w:r>
          </w:p>
        </w:tc>
      </w:tr>
      <w:tr w14:paraId="2609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4D0E431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942" w:type="dxa"/>
            <w:vAlign w:val="center"/>
          </w:tcPr>
          <w:p w14:paraId="2ED041D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775" w:type="dxa"/>
            <w:vAlign w:val="center"/>
          </w:tcPr>
          <w:p w14:paraId="4CB277D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w:t>
            </w:r>
          </w:p>
        </w:tc>
        <w:tc>
          <w:tcPr>
            <w:tcW w:w="6912" w:type="dxa"/>
            <w:vAlign w:val="center"/>
          </w:tcPr>
          <w:p w14:paraId="1F11911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满足《中华人民共和国政府采购法》第二十二条规定；</w:t>
            </w:r>
          </w:p>
          <w:p w14:paraId="57D1392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lang w:eastAsia="zh-CN"/>
              </w:rPr>
              <w:t>本项目为</w:t>
            </w:r>
            <w:r>
              <w:rPr>
                <w:rFonts w:hint="eastAsia" w:ascii="宋体" w:hAnsi="宋体" w:eastAsia="宋体" w:cs="宋体"/>
                <w:color w:val="auto"/>
                <w:sz w:val="21"/>
                <w:szCs w:val="21"/>
                <w:highlight w:val="none"/>
              </w:rPr>
              <w:t>专门面向中小</w:t>
            </w:r>
            <w:r>
              <w:rPr>
                <w:rFonts w:hint="eastAsia" w:ascii="宋体" w:hAnsi="宋体" w:eastAsia="宋体" w:cs="宋体"/>
                <w:color w:val="auto"/>
                <w:sz w:val="21"/>
                <w:szCs w:val="21"/>
                <w:highlight w:val="none"/>
                <w:lang w:eastAsia="zh-CN"/>
              </w:rPr>
              <w:t>微</w:t>
            </w:r>
            <w:r>
              <w:rPr>
                <w:rFonts w:hint="eastAsia" w:ascii="宋体" w:hAnsi="宋体" w:eastAsia="宋体" w:cs="宋体"/>
                <w:color w:val="auto"/>
                <w:sz w:val="21"/>
                <w:szCs w:val="21"/>
                <w:highlight w:val="none"/>
              </w:rPr>
              <w:t>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4B0E6FC0">
            <w:pPr>
              <w:keepNext w:val="0"/>
              <w:keepLines w:val="0"/>
              <w:pageBreakBefore w:val="0"/>
              <w:widowControl/>
              <w:kinsoku w:val="0"/>
              <w:wordWrap/>
              <w:overflowPunct/>
              <w:topLinePunct w:val="0"/>
              <w:autoSpaceDE w:val="0"/>
              <w:autoSpaceDN w:val="0"/>
              <w:bidi w:val="0"/>
              <w:adjustRightInd w:val="0"/>
              <w:snapToGrid w:val="0"/>
              <w:spacing w:before="165" w:line="360" w:lineRule="exact"/>
              <w:ind w:right="166"/>
              <w:textAlignment w:val="baseline"/>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color w:val="auto"/>
                <w:sz w:val="21"/>
                <w:szCs w:val="21"/>
                <w:highlight w:val="none"/>
              </w:rPr>
              <w:t>本项目的特定资格要求：</w:t>
            </w:r>
            <w:r>
              <w:rPr>
                <w:rFonts w:hint="eastAsia" w:ascii="宋体" w:hAnsi="宋体" w:eastAsia="宋体" w:cs="宋体"/>
                <w:color w:val="auto"/>
                <w:sz w:val="21"/>
                <w:szCs w:val="21"/>
                <w:highlight w:val="none"/>
                <w:lang w:val="en-US" w:eastAsia="zh-CN"/>
              </w:rPr>
              <w:t>具备国家文物局颁发的文物保护工程</w:t>
            </w:r>
            <w:r>
              <w:rPr>
                <w:rFonts w:hint="eastAsia" w:ascii="宋体" w:hAnsi="宋体" w:cs="宋体"/>
                <w:color w:val="auto"/>
                <w:sz w:val="21"/>
                <w:szCs w:val="21"/>
                <w:highlight w:val="none"/>
                <w:lang w:val="en-US" w:eastAsia="zh-CN"/>
              </w:rPr>
              <w:t>施工二级（含）以上资质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业务范围包含古文化遗址古墓葬或古遗址古墓葬保护，</w:t>
            </w:r>
            <w:r>
              <w:rPr>
                <w:rFonts w:hint="eastAsia"/>
                <w:color w:val="auto"/>
                <w:szCs w:val="21"/>
                <w:highlight w:val="none"/>
              </w:rPr>
              <w:t>具有有效的安全生产许可证</w:t>
            </w:r>
            <w:r>
              <w:rPr>
                <w:rFonts w:hint="eastAsia"/>
                <w:color w:val="auto"/>
                <w:szCs w:val="21"/>
                <w:highlight w:val="none"/>
                <w:lang w:eastAsia="zh-CN"/>
              </w:rPr>
              <w:t>，</w:t>
            </w:r>
            <w:r>
              <w:rPr>
                <w:rFonts w:hint="eastAsia" w:ascii="宋体" w:hAnsi="宋体" w:eastAsia="宋体" w:cs="宋体"/>
                <w:color w:val="auto"/>
                <w:sz w:val="21"/>
                <w:szCs w:val="21"/>
                <w:highlight w:val="none"/>
                <w:lang w:val="en-US" w:eastAsia="zh-CN"/>
              </w:rPr>
              <w:t>并在人员、设备、资金等方面具备相应的施工能力。</w:t>
            </w:r>
            <w:r>
              <w:rPr>
                <w:rFonts w:hint="eastAsia" w:ascii="宋体" w:hAnsi="宋体" w:cs="宋体"/>
                <w:color w:val="auto"/>
                <w:sz w:val="21"/>
                <w:szCs w:val="21"/>
                <w:highlight w:val="none"/>
                <w:lang w:val="en-US" w:eastAsia="zh-CN"/>
              </w:rPr>
              <w:t>项目经理须具备中国古迹遗址保护协会颁发的文物保护工程责任工程师证书，且同时具备有中级（含）以上职称</w:t>
            </w:r>
          </w:p>
        </w:tc>
      </w:tr>
      <w:tr w14:paraId="15B4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796FAA8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942" w:type="dxa"/>
            <w:vAlign w:val="center"/>
          </w:tcPr>
          <w:p w14:paraId="0A419A17">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775" w:type="dxa"/>
            <w:vAlign w:val="center"/>
          </w:tcPr>
          <w:p w14:paraId="2A2EB3C4">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磋商费用</w:t>
            </w:r>
          </w:p>
        </w:tc>
        <w:tc>
          <w:tcPr>
            <w:tcW w:w="6912" w:type="dxa"/>
            <w:vAlign w:val="center"/>
          </w:tcPr>
          <w:p w14:paraId="3059A0C4">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不论磋商结果如何，供应商均应自行承担所有与磋商有关的全部费用。 </w:t>
            </w:r>
          </w:p>
        </w:tc>
      </w:tr>
      <w:tr w14:paraId="4F74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7C7881A0">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942" w:type="dxa"/>
            <w:vAlign w:val="center"/>
          </w:tcPr>
          <w:p w14:paraId="42E9A88B">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13</w:t>
            </w:r>
          </w:p>
        </w:tc>
        <w:tc>
          <w:tcPr>
            <w:tcW w:w="1775" w:type="dxa"/>
            <w:vAlign w:val="center"/>
          </w:tcPr>
          <w:p w14:paraId="7CD58679">
            <w:pPr>
              <w:keepNext w:val="0"/>
              <w:keepLines w:val="0"/>
              <w:pageBreakBefore w:val="0"/>
              <w:kinsoku/>
              <w:wordWrap/>
              <w:overflowPunct/>
              <w:topLinePunct w:val="0"/>
              <w:autoSpaceDE/>
              <w:autoSpaceDN/>
              <w:bidi w:val="0"/>
              <w:adjustRightInd/>
              <w:spacing w:line="360" w:lineRule="exact"/>
              <w:ind w:left="0" w:leftChars="0"/>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12508D9E">
            <w:pPr>
              <w:keepNext w:val="0"/>
              <w:keepLines w:val="0"/>
              <w:pageBreakBefore w:val="0"/>
              <w:widowControl/>
              <w:kinsoku/>
              <w:wordWrap/>
              <w:overflowPunct/>
              <w:topLinePunct w:val="0"/>
              <w:autoSpaceDE/>
              <w:autoSpaceDN/>
              <w:bidi w:val="0"/>
              <w:adjustRightInd/>
              <w:snapToGrid w:val="0"/>
              <w:spacing w:line="360" w:lineRule="exact"/>
              <w:ind w:left="0" w:leftChars="0" w:firstLine="420" w:firstLineChars="200"/>
              <w:jc w:val="left"/>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color w:val="auto"/>
                <w:sz w:val="21"/>
                <w:szCs w:val="21"/>
                <w:highlight w:val="none"/>
                <w:lang w:val="en-US" w:eastAsia="zh-CN"/>
              </w:rPr>
              <w:t>912977.07</w:t>
            </w:r>
            <w:r>
              <w:rPr>
                <w:rFonts w:hint="eastAsia" w:ascii="宋体" w:hAnsi="宋体" w:eastAsia="宋体" w:cs="宋体"/>
                <w:color w:val="auto"/>
                <w:kern w:val="0"/>
                <w:sz w:val="21"/>
                <w:szCs w:val="21"/>
                <w:highlight w:val="none"/>
                <w:u w:val="single"/>
                <w:shd w:val="clear" w:color="auto" w:fill="auto"/>
                <w:lang w:val="en-US" w:eastAsia="zh-CN"/>
              </w:rPr>
              <w:t>元</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3DCB1855">
            <w:pPr>
              <w:keepNext w:val="0"/>
              <w:keepLines w:val="0"/>
              <w:pageBreakBefore w:val="0"/>
              <w:widowControl/>
              <w:kinsoku/>
              <w:wordWrap/>
              <w:overflowPunct/>
              <w:topLinePunct w:val="0"/>
              <w:autoSpaceDE/>
              <w:autoSpaceDN/>
              <w:bidi w:val="0"/>
              <w:adjustRightInd/>
              <w:snapToGrid w:val="0"/>
              <w:spacing w:line="360" w:lineRule="exact"/>
              <w:ind w:left="0" w:leftChars="0" w:firstLine="422"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kern w:val="0"/>
                <w:sz w:val="21"/>
                <w:szCs w:val="21"/>
                <w:highlight w:val="none"/>
                <w:lang w:eastAsia="zh-CN"/>
              </w:rPr>
              <w:t>预算控制价（最高限价），否则作无效标处理；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135B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4EB69E7D">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942" w:type="dxa"/>
            <w:vAlign w:val="center"/>
          </w:tcPr>
          <w:p w14:paraId="56F9E498">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14.1</w:t>
            </w:r>
          </w:p>
        </w:tc>
        <w:tc>
          <w:tcPr>
            <w:tcW w:w="1775" w:type="dxa"/>
            <w:vAlign w:val="center"/>
          </w:tcPr>
          <w:p w14:paraId="2E7659D1">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响应文件有效期</w:t>
            </w:r>
          </w:p>
        </w:tc>
        <w:tc>
          <w:tcPr>
            <w:tcW w:w="6912" w:type="dxa"/>
            <w:vAlign w:val="top"/>
          </w:tcPr>
          <w:p w14:paraId="70C0D86A">
            <w:pPr>
              <w:pageBreakBefore w:val="0"/>
              <w:widowControl w:val="0"/>
              <w:tabs>
                <w:tab w:val="left" w:pos="1305"/>
              </w:tabs>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响应文件递交截止时间之日起90天，有效期不足的响应文件将被拒绝。</w:t>
            </w:r>
          </w:p>
        </w:tc>
      </w:tr>
      <w:tr w14:paraId="0F8A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4CED6193">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42" w:type="dxa"/>
            <w:vAlign w:val="center"/>
          </w:tcPr>
          <w:p w14:paraId="153CEB93">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15</w:t>
            </w:r>
          </w:p>
        </w:tc>
        <w:tc>
          <w:tcPr>
            <w:tcW w:w="1775" w:type="dxa"/>
            <w:vAlign w:val="center"/>
          </w:tcPr>
          <w:p w14:paraId="2E77D6D8">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保证金</w:t>
            </w:r>
          </w:p>
        </w:tc>
        <w:tc>
          <w:tcPr>
            <w:tcW w:w="6912" w:type="dxa"/>
            <w:vAlign w:val="top"/>
          </w:tcPr>
          <w:p w14:paraId="7443E3D7">
            <w:pPr>
              <w:pageBreakBefore w:val="0"/>
              <w:widowControl w:val="0"/>
              <w:tabs>
                <w:tab w:val="left" w:pos="1305"/>
              </w:tabs>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本项目无需缴纳磋商保证金</w:t>
            </w:r>
          </w:p>
        </w:tc>
      </w:tr>
      <w:tr w14:paraId="0674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7B65B47">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p>
        </w:tc>
        <w:tc>
          <w:tcPr>
            <w:tcW w:w="942" w:type="dxa"/>
            <w:vAlign w:val="center"/>
          </w:tcPr>
          <w:p w14:paraId="5DA7BC9D">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1775" w:type="dxa"/>
            <w:vAlign w:val="center"/>
          </w:tcPr>
          <w:p w14:paraId="2DC61ED0">
            <w:pPr>
              <w:pStyle w:val="4"/>
              <w:pageBreakBefore w:val="0"/>
              <w:widowControl w:val="0"/>
              <w:kinsoku/>
              <w:wordWrap/>
              <w:overflowPunct/>
              <w:topLinePunct w:val="0"/>
              <w:autoSpaceDE/>
              <w:autoSpaceDN/>
              <w:bidi w:val="0"/>
              <w:adjustRightInd/>
              <w:spacing w:before="0" w:after="0" w:line="440" w:lineRule="exact"/>
              <w:jc w:val="center"/>
              <w:textAlignment w:val="auto"/>
              <w:rPr>
                <w:rFonts w:hint="eastAsia" w:ascii="宋体" w:hAnsi="宋体" w:eastAsia="宋体" w:cs="宋体"/>
                <w:b w:val="0"/>
                <w:bCs/>
                <w:color w:val="auto"/>
                <w:sz w:val="21"/>
                <w:szCs w:val="21"/>
                <w:highlight w:val="none"/>
                <w:lang w:eastAsia="zh-CN"/>
              </w:rPr>
            </w:pPr>
            <w:bookmarkStart w:id="41" w:name="_Toc19954"/>
            <w:bookmarkStart w:id="42" w:name="_Toc19911"/>
            <w:bookmarkStart w:id="43" w:name="_Toc27452"/>
            <w:r>
              <w:rPr>
                <w:rFonts w:hint="eastAsia" w:ascii="宋体" w:hAnsi="宋体" w:eastAsia="宋体" w:cs="宋体"/>
                <w:b w:val="0"/>
                <w:bCs/>
                <w:color w:val="auto"/>
                <w:sz w:val="21"/>
                <w:szCs w:val="21"/>
                <w:highlight w:val="none"/>
              </w:rPr>
              <w:t>竞争性</w:t>
            </w:r>
            <w:r>
              <w:rPr>
                <w:rFonts w:hint="eastAsia" w:ascii="宋体" w:hAnsi="宋体" w:eastAsia="宋体" w:cs="宋体"/>
                <w:b w:val="0"/>
                <w:bCs/>
                <w:color w:val="auto"/>
                <w:sz w:val="21"/>
                <w:szCs w:val="21"/>
                <w:highlight w:val="none"/>
                <w:lang w:eastAsia="zh-CN"/>
              </w:rPr>
              <w:t>磋商</w:t>
            </w:r>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1"/>
            <w:bookmarkEnd w:id="42"/>
            <w:bookmarkEnd w:id="43"/>
          </w:p>
          <w:p w14:paraId="31BB20E5">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p>
        </w:tc>
        <w:tc>
          <w:tcPr>
            <w:tcW w:w="6912" w:type="dxa"/>
            <w:vAlign w:val="center"/>
          </w:tcPr>
          <w:p w14:paraId="420A03A6">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.1 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响应文件中须加盖供应商公章部分均采用</w:t>
            </w:r>
            <w:r>
              <w:rPr>
                <w:rFonts w:hint="eastAsia" w:ascii="宋体" w:hAnsi="宋体" w:eastAsia="宋体" w:cs="宋体"/>
                <w:color w:val="auto"/>
                <w:szCs w:val="21"/>
                <w:highlight w:val="none"/>
                <w:lang w:val="en-US" w:eastAsia="zh-CN"/>
              </w:rPr>
              <w:t>数字证书（CA认证）</w:t>
            </w:r>
            <w:r>
              <w:rPr>
                <w:rFonts w:hint="eastAsia" w:ascii="宋体" w:hAnsi="宋体" w:eastAsia="宋体" w:cs="宋体"/>
                <w:color w:val="auto"/>
                <w:szCs w:val="21"/>
                <w:highlight w:val="none"/>
              </w:rPr>
              <w:t>签章，并根据“政府采购项目电子交易管理操作指南-供应商”及本</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文件规定的格式和顺序编制电子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响应文件并进行关联定位，以便</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小组在评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时，点击评分项可直接定位到该评分项内容。如对</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文件的某项要求，供应商的电子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响应文件未能关联定位提供相应的内容与其对应，则</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小组在评审时如做出对供应商不利的评审由供应商自行承担。电子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响应文件如内容不完整、编排混乱导致</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响应文件被误读、 漏读，或者在按采购文件规定的部位查找不到相关内容的，由供应商自行承担。</w:t>
            </w:r>
          </w:p>
          <w:p w14:paraId="01B5409F">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16.2</w:t>
            </w:r>
            <w:r>
              <w:rPr>
                <w:rFonts w:hint="eastAsia" w:ascii="宋体" w:hAnsi="宋体" w:eastAsia="宋体" w:cs="宋体"/>
                <w:color w:val="auto"/>
                <w:szCs w:val="21"/>
                <w:highlight w:val="none"/>
              </w:rPr>
              <w:t>供应商法人（负责人）或授权代表持有个人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签章的，应在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文件中涉及到签字的位置使用个人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签章，没有办理个人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签章的可在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文件中涉及到签字的位置手写签字后扫描或者拍照做成 PDF 的格式上传即可。</w:t>
            </w:r>
          </w:p>
          <w:p w14:paraId="6C8424F7">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响应文件不得涂改，若有修改错漏处，须法定代表人（负责人）或授权委托人签字</w:t>
            </w:r>
            <w:r>
              <w:rPr>
                <w:rFonts w:hint="eastAsia" w:ascii="宋体" w:hAnsi="宋体" w:eastAsia="宋体" w:cs="宋体"/>
                <w:color w:val="auto"/>
                <w:szCs w:val="21"/>
                <w:highlight w:val="none"/>
                <w:lang w:eastAsia="zh-CN"/>
              </w:rPr>
              <w:t>（或个人</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响应文件因字迹潦草或表达不清所引起的后果由供应商负责。</w:t>
            </w:r>
          </w:p>
          <w:p w14:paraId="35D203B7">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w:t>
            </w:r>
            <w:r>
              <w:rPr>
                <w:rFonts w:hint="eastAsia" w:ascii="宋体" w:hAnsi="宋体" w:eastAsia="宋体" w:cs="宋体"/>
                <w:color w:val="auto"/>
                <w:szCs w:val="21"/>
                <w:highlight w:val="none"/>
                <w:lang w:eastAsia="zh-CN"/>
              </w:rPr>
              <w:t xml:space="preserve">磋商前准备 </w:t>
            </w:r>
          </w:p>
          <w:p w14:paraId="5F005762">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16.4.1</w:t>
            </w:r>
            <w:r>
              <w:rPr>
                <w:rFonts w:hint="eastAsia" w:ascii="宋体" w:hAnsi="宋体" w:eastAsia="宋体" w:cs="宋体"/>
                <w:color w:val="auto"/>
                <w:szCs w:val="21"/>
                <w:highlight w:val="none"/>
                <w:lang w:eastAsia="zh-CN"/>
              </w:rPr>
              <w:t xml:space="preserve">本项目实行在线磋商，采用电子磋商响应文件。若供应商参与磋商，自行承担磋商一切费用。 </w:t>
            </w:r>
          </w:p>
          <w:p w14:paraId="30BF502C">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16.4.2</w:t>
            </w:r>
            <w:r>
              <w:rPr>
                <w:rFonts w:hint="eastAsia" w:ascii="宋体" w:hAnsi="宋体" w:eastAsia="宋体" w:cs="宋体"/>
                <w:color w:val="auto"/>
                <w:szCs w:val="21"/>
                <w:highlight w:val="none"/>
                <w:lang w:eastAsia="zh-CN"/>
              </w:rPr>
              <w:t>各供应商应在截标前应确保成为</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正式注册入库供应商，并完成</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申领。因未注册入库、未办理</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 xml:space="preserve">等原因造成无法磋商或磋商失败等后果由供应商自行承担。 </w:t>
            </w:r>
          </w:p>
          <w:p w14:paraId="72C49395">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16.4.3</w:t>
            </w:r>
            <w:r>
              <w:rPr>
                <w:rFonts w:hint="eastAsia" w:ascii="宋体" w:hAnsi="宋体" w:eastAsia="宋体" w:cs="宋体"/>
                <w:color w:val="auto"/>
                <w:szCs w:val="21"/>
                <w:highlight w:val="none"/>
                <w:lang w:eastAsia="zh-CN"/>
              </w:rPr>
              <w:t>供应商将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电子交易客户端下载、安装完成后，可通过账号密码或</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登录客户端进行响应文件制作。客户端请至网站下载专区查看，如有问题可拨打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 xml:space="preserve">客户服务热线 </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lang w:eastAsia="zh-CN"/>
              </w:rPr>
              <w:t xml:space="preserve"> 进行咨询。</w:t>
            </w:r>
          </w:p>
        </w:tc>
      </w:tr>
      <w:tr w14:paraId="475C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037DCEDE">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p>
        </w:tc>
        <w:tc>
          <w:tcPr>
            <w:tcW w:w="942" w:type="dxa"/>
            <w:vAlign w:val="center"/>
          </w:tcPr>
          <w:p w14:paraId="3610183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w:t>
            </w:r>
          </w:p>
        </w:tc>
        <w:tc>
          <w:tcPr>
            <w:tcW w:w="1775" w:type="dxa"/>
            <w:vAlign w:val="center"/>
          </w:tcPr>
          <w:p w14:paraId="3F46A72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响应文件递交截止时间</w:t>
            </w:r>
          </w:p>
        </w:tc>
        <w:tc>
          <w:tcPr>
            <w:tcW w:w="6912" w:type="dxa"/>
            <w:vAlign w:val="center"/>
          </w:tcPr>
          <w:p w14:paraId="6833AEDA">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eastAsia="zh-CN"/>
              </w:rPr>
              <w:t>于</w:t>
            </w:r>
            <w:r>
              <w:rPr>
                <w:rFonts w:hint="eastAsia" w:ascii="宋体" w:hAnsi="宋体" w:cs="宋体"/>
                <w:color w:val="auto"/>
                <w:sz w:val="21"/>
                <w:szCs w:val="21"/>
                <w:highlight w:val="none"/>
                <w:u w:val="single"/>
                <w:lang w:eastAsia="zh-CN"/>
              </w:rPr>
              <w:t>2025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07</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14</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9时00分</w:t>
            </w:r>
            <w:r>
              <w:rPr>
                <w:rFonts w:hint="eastAsia" w:ascii="宋体" w:hAnsi="宋体" w:eastAsia="宋体" w:cs="宋体"/>
                <w:color w:val="auto"/>
                <w:szCs w:val="21"/>
                <w:highlight w:val="none"/>
              </w:rPr>
              <w:t>之前将电子磋商响应文件上传到</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。应按照本项目磋商文件和</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的要求编制、加密传输磋商响应文件。供应商在使用系统进行</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tc>
      </w:tr>
      <w:tr w14:paraId="3125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7BE8A989">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lang w:eastAsia="zh-CN"/>
              </w:rPr>
            </w:pPr>
            <w:r>
              <w:rPr>
                <w:rFonts w:hint="eastAsia" w:ascii="宋体" w:hAnsi="宋体" w:eastAsia="宋体" w:cs="宋体"/>
                <w:color w:val="auto"/>
                <w:position w:val="-2"/>
                <w:szCs w:val="21"/>
                <w:highlight w:val="none"/>
                <w:lang w:val="en-US" w:eastAsia="zh-CN"/>
              </w:rPr>
              <w:t>9</w:t>
            </w:r>
          </w:p>
        </w:tc>
        <w:tc>
          <w:tcPr>
            <w:tcW w:w="942" w:type="dxa"/>
            <w:vAlign w:val="center"/>
          </w:tcPr>
          <w:p w14:paraId="41CC7CF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18.2</w:t>
            </w:r>
          </w:p>
        </w:tc>
        <w:tc>
          <w:tcPr>
            <w:tcW w:w="1775" w:type="dxa"/>
            <w:vAlign w:val="center"/>
          </w:tcPr>
          <w:p w14:paraId="493EB3A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lang w:eastAsia="zh-CN"/>
              </w:rPr>
              <w:t>磋商响应文件解密时间</w:t>
            </w:r>
          </w:p>
        </w:tc>
        <w:tc>
          <w:tcPr>
            <w:tcW w:w="6912" w:type="dxa"/>
            <w:vAlign w:val="center"/>
          </w:tcPr>
          <w:p w14:paraId="61FC9721">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磋商响应文件解密时间</w:t>
            </w:r>
            <w:r>
              <w:rPr>
                <w:rFonts w:hint="eastAsia" w:ascii="宋体" w:hAnsi="宋体" w:eastAsia="宋体" w:cs="宋体"/>
                <w:b w:val="0"/>
                <w:bCs w:val="0"/>
                <w:color w:val="auto"/>
                <w:kern w:val="2"/>
                <w:highlight w:val="none"/>
                <w:lang w:eastAsia="zh-CN"/>
              </w:rPr>
              <w:t>：截标时间后</w:t>
            </w:r>
            <w:r>
              <w:rPr>
                <w:rFonts w:hint="eastAsia" w:ascii="宋体" w:hAnsi="宋体" w:eastAsia="宋体" w:cs="宋体"/>
                <w:b w:val="0"/>
                <w:bCs w:val="0"/>
                <w:color w:val="auto"/>
                <w:kern w:val="2"/>
                <w:highlight w:val="none"/>
                <w:u w:val="single"/>
                <w:lang w:eastAsia="zh-CN"/>
              </w:rPr>
              <w:t>30</w:t>
            </w:r>
            <w:r>
              <w:rPr>
                <w:rFonts w:hint="eastAsia" w:ascii="宋体" w:hAnsi="宋体" w:eastAsia="宋体" w:cs="宋体"/>
                <w:b w:val="0"/>
                <w:bCs w:val="0"/>
                <w:color w:val="auto"/>
                <w:kern w:val="2"/>
                <w:highlight w:val="none"/>
                <w:lang w:eastAsia="zh-CN"/>
              </w:rPr>
              <w:t>分钟内磋商供应商可以登录</w:t>
            </w:r>
            <w:r>
              <w:rPr>
                <w:rFonts w:hint="eastAsia" w:ascii="宋体" w:hAnsi="宋体" w:cs="宋体"/>
                <w:b w:val="0"/>
                <w:bCs w:val="0"/>
                <w:color w:val="auto"/>
                <w:kern w:val="2"/>
                <w:highlight w:val="none"/>
                <w:lang w:eastAsia="zh-CN"/>
              </w:rPr>
              <w:t>广西政府采购云平台</w:t>
            </w:r>
            <w:r>
              <w:rPr>
                <w:rFonts w:hint="eastAsia" w:ascii="宋体" w:hAnsi="宋体" w:eastAsia="宋体" w:cs="宋体"/>
                <w:b w:val="0"/>
                <w:bCs w:val="0"/>
                <w:color w:val="auto"/>
                <w:kern w:val="2"/>
                <w:highlight w:val="none"/>
                <w:lang w:eastAsia="zh-CN"/>
              </w:rPr>
              <w:t>，用“项目采购-开标评标”功能进行解密</w:t>
            </w:r>
            <w:r>
              <w:rPr>
                <w:rFonts w:hint="eastAsia" w:ascii="宋体" w:hAnsi="宋体" w:eastAsia="宋体" w:cs="宋体"/>
                <w:color w:val="auto"/>
                <w:highlight w:val="none"/>
                <w:lang w:eastAsia="zh-CN"/>
              </w:rPr>
              <w:t>磋商响应文件</w:t>
            </w:r>
            <w:r>
              <w:rPr>
                <w:rFonts w:hint="eastAsia" w:ascii="宋体" w:hAnsi="宋体" w:eastAsia="宋体" w:cs="宋体"/>
                <w:b w:val="0"/>
                <w:bCs w:val="0"/>
                <w:color w:val="auto"/>
                <w:kern w:val="2"/>
                <w:highlight w:val="none"/>
                <w:lang w:eastAsia="zh-CN"/>
              </w:rPr>
              <w:t>。若</w:t>
            </w:r>
            <w:r>
              <w:rPr>
                <w:rFonts w:hint="eastAsia" w:ascii="宋体" w:hAnsi="宋体" w:eastAsia="宋体" w:cs="宋体"/>
                <w:color w:val="auto"/>
                <w:highlight w:val="none"/>
                <w:lang w:eastAsia="zh-CN"/>
              </w:rPr>
              <w:t>磋商供应商</w:t>
            </w:r>
            <w:r>
              <w:rPr>
                <w:rFonts w:hint="eastAsia" w:ascii="宋体" w:hAnsi="宋体" w:eastAsia="宋体" w:cs="宋体"/>
                <w:b w:val="0"/>
                <w:bCs w:val="0"/>
                <w:color w:val="auto"/>
                <w:kern w:val="2"/>
                <w:highlight w:val="none"/>
                <w:lang w:eastAsia="zh-CN"/>
              </w:rPr>
              <w:t>在规定时间内无法解密或解密失败，可以以电子备份</w:t>
            </w:r>
            <w:r>
              <w:rPr>
                <w:rFonts w:hint="eastAsia" w:ascii="宋体" w:hAnsi="宋体" w:eastAsia="宋体" w:cs="宋体"/>
                <w:color w:val="auto"/>
                <w:highlight w:val="none"/>
                <w:lang w:eastAsia="zh-CN"/>
              </w:rPr>
              <w:t>磋商响应文件</w:t>
            </w:r>
            <w:r>
              <w:rPr>
                <w:rFonts w:hint="eastAsia" w:ascii="宋体" w:hAnsi="宋体" w:eastAsia="宋体" w:cs="宋体"/>
                <w:b w:val="0"/>
                <w:bCs w:val="0"/>
                <w:color w:val="auto"/>
                <w:kern w:val="2"/>
                <w:highlight w:val="none"/>
                <w:lang w:eastAsia="zh-CN"/>
              </w:rPr>
              <w:t>作为依据</w:t>
            </w:r>
            <w:r>
              <w:rPr>
                <w:rFonts w:hint="eastAsia" w:ascii="宋体" w:hAnsi="宋体" w:eastAsia="宋体" w:cs="宋体"/>
                <w:b/>
                <w:bCs/>
                <w:color w:val="auto"/>
                <w:kern w:val="2"/>
                <w:highlight w:val="none"/>
                <w:lang w:eastAsia="zh-CN"/>
              </w:rPr>
              <w:t>【在接到无法解密或解密失败的通知后，</w:t>
            </w:r>
            <w:r>
              <w:rPr>
                <w:rFonts w:hint="eastAsia" w:ascii="宋体" w:hAnsi="宋体" w:eastAsia="宋体" w:cs="宋体"/>
                <w:b/>
                <w:bCs/>
                <w:color w:val="auto"/>
                <w:highlight w:val="none"/>
                <w:lang w:eastAsia="zh-CN"/>
              </w:rPr>
              <w:t>磋商供应商</w:t>
            </w:r>
            <w:r>
              <w:rPr>
                <w:rFonts w:hint="eastAsia" w:ascii="宋体" w:hAnsi="宋体" w:eastAsia="宋体" w:cs="宋体"/>
                <w:b/>
                <w:bCs/>
                <w:color w:val="auto"/>
                <w:kern w:val="2"/>
                <w:highlight w:val="none"/>
                <w:lang w:eastAsia="zh-CN"/>
              </w:rPr>
              <w:t>可根据自身实际情况按通知时要求的时间到</w:t>
            </w:r>
            <w:r>
              <w:rPr>
                <w:rFonts w:hint="eastAsia" w:ascii="宋体" w:hAnsi="宋体" w:cs="宋体"/>
                <w:b/>
                <w:bCs/>
                <w:color w:val="auto"/>
                <w:kern w:val="2"/>
                <w:highlight w:val="none"/>
                <w:lang w:eastAsia="zh-CN"/>
              </w:rPr>
              <w:t>贵港市</w:t>
            </w:r>
            <w:r>
              <w:rPr>
                <w:rFonts w:hint="eastAsia" w:ascii="宋体" w:hAnsi="宋体" w:eastAsia="宋体" w:cs="宋体"/>
                <w:b/>
                <w:bCs/>
                <w:color w:val="auto"/>
                <w:kern w:val="2"/>
                <w:highlight w:val="none"/>
                <w:lang w:eastAsia="zh-CN"/>
              </w:rPr>
              <w:t>公共资源</w:t>
            </w:r>
            <w:r>
              <w:rPr>
                <w:rFonts w:hint="eastAsia" w:ascii="宋体" w:hAnsi="宋体" w:cs="宋体"/>
                <w:b/>
                <w:bCs/>
                <w:color w:val="auto"/>
                <w:kern w:val="2"/>
                <w:highlight w:val="none"/>
                <w:lang w:eastAsia="zh-CN"/>
              </w:rPr>
              <w:t>交易中心开标室</w:t>
            </w:r>
            <w:r>
              <w:rPr>
                <w:rFonts w:hint="eastAsia" w:ascii="宋体" w:hAnsi="宋体" w:eastAsia="宋体" w:cs="宋体"/>
                <w:b/>
                <w:bCs/>
                <w:color w:val="auto"/>
                <w:kern w:val="2"/>
                <w:highlight w:val="none"/>
                <w:lang w:eastAsia="zh-CN"/>
              </w:rPr>
              <w:t>现场提交或以电子邮件的形式（以通知时所告知的电子邮箱地址为准）提交电子备份</w:t>
            </w:r>
            <w:r>
              <w:rPr>
                <w:rFonts w:hint="eastAsia" w:ascii="宋体" w:hAnsi="宋体" w:eastAsia="宋体" w:cs="宋体"/>
                <w:b/>
                <w:bCs/>
                <w:color w:val="auto"/>
                <w:highlight w:val="none"/>
                <w:lang w:eastAsia="zh-CN"/>
              </w:rPr>
              <w:t>磋商响应文件</w:t>
            </w:r>
            <w:r>
              <w:rPr>
                <w:rFonts w:hint="eastAsia" w:ascii="宋体" w:hAnsi="宋体" w:eastAsia="宋体" w:cs="宋体"/>
                <w:b/>
                <w:bCs/>
                <w:color w:val="auto"/>
                <w:kern w:val="2"/>
                <w:highlight w:val="none"/>
                <w:lang w:eastAsia="zh-CN"/>
              </w:rPr>
              <w:t>】</w:t>
            </w:r>
            <w:r>
              <w:rPr>
                <w:rFonts w:hint="eastAsia" w:ascii="宋体" w:hAnsi="宋体" w:eastAsia="宋体" w:cs="宋体"/>
                <w:b w:val="0"/>
                <w:bCs w:val="0"/>
                <w:color w:val="auto"/>
                <w:kern w:val="2"/>
                <w:highlight w:val="none"/>
                <w:lang w:eastAsia="zh-CN"/>
              </w:rPr>
              <w:t>，若磋商供应商在规定时间内无法解密或解密失败且未提供电子备份磋商响应文件的(包含提供的电子备份文件无效或无法解密的情况)，视为无效响应。</w:t>
            </w:r>
          </w:p>
        </w:tc>
      </w:tr>
      <w:tr w14:paraId="3CAE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5F2F8F19">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42" w:type="dxa"/>
            <w:vAlign w:val="center"/>
          </w:tcPr>
          <w:p w14:paraId="21EDC7EB">
            <w:pPr>
              <w:pageBreakBefore w:val="0"/>
              <w:widowControl w:val="0"/>
              <w:kinsoku/>
              <w:wordWrap/>
              <w:overflowPunct/>
              <w:topLinePunct w:val="0"/>
              <w:autoSpaceDE/>
              <w:autoSpaceDN/>
              <w:bidi w:val="0"/>
              <w:adjustRightInd/>
              <w:spacing w:line="440" w:lineRule="exact"/>
              <w:ind w:firstLine="105" w:firstLineChars="50"/>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19.1</w:t>
            </w:r>
          </w:p>
        </w:tc>
        <w:tc>
          <w:tcPr>
            <w:tcW w:w="1775" w:type="dxa"/>
            <w:vAlign w:val="center"/>
          </w:tcPr>
          <w:p w14:paraId="6DAD56C9">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磋商小组组成</w:t>
            </w:r>
          </w:p>
        </w:tc>
        <w:tc>
          <w:tcPr>
            <w:tcW w:w="6912" w:type="dxa"/>
            <w:vAlign w:val="center"/>
          </w:tcPr>
          <w:p w14:paraId="5D078357">
            <w:pPr>
              <w:pageBreakBefore w:val="0"/>
              <w:widowControl w:val="0"/>
              <w:kinsoku/>
              <w:wordWrap/>
              <w:overflowPunct/>
              <w:topLinePunct w:val="0"/>
              <w:autoSpaceDE/>
              <w:autoSpaceDN/>
              <w:bidi w:val="0"/>
              <w:adjustRightInd/>
              <w:spacing w:line="440" w:lineRule="exact"/>
              <w:ind w:left="15" w:hanging="14" w:hangingChars="7"/>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Cs w:val="21"/>
                <w:highlight w:val="none"/>
                <w:u w:val="single"/>
              </w:rPr>
              <w:t xml:space="preserve">3 </w:t>
            </w:r>
            <w:r>
              <w:rPr>
                <w:rFonts w:hint="eastAsia" w:ascii="宋体" w:hAnsi="宋体" w:eastAsia="宋体" w:cs="宋体"/>
                <w:color w:val="auto"/>
                <w:szCs w:val="21"/>
                <w:highlight w:val="none"/>
              </w:rPr>
              <w:t>人，其中采购人代表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1 </w:t>
            </w:r>
            <w:r>
              <w:rPr>
                <w:rFonts w:hint="eastAsia" w:ascii="宋体" w:hAnsi="宋体" w:eastAsia="宋体" w:cs="宋体"/>
                <w:color w:val="auto"/>
                <w:szCs w:val="21"/>
                <w:highlight w:val="none"/>
              </w:rPr>
              <w:t>人，专家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2 </w:t>
            </w:r>
            <w:r>
              <w:rPr>
                <w:rFonts w:hint="eastAsia" w:ascii="宋体" w:hAnsi="宋体" w:eastAsia="宋体" w:cs="宋体"/>
                <w:color w:val="auto"/>
                <w:szCs w:val="21"/>
                <w:highlight w:val="none"/>
              </w:rPr>
              <w:t>人。</w:t>
            </w:r>
          </w:p>
        </w:tc>
      </w:tr>
      <w:tr w14:paraId="2A7A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13B464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942" w:type="dxa"/>
            <w:vAlign w:val="center"/>
          </w:tcPr>
          <w:p w14:paraId="276784D8">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w:t>
            </w:r>
          </w:p>
        </w:tc>
        <w:tc>
          <w:tcPr>
            <w:tcW w:w="1775" w:type="dxa"/>
            <w:vAlign w:val="center"/>
          </w:tcPr>
          <w:p w14:paraId="248194D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磋商时间、地点、人员</w:t>
            </w:r>
          </w:p>
        </w:tc>
        <w:tc>
          <w:tcPr>
            <w:tcW w:w="6912" w:type="dxa"/>
            <w:vAlign w:val="top"/>
          </w:tcPr>
          <w:p w14:paraId="4D337220">
            <w:pPr>
              <w:pageBreakBefore w:val="0"/>
              <w:widowControl w:val="0"/>
              <w:kinsoku/>
              <w:wordWrap/>
              <w:overflowPunct/>
              <w:topLinePunct w:val="0"/>
              <w:autoSpaceDE/>
              <w:autoSpaceDN/>
              <w:bidi w:val="0"/>
              <w:adjustRightInd/>
              <w:spacing w:line="440" w:lineRule="exact"/>
              <w:ind w:left="315" w:hanging="315" w:hangingChars="1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19.2.1磋商时间：响应文件递交截止时间后。</w:t>
            </w:r>
          </w:p>
          <w:p w14:paraId="4741B95C">
            <w:pPr>
              <w:pageBreakBefore w:val="0"/>
              <w:widowControl w:val="0"/>
              <w:kinsoku/>
              <w:wordWrap/>
              <w:overflowPunct/>
              <w:topLinePunct w:val="0"/>
              <w:autoSpaceDE/>
              <w:autoSpaceDN/>
              <w:bidi w:val="0"/>
              <w:adjustRightInd/>
              <w:spacing w:line="440" w:lineRule="exact"/>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19.2.2磋商地点：本项目需要磋商供应商代表在截标当天截标后，按磋商小组要求及时登陆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等候在线磋商</w:t>
            </w:r>
            <w:r>
              <w:rPr>
                <w:rFonts w:hint="eastAsia" w:ascii="宋体" w:hAnsi="宋体" w:eastAsia="宋体" w:cs="宋体"/>
                <w:color w:val="auto"/>
                <w:szCs w:val="21"/>
                <w:highlight w:val="none"/>
                <w:lang w:eastAsia="zh-CN"/>
              </w:rPr>
              <w:t>。</w:t>
            </w:r>
          </w:p>
          <w:p w14:paraId="44F51089">
            <w:pPr>
              <w:pageBreakBefore w:val="0"/>
              <w:widowControl w:val="0"/>
              <w:kinsoku/>
              <w:wordWrap/>
              <w:overflowPunct/>
              <w:topLinePunct w:val="0"/>
              <w:autoSpaceDE/>
              <w:autoSpaceDN/>
              <w:bidi w:val="0"/>
              <w:adjustRightInd/>
              <w:spacing w:line="440" w:lineRule="exact"/>
              <w:ind w:left="15" w:hanging="14" w:hangingChars="7"/>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19.2.3磋商参加人员：供应商法定代表人、负责人、自然人或相应的委托代</w:t>
            </w:r>
            <w:r>
              <w:rPr>
                <w:rFonts w:hint="eastAsia" w:ascii="宋体" w:hAnsi="宋体" w:eastAsia="宋体" w:cs="宋体"/>
                <w:color w:val="auto"/>
                <w:szCs w:val="21"/>
                <w:highlight w:val="none"/>
                <w:u w:val="none"/>
              </w:rPr>
              <w:t>理人持有效身份证</w:t>
            </w:r>
            <w:r>
              <w:rPr>
                <w:rFonts w:hint="eastAsia" w:ascii="宋体" w:hAnsi="宋体" w:eastAsia="宋体" w:cs="宋体"/>
                <w:color w:val="auto"/>
                <w:szCs w:val="21"/>
                <w:highlight w:val="none"/>
                <w:u w:val="none"/>
                <w:lang w:eastAsia="zh-CN"/>
              </w:rPr>
              <w:t>和供应商</w:t>
            </w:r>
            <w:r>
              <w:rPr>
                <w:rFonts w:hint="eastAsia" w:ascii="宋体" w:hAnsi="宋体" w:cs="宋体"/>
                <w:color w:val="auto"/>
                <w:szCs w:val="21"/>
                <w:highlight w:val="none"/>
                <w:u w:val="none"/>
                <w:lang w:eastAsia="zh-CN"/>
              </w:rPr>
              <w:t>广西政府采购云平台</w:t>
            </w:r>
            <w:r>
              <w:rPr>
                <w:rFonts w:hint="eastAsia" w:ascii="宋体" w:hAnsi="宋体" w:eastAsia="宋体" w:cs="宋体"/>
                <w:color w:val="auto"/>
                <w:szCs w:val="21"/>
                <w:highlight w:val="none"/>
                <w:u w:val="none"/>
                <w:lang w:val="en-US" w:eastAsia="zh-CN"/>
              </w:rPr>
              <w:t>CA数字证书</w:t>
            </w:r>
            <w:r>
              <w:rPr>
                <w:rFonts w:hint="eastAsia" w:ascii="宋体" w:hAnsi="宋体" w:eastAsia="宋体" w:cs="宋体"/>
                <w:color w:val="auto"/>
                <w:szCs w:val="21"/>
                <w:highlight w:val="none"/>
              </w:rPr>
              <w:t>参加磋商。请供应商按时等候磋商。</w:t>
            </w:r>
          </w:p>
          <w:p w14:paraId="3512AEF1">
            <w:pPr>
              <w:pageBreakBefore w:val="0"/>
              <w:widowControl w:val="0"/>
              <w:tabs>
                <w:tab w:val="left" w:pos="1140"/>
              </w:tabs>
              <w:kinsoku/>
              <w:wordWrap/>
              <w:overflowPunct/>
              <w:topLinePunct w:val="0"/>
              <w:autoSpaceDE/>
              <w:autoSpaceDN/>
              <w:bidi w:val="0"/>
              <w:adjustRightInd/>
              <w:spacing w:line="4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19.2.4响应文件递交截止时间后，由磋商小组在评标室内</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开启响应文件。</w:t>
            </w:r>
          </w:p>
        </w:tc>
      </w:tr>
      <w:tr w14:paraId="7955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Align w:val="center"/>
          </w:tcPr>
          <w:p w14:paraId="73B8B7D3">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val="en-US" w:eastAsia="zh-CN"/>
              </w:rPr>
              <w:t>12</w:t>
            </w:r>
          </w:p>
        </w:tc>
        <w:tc>
          <w:tcPr>
            <w:tcW w:w="942" w:type="dxa"/>
            <w:vAlign w:val="center"/>
          </w:tcPr>
          <w:p w14:paraId="459763C4">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w:t>
            </w:r>
          </w:p>
        </w:tc>
        <w:tc>
          <w:tcPr>
            <w:tcW w:w="1775" w:type="dxa"/>
            <w:vAlign w:val="center"/>
          </w:tcPr>
          <w:p w14:paraId="14E723A7">
            <w:pPr>
              <w:pStyle w:val="12"/>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评审办法</w:t>
            </w:r>
          </w:p>
        </w:tc>
        <w:tc>
          <w:tcPr>
            <w:tcW w:w="6912" w:type="dxa"/>
            <w:vAlign w:val="center"/>
          </w:tcPr>
          <w:p w14:paraId="3947677A">
            <w:pPr>
              <w:pageBreakBefore w:val="0"/>
              <w:widowControl w:val="0"/>
              <w:tabs>
                <w:tab w:val="left" w:pos="1140"/>
              </w:tabs>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具体详见第四章评审办法。</w:t>
            </w:r>
          </w:p>
        </w:tc>
      </w:tr>
      <w:tr w14:paraId="5857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28AFC67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942" w:type="dxa"/>
            <w:vAlign w:val="center"/>
          </w:tcPr>
          <w:p w14:paraId="05AC727B">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1775" w:type="dxa"/>
            <w:vAlign w:val="center"/>
          </w:tcPr>
          <w:p w14:paraId="3336B60D">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w:t>
            </w:r>
          </w:p>
        </w:tc>
        <w:tc>
          <w:tcPr>
            <w:tcW w:w="6912" w:type="dxa"/>
            <w:vAlign w:val="center"/>
          </w:tcPr>
          <w:p w14:paraId="41EC04D0">
            <w:pPr>
              <w:pageBreakBefore w:val="0"/>
              <w:widowControl w:val="0"/>
              <w:kinsoku/>
              <w:wordWrap/>
              <w:overflowPunct/>
              <w:topLinePunct w:val="0"/>
              <w:autoSpaceDE/>
              <w:autoSpaceDN/>
              <w:bidi w:val="0"/>
              <w:adjustRightInd/>
              <w:spacing w:line="440" w:lineRule="exact"/>
              <w:ind w:left="15" w:hanging="14" w:hangingChars="7"/>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根据《关于做好政府采购有关信用主体标识码登记及在政府采购活动中查询使用信用记录有关问题的通知》（桂财采〔2016〕37），由采购代理机构对第一成交候选人进行信用查询：</w:t>
            </w:r>
          </w:p>
          <w:p w14:paraId="0C5F4C36">
            <w:pPr>
              <w:pageBreakBefore w:val="0"/>
              <w:widowControl w:val="0"/>
              <w:kinsoku/>
              <w:wordWrap/>
              <w:overflowPunct/>
              <w:topLinePunct w:val="0"/>
              <w:autoSpaceDE/>
              <w:autoSpaceDN/>
              <w:bidi w:val="0"/>
              <w:adjustRightInd/>
              <w:spacing w:line="440" w:lineRule="exact"/>
              <w:ind w:left="15" w:hanging="14" w:hangingChars="7"/>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4C45C81C">
            <w:pPr>
              <w:pageBreakBefore w:val="0"/>
              <w:widowControl w:val="0"/>
              <w:kinsoku/>
              <w:wordWrap/>
              <w:overflowPunct/>
              <w:topLinePunct w:val="0"/>
              <w:autoSpaceDE/>
              <w:autoSpaceDN/>
              <w:bidi w:val="0"/>
              <w:adjustRightInd/>
              <w:spacing w:line="440" w:lineRule="exact"/>
              <w:ind w:left="315" w:hanging="315" w:hanging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⑵查询时间：成交通知书发出前；</w:t>
            </w:r>
          </w:p>
          <w:p w14:paraId="26226791">
            <w:pPr>
              <w:pageBreakBefore w:val="0"/>
              <w:widowControl w:val="0"/>
              <w:kinsoku/>
              <w:wordWrap/>
              <w:overflowPunct/>
              <w:topLinePunct w:val="0"/>
              <w:autoSpaceDE/>
              <w:autoSpaceDN/>
              <w:bidi w:val="0"/>
              <w:adjustRightInd/>
              <w:spacing w:line="440" w:lineRule="exact"/>
              <w:ind w:left="15" w:hanging="14" w:hangingChars="7"/>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337091CC">
            <w:pPr>
              <w:pageBreakBefore w:val="0"/>
              <w:widowControl w:val="0"/>
              <w:kinsoku/>
              <w:wordWrap/>
              <w:overflowPunct/>
              <w:topLinePunct w:val="0"/>
              <w:autoSpaceDE/>
              <w:autoSpaceDN/>
              <w:bidi w:val="0"/>
              <w:adjustRightInd/>
              <w:spacing w:line="440" w:lineRule="exact"/>
              <w:ind w:left="15" w:hanging="14" w:hangingChars="7"/>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3866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62" w:type="dxa"/>
            <w:vAlign w:val="center"/>
          </w:tcPr>
          <w:p w14:paraId="7458FC0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942" w:type="dxa"/>
            <w:vAlign w:val="center"/>
          </w:tcPr>
          <w:p w14:paraId="239FF8E5">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w:t>
            </w:r>
          </w:p>
        </w:tc>
        <w:tc>
          <w:tcPr>
            <w:tcW w:w="1775" w:type="dxa"/>
            <w:vAlign w:val="center"/>
          </w:tcPr>
          <w:p w14:paraId="0F45D0D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成交结果公告</w:t>
            </w:r>
          </w:p>
          <w:p w14:paraId="0013CD99">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及成交通知书</w:t>
            </w:r>
          </w:p>
        </w:tc>
        <w:tc>
          <w:tcPr>
            <w:tcW w:w="6912" w:type="dxa"/>
            <w:vAlign w:val="top"/>
          </w:tcPr>
          <w:p w14:paraId="70896A21">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采购代理机构于磋商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6EBF5832">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27.2在发布成交公告的同时，采购代理机构向成交供应商发出成交通知书。成交供应商自接到通知之日起七个工作日内，办理成交通知书领取手续。</w:t>
            </w:r>
          </w:p>
        </w:tc>
      </w:tr>
      <w:tr w14:paraId="21B4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62" w:type="dxa"/>
            <w:vAlign w:val="center"/>
          </w:tcPr>
          <w:p w14:paraId="5F4CA7B1">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942" w:type="dxa"/>
            <w:vAlign w:val="center"/>
          </w:tcPr>
          <w:p w14:paraId="3AF25724">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1775" w:type="dxa"/>
            <w:vAlign w:val="center"/>
          </w:tcPr>
          <w:p w14:paraId="3EEBB7E4">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912" w:type="dxa"/>
            <w:vAlign w:val="center"/>
          </w:tcPr>
          <w:p w14:paraId="451532B8">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lang w:val="en-US" w:eastAsia="zh-CN"/>
              </w:rPr>
            </w:pPr>
            <w:r>
              <w:rPr>
                <w:rFonts w:hint="eastAsia" w:hAnsi="宋体"/>
                <w:color w:val="auto"/>
                <w:szCs w:val="21"/>
                <w:highlight w:val="none"/>
                <w:lang w:eastAsia="zh-CN"/>
              </w:rPr>
              <w:t>本项目不收取履约保证金。</w:t>
            </w:r>
          </w:p>
        </w:tc>
      </w:tr>
      <w:tr w14:paraId="3306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64B740EE">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942" w:type="dxa"/>
            <w:vAlign w:val="center"/>
          </w:tcPr>
          <w:p w14:paraId="69DABFB5">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1775" w:type="dxa"/>
            <w:vAlign w:val="center"/>
          </w:tcPr>
          <w:p w14:paraId="44D3E545">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签订合同时间</w:t>
            </w:r>
          </w:p>
        </w:tc>
        <w:tc>
          <w:tcPr>
            <w:tcW w:w="6912" w:type="dxa"/>
            <w:vAlign w:val="top"/>
          </w:tcPr>
          <w:p w14:paraId="7AD5CD73">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lang w:eastAsia="zh-CN"/>
              </w:rPr>
              <w:t>成交通知书</w:t>
            </w:r>
            <w:r>
              <w:rPr>
                <w:rFonts w:hint="eastAsia" w:ascii="宋体" w:hAnsi="宋体" w:eastAsia="宋体" w:cs="宋体"/>
                <w:bCs/>
                <w:color w:val="auto"/>
                <w:kern w:val="0"/>
                <w:szCs w:val="21"/>
                <w:highlight w:val="none"/>
              </w:rPr>
              <w:t>发出之日起</w:t>
            </w:r>
            <w:r>
              <w:rPr>
                <w:rFonts w:hint="eastAsia" w:ascii="宋体" w:hAnsi="宋体" w:cs="宋体"/>
                <w:bCs/>
                <w:color w:val="auto"/>
                <w:kern w:val="0"/>
                <w:szCs w:val="21"/>
                <w:highlight w:val="none"/>
                <w:lang w:val="en-US" w:eastAsia="zh-CN"/>
              </w:rPr>
              <w:t>8个工作日</w:t>
            </w:r>
            <w:r>
              <w:rPr>
                <w:rFonts w:hint="eastAsia" w:ascii="宋体" w:hAnsi="宋体" w:eastAsia="宋体" w:cs="宋体"/>
                <w:bCs/>
                <w:color w:val="auto"/>
                <w:kern w:val="0"/>
                <w:szCs w:val="21"/>
                <w:highlight w:val="none"/>
              </w:rPr>
              <w:t>内签订合同</w:t>
            </w:r>
            <w:r>
              <w:rPr>
                <w:rFonts w:hint="eastAsia" w:ascii="宋体" w:hAnsi="宋体" w:eastAsia="宋体" w:cs="宋体"/>
                <w:color w:val="auto"/>
                <w:highlight w:val="none"/>
              </w:rPr>
              <w:t>。</w:t>
            </w:r>
            <w:r>
              <w:rPr>
                <w:rFonts w:hint="eastAsia" w:ascii="宋体" w:hAnsi="宋体" w:eastAsia="宋体" w:cs="宋体"/>
                <w:color w:val="auto"/>
                <w:szCs w:val="21"/>
                <w:highlight w:val="none"/>
              </w:rPr>
              <w:t>成交供应商领取成交通知书后，应按规定与采购人签订合同。</w:t>
            </w:r>
          </w:p>
        </w:tc>
      </w:tr>
      <w:tr w14:paraId="2CB9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B20B43C">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17</w:t>
            </w:r>
          </w:p>
        </w:tc>
        <w:tc>
          <w:tcPr>
            <w:tcW w:w="942" w:type="dxa"/>
            <w:vAlign w:val="center"/>
          </w:tcPr>
          <w:p w14:paraId="1197A85E">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w:t>
            </w:r>
          </w:p>
        </w:tc>
        <w:tc>
          <w:tcPr>
            <w:tcW w:w="1775" w:type="dxa"/>
            <w:vAlign w:val="center"/>
          </w:tcPr>
          <w:p w14:paraId="2ACB6DF3">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合同备案存档</w:t>
            </w:r>
          </w:p>
        </w:tc>
        <w:tc>
          <w:tcPr>
            <w:tcW w:w="6912" w:type="dxa"/>
            <w:vAlign w:val="center"/>
          </w:tcPr>
          <w:p w14:paraId="61681FE9">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政府采购合同双方自签订之日起一个工作日内将合同原件一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highlight w:val="none"/>
                <w:lang w:eastAsia="zh-CN"/>
              </w:rPr>
              <w:t>广西龙珂建设工程集团有限公司</w:t>
            </w:r>
            <w:r>
              <w:rPr>
                <w:rFonts w:hint="eastAsia" w:ascii="宋体" w:hAnsi="宋体" w:eastAsia="宋体" w:cs="宋体"/>
                <w:color w:val="auto"/>
                <w:highlight w:val="none"/>
              </w:rPr>
              <w:t>存档。</w:t>
            </w:r>
          </w:p>
        </w:tc>
      </w:tr>
      <w:tr w14:paraId="38DA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52C2F796">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942" w:type="dxa"/>
            <w:vAlign w:val="center"/>
          </w:tcPr>
          <w:p w14:paraId="2AD57A7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p>
        </w:tc>
        <w:tc>
          <w:tcPr>
            <w:tcW w:w="1775" w:type="dxa"/>
            <w:vAlign w:val="center"/>
          </w:tcPr>
          <w:p w14:paraId="7C7BC2B0">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912" w:type="dxa"/>
            <w:vAlign w:val="top"/>
          </w:tcPr>
          <w:p w14:paraId="1CFB6A7B">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cs="宋体"/>
                <w:color w:val="auto"/>
                <w:sz w:val="21"/>
                <w:szCs w:val="21"/>
                <w:highlight w:val="none"/>
                <w:lang w:val="en-US" w:eastAsia="zh-CN"/>
              </w:rPr>
              <w:t>以预算为基准价，按</w:t>
            </w:r>
            <w:r>
              <w:rPr>
                <w:rFonts w:hint="eastAsia" w:ascii="宋体" w:hAnsi="宋体" w:cs="宋体"/>
                <w:color w:val="auto"/>
                <w:sz w:val="21"/>
                <w:szCs w:val="21"/>
                <w:highlight w:val="none"/>
                <w:lang w:eastAsia="zh-CN"/>
              </w:rPr>
              <w:t>工程</w:t>
            </w:r>
            <w:r>
              <w:rPr>
                <w:rFonts w:hint="eastAsia" w:ascii="宋体" w:hAnsi="宋体" w:eastAsia="宋体" w:cs="宋体"/>
                <w:color w:val="auto"/>
                <w:sz w:val="21"/>
                <w:szCs w:val="21"/>
                <w:highlight w:val="none"/>
                <w:lang w:eastAsia="zh-CN"/>
              </w:rPr>
              <w:t>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w:t>
            </w:r>
            <w:r>
              <w:rPr>
                <w:rFonts w:hint="eastAsia" w:ascii="宋体" w:hAnsi="宋体" w:eastAsia="宋体" w:cs="宋体"/>
                <w:color w:val="auto"/>
                <w:szCs w:val="21"/>
                <w:highlight w:val="none"/>
              </w:rPr>
              <w:t>（不足人民币</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000元的，按</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000元支付）</w:t>
            </w:r>
            <w:r>
              <w:rPr>
                <w:rFonts w:hint="eastAsia" w:ascii="宋体" w:hAnsi="宋体" w:eastAsia="宋体" w:cs="宋体"/>
                <w:color w:val="auto"/>
                <w:sz w:val="21"/>
                <w:szCs w:val="21"/>
                <w:highlight w:val="none"/>
              </w:rPr>
              <w:t>。</w:t>
            </w:r>
          </w:p>
        </w:tc>
      </w:tr>
      <w:tr w14:paraId="423E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21BB2A0B">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19</w:t>
            </w:r>
          </w:p>
        </w:tc>
        <w:tc>
          <w:tcPr>
            <w:tcW w:w="942" w:type="dxa"/>
            <w:vAlign w:val="center"/>
          </w:tcPr>
          <w:p w14:paraId="1A04591A">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775" w:type="dxa"/>
            <w:vAlign w:val="center"/>
          </w:tcPr>
          <w:p w14:paraId="40EA2EEF">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6912" w:type="dxa"/>
            <w:vAlign w:val="top"/>
          </w:tcPr>
          <w:p w14:paraId="47D4A5B7">
            <w:pPr>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3A38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03D48E72">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w:t>
            </w:r>
          </w:p>
        </w:tc>
        <w:tc>
          <w:tcPr>
            <w:tcW w:w="942" w:type="dxa"/>
            <w:vAlign w:val="center"/>
          </w:tcPr>
          <w:p w14:paraId="51948E33">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1775" w:type="dxa"/>
            <w:vAlign w:val="center"/>
          </w:tcPr>
          <w:p w14:paraId="21FE9991">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监督管理机构</w:t>
            </w:r>
          </w:p>
        </w:tc>
        <w:tc>
          <w:tcPr>
            <w:tcW w:w="6912" w:type="dxa"/>
            <w:vAlign w:val="center"/>
          </w:tcPr>
          <w:p w14:paraId="3C42D778">
            <w:pPr>
              <w:spacing w:line="360" w:lineRule="exact"/>
              <w:rPr>
                <w:rFonts w:hint="eastAsia" w:ascii="宋体" w:hAnsi="宋体" w:cs="宋体"/>
                <w:color w:val="auto"/>
                <w:szCs w:val="21"/>
                <w:highlight w:val="none"/>
              </w:rPr>
            </w:pPr>
            <w:r>
              <w:rPr>
                <w:rFonts w:hint="default" w:ascii="宋体" w:hAnsi="宋体" w:cs="宋体"/>
                <w:color w:val="auto"/>
                <w:szCs w:val="21"/>
                <w:highlight w:val="none"/>
                <w:lang w:val="en-US"/>
              </w:rPr>
              <w:t>贵港市财政局政府采购监督管理科</w:t>
            </w:r>
            <w:r>
              <w:rPr>
                <w:rFonts w:hint="eastAsia" w:ascii="宋体" w:hAnsi="宋体" w:cs="宋体"/>
                <w:color w:val="auto"/>
                <w:szCs w:val="21"/>
                <w:highlight w:val="none"/>
              </w:rPr>
              <w:t xml:space="preserve"> </w:t>
            </w:r>
          </w:p>
          <w:p w14:paraId="606F9EDD">
            <w:pPr>
              <w:spacing w:line="360" w:lineRule="exact"/>
              <w:rPr>
                <w:rFonts w:hint="eastAsia" w:ascii="宋体" w:hAnsi="宋体" w:eastAsia="宋体" w:cs="宋体"/>
                <w:color w:val="auto"/>
                <w:szCs w:val="21"/>
                <w:highlight w:val="none"/>
              </w:rPr>
            </w:pPr>
            <w:r>
              <w:rPr>
                <w:rFonts w:hint="eastAsia" w:ascii="宋体" w:hAnsi="宋体" w:cs="宋体"/>
                <w:color w:val="auto"/>
                <w:szCs w:val="21"/>
                <w:highlight w:val="none"/>
              </w:rPr>
              <w:t>联系电话： 0775-4555290、0775-4564649</w:t>
            </w:r>
          </w:p>
        </w:tc>
      </w:tr>
      <w:tr w14:paraId="5EEF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721538E6">
            <w:pPr>
              <w:pageBreakBefore w:val="0"/>
              <w:widowControl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942" w:type="dxa"/>
            <w:vAlign w:val="center"/>
          </w:tcPr>
          <w:p w14:paraId="21CE7A52">
            <w:pPr>
              <w:pageBreakBefore w:val="0"/>
              <w:widowControl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33</w:t>
            </w:r>
          </w:p>
        </w:tc>
        <w:tc>
          <w:tcPr>
            <w:tcW w:w="1775" w:type="dxa"/>
            <w:vAlign w:val="center"/>
          </w:tcPr>
          <w:p w14:paraId="2989E47D">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其他</w:t>
            </w:r>
          </w:p>
        </w:tc>
        <w:tc>
          <w:tcPr>
            <w:tcW w:w="6912" w:type="dxa"/>
            <w:vAlign w:val="center"/>
          </w:tcPr>
          <w:p w14:paraId="3F5F95CF">
            <w:pPr>
              <w:spacing w:line="360" w:lineRule="exact"/>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成交结果公告发布</w:t>
            </w:r>
            <w:r>
              <w:rPr>
                <w:rFonts w:hint="default" w:ascii="宋体" w:hAnsi="宋体" w:cs="宋体"/>
                <w:color w:val="auto"/>
                <w:szCs w:val="21"/>
                <w:highlight w:val="none"/>
                <w:lang w:val="en-US"/>
              </w:rPr>
              <w:t>起</w:t>
            </w:r>
            <w:r>
              <w:rPr>
                <w:rFonts w:hint="eastAsia" w:ascii="宋体" w:hAnsi="宋体" w:cs="宋体"/>
                <w:color w:val="auto"/>
                <w:szCs w:val="21"/>
                <w:highlight w:val="none"/>
                <w:lang w:val="en-US" w:eastAsia="zh-CN"/>
              </w:rPr>
              <w:t>五</w:t>
            </w:r>
            <w:r>
              <w:rPr>
                <w:rFonts w:hint="default" w:ascii="宋体" w:hAnsi="宋体" w:cs="宋体"/>
                <w:color w:val="auto"/>
                <w:szCs w:val="21"/>
                <w:highlight w:val="none"/>
                <w:lang w:val="en-US"/>
              </w:rPr>
              <w:t>个工作日内将</w:t>
            </w:r>
            <w:r>
              <w:rPr>
                <w:rFonts w:hint="eastAsia" w:ascii="宋体" w:hAnsi="宋体" w:cs="宋体"/>
                <w:color w:val="auto"/>
                <w:szCs w:val="21"/>
                <w:highlight w:val="none"/>
                <w:lang w:val="en-US" w:eastAsia="zh-CN"/>
              </w:rPr>
              <w:t>响应文件纸质版两份</w:t>
            </w:r>
            <w:r>
              <w:rPr>
                <w:rFonts w:hint="default" w:ascii="宋体" w:hAnsi="宋体" w:cs="宋体"/>
                <w:color w:val="auto"/>
                <w:szCs w:val="21"/>
                <w:highlight w:val="none"/>
                <w:lang w:val="en-US"/>
              </w:rPr>
              <w:t>交采购代理机构</w:t>
            </w:r>
            <w:r>
              <w:rPr>
                <w:rFonts w:hint="eastAsia" w:ascii="宋体" w:hAnsi="宋体" w:cs="宋体"/>
                <w:color w:val="auto"/>
                <w:szCs w:val="21"/>
                <w:highlight w:val="none"/>
                <w:lang w:val="en-US" w:eastAsia="zh-CN"/>
              </w:rPr>
              <w:t>及采购人存档</w:t>
            </w:r>
            <w:r>
              <w:rPr>
                <w:rFonts w:hint="default" w:ascii="宋体" w:hAnsi="宋体" w:cs="宋体"/>
                <w:color w:val="auto"/>
                <w:szCs w:val="21"/>
                <w:highlight w:val="none"/>
                <w:lang w:val="en-US"/>
              </w:rPr>
              <w:t>。</w:t>
            </w:r>
          </w:p>
        </w:tc>
      </w:tr>
    </w:tbl>
    <w:p w14:paraId="45006BA7">
      <w:pPr>
        <w:pStyle w:val="26"/>
        <w:ind w:left="0" w:leftChars="0" w:firstLine="0" w:firstLineChars="0"/>
        <w:rPr>
          <w:rFonts w:hint="eastAsia" w:ascii="宋体" w:hAnsi="宋体" w:eastAsia="宋体" w:cs="宋体"/>
          <w:b/>
          <w:color w:val="auto"/>
          <w:sz w:val="28"/>
          <w:szCs w:val="28"/>
          <w:highlight w:val="none"/>
        </w:rPr>
      </w:pPr>
    </w:p>
    <w:p w14:paraId="50664E59">
      <w:pPr>
        <w:pStyle w:val="3"/>
        <w:tabs>
          <w:tab w:val="left" w:pos="567"/>
        </w:tabs>
        <w:ind w:left="0" w:leftChars="0" w:firstLine="0" w:firstLineChars="0"/>
        <w:jc w:val="both"/>
        <w:rPr>
          <w:rFonts w:hint="eastAsia" w:ascii="宋体" w:hAnsi="宋体" w:eastAsia="宋体" w:cs="宋体"/>
          <w:b/>
          <w:bCs w:val="0"/>
          <w:color w:val="auto"/>
          <w:szCs w:val="28"/>
          <w:highlight w:val="none"/>
        </w:rPr>
      </w:pPr>
    </w:p>
    <w:p w14:paraId="372D2A79">
      <w:pPr>
        <w:rPr>
          <w:rFonts w:hint="eastAsia" w:ascii="宋体" w:hAnsi="宋体" w:eastAsia="宋体" w:cs="宋体"/>
          <w:b/>
          <w:bCs w:val="0"/>
          <w:color w:val="auto"/>
          <w:szCs w:val="28"/>
          <w:highlight w:val="none"/>
        </w:rPr>
      </w:pPr>
    </w:p>
    <w:p w14:paraId="27DC9A07">
      <w:pPr>
        <w:pStyle w:val="3"/>
        <w:tabs>
          <w:tab w:val="left" w:pos="567"/>
        </w:tabs>
        <w:rPr>
          <w:rFonts w:hint="eastAsia" w:ascii="宋体" w:hAnsi="宋体" w:eastAsia="宋体" w:cs="宋体"/>
          <w:b/>
          <w:bCs w:val="0"/>
          <w:color w:val="auto"/>
          <w:szCs w:val="28"/>
          <w:highlight w:val="none"/>
        </w:rPr>
      </w:pPr>
    </w:p>
    <w:p w14:paraId="4D55CFD6">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Cs w:val="28"/>
          <w:highlight w:val="none"/>
        </w:rPr>
        <w:sectPr>
          <w:footerReference r:id="rId6" w:type="first"/>
          <w:footerReference r:id="rId5" w:type="default"/>
          <w:pgSz w:w="11906" w:h="16838"/>
          <w:pgMar w:top="1077" w:right="1115" w:bottom="1191" w:left="1131" w:header="851" w:footer="992" w:gutter="0"/>
          <w:pgNumType w:fmt="decimal"/>
          <w:cols w:space="720" w:num="1"/>
          <w:titlePg/>
          <w:docGrid w:type="lines" w:linePitch="312" w:charSpace="0"/>
        </w:sectPr>
      </w:pPr>
      <w:bookmarkStart w:id="44" w:name="_Toc22792"/>
      <w:bookmarkStart w:id="45" w:name="_Toc27120"/>
    </w:p>
    <w:p w14:paraId="22147B44">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46" w:name="_Toc22096"/>
      <w:r>
        <w:rPr>
          <w:rFonts w:hint="eastAsia" w:ascii="宋体" w:hAnsi="宋体" w:eastAsia="宋体" w:cs="宋体"/>
          <w:b/>
          <w:bCs w:val="0"/>
          <w:color w:val="auto"/>
          <w:szCs w:val="28"/>
          <w:highlight w:val="none"/>
        </w:rPr>
        <w:t>一、总则</w:t>
      </w:r>
      <w:bookmarkEnd w:id="44"/>
      <w:bookmarkEnd w:id="45"/>
      <w:bookmarkEnd w:id="46"/>
    </w:p>
    <w:p w14:paraId="57C64F0E">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47" w:name="_Toc6626"/>
      <w:bookmarkStart w:id="48" w:name="_Toc3367"/>
      <w:r>
        <w:rPr>
          <w:rFonts w:hint="eastAsia" w:ascii="宋体" w:hAnsi="宋体" w:eastAsia="宋体" w:cs="宋体"/>
          <w:color w:val="auto"/>
          <w:sz w:val="21"/>
          <w:szCs w:val="21"/>
          <w:highlight w:val="none"/>
        </w:rPr>
        <w:t>1. 适应范围</w:t>
      </w:r>
      <w:bookmarkEnd w:id="47"/>
      <w:bookmarkEnd w:id="48"/>
    </w:p>
    <w:p w14:paraId="06CF432C">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项目名称及项目编号</w:t>
      </w:r>
    </w:p>
    <w:p w14:paraId="5306D90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Cs w:val="21"/>
          <w:highlight w:val="none"/>
          <w:lang w:eastAsia="zh-CN"/>
        </w:rPr>
        <w:t>贵县古墓葬群红岭顶八一路古墓保护工程</w:t>
      </w:r>
      <w:r>
        <w:rPr>
          <w:rFonts w:hint="eastAsia" w:ascii="宋体" w:hAnsi="宋体" w:eastAsia="宋体" w:cs="宋体"/>
          <w:color w:val="auto"/>
          <w:szCs w:val="21"/>
          <w:highlight w:val="none"/>
        </w:rPr>
        <w:t xml:space="preserve">  </w:t>
      </w:r>
    </w:p>
    <w:p w14:paraId="1981ABD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项目编号：GGZC2025-C2-990150-GXLK</w:t>
      </w:r>
      <w:r>
        <w:rPr>
          <w:rFonts w:hint="eastAsia" w:ascii="宋体" w:hAnsi="宋体" w:cs="宋体"/>
          <w:color w:val="auto"/>
          <w:sz w:val="21"/>
          <w:szCs w:val="21"/>
          <w:highlight w:val="none"/>
          <w:lang w:val="en-US" w:eastAsia="zh-CN"/>
        </w:rPr>
        <w:t xml:space="preserve"> </w:t>
      </w:r>
    </w:p>
    <w:p w14:paraId="7A747513">
      <w:pPr>
        <w:pageBreakBefore w:val="0"/>
        <w:widowControl w:val="0"/>
        <w:kinsoku/>
        <w:wordWrap/>
        <w:overflowPunct/>
        <w:topLinePunct w:val="0"/>
        <w:bidi w:val="0"/>
        <w:spacing w:line="440" w:lineRule="exact"/>
        <w:ind w:firstLine="411" w:firstLineChars="196"/>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1.2本竞争性磋商文件（以下简称磋商文件）适用于本磋商项目的磋商、评审、合同履约、验收、付款等行为（法律、法规另有规定的，从其规定）。</w:t>
      </w:r>
    </w:p>
    <w:p w14:paraId="267B172F">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49" w:name="_Toc2845"/>
      <w:bookmarkStart w:id="50" w:name="_Toc28336"/>
      <w:r>
        <w:rPr>
          <w:rFonts w:hint="eastAsia" w:ascii="宋体" w:hAnsi="宋体" w:eastAsia="宋体" w:cs="宋体"/>
          <w:color w:val="auto"/>
          <w:sz w:val="21"/>
          <w:szCs w:val="21"/>
          <w:highlight w:val="none"/>
        </w:rPr>
        <w:t>2. 定义</w:t>
      </w:r>
      <w:bookmarkEnd w:id="49"/>
      <w:bookmarkEnd w:id="50"/>
    </w:p>
    <w:p w14:paraId="2425000F">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2.1“供应商”是指符合本次采购项目的供应商资格并提交响应文件、参加磋商的供应商。如果该供应商在本次磋商中成交，即成为“成交供应商”。</w:t>
      </w:r>
    </w:p>
    <w:p w14:paraId="1B3F2545">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2.2“货物”系指按磋商文件规定，供应商须向采购人提供的一切设备、保险、税金、备品备件、工具、手册及其它有关技术资料和材料。</w:t>
      </w:r>
    </w:p>
    <w:p w14:paraId="0FC1796D">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2.3“服务”系指按磋商文件规定，供应商须承担的安装、调试、技术协助、校准、培训、技术指导以及其他类似的义务。</w:t>
      </w:r>
    </w:p>
    <w:p w14:paraId="4D0F5B55">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2.4“项目”系指供应商按磋商文件规定向采购人提供的货物和服务。</w:t>
      </w:r>
    </w:p>
    <w:p w14:paraId="0CAA7700">
      <w:pPr>
        <w:pageBreakBefore w:val="0"/>
        <w:widowControl w:val="0"/>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2.5“书面形式”包括信函、传真、电报等。</w:t>
      </w:r>
    </w:p>
    <w:p w14:paraId="28EB717F">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51" w:name="_Toc13017"/>
      <w:bookmarkStart w:id="52" w:name="_Toc25441"/>
      <w:r>
        <w:rPr>
          <w:rFonts w:hint="eastAsia" w:ascii="宋体" w:hAnsi="宋体" w:eastAsia="宋体" w:cs="宋体"/>
          <w:color w:val="auto"/>
          <w:sz w:val="21"/>
          <w:szCs w:val="21"/>
          <w:highlight w:val="none"/>
        </w:rPr>
        <w:t>3. 供应商资格</w:t>
      </w:r>
      <w:bookmarkEnd w:id="51"/>
      <w:bookmarkEnd w:id="52"/>
    </w:p>
    <w:p w14:paraId="4C4E9AC0">
      <w:pPr>
        <w:pStyle w:val="4"/>
        <w:pageBreakBefore w:val="0"/>
        <w:widowControl w:val="0"/>
        <w:kinsoku/>
        <w:wordWrap/>
        <w:overflowPunct/>
        <w:topLinePunct w:val="0"/>
        <w:bidi w:val="0"/>
        <w:spacing w:before="0" w:after="0" w:line="4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bookmarkStart w:id="53" w:name="_Toc9216"/>
      <w:bookmarkStart w:id="54" w:name="_Toc16496"/>
      <w:r>
        <w:rPr>
          <w:rFonts w:hint="eastAsia" w:ascii="宋体" w:hAnsi="宋体" w:eastAsia="宋体" w:cs="宋体"/>
          <w:b w:val="0"/>
          <w:bCs w:val="0"/>
          <w:color w:val="auto"/>
          <w:kern w:val="2"/>
          <w:sz w:val="21"/>
          <w:szCs w:val="21"/>
          <w:highlight w:val="none"/>
          <w:lang w:val="en-US" w:eastAsia="zh-CN" w:bidi="ar-SA"/>
        </w:rPr>
        <w:t>3.1、满足《中华人民共和国政府采购法》第二十二条规定；</w:t>
      </w:r>
    </w:p>
    <w:p w14:paraId="6C0DC44E">
      <w:pPr>
        <w:pStyle w:val="4"/>
        <w:pageBreakBefore w:val="0"/>
        <w:widowControl w:val="0"/>
        <w:kinsoku/>
        <w:wordWrap/>
        <w:overflowPunct/>
        <w:topLinePunct w:val="0"/>
        <w:bidi w:val="0"/>
        <w:spacing w:before="0" w:after="0" w:line="4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3.2、落实政府采购政策需满足的资格要求：本项目为专门面向中小微企业采购的项目（供应商应为中小微企业、监狱企业、残疾人福利性单位)；</w:t>
      </w:r>
    </w:p>
    <w:p w14:paraId="59F7D7AC">
      <w:pPr>
        <w:pStyle w:val="4"/>
        <w:pageBreakBefore w:val="0"/>
        <w:widowControl w:val="0"/>
        <w:kinsoku/>
        <w:wordWrap/>
        <w:overflowPunct/>
        <w:topLinePunct w:val="0"/>
        <w:bidi w:val="0"/>
        <w:spacing w:before="0" w:after="0" w:line="4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3.3、本项目的特定资格要求：</w:t>
      </w:r>
      <w:r>
        <w:rPr>
          <w:rFonts w:hint="eastAsia" w:ascii="宋体" w:hAnsi="宋体" w:eastAsia="宋体" w:cs="宋体"/>
          <w:color w:val="auto"/>
          <w:sz w:val="21"/>
          <w:szCs w:val="21"/>
          <w:highlight w:val="none"/>
          <w:lang w:val="en-US" w:eastAsia="zh-CN"/>
        </w:rPr>
        <w:t>具备国家文物局颁发的文物保护工程</w:t>
      </w:r>
      <w:r>
        <w:rPr>
          <w:rFonts w:hint="eastAsia" w:ascii="宋体" w:hAnsi="宋体" w:cs="宋体"/>
          <w:color w:val="auto"/>
          <w:sz w:val="21"/>
          <w:szCs w:val="21"/>
          <w:highlight w:val="none"/>
          <w:lang w:val="en-US" w:eastAsia="zh-CN"/>
        </w:rPr>
        <w:t>施工二级（含）以上资质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业务范围包含古文化遗址古墓葬或古遗址古墓葬保护，</w:t>
      </w:r>
      <w:r>
        <w:rPr>
          <w:rFonts w:hint="eastAsia" w:ascii="宋体" w:hAnsi="宋体" w:cs="宋体"/>
          <w:color w:val="auto"/>
          <w:sz w:val="21"/>
          <w:szCs w:val="21"/>
          <w:highlight w:val="none"/>
        </w:rPr>
        <w:t>具有有效的安全生产许可证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并在人员、设备、资金等方面具备相应的施工能力。</w:t>
      </w:r>
      <w:r>
        <w:rPr>
          <w:rFonts w:hint="eastAsia" w:ascii="宋体" w:hAnsi="宋体" w:cs="宋体"/>
          <w:color w:val="auto"/>
          <w:sz w:val="21"/>
          <w:szCs w:val="21"/>
          <w:highlight w:val="none"/>
          <w:lang w:val="en-US" w:eastAsia="zh-CN"/>
        </w:rPr>
        <w:t>项目经理须具备中国古迹遗址保护协会颁发的文物保护工程责任工程师证书，且同时具备有中级（含）以上职称。</w:t>
      </w:r>
    </w:p>
    <w:p w14:paraId="39598122">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3"/>
      <w:bookmarkEnd w:id="54"/>
    </w:p>
    <w:p w14:paraId="7D425067">
      <w:pPr>
        <w:pageBreakBefore w:val="0"/>
        <w:widowControl w:val="0"/>
        <w:tabs>
          <w:tab w:val="left" w:pos="1635"/>
        </w:tabs>
        <w:kinsoku/>
        <w:wordWrap/>
        <w:overflowPunct/>
        <w:topLinePunct w:val="0"/>
        <w:bidi w:val="0"/>
        <w:spacing w:line="440" w:lineRule="exact"/>
        <w:ind w:firstLine="43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不论磋商结果如何，供应商均应自行承担所有与磋商有关的全部费用。</w:t>
      </w:r>
    </w:p>
    <w:p w14:paraId="532D8F81">
      <w:pPr>
        <w:pStyle w:val="4"/>
        <w:pageBreakBefore w:val="0"/>
        <w:widowControl w:val="0"/>
        <w:numPr>
          <w:ilvl w:val="0"/>
          <w:numId w:val="2"/>
        </w:numPr>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55" w:name="_Toc31376"/>
      <w:bookmarkStart w:id="56" w:name="_Toc22877"/>
      <w:r>
        <w:rPr>
          <w:rFonts w:hint="eastAsia" w:ascii="宋体" w:hAnsi="宋体" w:eastAsia="宋体" w:cs="宋体"/>
          <w:color w:val="auto"/>
          <w:sz w:val="21"/>
          <w:szCs w:val="21"/>
          <w:highlight w:val="none"/>
        </w:rPr>
        <w:t>联合体要求</w:t>
      </w:r>
      <w:bookmarkEnd w:id="55"/>
      <w:bookmarkEnd w:id="56"/>
    </w:p>
    <w:p w14:paraId="4080EF5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本项目不接受联合体参与磋商</w:t>
      </w:r>
    </w:p>
    <w:p w14:paraId="374ECB26">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57" w:name="_Toc18940"/>
      <w:bookmarkStart w:id="58" w:name="_Toc4152"/>
      <w:r>
        <w:rPr>
          <w:rFonts w:hint="eastAsia" w:ascii="宋体" w:hAnsi="宋体" w:eastAsia="宋体" w:cs="宋体"/>
          <w:color w:val="auto"/>
          <w:sz w:val="21"/>
          <w:szCs w:val="21"/>
          <w:highlight w:val="none"/>
        </w:rPr>
        <w:t>6. 质疑和投诉</w:t>
      </w:r>
      <w:bookmarkEnd w:id="57"/>
      <w:bookmarkEnd w:id="58"/>
      <w:r>
        <w:rPr>
          <w:rFonts w:hint="eastAsia" w:ascii="宋体" w:hAnsi="宋体" w:eastAsia="宋体" w:cs="宋体"/>
          <w:color w:val="auto"/>
          <w:sz w:val="21"/>
          <w:szCs w:val="21"/>
          <w:highlight w:val="none"/>
        </w:rPr>
        <w:tab/>
      </w:r>
    </w:p>
    <w:p w14:paraId="138A569D">
      <w:pPr>
        <w:pageBreakBefore w:val="0"/>
        <w:widowControl w:val="0"/>
        <w:tabs>
          <w:tab w:val="left" w:pos="2190"/>
        </w:tabs>
        <w:kinsoku/>
        <w:wordWrap/>
        <w:overflowPunct/>
        <w:topLinePunct w:val="0"/>
        <w:bidi w:val="0"/>
        <w:spacing w:line="440" w:lineRule="exact"/>
        <w:ind w:firstLine="435"/>
        <w:textAlignment w:val="auto"/>
        <w:rPr>
          <w:rFonts w:hint="eastAsia" w:ascii="宋体" w:hAnsi="宋体" w:eastAsia="宋体" w:cs="宋体"/>
          <w:color w:val="auto"/>
          <w:szCs w:val="21"/>
          <w:highlight w:val="none"/>
          <w:u w:val="none"/>
        </w:rPr>
      </w:pPr>
      <w:bookmarkStart w:id="59" w:name="_Toc26087"/>
      <w:bookmarkStart w:id="60" w:name="_Toc8195"/>
      <w:r>
        <w:rPr>
          <w:rFonts w:hint="eastAsia" w:ascii="宋体" w:hAnsi="宋体" w:eastAsia="宋体" w:cs="宋体"/>
          <w:color w:val="auto"/>
          <w:szCs w:val="21"/>
          <w:highlight w:val="none"/>
          <w:u w:val="none"/>
        </w:rPr>
        <w:t>6.1供应对政府采购活动事项有疑问的，可以向采购人提出询问。</w:t>
      </w:r>
    </w:p>
    <w:p w14:paraId="77DF4593">
      <w:pPr>
        <w:pageBreakBefore w:val="0"/>
        <w:widowControl w:val="0"/>
        <w:tabs>
          <w:tab w:val="left" w:pos="2190"/>
        </w:tabs>
        <w:kinsoku/>
        <w:wordWrap/>
        <w:overflowPunct/>
        <w:topLinePunct w:val="0"/>
        <w:bidi w:val="0"/>
        <w:spacing w:line="440" w:lineRule="exact"/>
        <w:ind w:firstLine="435"/>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6.2供应商认为磋商文件使自己的合法权益受到损害的，应当在竞争性磋商公告期限届满之日起七个工作日内，以书面形式向采购代理机构提出质疑。供应商认为采购过程或成交结果使自己的合法权益受到损害的，应当在各采购程序环节结束之日起七个工作日内，以书面形式向采购代理机构提出质疑。采购代理机构应认真做好质疑处理工作。</w:t>
      </w:r>
    </w:p>
    <w:p w14:paraId="67C04070">
      <w:pPr>
        <w:pageBreakBefore w:val="0"/>
        <w:widowControl w:val="0"/>
        <w:tabs>
          <w:tab w:val="left" w:pos="2190"/>
        </w:tabs>
        <w:kinsoku/>
        <w:wordWrap/>
        <w:overflowPunct/>
        <w:topLinePunct w:val="0"/>
        <w:bidi w:val="0"/>
        <w:spacing w:line="440" w:lineRule="exact"/>
        <w:ind w:firstLine="435"/>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6.3供应商对采购代理机构的质疑答复不满意或者采购代理机构未在规定的时间内作出答复的，可以在答复期满后十五个工作日内向本级财政部门投诉。</w:t>
      </w:r>
    </w:p>
    <w:p w14:paraId="2781A2BA">
      <w:pPr>
        <w:pageBreakBefore w:val="0"/>
        <w:widowControl w:val="0"/>
        <w:tabs>
          <w:tab w:val="left" w:pos="2190"/>
        </w:tabs>
        <w:kinsoku/>
        <w:wordWrap/>
        <w:overflowPunct/>
        <w:topLinePunct w:val="0"/>
        <w:bidi w:val="0"/>
        <w:spacing w:line="440" w:lineRule="exact"/>
        <w:ind w:firstLine="435"/>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6.4质疑、投诉应当采用书面形式，质疑书、投诉书实行实名制，均应明确阐述磋商文件、采购过程或成交结果中使自己合法权益受到损害的实质性内容，提供相关事实、明确的请求，并提供必要的证明材料。质疑函格式详见附件。</w:t>
      </w:r>
    </w:p>
    <w:p w14:paraId="66F76595">
      <w:pPr>
        <w:pageBreakBefore w:val="0"/>
        <w:widowControl w:val="0"/>
        <w:tabs>
          <w:tab w:val="left" w:pos="2190"/>
        </w:tabs>
        <w:kinsoku/>
        <w:wordWrap/>
        <w:overflowPunct/>
        <w:topLinePunct w:val="0"/>
        <w:bidi w:val="0"/>
        <w:spacing w:line="440" w:lineRule="exact"/>
        <w:ind w:firstLine="435"/>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6.5质疑联系</w:t>
      </w:r>
      <w:bookmarkEnd w:id="59"/>
      <w:bookmarkEnd w:id="60"/>
      <w:r>
        <w:rPr>
          <w:rFonts w:hint="eastAsia" w:ascii="宋体" w:hAnsi="宋体" w:eastAsia="宋体" w:cs="宋体"/>
          <w:color w:val="auto"/>
          <w:szCs w:val="21"/>
          <w:highlight w:val="none"/>
          <w:u w:val="none"/>
          <w:lang w:eastAsia="zh-CN"/>
        </w:rPr>
        <w:t>方式，详见磋商公告。</w:t>
      </w:r>
    </w:p>
    <w:p w14:paraId="42E786A4">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61" w:name="_Toc5032"/>
      <w:bookmarkStart w:id="62" w:name="_Toc6998"/>
      <w:r>
        <w:rPr>
          <w:rFonts w:hint="eastAsia" w:ascii="宋体" w:hAnsi="宋体" w:eastAsia="宋体" w:cs="宋体"/>
          <w:color w:val="auto"/>
          <w:sz w:val="21"/>
          <w:szCs w:val="21"/>
          <w:highlight w:val="none"/>
        </w:rPr>
        <w:t>7. 转包与分包</w:t>
      </w:r>
      <w:bookmarkEnd w:id="61"/>
      <w:bookmarkEnd w:id="62"/>
    </w:p>
    <w:p w14:paraId="2A321679">
      <w:pPr>
        <w:pageBreakBefore w:val="0"/>
        <w:widowControl w:val="0"/>
        <w:tabs>
          <w:tab w:val="left" w:pos="2190"/>
        </w:tabs>
        <w:kinsoku/>
        <w:wordWrap/>
        <w:overflowPunct/>
        <w:topLinePunct w:val="0"/>
        <w:bidi w:val="0"/>
        <w:spacing w:line="440" w:lineRule="exact"/>
        <w:ind w:firstLine="420" w:firstLineChars="200"/>
        <w:textAlignment w:val="auto"/>
        <w:rPr>
          <w:rFonts w:hint="eastAsia" w:ascii="宋体" w:hAnsi="宋体" w:eastAsia="宋体" w:cs="宋体"/>
          <w:color w:val="auto"/>
          <w:kern w:val="0"/>
          <w:szCs w:val="21"/>
          <w:highlight w:val="none"/>
          <w:shd w:val="clear" w:color="auto" w:fill="FFFFFF"/>
        </w:rPr>
      </w:pPr>
      <w:r>
        <w:rPr>
          <w:rFonts w:hint="eastAsia" w:ascii="宋体" w:hAnsi="宋体" w:eastAsia="宋体" w:cs="宋体"/>
          <w:color w:val="auto"/>
          <w:szCs w:val="21"/>
          <w:highlight w:val="none"/>
        </w:rPr>
        <w:t>7</w:t>
      </w:r>
      <w:r>
        <w:rPr>
          <w:rFonts w:hint="eastAsia" w:ascii="宋体" w:hAnsi="宋体" w:eastAsia="宋体" w:cs="宋体"/>
          <w:color w:val="auto"/>
          <w:kern w:val="0"/>
          <w:szCs w:val="21"/>
          <w:highlight w:val="none"/>
          <w:shd w:val="clear" w:color="auto" w:fill="FFFFFF"/>
        </w:rPr>
        <w:t>.1 本项目不允许转包。</w:t>
      </w:r>
    </w:p>
    <w:p w14:paraId="3F12B5A7">
      <w:pPr>
        <w:pageBreakBefore w:val="0"/>
        <w:widowControl w:val="0"/>
        <w:tabs>
          <w:tab w:val="left" w:pos="2190"/>
        </w:tabs>
        <w:kinsoku/>
        <w:wordWrap/>
        <w:overflowPunct/>
        <w:topLinePunct w:val="0"/>
        <w:bidi w:val="0"/>
        <w:spacing w:line="440" w:lineRule="exact"/>
        <w:ind w:firstLine="420" w:firstLineChars="200"/>
        <w:textAlignment w:val="auto"/>
        <w:rPr>
          <w:rFonts w:hint="eastAsia" w:ascii="宋体" w:hAnsi="宋体" w:eastAsia="宋体" w:cs="宋体"/>
          <w:color w:val="auto"/>
          <w:kern w:val="0"/>
          <w:szCs w:val="21"/>
          <w:highlight w:val="none"/>
          <w:shd w:val="clear" w:color="auto" w:fill="FFFFFF"/>
        </w:rPr>
      </w:pPr>
      <w:r>
        <w:rPr>
          <w:rFonts w:hint="eastAsia" w:ascii="宋体" w:hAnsi="宋体" w:eastAsia="宋体" w:cs="宋体"/>
          <w:color w:val="auto"/>
          <w:kern w:val="0"/>
          <w:szCs w:val="21"/>
          <w:highlight w:val="none"/>
          <w:shd w:val="clear" w:color="auto" w:fill="FFFFFF"/>
        </w:rPr>
        <w:t>7.2 本项目不可以分包。</w:t>
      </w:r>
    </w:p>
    <w:p w14:paraId="225BAA90">
      <w:pPr>
        <w:pageBreakBefore w:val="0"/>
        <w:widowControl w:val="0"/>
        <w:tabs>
          <w:tab w:val="left" w:pos="2190"/>
        </w:tabs>
        <w:kinsoku/>
        <w:wordWrap/>
        <w:overflowPunct/>
        <w:topLinePunct w:val="0"/>
        <w:bidi w:val="0"/>
        <w:spacing w:line="440" w:lineRule="exact"/>
        <w:ind w:firstLine="420" w:firstLineChars="200"/>
        <w:textAlignment w:val="auto"/>
        <w:rPr>
          <w:rFonts w:hint="eastAsia" w:ascii="宋体" w:hAnsi="宋体" w:eastAsia="宋体" w:cs="宋体"/>
          <w:color w:val="auto"/>
          <w:kern w:val="0"/>
          <w:szCs w:val="21"/>
          <w:highlight w:val="none"/>
          <w:shd w:val="clear" w:color="auto" w:fill="FFFFFF"/>
          <w:lang w:val="en-US" w:eastAsia="zh-CN"/>
        </w:rPr>
      </w:pPr>
      <w:r>
        <w:rPr>
          <w:rFonts w:hint="eastAsia" w:ascii="宋体" w:hAnsi="宋体" w:eastAsia="宋体" w:cs="宋体"/>
          <w:color w:val="auto"/>
          <w:kern w:val="0"/>
          <w:szCs w:val="21"/>
          <w:highlight w:val="none"/>
          <w:shd w:val="clear" w:color="auto" w:fill="FFFFFF"/>
          <w:lang w:val="en-US" w:eastAsia="zh-CN"/>
        </w:rPr>
        <w:t>7.3本项目不允许挂靠。</w:t>
      </w:r>
    </w:p>
    <w:p w14:paraId="4998E249">
      <w:pPr>
        <w:pageBreakBefore w:val="0"/>
        <w:widowControl w:val="0"/>
        <w:tabs>
          <w:tab w:val="left" w:pos="2190"/>
        </w:tabs>
        <w:kinsoku/>
        <w:wordWrap/>
        <w:overflowPunct/>
        <w:topLinePunct w:val="0"/>
        <w:bidi w:val="0"/>
        <w:spacing w:line="440" w:lineRule="exact"/>
        <w:ind w:firstLine="420" w:firstLineChars="200"/>
        <w:textAlignment w:val="auto"/>
        <w:rPr>
          <w:rFonts w:hint="default" w:ascii="宋体" w:hAnsi="宋体" w:eastAsia="宋体" w:cs="宋体"/>
          <w:color w:val="auto"/>
          <w:kern w:val="0"/>
          <w:szCs w:val="21"/>
          <w:highlight w:val="none"/>
          <w:shd w:val="clear" w:color="auto" w:fill="FFFFFF"/>
          <w:lang w:val="en-US" w:eastAsia="zh-CN"/>
        </w:rPr>
      </w:pPr>
      <w:r>
        <w:rPr>
          <w:rFonts w:hint="eastAsia" w:ascii="宋体" w:hAnsi="宋体" w:eastAsia="宋体" w:cs="宋体"/>
          <w:color w:val="auto"/>
          <w:kern w:val="0"/>
          <w:szCs w:val="21"/>
          <w:highlight w:val="none"/>
          <w:shd w:val="clear" w:color="auto" w:fill="FFFFFF"/>
          <w:lang w:val="en-US" w:eastAsia="zh-CN"/>
        </w:rPr>
        <w:t>7.4如发现有以上行为，采购人有权终止合同，所有损失由成交供应商承担。</w:t>
      </w:r>
    </w:p>
    <w:p w14:paraId="2FD4ED69">
      <w:pPr>
        <w:pageBreakBefore w:val="0"/>
        <w:widowControl w:val="0"/>
        <w:tabs>
          <w:tab w:val="left" w:pos="1635"/>
        </w:tabs>
        <w:kinsoku/>
        <w:wordWrap/>
        <w:overflowPunct/>
        <w:topLinePunct w:val="0"/>
        <w:bidi w:val="0"/>
        <w:spacing w:line="440" w:lineRule="exact"/>
        <w:ind w:firstLine="420" w:firstLineChars="200"/>
        <w:textAlignment w:val="auto"/>
        <w:rPr>
          <w:rFonts w:hint="eastAsia"/>
          <w:color w:val="auto"/>
          <w:highlight w:val="none"/>
        </w:rPr>
      </w:pPr>
      <w:r>
        <w:rPr>
          <w:rFonts w:hint="eastAsia"/>
          <w:color w:val="auto"/>
          <w:highlight w:val="none"/>
        </w:rPr>
        <w:t>8. 特别说明</w:t>
      </w:r>
    </w:p>
    <w:p w14:paraId="40F71820">
      <w:pPr>
        <w:pageBreakBefore w:val="0"/>
        <w:widowControl w:val="0"/>
        <w:tabs>
          <w:tab w:val="left" w:pos="1635"/>
        </w:tabs>
        <w:kinsoku/>
        <w:wordWrap/>
        <w:overflowPunct/>
        <w:topLinePunct w:val="0"/>
        <w:bidi w:val="0"/>
        <w:spacing w:line="440" w:lineRule="exact"/>
        <w:ind w:firstLine="420" w:firstLineChars="200"/>
        <w:textAlignment w:val="auto"/>
        <w:rPr>
          <w:rFonts w:hint="eastAsia"/>
          <w:color w:val="auto"/>
          <w:highlight w:val="none"/>
        </w:rPr>
      </w:pPr>
      <w:r>
        <w:rPr>
          <w:rFonts w:hint="eastAsia"/>
          <w:color w:val="auto"/>
          <w:highlight w:val="none"/>
        </w:rPr>
        <w:t>8.1关联供应商不得参加同一合同项下政府采购活动，否则响应文件将被视为无效：</w:t>
      </w:r>
    </w:p>
    <w:p w14:paraId="27F1B327">
      <w:pPr>
        <w:pageBreakBefore w:val="0"/>
        <w:widowControl w:val="0"/>
        <w:tabs>
          <w:tab w:val="left" w:pos="1635"/>
        </w:tabs>
        <w:kinsoku/>
        <w:wordWrap/>
        <w:overflowPunct/>
        <w:topLinePunct w:val="0"/>
        <w:bidi w:val="0"/>
        <w:spacing w:line="440" w:lineRule="exact"/>
        <w:ind w:firstLine="420" w:firstLineChars="200"/>
        <w:textAlignment w:val="auto"/>
        <w:rPr>
          <w:rFonts w:hint="eastAsia"/>
          <w:color w:val="auto"/>
          <w:highlight w:val="none"/>
        </w:rPr>
      </w:pPr>
      <w:r>
        <w:rPr>
          <w:rFonts w:hint="eastAsia"/>
          <w:color w:val="auto"/>
          <w:highlight w:val="none"/>
        </w:rPr>
        <w:t>（1）单位负责人为同一人或者存在直接控股、管理关系的，不得参加同一合同项下的政府采购活动。</w:t>
      </w:r>
    </w:p>
    <w:p w14:paraId="129A4C39">
      <w:pPr>
        <w:pStyle w:val="9"/>
        <w:pageBreakBefore w:val="0"/>
        <w:widowControl w:val="0"/>
        <w:kinsoku/>
        <w:wordWrap/>
        <w:overflowPunct/>
        <w:topLinePunct w:val="0"/>
        <w:bidi w:val="0"/>
        <w:spacing w:line="440" w:lineRule="exact"/>
        <w:textAlignment w:val="auto"/>
        <w:rPr>
          <w:rFonts w:hint="eastAsia" w:ascii="宋体" w:hAnsi="宋体" w:eastAsia="宋体" w:cs="宋体"/>
          <w:color w:val="auto"/>
          <w:highlight w:val="none"/>
        </w:rPr>
      </w:pPr>
    </w:p>
    <w:p w14:paraId="0A2A5F09">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63" w:name="_Toc2062"/>
      <w:bookmarkStart w:id="64" w:name="_Toc29496"/>
      <w:bookmarkStart w:id="65" w:name="_Toc22498"/>
      <w:r>
        <w:rPr>
          <w:rFonts w:hint="eastAsia" w:ascii="宋体" w:hAnsi="宋体" w:eastAsia="宋体" w:cs="宋体"/>
          <w:b/>
          <w:bCs w:val="0"/>
          <w:color w:val="auto"/>
          <w:szCs w:val="28"/>
          <w:highlight w:val="none"/>
        </w:rPr>
        <w:t>二、磋商文件</w:t>
      </w:r>
      <w:bookmarkEnd w:id="63"/>
      <w:bookmarkEnd w:id="64"/>
      <w:bookmarkEnd w:id="65"/>
    </w:p>
    <w:p w14:paraId="6CEAC45E">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lang w:val="pt-BR"/>
        </w:rPr>
      </w:pPr>
      <w:bookmarkStart w:id="66" w:name="_Toc20057"/>
      <w:bookmarkStart w:id="67" w:name="_Toc18964"/>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66"/>
      <w:bookmarkEnd w:id="67"/>
    </w:p>
    <w:p w14:paraId="023D3D7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（1）竞争性磋商公告；</w:t>
      </w:r>
    </w:p>
    <w:p w14:paraId="15B5FCF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（2）供应商须知；</w:t>
      </w:r>
    </w:p>
    <w:p w14:paraId="5AC00DC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（3）工程量清单</w:t>
      </w:r>
      <w:r>
        <w:rPr>
          <w:rFonts w:hint="eastAsia" w:ascii="宋体" w:hAnsi="宋体" w:eastAsia="宋体" w:cs="宋体"/>
          <w:bCs/>
          <w:color w:val="auto"/>
          <w:szCs w:val="21"/>
          <w:highlight w:val="none"/>
        </w:rPr>
        <w:t>；</w:t>
      </w:r>
    </w:p>
    <w:p w14:paraId="09D93BD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（4）评审办法；</w:t>
      </w:r>
    </w:p>
    <w:p w14:paraId="4D21009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（5）采购合同（合同主要条款及格式）；</w:t>
      </w:r>
    </w:p>
    <w:p w14:paraId="78E92DD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（6）响应文件（格式）</w:t>
      </w:r>
      <w:r>
        <w:rPr>
          <w:rFonts w:hint="eastAsia" w:ascii="宋体" w:hAnsi="宋体" w:eastAsia="宋体" w:cs="宋体"/>
          <w:color w:val="auto"/>
          <w:szCs w:val="21"/>
          <w:highlight w:val="none"/>
          <w:lang w:eastAsia="zh-CN"/>
        </w:rPr>
        <w:t>；</w:t>
      </w:r>
    </w:p>
    <w:p w14:paraId="057BBA4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bookmarkStart w:id="68" w:name="_Toc9103"/>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图纸。</w:t>
      </w:r>
    </w:p>
    <w:p w14:paraId="25EF54E7">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69" w:name="_Toc17932"/>
      <w:r>
        <w:rPr>
          <w:rFonts w:hint="eastAsia" w:ascii="宋体" w:hAnsi="宋体" w:eastAsia="宋体" w:cs="宋体"/>
          <w:color w:val="auto"/>
          <w:sz w:val="21"/>
          <w:szCs w:val="21"/>
          <w:highlight w:val="none"/>
        </w:rPr>
        <w:t>10. 磋商文件的澄清与修改</w:t>
      </w:r>
      <w:bookmarkEnd w:id="68"/>
      <w:bookmarkEnd w:id="69"/>
    </w:p>
    <w:p w14:paraId="2A5D4553">
      <w:pPr>
        <w:pageBreakBefore w:val="0"/>
        <w:widowControl w:val="0"/>
        <w:kinsoku/>
        <w:wordWrap/>
        <w:overflowPunct/>
        <w:topLinePunct w:val="0"/>
        <w:bidi w:val="0"/>
        <w:spacing w:line="440" w:lineRule="exact"/>
        <w:ind w:left="420" w:left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 提交首次响应文件截止之日前，采购代理机构可以对已发出的磋商文件进行必要澄清、答复、</w:t>
      </w:r>
    </w:p>
    <w:p w14:paraId="067F8F12">
      <w:pPr>
        <w:pageBreakBefore w:val="0"/>
        <w:widowControl w:val="0"/>
        <w:kinsoku/>
        <w:wordWrap/>
        <w:overflowPunct/>
        <w:topLinePunct w:val="0"/>
        <w:bidi w:val="0"/>
        <w:spacing w:line="4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Cs w:val="21"/>
          <w:highlight w:val="none"/>
        </w:rPr>
        <w:t>五日</w:t>
      </w:r>
      <w:r>
        <w:rPr>
          <w:rFonts w:hint="eastAsia" w:ascii="宋体" w:hAnsi="宋体" w:eastAsia="宋体" w:cs="宋体"/>
          <w:color w:val="auto"/>
          <w:szCs w:val="21"/>
          <w:highlight w:val="none"/>
        </w:rPr>
        <w:t>前在本项目竞争性磋商公告发布的同一媒体上发布更正公告，不足</w:t>
      </w:r>
      <w:r>
        <w:rPr>
          <w:rFonts w:hint="eastAsia" w:ascii="宋体" w:hAnsi="宋体" w:eastAsia="宋体" w:cs="宋体"/>
          <w:b/>
          <w:bCs/>
          <w:color w:val="auto"/>
          <w:szCs w:val="21"/>
          <w:highlight w:val="none"/>
        </w:rPr>
        <w:t>五日</w:t>
      </w:r>
      <w:r>
        <w:rPr>
          <w:rFonts w:hint="eastAsia" w:ascii="宋体" w:hAnsi="宋体" w:eastAsia="宋体" w:cs="宋体"/>
          <w:color w:val="auto"/>
          <w:szCs w:val="21"/>
          <w:highlight w:val="none"/>
        </w:rPr>
        <w:t>的，应当顺延首次响应文件递交截止时间。</w:t>
      </w:r>
    </w:p>
    <w:p w14:paraId="5DB0D13B">
      <w:pPr>
        <w:pageBreakBefore w:val="0"/>
        <w:widowControl w:val="0"/>
        <w:kinsoku/>
        <w:wordWrap/>
        <w:overflowPunct/>
        <w:topLinePunct w:val="0"/>
        <w:bidi w:val="0"/>
        <w:spacing w:line="440" w:lineRule="exact"/>
        <w:ind w:left="420" w:leftChars="200"/>
        <w:jc w:val="left"/>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10.2</w:t>
      </w:r>
      <w:r>
        <w:rPr>
          <w:rFonts w:hint="eastAsia" w:ascii="宋体" w:hAnsi="宋体" w:eastAsia="宋体" w:cs="宋体"/>
          <w:b/>
          <w:bCs/>
          <w:color w:val="auto"/>
          <w:szCs w:val="21"/>
          <w:highlight w:val="none"/>
        </w:rPr>
        <w:t>供应商应实时关注本项目信息公告发布媒体相关网站了解澄清、修改等与项目有关的内容，</w:t>
      </w:r>
    </w:p>
    <w:p w14:paraId="2F7FAFCE">
      <w:pPr>
        <w:pageBreakBefore w:val="0"/>
        <w:widowControl w:val="0"/>
        <w:kinsoku/>
        <w:wordWrap/>
        <w:overflowPunct/>
        <w:topLinePunct w:val="0"/>
        <w:bidi w:val="0"/>
        <w:spacing w:line="44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如因供应商未及时登录相关网站了解澄清、修改等与项目有关的内容，从而导致响应文件无效的，由供应商自行承担责任。</w:t>
      </w:r>
    </w:p>
    <w:p w14:paraId="4C0E6418">
      <w:pPr>
        <w:pageBreakBefore w:val="0"/>
        <w:widowControl w:val="0"/>
        <w:kinsoku/>
        <w:wordWrap/>
        <w:overflowPunct/>
        <w:topLinePunct w:val="0"/>
        <w:bidi w:val="0"/>
        <w:spacing w:line="440" w:lineRule="exact"/>
        <w:ind w:left="420" w:left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10.3澄清或者修改的内容为磋商文件的组成部分。当澄清或者修改通知就同一内容的表述不一致</w:t>
      </w:r>
    </w:p>
    <w:p w14:paraId="5AC083E9">
      <w:pPr>
        <w:pageBreakBefore w:val="0"/>
        <w:widowControl w:val="0"/>
        <w:kinsoku/>
        <w:wordWrap/>
        <w:overflowPunct/>
        <w:topLinePunct w:val="0"/>
        <w:bidi w:val="0"/>
        <w:spacing w:line="4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时，以最后发出的文件为准。</w:t>
      </w:r>
    </w:p>
    <w:p w14:paraId="7E76C9BD">
      <w:pPr>
        <w:pageBreakBefore w:val="0"/>
        <w:widowControl w:val="0"/>
        <w:kinsoku/>
        <w:wordWrap/>
        <w:overflowPunct/>
        <w:topLinePunct w:val="0"/>
        <w:bidi w:val="0"/>
        <w:spacing w:line="440" w:lineRule="exact"/>
        <w:ind w:left="420" w:left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 磋商文件的澄清或者修改都应该通过本项目采购代理机构以法定形式发布，采购人非通过本</w:t>
      </w:r>
    </w:p>
    <w:p w14:paraId="56160555">
      <w:pPr>
        <w:pageBreakBefore w:val="0"/>
        <w:widowControl w:val="0"/>
        <w:kinsoku/>
        <w:wordWrap/>
        <w:overflowPunct/>
        <w:topLinePunct w:val="0"/>
        <w:bidi w:val="0"/>
        <w:spacing w:line="4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机构，不得擅自澄清或者修改磋商文件。</w:t>
      </w:r>
    </w:p>
    <w:p w14:paraId="74A94267">
      <w:pPr>
        <w:pageBreakBefore w:val="0"/>
        <w:widowControl w:val="0"/>
        <w:kinsoku/>
        <w:wordWrap/>
        <w:overflowPunct/>
        <w:topLinePunct w:val="0"/>
        <w:bidi w:val="0"/>
        <w:spacing w:line="440" w:lineRule="exact"/>
        <w:ind w:left="420" w:left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10.5采购单位可以视采购具体情况，延长响应文件截止时间和磋商时间，在本项目竞争性磋商公</w:t>
      </w:r>
    </w:p>
    <w:p w14:paraId="65E19511">
      <w:pPr>
        <w:pageBreakBefore w:val="0"/>
        <w:widowControl w:val="0"/>
        <w:kinsoku/>
        <w:wordWrap/>
        <w:overflowPunct/>
        <w:topLinePunct w:val="0"/>
        <w:bidi w:val="0"/>
        <w:spacing w:line="4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告发布的同一媒体上发布变更公告。</w:t>
      </w:r>
    </w:p>
    <w:p w14:paraId="4C40990E">
      <w:pPr>
        <w:pStyle w:val="30"/>
        <w:pageBreakBefore w:val="0"/>
        <w:widowControl w:val="0"/>
        <w:kinsoku/>
        <w:wordWrap/>
        <w:overflowPunct/>
        <w:topLinePunct w:val="0"/>
        <w:bidi w:val="0"/>
        <w:spacing w:line="440" w:lineRule="exact"/>
        <w:textAlignment w:val="auto"/>
        <w:rPr>
          <w:rFonts w:hint="eastAsia" w:ascii="宋体" w:hAnsi="宋体" w:eastAsia="宋体" w:cs="宋体"/>
          <w:color w:val="auto"/>
          <w:highlight w:val="none"/>
        </w:rPr>
      </w:pPr>
    </w:p>
    <w:p w14:paraId="2FFB0ED7">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70" w:name="_Toc20830"/>
      <w:bookmarkStart w:id="71" w:name="_Toc17820"/>
      <w:bookmarkStart w:id="72" w:name="_Toc23267"/>
      <w:r>
        <w:rPr>
          <w:rFonts w:hint="eastAsia" w:ascii="宋体" w:hAnsi="宋体" w:eastAsia="宋体" w:cs="宋体"/>
          <w:b/>
          <w:bCs w:val="0"/>
          <w:color w:val="auto"/>
          <w:szCs w:val="28"/>
          <w:highlight w:val="none"/>
        </w:rPr>
        <w:t>三、竞争性磋商响应文件的编制</w:t>
      </w:r>
      <w:bookmarkEnd w:id="70"/>
      <w:bookmarkEnd w:id="71"/>
      <w:bookmarkEnd w:id="72"/>
    </w:p>
    <w:p w14:paraId="637DB523">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b/>
          <w:color w:val="auto"/>
          <w:sz w:val="21"/>
          <w:szCs w:val="21"/>
          <w:highlight w:val="none"/>
          <w:lang w:val="en-US" w:eastAsia="zh-CN"/>
        </w:rPr>
      </w:pPr>
      <w:bookmarkStart w:id="73" w:name="_Toc19747"/>
      <w:r>
        <w:rPr>
          <w:rFonts w:hint="eastAsia" w:ascii="宋体" w:hAnsi="宋体" w:eastAsia="宋体" w:cs="宋体"/>
          <w:b/>
          <w:color w:val="auto"/>
          <w:sz w:val="21"/>
          <w:szCs w:val="21"/>
          <w:highlight w:val="none"/>
          <w:lang w:val="en-US" w:eastAsia="zh-CN"/>
        </w:rPr>
        <w:t>11.竞争性磋商响应文件编制基本要求</w:t>
      </w:r>
      <w:bookmarkEnd w:id="73"/>
    </w:p>
    <w:p w14:paraId="2B2F9E08">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11.1 本项目实行电子</w:t>
      </w:r>
      <w:r>
        <w:rPr>
          <w:rFonts w:hint="eastAsia" w:ascii="宋体" w:hAnsi="宋体" w:cs="宋体"/>
          <w:b/>
          <w:bCs/>
          <w:color w:val="auto"/>
          <w:szCs w:val="21"/>
          <w:highlight w:val="none"/>
          <w:lang w:val="en-US" w:eastAsia="zh-CN"/>
        </w:rPr>
        <w:t>响应</w:t>
      </w:r>
      <w:r>
        <w:rPr>
          <w:rFonts w:hint="eastAsia" w:ascii="宋体" w:hAnsi="宋体" w:eastAsia="宋体" w:cs="宋体"/>
          <w:b/>
          <w:bCs/>
          <w:color w:val="auto"/>
          <w:szCs w:val="21"/>
          <w:highlight w:val="none"/>
          <w:lang w:val="en-US" w:eastAsia="zh-CN"/>
        </w:rPr>
        <w:t>，供应商应准备电子磋商响应文件：</w:t>
      </w:r>
    </w:p>
    <w:p w14:paraId="2BFAE5A1">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11.1.1 电子响应文件按</w:t>
      </w:r>
      <w:r>
        <w:rPr>
          <w:rFonts w:hint="eastAsia" w:ascii="宋体" w:hAnsi="宋体" w:cs="宋体"/>
          <w:b/>
          <w:bCs/>
          <w:color w:val="auto"/>
          <w:szCs w:val="21"/>
          <w:highlight w:val="none"/>
          <w:lang w:val="en-US" w:eastAsia="zh-CN"/>
        </w:rPr>
        <w:t>广西政府采购云平台</w:t>
      </w:r>
      <w:r>
        <w:rPr>
          <w:rFonts w:hint="eastAsia" w:ascii="宋体" w:hAnsi="宋体" w:eastAsia="宋体" w:cs="宋体"/>
          <w:b/>
          <w:bCs/>
          <w:color w:val="auto"/>
          <w:szCs w:val="21"/>
          <w:highlight w:val="none"/>
          <w:lang w:val="en-US" w:eastAsia="zh-CN"/>
        </w:rPr>
        <w:t xml:space="preserve">要求及本磋商文件要求制作、加密并递交。具体操作流程可参考《政府采购项目电子交易管理操作指南-供应商》，指南可在 “http://www.ccgp-guangxi.gov.cn/PurchaseAdvisory/ImportantNotice/2866753.html”下载。 </w:t>
      </w:r>
    </w:p>
    <w:p w14:paraId="53CD8284">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11.</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竞争性磋商响应文件（以下简称响应文件）的组成及要求</w:t>
      </w:r>
    </w:p>
    <w:p w14:paraId="4027CCAD">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11.</w:t>
      </w:r>
      <w:r>
        <w:rPr>
          <w:rFonts w:hint="eastAsia" w:ascii="宋体" w:hAnsi="宋体" w:eastAsia="宋体" w:cs="宋体"/>
          <w:b/>
          <w:bCs/>
          <w:color w:val="auto"/>
          <w:szCs w:val="21"/>
          <w:highlight w:val="none"/>
          <w:lang w:val="en-US" w:eastAsia="zh-CN"/>
        </w:rPr>
        <w:t>2.1</w:t>
      </w:r>
      <w:r>
        <w:rPr>
          <w:rFonts w:hint="eastAsia" w:ascii="宋体" w:hAnsi="宋体" w:eastAsia="宋体" w:cs="宋体"/>
          <w:b/>
          <w:bCs/>
          <w:color w:val="auto"/>
          <w:szCs w:val="21"/>
          <w:highlight w:val="none"/>
        </w:rPr>
        <w:t>响应文件组成【格式见第六章“响应文件（格式）”】</w:t>
      </w:r>
    </w:p>
    <w:p w14:paraId="22AAC33B">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11.</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1.1</w:t>
      </w:r>
      <w:r>
        <w:rPr>
          <w:rFonts w:hint="eastAsia" w:ascii="宋体" w:hAnsi="宋体" w:eastAsia="宋体" w:cs="宋体"/>
          <w:b/>
          <w:bCs/>
          <w:color w:val="auto"/>
          <w:szCs w:val="21"/>
          <w:highlight w:val="none"/>
        </w:rPr>
        <w:t>资格性响应证明材料：</w:t>
      </w:r>
    </w:p>
    <w:p w14:paraId="0AA8ED7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（1）供应商相应的法定代表人、负责人、自然人身份证正反两面复印件</w:t>
      </w:r>
      <w:r>
        <w:rPr>
          <w:rFonts w:hint="eastAsia" w:ascii="宋体" w:hAnsi="宋体" w:eastAsia="宋体" w:cs="宋体"/>
          <w:b/>
          <w:bCs/>
          <w:color w:val="auto"/>
          <w:szCs w:val="21"/>
          <w:highlight w:val="none"/>
        </w:rPr>
        <w:t>（必须提供）</w:t>
      </w:r>
      <w:r>
        <w:rPr>
          <w:rFonts w:hint="eastAsia" w:ascii="宋体" w:hAnsi="宋体" w:eastAsia="宋体" w:cs="宋体"/>
          <w:color w:val="auto"/>
          <w:szCs w:val="21"/>
          <w:highlight w:val="none"/>
        </w:rPr>
        <w:t>；</w:t>
      </w:r>
    </w:p>
    <w:p w14:paraId="5DA949F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（2）供应商的授权委托书原件、委托代理人身份证正反面复印件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（委托代理时必须提供）</w:t>
      </w:r>
    </w:p>
    <w:p w14:paraId="183F752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（3）供应商参加政府采购活动前3年内在经营活动中没有重大违法记录及有关信用信息的书面声明</w:t>
      </w:r>
      <w:r>
        <w:rPr>
          <w:rFonts w:hint="eastAsia" w:ascii="宋体" w:hAnsi="宋体" w:eastAsia="宋体" w:cs="宋体"/>
          <w:b/>
          <w:bCs/>
          <w:color w:val="auto"/>
          <w:szCs w:val="21"/>
          <w:highlight w:val="none"/>
        </w:rPr>
        <w:t>（必须提供）；</w:t>
      </w:r>
    </w:p>
    <w:p w14:paraId="4A94E92F">
      <w:pPr>
        <w:pageBreakBefore w:val="0"/>
        <w:widowControl w:val="0"/>
        <w:numPr>
          <w:ilvl w:val="0"/>
          <w:numId w:val="3"/>
        </w:numPr>
        <w:kinsoku/>
        <w:wordWrap/>
        <w:overflowPunct/>
        <w:topLinePunct w:val="0"/>
        <w:bidi w:val="0"/>
        <w:spacing w:line="440" w:lineRule="exact"/>
        <w:ind w:left="0" w:leftChars="0" w:firstLine="42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供应商的法人或者其他组织营业执照等证明文件复印件</w:t>
      </w:r>
      <w:r>
        <w:rPr>
          <w:rFonts w:hint="eastAsia" w:ascii="宋体" w:hAnsi="宋体" w:eastAsia="宋体" w:cs="宋体"/>
          <w:b/>
          <w:bCs/>
          <w:color w:val="auto"/>
          <w:szCs w:val="21"/>
          <w:highlight w:val="none"/>
        </w:rPr>
        <w:t>（必须提供，自然人除外）；</w:t>
      </w:r>
    </w:p>
    <w:p w14:paraId="6D04D5B7">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161C2AA">
      <w:pPr>
        <w:pageBreakBefore w:val="0"/>
        <w:widowControl w:val="0"/>
        <w:numPr>
          <w:ilvl w:val="0"/>
          <w:numId w:val="3"/>
        </w:numPr>
        <w:kinsoku/>
        <w:wordWrap/>
        <w:overflowPunct/>
        <w:topLinePunct w:val="0"/>
        <w:bidi w:val="0"/>
        <w:spacing w:line="440" w:lineRule="exact"/>
        <w:ind w:left="0" w:leftChars="0" w:firstLine="420" w:firstLineChars="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供应商有效的资质证书复印件</w:t>
      </w:r>
      <w:r>
        <w:rPr>
          <w:rFonts w:hint="eastAsia" w:ascii="宋体" w:hAnsi="宋体" w:eastAsia="宋体" w:cs="宋体"/>
          <w:b/>
          <w:bCs w:val="0"/>
          <w:color w:val="auto"/>
          <w:kern w:val="0"/>
          <w:szCs w:val="21"/>
          <w:highlight w:val="none"/>
          <w:lang w:val="en-US" w:eastAsia="zh-CN"/>
        </w:rPr>
        <w:t>（必须提供）</w:t>
      </w:r>
      <w:r>
        <w:rPr>
          <w:rFonts w:hint="eastAsia" w:ascii="宋体" w:hAnsi="宋体" w:eastAsia="宋体" w:cs="宋体"/>
          <w:bCs/>
          <w:color w:val="auto"/>
          <w:kern w:val="0"/>
          <w:szCs w:val="21"/>
          <w:highlight w:val="none"/>
          <w:lang w:val="en-US" w:eastAsia="zh-CN"/>
        </w:rPr>
        <w:t>；</w:t>
      </w:r>
    </w:p>
    <w:p w14:paraId="394120EA">
      <w:pPr>
        <w:pageBreakBefore w:val="0"/>
        <w:widowControl w:val="0"/>
        <w:numPr>
          <w:ilvl w:val="0"/>
          <w:numId w:val="3"/>
        </w:numPr>
        <w:kinsoku/>
        <w:wordWrap/>
        <w:overflowPunct/>
        <w:topLinePunct w:val="0"/>
        <w:bidi w:val="0"/>
        <w:spacing w:line="440" w:lineRule="exact"/>
        <w:ind w:left="0" w:leftChars="0" w:firstLine="420" w:firstLineChars="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r>
        <w:rPr>
          <w:rFonts w:hint="eastAsia" w:ascii="宋体" w:hAnsi="宋体" w:eastAsia="宋体" w:cs="宋体"/>
          <w:b/>
          <w:bCs w:val="0"/>
          <w:color w:val="auto"/>
          <w:kern w:val="0"/>
          <w:szCs w:val="21"/>
          <w:highlight w:val="none"/>
          <w:lang w:val="en-US" w:eastAsia="zh-CN"/>
        </w:rPr>
        <w:t>；</w:t>
      </w:r>
    </w:p>
    <w:p w14:paraId="497A38AE">
      <w:pPr>
        <w:pageBreakBefore w:val="0"/>
        <w:widowControl w:val="0"/>
        <w:numPr>
          <w:ilvl w:val="0"/>
          <w:numId w:val="3"/>
        </w:numPr>
        <w:kinsoku/>
        <w:wordWrap/>
        <w:overflowPunct/>
        <w:topLinePunct w:val="0"/>
        <w:bidi w:val="0"/>
        <w:spacing w:line="440" w:lineRule="exact"/>
        <w:ind w:left="0" w:leftChars="0" w:firstLine="420" w:firstLineChars="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供应商有效的安全生产许可证书复印件</w:t>
      </w:r>
      <w:r>
        <w:rPr>
          <w:rFonts w:hint="eastAsia" w:ascii="宋体" w:hAnsi="宋体" w:eastAsia="宋体" w:cs="宋体"/>
          <w:b/>
          <w:bCs w:val="0"/>
          <w:color w:val="auto"/>
          <w:kern w:val="0"/>
          <w:szCs w:val="21"/>
          <w:highlight w:val="none"/>
          <w:lang w:val="en-US" w:eastAsia="zh-CN"/>
        </w:rPr>
        <w:t>（必须提供）；</w:t>
      </w:r>
    </w:p>
    <w:p w14:paraId="69CA655D">
      <w:pPr>
        <w:pageBreakBefore w:val="0"/>
        <w:widowControl w:val="0"/>
        <w:numPr>
          <w:ilvl w:val="0"/>
          <w:numId w:val="3"/>
        </w:numPr>
        <w:kinsoku/>
        <w:wordWrap/>
        <w:overflowPunct/>
        <w:topLinePunct w:val="0"/>
        <w:bidi w:val="0"/>
        <w:spacing w:line="440" w:lineRule="exact"/>
        <w:ind w:left="0" w:leftChars="0" w:firstLine="420" w:firstLineChars="0"/>
        <w:textAlignment w:val="auto"/>
        <w:rPr>
          <w:rFonts w:hint="eastAsia" w:ascii="宋体" w:hAnsi="宋体" w:eastAsia="宋体" w:cs="宋体"/>
          <w:color w:val="auto"/>
          <w:highlight w:val="none"/>
        </w:rPr>
      </w:pPr>
      <w:r>
        <w:rPr>
          <w:rFonts w:hint="eastAsia" w:ascii="宋体" w:hAnsi="宋体" w:cs="宋体"/>
          <w:bCs/>
          <w:color w:val="auto"/>
          <w:kern w:val="0"/>
          <w:szCs w:val="21"/>
          <w:highlight w:val="none"/>
          <w:lang w:eastAsia="zh-CN"/>
        </w:rPr>
        <w:t>贵港市政府采购项目投标资格承诺函（格式后附）</w:t>
      </w:r>
      <w:r>
        <w:rPr>
          <w:rFonts w:hint="eastAsia" w:ascii="宋体" w:hAnsi="宋体" w:eastAsia="宋体" w:cs="宋体"/>
          <w:b/>
          <w:bCs/>
          <w:color w:val="auto"/>
          <w:szCs w:val="21"/>
          <w:highlight w:val="none"/>
        </w:rPr>
        <w:t>（必须提供）。</w:t>
      </w:r>
    </w:p>
    <w:p w14:paraId="20370EBD">
      <w:pPr>
        <w:pStyle w:val="26"/>
        <w:pageBreakBefore w:val="0"/>
        <w:widowControl w:val="0"/>
        <w:kinsoku/>
        <w:wordWrap/>
        <w:overflowPunct/>
        <w:topLinePunct w:val="0"/>
        <w:bidi w:val="0"/>
        <w:spacing w:line="440" w:lineRule="exact"/>
        <w:ind w:left="0" w:leftChars="0" w:firstLine="422"/>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11.</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1.2</w:t>
      </w:r>
      <w:r>
        <w:rPr>
          <w:rFonts w:hint="eastAsia" w:ascii="宋体" w:hAnsi="宋体" w:eastAsia="宋体" w:cs="宋体"/>
          <w:b/>
          <w:bCs/>
          <w:color w:val="auto"/>
          <w:szCs w:val="21"/>
          <w:highlight w:val="none"/>
        </w:rPr>
        <w:t>符合性响应证明材料：</w:t>
      </w:r>
    </w:p>
    <w:p w14:paraId="1CF1F18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bookmarkStart w:id="74" w:name="_Toc16312"/>
      <w:bookmarkStart w:id="75" w:name="_Toc28932"/>
      <w:bookmarkStart w:id="76" w:name="_Toc2809"/>
      <w:r>
        <w:rPr>
          <w:rFonts w:hint="eastAsia" w:ascii="宋体" w:hAnsi="宋体" w:eastAsia="宋体" w:cs="宋体"/>
          <w:color w:val="auto"/>
          <w:szCs w:val="21"/>
          <w:highlight w:val="none"/>
          <w:lang w:val="en-US"/>
        </w:rPr>
        <w:t>（1）响应函（格式见附件）</w:t>
      </w:r>
      <w:r>
        <w:rPr>
          <w:rFonts w:hint="eastAsia" w:ascii="宋体" w:hAnsi="宋体" w:eastAsia="宋体" w:cs="宋体"/>
          <w:b/>
          <w:bCs/>
          <w:color w:val="auto"/>
          <w:szCs w:val="21"/>
          <w:highlight w:val="none"/>
          <w:lang w:val="en-US"/>
        </w:rPr>
        <w:t>（必须提供）</w:t>
      </w:r>
      <w:bookmarkEnd w:id="74"/>
      <w:r>
        <w:rPr>
          <w:rFonts w:hint="eastAsia" w:ascii="宋体" w:hAnsi="宋体" w:eastAsia="宋体" w:cs="宋体"/>
          <w:color w:val="auto"/>
          <w:szCs w:val="21"/>
          <w:highlight w:val="none"/>
          <w:lang w:val="en-US" w:eastAsia="zh-CN"/>
        </w:rPr>
        <w:t>；</w:t>
      </w:r>
      <w:bookmarkEnd w:id="75"/>
      <w:bookmarkEnd w:id="76"/>
    </w:p>
    <w:p w14:paraId="0E4F0FB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cs="宋体"/>
          <w:bCs/>
          <w:color w:val="auto"/>
          <w:kern w:val="0"/>
          <w:szCs w:val="21"/>
          <w:highlight w:val="none"/>
        </w:rPr>
        <w:t>工程报价汇总表</w:t>
      </w:r>
      <w:r>
        <w:rPr>
          <w:rFonts w:hint="eastAsia" w:ascii="宋体" w:hAnsi="宋体" w:eastAsia="宋体" w:cs="宋体"/>
          <w:color w:val="auto"/>
          <w:szCs w:val="21"/>
          <w:highlight w:val="none"/>
        </w:rPr>
        <w:t>（格式见附件）</w:t>
      </w:r>
      <w:r>
        <w:rPr>
          <w:rFonts w:hint="eastAsia" w:ascii="宋体" w:hAnsi="宋体" w:eastAsia="宋体" w:cs="宋体"/>
          <w:b/>
          <w:bCs/>
          <w:color w:val="auto"/>
          <w:szCs w:val="21"/>
          <w:highlight w:val="none"/>
        </w:rPr>
        <w:t>（必须提供）</w:t>
      </w:r>
      <w:r>
        <w:rPr>
          <w:rFonts w:hint="eastAsia" w:ascii="宋体" w:hAnsi="宋体" w:eastAsia="宋体" w:cs="宋体"/>
          <w:color w:val="auto"/>
          <w:szCs w:val="21"/>
          <w:highlight w:val="none"/>
        </w:rPr>
        <w:t>；</w:t>
      </w:r>
    </w:p>
    <w:p w14:paraId="27CE7C3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rPr>
        <w:t>已标价工程量清单</w:t>
      </w:r>
      <w:r>
        <w:rPr>
          <w:rFonts w:hint="eastAsia" w:ascii="宋体" w:hAnsi="宋体" w:eastAsia="宋体" w:cs="宋体"/>
          <w:b/>
          <w:bCs w:val="0"/>
          <w:color w:val="auto"/>
          <w:kern w:val="0"/>
          <w:szCs w:val="21"/>
          <w:highlight w:val="none"/>
        </w:rPr>
        <w:t>（必须提供）</w:t>
      </w:r>
      <w:r>
        <w:rPr>
          <w:rFonts w:hint="eastAsia" w:ascii="宋体" w:hAnsi="宋体" w:eastAsia="宋体" w:cs="宋体"/>
          <w:b w:val="0"/>
          <w:bCs/>
          <w:color w:val="auto"/>
          <w:kern w:val="0"/>
          <w:szCs w:val="21"/>
          <w:highlight w:val="none"/>
          <w:lang w:eastAsia="zh-CN"/>
        </w:rPr>
        <w:t>；</w:t>
      </w:r>
    </w:p>
    <w:p w14:paraId="3915401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cs="宋体"/>
          <w:color w:val="auto"/>
          <w:szCs w:val="21"/>
          <w:highlight w:val="none"/>
        </w:rPr>
        <w:t>拟投入本工程主要施工管理人员表</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必须提供)</w:t>
      </w:r>
      <w:r>
        <w:rPr>
          <w:rFonts w:hint="eastAsia" w:ascii="宋体" w:hAnsi="宋体" w:eastAsia="宋体" w:cs="宋体"/>
          <w:color w:val="auto"/>
          <w:szCs w:val="21"/>
          <w:highlight w:val="none"/>
        </w:rPr>
        <w:t>；</w:t>
      </w:r>
    </w:p>
    <w:p w14:paraId="115A401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cs="宋体"/>
          <w:bCs/>
          <w:color w:val="auto"/>
          <w:kern w:val="0"/>
          <w:szCs w:val="21"/>
          <w:highlight w:val="none"/>
        </w:rPr>
        <w:t>担任本工程的项目经理简历表（应附相关证书、身份证复印件）</w:t>
      </w:r>
      <w:r>
        <w:rPr>
          <w:rFonts w:hint="eastAsia" w:ascii="宋体" w:hAnsi="宋体" w:eastAsia="宋体" w:cs="宋体"/>
          <w:b/>
          <w:bCs/>
          <w:color w:val="auto"/>
          <w:szCs w:val="21"/>
          <w:highlight w:val="none"/>
        </w:rPr>
        <w:t>（必须提供）</w:t>
      </w:r>
      <w:r>
        <w:rPr>
          <w:rFonts w:hint="eastAsia" w:ascii="宋体" w:hAnsi="宋体" w:eastAsia="宋体" w:cs="宋体"/>
          <w:b w:val="0"/>
          <w:bCs w:val="0"/>
          <w:color w:val="auto"/>
          <w:szCs w:val="21"/>
          <w:highlight w:val="none"/>
        </w:rPr>
        <w:t>；</w:t>
      </w:r>
    </w:p>
    <w:p w14:paraId="1DCF5A20">
      <w:pPr>
        <w:pageBreakBefore w:val="0"/>
        <w:widowControl w:val="0"/>
        <w:numPr>
          <w:ilvl w:val="0"/>
          <w:numId w:val="0"/>
        </w:numPr>
        <w:kinsoku/>
        <w:wordWrap/>
        <w:overflowPunct/>
        <w:topLinePunct w:val="0"/>
        <w:bidi w:val="0"/>
        <w:spacing w:line="440" w:lineRule="exact"/>
        <w:ind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cs="宋体"/>
          <w:bCs/>
          <w:color w:val="auto"/>
          <w:kern w:val="0"/>
          <w:szCs w:val="21"/>
          <w:highlight w:val="none"/>
        </w:rPr>
        <w:t>施工组织设计方案</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729FBC5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cs="宋体"/>
          <w:bCs/>
          <w:color w:val="auto"/>
          <w:kern w:val="0"/>
          <w:szCs w:val="21"/>
          <w:highlight w:val="none"/>
          <w:lang w:val="en-US" w:eastAsia="zh-CN"/>
        </w:rPr>
        <w:t>工</w:t>
      </w:r>
      <w:r>
        <w:rPr>
          <w:rFonts w:hint="eastAsia" w:ascii="宋体" w:hAnsi="宋体" w:cs="宋体"/>
          <w:bCs/>
          <w:color w:val="auto"/>
          <w:kern w:val="0"/>
          <w:szCs w:val="21"/>
          <w:highlight w:val="none"/>
        </w:rPr>
        <w:t>程完工服务承诺书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color w:val="auto"/>
          <w:szCs w:val="21"/>
          <w:highlight w:val="none"/>
          <w:lang w:eastAsia="zh-CN"/>
        </w:rPr>
        <w:t>；</w:t>
      </w:r>
    </w:p>
    <w:p w14:paraId="38E0D16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w:t>
      </w:r>
      <w:r>
        <w:rPr>
          <w:rFonts w:hint="eastAsia" w:ascii="宋体" w:hAnsi="宋体" w:cs="宋体"/>
          <w:bCs/>
          <w:color w:val="auto"/>
          <w:kern w:val="0"/>
          <w:szCs w:val="21"/>
          <w:highlight w:val="none"/>
        </w:rPr>
        <w:t>农民工工资保障金交纳与使用承诺书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color w:val="auto"/>
          <w:szCs w:val="21"/>
          <w:highlight w:val="none"/>
          <w:lang w:eastAsia="zh-CN"/>
        </w:rPr>
        <w:t>；</w:t>
      </w:r>
    </w:p>
    <w:p w14:paraId="0198168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w:t>
      </w:r>
      <w:r>
        <w:rPr>
          <w:rFonts w:hint="eastAsia" w:ascii="宋体" w:hAnsi="宋体" w:eastAsia="宋体" w:cs="宋体"/>
          <w:bCs/>
          <w:color w:val="auto"/>
          <w:kern w:val="0"/>
          <w:szCs w:val="21"/>
          <w:highlight w:val="none"/>
          <w:lang w:val="en-US" w:eastAsia="zh-CN"/>
        </w:rPr>
        <w:t>9</w:t>
      </w:r>
      <w:r>
        <w:rPr>
          <w:rFonts w:hint="eastAsia" w:ascii="宋体" w:hAnsi="宋体" w:eastAsia="宋体" w:cs="宋体"/>
          <w:bCs/>
          <w:color w:val="auto"/>
          <w:kern w:val="0"/>
          <w:szCs w:val="21"/>
          <w:highlight w:val="none"/>
        </w:rPr>
        <w:t>）</w:t>
      </w:r>
      <w:r>
        <w:rPr>
          <w:rFonts w:hint="eastAsia" w:ascii="宋体" w:hAnsi="宋体" w:cs="宋体"/>
          <w:bCs/>
          <w:color w:val="auto"/>
          <w:kern w:val="0"/>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Cs w:val="21"/>
          <w:highlight w:val="none"/>
          <w:lang w:eastAsia="zh-CN"/>
        </w:rPr>
        <w:t>。</w:t>
      </w:r>
    </w:p>
    <w:p w14:paraId="0E2E4C0E">
      <w:pPr>
        <w:pStyle w:val="26"/>
        <w:pageBreakBefore w:val="0"/>
        <w:widowControl w:val="0"/>
        <w:kinsoku/>
        <w:wordWrap/>
        <w:overflowPunct/>
        <w:topLinePunct w:val="0"/>
        <w:bidi w:val="0"/>
        <w:spacing w:line="440" w:lineRule="exact"/>
        <w:ind w:left="0" w:leftChars="0" w:firstLine="422"/>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11.</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1.3</w:t>
      </w:r>
      <w:r>
        <w:rPr>
          <w:rFonts w:hint="eastAsia" w:ascii="宋体" w:hAnsi="宋体" w:eastAsia="宋体" w:cs="宋体"/>
          <w:b/>
          <w:bCs/>
          <w:color w:val="auto"/>
          <w:szCs w:val="21"/>
          <w:highlight w:val="none"/>
        </w:rPr>
        <w:t>其他有效证明材料</w:t>
      </w:r>
    </w:p>
    <w:p w14:paraId="7802F76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供应商</w:t>
      </w:r>
      <w:r>
        <w:rPr>
          <w:rFonts w:hint="eastAsia" w:ascii="宋体" w:hAnsi="宋体" w:cs="宋体"/>
          <w:color w:val="auto"/>
          <w:szCs w:val="21"/>
          <w:highlight w:val="none"/>
          <w:lang w:eastAsia="zh-CN"/>
        </w:rPr>
        <w:t>20</w:t>
      </w:r>
      <w:r>
        <w:rPr>
          <w:rFonts w:hint="eastAsia" w:ascii="宋体" w:hAnsi="宋体" w:cs="宋体"/>
          <w:color w:val="auto"/>
          <w:szCs w:val="21"/>
          <w:highlight w:val="none"/>
          <w:lang w:val="en-US" w:eastAsia="zh-CN"/>
        </w:rPr>
        <w:t>19</w:t>
      </w:r>
      <w:r>
        <w:rPr>
          <w:rFonts w:hint="eastAsia" w:ascii="宋体" w:hAnsi="宋体" w:cs="宋体"/>
          <w:color w:val="auto"/>
          <w:szCs w:val="21"/>
          <w:highlight w:val="none"/>
          <w:lang w:eastAsia="zh-CN"/>
        </w:rPr>
        <w:t>年1月1日</w:t>
      </w:r>
      <w:r>
        <w:rPr>
          <w:rFonts w:hint="eastAsia" w:ascii="宋体" w:hAnsi="宋体" w:eastAsia="宋体" w:cs="宋体"/>
          <w:color w:val="auto"/>
          <w:szCs w:val="21"/>
          <w:highlight w:val="none"/>
          <w:lang w:eastAsia="zh-CN"/>
        </w:rPr>
        <w:t>以来具有</w:t>
      </w:r>
      <w:r>
        <w:rPr>
          <w:rFonts w:hint="eastAsia" w:ascii="宋体" w:hAnsi="宋体" w:eastAsia="宋体" w:cs="宋体"/>
          <w:color w:val="auto"/>
          <w:szCs w:val="21"/>
          <w:highlight w:val="none"/>
          <w:lang w:val="en-US" w:eastAsia="zh-CN"/>
        </w:rPr>
        <w:t>类似工程</w:t>
      </w:r>
      <w:r>
        <w:rPr>
          <w:rFonts w:hint="eastAsia" w:ascii="宋体" w:hAnsi="宋体" w:eastAsia="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古墓葬</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（无不良记录，以</w:t>
      </w:r>
      <w:r>
        <w:rPr>
          <w:rFonts w:hint="eastAsia" w:ascii="宋体" w:hAnsi="宋体" w:eastAsia="宋体" w:cs="宋体"/>
          <w:color w:val="auto"/>
          <w:szCs w:val="21"/>
          <w:highlight w:val="none"/>
          <w:lang w:eastAsia="zh-CN"/>
        </w:rPr>
        <w:t>中标（成交）通知书或签订的合同或竣工证明文件</w:t>
      </w:r>
      <w:r>
        <w:rPr>
          <w:rFonts w:hint="eastAsia" w:ascii="宋体" w:hAnsi="宋体" w:eastAsia="宋体" w:cs="宋体"/>
          <w:color w:val="auto"/>
          <w:szCs w:val="21"/>
          <w:highlight w:val="none"/>
        </w:rPr>
        <w:t>为准，并能清晰反映</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的名称、</w:t>
      </w:r>
      <w:r>
        <w:rPr>
          <w:rFonts w:hint="eastAsia" w:ascii="宋体" w:hAnsi="宋体" w:eastAsia="宋体" w:cs="宋体"/>
          <w:color w:val="auto"/>
          <w:szCs w:val="21"/>
          <w:highlight w:val="none"/>
          <w:lang w:eastAsia="zh-CN"/>
        </w:rPr>
        <w:t>采购内容</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金额</w:t>
      </w:r>
      <w:r>
        <w:rPr>
          <w:rFonts w:hint="eastAsia" w:ascii="宋体" w:hAnsi="宋体" w:eastAsia="宋体" w:cs="宋体"/>
          <w:color w:val="auto"/>
          <w:szCs w:val="21"/>
          <w:highlight w:val="none"/>
          <w:lang w:eastAsia="zh-CN"/>
        </w:rPr>
        <w:t>、采购时间</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如有</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7DA16462">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（2）供应商</w:t>
      </w:r>
      <w:r>
        <w:rPr>
          <w:rFonts w:hint="eastAsia" w:ascii="宋体" w:hAnsi="宋体" w:cs="宋体"/>
          <w:color w:val="auto"/>
          <w:szCs w:val="21"/>
          <w:highlight w:val="none"/>
          <w:lang w:val="en-US" w:eastAsia="zh-CN"/>
        </w:rPr>
        <w:t>2019年1月1日</w:t>
      </w:r>
      <w:r>
        <w:rPr>
          <w:rFonts w:hint="eastAsia" w:ascii="宋体" w:hAnsi="宋体" w:eastAsia="宋体" w:cs="宋体"/>
          <w:color w:val="auto"/>
          <w:szCs w:val="21"/>
          <w:highlight w:val="none"/>
          <w:lang w:val="en-US" w:eastAsia="zh-CN"/>
        </w:rPr>
        <w:t>以来获奖情况</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如有</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eastAsia="zh-CN"/>
        </w:rPr>
        <w:t>；</w:t>
      </w:r>
    </w:p>
    <w:p w14:paraId="4650F0B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Cs w:val="21"/>
          <w:highlight w:val="none"/>
        </w:rPr>
        <w:t>供应商可结合本项目的评审办法视自身情况自行提交其它相关证明材料。</w:t>
      </w:r>
    </w:p>
    <w:p w14:paraId="7D46E6E2">
      <w:pPr>
        <w:pageBreakBefore w:val="0"/>
        <w:widowControl w:val="0"/>
        <w:kinsoku/>
        <w:wordWrap/>
        <w:overflowPunct/>
        <w:topLinePunct w:val="0"/>
        <w:bidi w:val="0"/>
        <w:spacing w:line="440" w:lineRule="exact"/>
        <w:ind w:firstLine="42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供应商</w:t>
      </w:r>
      <w:r>
        <w:rPr>
          <w:rFonts w:hint="eastAsia" w:ascii="宋体" w:hAnsi="宋体" w:eastAsia="宋体" w:cs="宋体"/>
          <w:b/>
          <w:bCs/>
          <w:color w:val="auto"/>
          <w:highlight w:val="none"/>
        </w:rPr>
        <w:t>提供的以上相关证明材料属于“必须提供”的文件应加盖</w:t>
      </w:r>
      <w:r>
        <w:rPr>
          <w:rFonts w:hint="eastAsia" w:ascii="宋体" w:hAnsi="宋体" w:eastAsia="宋体" w:cs="宋体"/>
          <w:b/>
          <w:bCs/>
          <w:color w:val="auto"/>
          <w:highlight w:val="none"/>
          <w:lang w:eastAsia="zh-CN"/>
        </w:rPr>
        <w:t>磋商供应商</w:t>
      </w:r>
      <w:r>
        <w:rPr>
          <w:rFonts w:hint="eastAsia" w:ascii="宋体" w:hAnsi="宋体" w:cs="宋体"/>
          <w:b/>
          <w:bCs/>
          <w:color w:val="auto"/>
          <w:highlight w:val="none"/>
          <w:lang w:eastAsia="zh-CN"/>
        </w:rPr>
        <w:t>数字证书（CA认证）</w:t>
      </w:r>
      <w:r>
        <w:rPr>
          <w:rFonts w:hint="eastAsia" w:ascii="宋体" w:hAnsi="宋体" w:eastAsia="宋体" w:cs="宋体"/>
          <w:b/>
          <w:bCs/>
          <w:color w:val="auto"/>
          <w:highlight w:val="none"/>
        </w:rPr>
        <w:t>签章，否则</w:t>
      </w:r>
      <w:r>
        <w:rPr>
          <w:rFonts w:hint="eastAsia" w:ascii="宋体" w:hAnsi="宋体" w:eastAsia="宋体" w:cs="宋体"/>
          <w:b/>
          <w:bCs/>
          <w:color w:val="auto"/>
          <w:highlight w:val="none"/>
          <w:lang w:val="en-US" w:eastAsia="zh-CN"/>
        </w:rPr>
        <w:t>响应</w:t>
      </w:r>
      <w:r>
        <w:rPr>
          <w:rFonts w:hint="eastAsia" w:ascii="宋体" w:hAnsi="宋体" w:eastAsia="宋体" w:cs="宋体"/>
          <w:b/>
          <w:bCs/>
          <w:color w:val="auto"/>
          <w:highlight w:val="none"/>
        </w:rPr>
        <w:t>无效。</w:t>
      </w:r>
    </w:p>
    <w:p w14:paraId="3166E74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 xml:space="preserve">3 </w:t>
      </w:r>
      <w:r>
        <w:rPr>
          <w:rFonts w:hint="eastAsia" w:ascii="宋体" w:hAnsi="宋体" w:eastAsia="宋体" w:cs="宋体"/>
          <w:color w:val="auto"/>
          <w:szCs w:val="21"/>
          <w:highlight w:val="none"/>
        </w:rPr>
        <w:t>供应商应按竞争性磋商文件第六章“响应文件（格式）”编制响应文件。</w:t>
      </w:r>
    </w:p>
    <w:p w14:paraId="02115EB5">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w:t>
      </w:r>
    </w:p>
    <w:p w14:paraId="0BE65BD0">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（1）响</w:t>
      </w:r>
      <w:r>
        <w:rPr>
          <w:rFonts w:hint="eastAsia" w:ascii="宋体" w:hAnsi="宋体" w:eastAsia="宋体" w:cs="宋体"/>
          <w:b/>
          <w:color w:val="auto"/>
          <w:szCs w:val="21"/>
          <w:highlight w:val="none"/>
        </w:rPr>
        <w:t>应文件（电子响应文件），其中电子响应文件中所须加盖公章部分均采用</w:t>
      </w:r>
      <w:r>
        <w:rPr>
          <w:rFonts w:hint="eastAsia" w:ascii="宋体" w:hAnsi="宋体" w:cs="宋体"/>
          <w:b/>
          <w:color w:val="auto"/>
          <w:szCs w:val="21"/>
          <w:highlight w:val="none"/>
          <w:lang w:eastAsia="zh-CN"/>
        </w:rPr>
        <w:t>数字证书（CA认证）</w:t>
      </w:r>
      <w:r>
        <w:rPr>
          <w:rFonts w:hint="eastAsia" w:ascii="宋体" w:hAnsi="宋体" w:eastAsia="宋体" w:cs="宋体"/>
          <w:b/>
          <w:color w:val="auto"/>
          <w:szCs w:val="21"/>
          <w:highlight w:val="none"/>
        </w:rPr>
        <w:t>签章。若磋商文件中有专门标注的某关联点，并要求供应商在电子</w:t>
      </w:r>
      <w:r>
        <w:rPr>
          <w:rFonts w:hint="eastAsia" w:ascii="宋体" w:hAnsi="宋体" w:cs="宋体"/>
          <w:b/>
          <w:color w:val="auto"/>
          <w:szCs w:val="21"/>
          <w:highlight w:val="none"/>
          <w:lang w:eastAsia="zh-CN"/>
        </w:rPr>
        <w:t>响应</w:t>
      </w:r>
      <w:r>
        <w:rPr>
          <w:rFonts w:hint="eastAsia" w:ascii="宋体" w:hAnsi="宋体" w:eastAsia="宋体" w:cs="宋体"/>
          <w:b/>
          <w:color w:val="auto"/>
          <w:szCs w:val="21"/>
          <w:highlight w:val="none"/>
        </w:rPr>
        <w:t>系统中作出磋商响应的，如供应商未对关联点进行响应或者在响应文件其它内容进行描述，造成电子评审不能查询的责任由供应商自行承担。</w:t>
      </w:r>
    </w:p>
    <w:p w14:paraId="0EE9431F">
      <w:pPr>
        <w:pageBreakBefore w:val="0"/>
        <w:widowControl w:val="0"/>
        <w:numPr>
          <w:ilvl w:val="0"/>
          <w:numId w:val="4"/>
        </w:numPr>
        <w:kinsoku/>
        <w:wordWrap/>
        <w:overflowPunct/>
        <w:topLinePunct w:val="0"/>
        <w:bidi w:val="0"/>
        <w:spacing w:line="440" w:lineRule="exact"/>
        <w:ind w:left="0" w:leftChars="0"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lang w:eastAsia="zh-CN"/>
        </w:rPr>
        <w:t>磋商文件</w:t>
      </w:r>
      <w:r>
        <w:rPr>
          <w:rFonts w:hint="eastAsia" w:ascii="宋体" w:hAnsi="宋体" w:eastAsia="宋体" w:cs="宋体"/>
          <w:b/>
          <w:bCs/>
          <w:color w:val="auto"/>
          <w:szCs w:val="21"/>
          <w:highlight w:val="none"/>
        </w:rPr>
        <w:t>要求法定代表人（负责人）或委托代理人签字的部分必须签字然后扫描或者拍照做成 pdf 格式上传</w:t>
      </w:r>
      <w:r>
        <w:rPr>
          <w:rFonts w:hint="eastAsia" w:ascii="宋体" w:hAnsi="宋体" w:eastAsia="宋体" w:cs="宋体"/>
          <w:b/>
          <w:bCs/>
          <w:color w:val="auto"/>
          <w:szCs w:val="21"/>
          <w:highlight w:val="none"/>
          <w:lang w:eastAsia="zh-CN"/>
        </w:rPr>
        <w:t>（或加盖个人</w:t>
      </w:r>
      <w:r>
        <w:rPr>
          <w:rFonts w:hint="eastAsia" w:ascii="宋体" w:hAnsi="宋体" w:cs="宋体"/>
          <w:b/>
          <w:bCs/>
          <w:color w:val="auto"/>
          <w:szCs w:val="21"/>
          <w:highlight w:val="none"/>
          <w:lang w:val="en-US" w:eastAsia="zh-CN"/>
        </w:rPr>
        <w:t>数字证书（CA认证）</w:t>
      </w:r>
      <w:r>
        <w:rPr>
          <w:rFonts w:hint="eastAsia" w:ascii="宋体" w:hAnsi="宋体" w:eastAsia="宋体" w:cs="宋体"/>
          <w:b/>
          <w:bCs/>
          <w:color w:val="auto"/>
          <w:szCs w:val="21"/>
          <w:highlight w:val="none"/>
          <w:lang w:val="en-US" w:eastAsia="zh-CN"/>
        </w:rPr>
        <w:t>签章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，无签字的视为</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无效。</w:t>
      </w:r>
    </w:p>
    <w:p w14:paraId="31ABD4B7">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77" w:name="_Toc13660"/>
      <w:bookmarkStart w:id="78" w:name="_Toc2180"/>
      <w:r>
        <w:rPr>
          <w:rFonts w:hint="eastAsia" w:ascii="宋体" w:hAnsi="宋体" w:eastAsia="宋体" w:cs="宋体"/>
          <w:color w:val="auto"/>
          <w:sz w:val="21"/>
          <w:szCs w:val="21"/>
          <w:highlight w:val="none"/>
        </w:rPr>
        <w:t>12. 响应文件的语言及计量</w:t>
      </w:r>
      <w:bookmarkEnd w:id="77"/>
      <w:bookmarkEnd w:id="78"/>
    </w:p>
    <w:p w14:paraId="73D2433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0992133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 磋商计量单位，磋商文件已有明确规定的，使用磋商文件规定的计量单位；磋商文件没有规定的，应采用中华人民共和国法定计量单位（货币单位：人民币元），否则视同未响应。</w:t>
      </w:r>
    </w:p>
    <w:p w14:paraId="277DE823">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79" w:name="_Toc3058"/>
      <w:bookmarkStart w:id="80" w:name="_Toc10838"/>
      <w:r>
        <w:rPr>
          <w:rFonts w:hint="eastAsia" w:ascii="宋体" w:hAnsi="宋体" w:eastAsia="宋体" w:cs="宋体"/>
          <w:color w:val="auto"/>
          <w:sz w:val="21"/>
          <w:szCs w:val="21"/>
          <w:highlight w:val="none"/>
        </w:rPr>
        <w:t>13. 磋商报价及采购预算金额</w:t>
      </w:r>
      <w:bookmarkEnd w:id="79"/>
      <w:bookmarkEnd w:id="80"/>
    </w:p>
    <w:p w14:paraId="3311580F">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458E171E">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13.2、磋商供应商必须就磋商文件所有内容作完整唯一报价，否则，其磋商将被拒绝。响应文件只允许有一个报价，有选择的或有条件的报价将不予接受。</w:t>
      </w:r>
    </w:p>
    <w:p w14:paraId="12943A13">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13.3、磋商总报价包括本项目采购范围内一切服务价款的总和；供应商综合考虑在报价中。</w:t>
      </w:r>
    </w:p>
    <w:p w14:paraId="625014E9">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13.4、供应商按照采购人提供的工程量清单填写本合同各工程子目的单价、合价和总额价。磋商小组将按照下述规定对磋商报价进行算术性错误修正及其他错误修正。</w:t>
      </w:r>
    </w:p>
    <w:p w14:paraId="6A490172">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13.4.1磋商报价有算术错误的，磋商小组按以下原则对磋商报价进行修正，修正的价格经供应商书面确认后具有约束力。供应商不接受修正价格的，磋商小组应否决其投标。</w:t>
      </w:r>
    </w:p>
    <w:p w14:paraId="0DC79AEC">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(1)响应文件中的大写金额与小写金额不一致的，以大写金额为准;</w:t>
      </w:r>
    </w:p>
    <w:p w14:paraId="0ED1DB59">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总价金额与依据单价计算出的结果不一致的，以单价金额为准修正总价，但单价金额小数点有明显错误的除外;</w:t>
      </w:r>
    </w:p>
    <w:p w14:paraId="28E672C8">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当单价与数量相乘不等于合价时，以单价计算为准，如果单价有明显的小数点位置差错，应以标出的合价为准，同时对单价予以修正;</w:t>
      </w:r>
    </w:p>
    <w:p w14:paraId="3F56CAB6">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(4)当各子目的合价累计不等于总价时，应以各子目合价累计数为准，修正总价。</w:t>
      </w:r>
    </w:p>
    <w:p w14:paraId="2AD0C874">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13.4.2工程量清单中的磋商报价有其他错误的，磋商小组按以下原则对磋商报价进行修正，修正的价格经供应商书面确认后具有约束力。供应商不接受修正价格的，磋商小组应否决其投标。</w:t>
      </w:r>
    </w:p>
    <w:p w14:paraId="47E4F416">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2FAFBAE8">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6CD2F806">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(3)当单价与数量的乘积与合价(金额)虽然一致，但供应商修改了该子目的工程数量，则其合价按采购人给定的工程数量乘以供应商所报单价予以修正。</w:t>
      </w:r>
    </w:p>
    <w:p w14:paraId="2E3945A2">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13.5、未书面退出磋商的供应商在规定时间内提交最后报价，其最后报价超出采购预算金额导致已通过评审的响应文件无效的，按供应商在提交响应文件截止时间后撤回响应文件处理。</w:t>
      </w:r>
    </w:p>
    <w:p w14:paraId="08064DB8">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13.6、最后磋商总报价超出本项目采购预算总金额的将被视为无效磋商。</w:t>
      </w:r>
    </w:p>
    <w:p w14:paraId="57D2CEBF">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13.7、磋商总报价应包括本次采购范围内提供的服务、技术费、人工费、保险、税金、培训、版权费等全部费用，磋商供应商综合考虑在报价中。</w:t>
      </w:r>
    </w:p>
    <w:p w14:paraId="2D2DD994">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13.8、工程量清单报价表中所报的单价和合价，以及报价汇总表中的价格应包括施工设备（含脚手架）、主要材料、辅助材料、安装（如工程量清单中未列所安装设备则包含所安装设备的采购）、垃圾清运、劳务、管理、维护、保险、利润、增值税、政策性文件规定及合同包含的所有风险、责任等各项应有费用。</w:t>
      </w:r>
    </w:p>
    <w:p w14:paraId="55A9D064">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13.9、磋商供应商应按磋商文件提供的工程量清单计算工程项目的综合单价和合价。清单中的每一项均需计算填写综合单价和合价，磋商供应商没有填写综合单价和合价的项目将不予支付，并认为此项费用已包括在清单的其他综合单价和合价中。磋商供应商在清单中多报的细目或单价、合价或总额价发包人将不予支持。</w:t>
      </w:r>
    </w:p>
    <w:p w14:paraId="7C6F2B59">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13.10、磋商供应商应对磋商文件中清单所列的各项内容和要求作实质性响应。</w:t>
      </w:r>
    </w:p>
    <w:p w14:paraId="7FB06FD1">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13.11、磋商供应商应采用综合单价对工程量清单进行磋商，不得采用总价让利或以百分比让利等形式进行磋商。</w:t>
      </w:r>
    </w:p>
    <w:p w14:paraId="3170F24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供应商应在规定时间内在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w:t>
      </w:r>
      <w:r>
        <w:rPr>
          <w:rFonts w:hint="eastAsia" w:ascii="宋体" w:hAnsi="宋体" w:cs="宋体"/>
          <w:color w:val="auto"/>
          <w:szCs w:val="21"/>
          <w:highlight w:val="none"/>
          <w:lang w:eastAsia="zh-CN"/>
        </w:rPr>
        <w:t>磋商小组</w:t>
      </w:r>
      <w:r>
        <w:rPr>
          <w:rFonts w:hint="eastAsia" w:ascii="宋体" w:hAnsi="宋体" w:eastAsia="宋体" w:cs="宋体"/>
          <w:color w:val="auto"/>
          <w:szCs w:val="21"/>
          <w:highlight w:val="none"/>
        </w:rPr>
        <w:t>设定的最后报价时限或其最后报价超出采购预算导致已通过评审的响应文件无效的，按供应商在提交响应文件截止时间后撤回响应文件处理。</w:t>
      </w:r>
    </w:p>
    <w:p w14:paraId="6D498FF0">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81" w:name="_Toc26881"/>
      <w:bookmarkStart w:id="82" w:name="_Toc30554"/>
      <w:r>
        <w:rPr>
          <w:rFonts w:hint="eastAsia" w:ascii="宋体" w:hAnsi="宋体" w:eastAsia="宋体" w:cs="宋体"/>
          <w:color w:val="auto"/>
          <w:sz w:val="21"/>
          <w:szCs w:val="21"/>
          <w:highlight w:val="none"/>
        </w:rPr>
        <w:t>14. 响应文件有效期</w:t>
      </w:r>
      <w:bookmarkEnd w:id="81"/>
      <w:bookmarkEnd w:id="82"/>
    </w:p>
    <w:p w14:paraId="070DC80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 响应文件有效期：响应文件递交截止时间之日起90天，有效期不足的响应文件将被拒绝。</w:t>
      </w:r>
    </w:p>
    <w:p w14:paraId="6A193F51">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 出现特殊情况下，需要延长响应文件有效期的，采购代理机构</w:t>
      </w:r>
      <w:r>
        <w:rPr>
          <w:rFonts w:hint="eastAsia" w:ascii="宋体" w:hAnsi="宋体" w:eastAsia="宋体" w:cs="宋体"/>
          <w:color w:val="auto"/>
          <w:szCs w:val="21"/>
          <w:highlight w:val="none"/>
          <w:lang w:eastAsia="zh-CN"/>
        </w:rPr>
        <w:t>书面</w:t>
      </w:r>
      <w:r>
        <w:rPr>
          <w:rFonts w:hint="eastAsia" w:ascii="宋体" w:hAnsi="宋体" w:eastAsia="宋体" w:cs="宋体"/>
          <w:color w:val="auto"/>
          <w:szCs w:val="21"/>
          <w:highlight w:val="none"/>
        </w:rPr>
        <w:t>通知供应商延长响应文件有效期。供应商同意延长的，但不能修改响应文件。供应商拒绝延长的，其响应文件无效。</w:t>
      </w:r>
    </w:p>
    <w:p w14:paraId="27A5F7B0">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83" w:name="_Toc20698"/>
      <w:bookmarkStart w:id="84" w:name="_Toc22602"/>
      <w:r>
        <w:rPr>
          <w:rFonts w:hint="eastAsia" w:ascii="宋体" w:hAnsi="宋体" w:eastAsia="宋体" w:cs="宋体"/>
          <w:color w:val="auto"/>
          <w:sz w:val="21"/>
          <w:szCs w:val="21"/>
          <w:highlight w:val="none"/>
        </w:rPr>
        <w:t>15. 保证金</w:t>
      </w:r>
      <w:bookmarkEnd w:id="83"/>
      <w:bookmarkEnd w:id="84"/>
    </w:p>
    <w:p w14:paraId="0CC3F66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本项目无需缴纳磋商保证金。</w:t>
      </w:r>
    </w:p>
    <w:p w14:paraId="225AFE6E">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lang w:eastAsia="zh-CN"/>
        </w:rPr>
      </w:pPr>
      <w:bookmarkStart w:id="85" w:name="_Toc387"/>
      <w:bookmarkStart w:id="86" w:name="_Toc30118"/>
      <w:r>
        <w:rPr>
          <w:rFonts w:hint="eastAsia" w:ascii="宋体" w:hAnsi="宋体" w:eastAsia="宋体" w:cs="宋体"/>
          <w:color w:val="auto"/>
          <w:sz w:val="21"/>
          <w:szCs w:val="21"/>
          <w:highlight w:val="none"/>
        </w:rPr>
        <w:t>16. 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响应文件的</w:t>
      </w:r>
      <w:bookmarkEnd w:id="85"/>
      <w:r>
        <w:rPr>
          <w:rFonts w:hint="eastAsia" w:ascii="宋体" w:hAnsi="宋体" w:eastAsia="宋体" w:cs="宋体"/>
          <w:color w:val="auto"/>
          <w:sz w:val="21"/>
          <w:szCs w:val="21"/>
          <w:highlight w:val="none"/>
          <w:lang w:eastAsia="zh-CN"/>
        </w:rPr>
        <w:t>制作</w:t>
      </w:r>
      <w:bookmarkEnd w:id="86"/>
    </w:p>
    <w:p w14:paraId="11CB3FA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.1 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响应文件中须加盖供应商公章部分均采用</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 xml:space="preserve"> 签章，并根据“政府采购项目电子交易管理操作指南-供应商” 及本</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文件规定的格式和顺序编制电子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响应文件并进行关联定位，以便</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小组在评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时，点击评分项可直接定位到该评分项内容。如对</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文件的某项要求，供应商的电子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响应文件未能关联定位提供相应的内容与其对应，则</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小组在评审时如做出对供应商不利的评审由供应商自行承担。电子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响应文件如内容不完整、编排混乱导致</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响应文件被误读、 漏读，或者在按采购文件规定的部位查找不到相关内容的，由供应商自行承担。</w:t>
      </w:r>
    </w:p>
    <w:p w14:paraId="6E490BF2">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16.2</w:t>
      </w:r>
      <w:r>
        <w:rPr>
          <w:rFonts w:hint="eastAsia" w:ascii="宋体" w:hAnsi="宋体" w:eastAsia="宋体" w:cs="宋体"/>
          <w:color w:val="auto"/>
          <w:szCs w:val="21"/>
          <w:highlight w:val="none"/>
        </w:rPr>
        <w:t>供应商法人（负责人）或授权代表持有个人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签章的，应在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文件中涉及到签字的位置使用个人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签章，没有办理个人</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rPr>
        <w:t>签章的可在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文件中涉及到签字的位置手写签字后扫描或者拍照做成 PDF 的格式上传即可。</w:t>
      </w:r>
    </w:p>
    <w:p w14:paraId="6CD4948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响应文件不得涂改，若有修改错漏处，须法定代表人（负责人）或授权委托人签字</w:t>
      </w:r>
      <w:r>
        <w:rPr>
          <w:rFonts w:hint="eastAsia" w:ascii="宋体" w:hAnsi="宋体" w:eastAsia="宋体" w:cs="宋体"/>
          <w:color w:val="auto"/>
          <w:szCs w:val="21"/>
          <w:highlight w:val="none"/>
          <w:lang w:eastAsia="zh-CN"/>
        </w:rPr>
        <w:t>（或个人</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响应文件因字迹潦草或表达不清所引起的后果由供应商负责。</w:t>
      </w:r>
    </w:p>
    <w:p w14:paraId="4E3EE19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w:t>
      </w:r>
      <w:r>
        <w:rPr>
          <w:rFonts w:hint="eastAsia" w:ascii="宋体" w:hAnsi="宋体" w:eastAsia="宋体" w:cs="宋体"/>
          <w:color w:val="auto"/>
          <w:szCs w:val="21"/>
          <w:highlight w:val="none"/>
          <w:lang w:eastAsia="zh-CN"/>
        </w:rPr>
        <w:t xml:space="preserve">磋商前准备 </w:t>
      </w:r>
    </w:p>
    <w:p w14:paraId="261788D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16.4.1</w:t>
      </w:r>
      <w:r>
        <w:rPr>
          <w:rFonts w:hint="eastAsia" w:ascii="宋体" w:hAnsi="宋体" w:eastAsia="宋体" w:cs="宋体"/>
          <w:color w:val="auto"/>
          <w:szCs w:val="21"/>
          <w:highlight w:val="none"/>
          <w:lang w:eastAsia="zh-CN"/>
        </w:rPr>
        <w:t xml:space="preserve">本项目实行在线磋商，采用电子磋商响应文件。若供应商参与磋商，自行承担磋商一切费用。 </w:t>
      </w:r>
    </w:p>
    <w:p w14:paraId="2F97F394">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16.4.2</w:t>
      </w:r>
      <w:r>
        <w:rPr>
          <w:rFonts w:hint="eastAsia" w:ascii="宋体" w:hAnsi="宋体" w:eastAsia="宋体" w:cs="宋体"/>
          <w:color w:val="auto"/>
          <w:szCs w:val="21"/>
          <w:highlight w:val="none"/>
          <w:lang w:eastAsia="zh-CN"/>
        </w:rPr>
        <w:t>各供应商应在截标前应确保成为</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正式注册入库供应商，并完成</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 xml:space="preserve"> 申领。因未注册入库、未办理</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 xml:space="preserve">等原因造成无法磋商或磋商失败等后果由供应商自行承担。 </w:t>
      </w:r>
    </w:p>
    <w:p w14:paraId="07F7E624">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16.4.3</w:t>
      </w:r>
      <w:r>
        <w:rPr>
          <w:rFonts w:hint="eastAsia" w:ascii="宋体" w:hAnsi="宋体" w:eastAsia="宋体" w:cs="宋体"/>
          <w:color w:val="auto"/>
          <w:szCs w:val="21"/>
          <w:highlight w:val="none"/>
          <w:lang w:eastAsia="zh-CN"/>
        </w:rPr>
        <w:t>供应商将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电子交易客户端下载、安装完成后，可通过账号密码或</w:t>
      </w:r>
      <w:r>
        <w:rPr>
          <w:rFonts w:hint="eastAsia" w:ascii="宋体" w:hAnsi="宋体" w:cs="宋体"/>
          <w:color w:val="auto"/>
          <w:szCs w:val="21"/>
          <w:highlight w:val="none"/>
          <w:lang w:eastAsia="zh-CN"/>
        </w:rPr>
        <w:t>数字证书（CA认证）</w:t>
      </w:r>
      <w:r>
        <w:rPr>
          <w:rFonts w:hint="eastAsia" w:ascii="宋体" w:hAnsi="宋体" w:eastAsia="宋体" w:cs="宋体"/>
          <w:color w:val="auto"/>
          <w:szCs w:val="21"/>
          <w:highlight w:val="none"/>
          <w:lang w:eastAsia="zh-CN"/>
        </w:rPr>
        <w:t xml:space="preserve"> 登录客户端进行响应文件制作。客户端请至网站下载专区查看，如有问题可拨打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 xml:space="preserve">客户服务热线 </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lang w:eastAsia="zh-CN"/>
        </w:rPr>
        <w:t xml:space="preserve"> 进行咨询。</w:t>
      </w:r>
    </w:p>
    <w:p w14:paraId="67A8790C">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87" w:name="_Toc9738"/>
      <w:r>
        <w:rPr>
          <w:rFonts w:hint="eastAsia" w:ascii="宋体" w:hAnsi="宋体" w:eastAsia="宋体" w:cs="宋体"/>
          <w:color w:val="auto"/>
          <w:sz w:val="21"/>
          <w:szCs w:val="21"/>
          <w:highlight w:val="none"/>
        </w:rPr>
        <w:t>17. 响应文件的修改和撤回</w:t>
      </w:r>
      <w:bookmarkEnd w:id="87"/>
    </w:p>
    <w:p w14:paraId="29246AA1">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17.1 </w:t>
      </w:r>
      <w:r>
        <w:rPr>
          <w:rFonts w:hint="eastAsia" w:ascii="宋体" w:hAnsi="宋体" w:eastAsia="宋体" w:cs="宋体"/>
          <w:color w:val="auto"/>
          <w:szCs w:val="21"/>
          <w:highlight w:val="none"/>
          <w:lang w:eastAsia="zh-CN"/>
        </w:rPr>
        <w:t>响应文件递交截止时间前可以撤回电子磋商响应文件。补充或者修改电子磋商响应文件的，应当先行撤回原文件，补充、修改后重新传输递交，磋商响应文件递交截止时间前未完成传输的，视为撤回磋商响应文件。</w:t>
      </w:r>
    </w:p>
    <w:p w14:paraId="256DED3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 在响应文件递交截止时间后的响应文件有效期内，供应商不得撤回其响应文件。</w:t>
      </w:r>
    </w:p>
    <w:p w14:paraId="1C596395">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lang w:eastAsia="zh-CN"/>
        </w:rPr>
      </w:pPr>
      <w:bookmarkStart w:id="88" w:name="_Toc24690"/>
      <w:bookmarkStart w:id="89" w:name="_Toc30156"/>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88"/>
      <w:bookmarkEnd w:id="89"/>
    </w:p>
    <w:p w14:paraId="12836B14">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18.1响应文件递交截止时间</w:t>
      </w:r>
      <w:r>
        <w:rPr>
          <w:rFonts w:hint="eastAsia" w:ascii="宋体" w:hAnsi="宋体" w:eastAsia="宋体" w:cs="宋体"/>
          <w:color w:val="auto"/>
          <w:szCs w:val="21"/>
          <w:highlight w:val="none"/>
          <w:lang w:eastAsia="zh-CN"/>
        </w:rPr>
        <w:t>：于</w:t>
      </w:r>
      <w:r>
        <w:rPr>
          <w:rFonts w:hint="eastAsia" w:ascii="宋体" w:hAnsi="宋体" w:cs="宋体"/>
          <w:color w:val="auto"/>
          <w:sz w:val="21"/>
          <w:szCs w:val="21"/>
          <w:highlight w:val="none"/>
          <w:u w:val="single"/>
          <w:lang w:eastAsia="zh-CN"/>
        </w:rPr>
        <w:t>2025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07</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9时00分</w:t>
      </w:r>
      <w:r>
        <w:rPr>
          <w:rFonts w:hint="eastAsia" w:ascii="宋体" w:hAnsi="宋体" w:eastAsia="宋体" w:cs="宋体"/>
          <w:color w:val="auto"/>
          <w:szCs w:val="21"/>
          <w:highlight w:val="none"/>
        </w:rPr>
        <w:t>之前将电子磋商响应文件上传到</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。应按照本项目磋商文件和</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的要求编制、加密传输磋商响应文件。供应商在使用系统进行</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p w14:paraId="13475E9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18.2磋商响应文件解密时间：截标时</w:t>
      </w:r>
      <w:r>
        <w:rPr>
          <w:rFonts w:hint="eastAsia" w:ascii="宋体" w:hAnsi="宋体" w:eastAsia="宋体" w:cs="宋体"/>
          <w:color w:val="auto"/>
          <w:szCs w:val="21"/>
          <w:highlight w:val="none"/>
          <w:u w:val="none"/>
        </w:rPr>
        <w:t>间后30分钟内磋商</w:t>
      </w:r>
      <w:r>
        <w:rPr>
          <w:rFonts w:hint="eastAsia" w:ascii="宋体" w:hAnsi="宋体" w:eastAsia="宋体" w:cs="宋体"/>
          <w:color w:val="auto"/>
          <w:szCs w:val="21"/>
          <w:highlight w:val="none"/>
        </w:rPr>
        <w:t>供应商可以登录</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，用“项目采购-开标评标”功能进行解密磋商文件。若磋商供应商在规定时间内无法解密或解密失败，可以以电子备份磋商响应文件作为依据</w:t>
      </w:r>
      <w:r>
        <w:rPr>
          <w:rFonts w:hint="eastAsia" w:ascii="宋体" w:hAnsi="宋体" w:eastAsia="宋体" w:cs="宋体"/>
          <w:b/>
          <w:bCs/>
          <w:color w:val="auto"/>
          <w:szCs w:val="21"/>
          <w:highlight w:val="none"/>
        </w:rPr>
        <w:t>【在接到无法解密或解密失败的通知后，</w:t>
      </w:r>
      <w:r>
        <w:rPr>
          <w:rFonts w:hint="eastAsia" w:ascii="宋体" w:hAnsi="宋体" w:eastAsia="宋体" w:cs="宋体"/>
          <w:b/>
          <w:bCs/>
          <w:color w:val="auto"/>
          <w:szCs w:val="21"/>
          <w:highlight w:val="none"/>
          <w:lang w:eastAsia="zh-CN"/>
        </w:rPr>
        <w:t>磋商供应商</w:t>
      </w:r>
      <w:r>
        <w:rPr>
          <w:rFonts w:hint="eastAsia" w:ascii="宋体" w:hAnsi="宋体" w:eastAsia="宋体" w:cs="宋体"/>
          <w:b/>
          <w:bCs/>
          <w:color w:val="auto"/>
          <w:szCs w:val="21"/>
          <w:highlight w:val="none"/>
        </w:rPr>
        <w:t>可根据自身实际情况按通知时要求的时间到</w:t>
      </w:r>
      <w:r>
        <w:rPr>
          <w:rFonts w:hint="eastAsia" w:ascii="宋体" w:hAnsi="宋体" w:cs="宋体"/>
          <w:b/>
          <w:bCs/>
          <w:color w:val="auto"/>
          <w:szCs w:val="21"/>
          <w:highlight w:val="none"/>
          <w:lang w:eastAsia="zh-CN"/>
        </w:rPr>
        <w:t>贵港市</w:t>
      </w:r>
      <w:r>
        <w:rPr>
          <w:rFonts w:hint="eastAsia" w:ascii="宋体" w:hAnsi="宋体" w:eastAsia="宋体" w:cs="宋体"/>
          <w:b/>
          <w:bCs/>
          <w:color w:val="auto"/>
          <w:szCs w:val="21"/>
          <w:highlight w:val="none"/>
        </w:rPr>
        <w:t>公共资源</w:t>
      </w:r>
      <w:r>
        <w:rPr>
          <w:rFonts w:hint="eastAsia" w:ascii="宋体" w:hAnsi="宋体" w:cs="宋体"/>
          <w:b/>
          <w:bCs/>
          <w:color w:val="auto"/>
          <w:szCs w:val="21"/>
          <w:highlight w:val="none"/>
          <w:lang w:eastAsia="zh-CN"/>
        </w:rPr>
        <w:t>交易中心开标室</w:t>
      </w:r>
      <w:r>
        <w:rPr>
          <w:rFonts w:hint="eastAsia" w:ascii="宋体" w:hAnsi="宋体" w:eastAsia="宋体" w:cs="宋体"/>
          <w:b/>
          <w:bCs/>
          <w:color w:val="auto"/>
          <w:szCs w:val="21"/>
          <w:highlight w:val="none"/>
        </w:rPr>
        <w:t>现场提交或以电子邮件的形式（以通知时所告知的电子邮箱地址为准）提交电子备份</w:t>
      </w:r>
      <w:r>
        <w:rPr>
          <w:rFonts w:hint="eastAsia" w:ascii="宋体" w:hAnsi="宋体" w:eastAsia="宋体" w:cs="宋体"/>
          <w:b/>
          <w:bCs/>
          <w:color w:val="auto"/>
          <w:szCs w:val="21"/>
          <w:highlight w:val="none"/>
          <w:lang w:eastAsia="zh-CN"/>
        </w:rPr>
        <w:t>磋商响应文件</w:t>
      </w:r>
      <w:r>
        <w:rPr>
          <w:rFonts w:hint="eastAsia" w:ascii="宋体" w:hAnsi="宋体" w:eastAsia="宋体" w:cs="宋体"/>
          <w:b/>
          <w:bCs/>
          <w:color w:val="auto"/>
          <w:szCs w:val="21"/>
          <w:highlight w:val="none"/>
        </w:rPr>
        <w:t>】</w:t>
      </w:r>
      <w:r>
        <w:rPr>
          <w:rFonts w:hint="eastAsia" w:ascii="宋体" w:hAnsi="宋体" w:eastAsia="宋体" w:cs="宋体"/>
          <w:color w:val="auto"/>
          <w:szCs w:val="21"/>
          <w:highlight w:val="none"/>
        </w:rPr>
        <w:t>，若磋商供应商在规定时间内无法解密或解密失败且未提供电子备份磋商响应文件的(包含提供的电子备份文件无效或无法解密的情况)，视为响应文件撤回。</w:t>
      </w:r>
    </w:p>
    <w:p w14:paraId="7C96C21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 除竞争性磋商文件另有规定外，供应商所递交的响应文件不予退还。</w:t>
      </w:r>
    </w:p>
    <w:p w14:paraId="2F2E324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18.4 </w:t>
      </w:r>
      <w:r>
        <w:rPr>
          <w:rFonts w:hint="eastAsia" w:ascii="宋体" w:hAnsi="宋体" w:eastAsia="宋体" w:cs="宋体"/>
          <w:color w:val="auto"/>
          <w:szCs w:val="21"/>
          <w:highlight w:val="none"/>
        </w:rPr>
        <w:t>电子响应文件的相关说明</w:t>
      </w:r>
    </w:p>
    <w:p w14:paraId="6A1FE911">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（1）供应商进行电子</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应安装客户端软件，并按照采购文件和电子交易平台的要求编制并加密</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响应文件。供应商未按规定加密的</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响应文件，电子交易平台将拒收。供应商应当在</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截止时间前完成</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响应文件的传输递交，并可以补充、修改或者撤回</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响应文件。补充或者修改</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响应文件的，应当先行撤回原文件，补充、修改后重新传输递交。</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截止时间前未完成传输的，视为撤回</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响应文件。</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截止时间后递交的</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 xml:space="preserve">响应文件，电子交易平台将拒收。 </w:t>
      </w:r>
    </w:p>
    <w:p w14:paraId="3082A22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（2）如有特殊情况，采购代理机构延长截止时间和开标时间，采购代理机构和供应商的权利和义务将受到新的截止时间和开标时间的约束。</w:t>
      </w:r>
    </w:p>
    <w:p w14:paraId="1431ED35">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90" w:name="_Toc2433"/>
    </w:p>
    <w:p w14:paraId="04ABD403">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91" w:name="_Toc16485"/>
      <w:bookmarkStart w:id="92" w:name="_Toc5807"/>
      <w:r>
        <w:rPr>
          <w:rFonts w:hint="eastAsia" w:ascii="宋体" w:hAnsi="宋体" w:eastAsia="宋体" w:cs="宋体"/>
          <w:b/>
          <w:bCs w:val="0"/>
          <w:color w:val="auto"/>
          <w:szCs w:val="28"/>
          <w:highlight w:val="none"/>
        </w:rPr>
        <w:t>四、竞争性磋商（简称磋商）与评审</w:t>
      </w:r>
      <w:bookmarkEnd w:id="90"/>
      <w:bookmarkEnd w:id="91"/>
      <w:bookmarkEnd w:id="92"/>
    </w:p>
    <w:p w14:paraId="323C87CE">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93" w:name="_Toc11021"/>
      <w:bookmarkStart w:id="94" w:name="_Toc31588"/>
      <w:r>
        <w:rPr>
          <w:rFonts w:hint="eastAsia" w:ascii="宋体" w:hAnsi="宋体" w:eastAsia="宋体" w:cs="宋体"/>
          <w:color w:val="auto"/>
          <w:sz w:val="21"/>
          <w:szCs w:val="21"/>
          <w:highlight w:val="none"/>
        </w:rPr>
        <w:t>19. 磋商小组组成及磋商时间、地点、人员</w:t>
      </w:r>
      <w:bookmarkEnd w:id="93"/>
      <w:bookmarkEnd w:id="94"/>
    </w:p>
    <w:p w14:paraId="188BDC7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 磋商小组组成：</w:t>
      </w:r>
    </w:p>
    <w:p w14:paraId="440B37A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Cs w:val="21"/>
          <w:highlight w:val="none"/>
          <w:u w:val="single"/>
        </w:rPr>
        <w:t xml:space="preserve"> 3 </w:t>
      </w:r>
      <w:r>
        <w:rPr>
          <w:rFonts w:hint="eastAsia" w:ascii="宋体" w:hAnsi="宋体" w:eastAsia="宋体" w:cs="宋体"/>
          <w:color w:val="auto"/>
          <w:szCs w:val="21"/>
          <w:highlight w:val="none"/>
        </w:rPr>
        <w:t>人，其中采购人代表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1 </w:t>
      </w:r>
      <w:r>
        <w:rPr>
          <w:rFonts w:hint="eastAsia" w:ascii="宋体" w:hAnsi="宋体" w:eastAsia="宋体" w:cs="宋体"/>
          <w:color w:val="auto"/>
          <w:szCs w:val="21"/>
          <w:highlight w:val="none"/>
        </w:rPr>
        <w:t>人， 专家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2 </w:t>
      </w:r>
      <w:r>
        <w:rPr>
          <w:rFonts w:hint="eastAsia" w:ascii="宋体" w:hAnsi="宋体" w:eastAsia="宋体" w:cs="宋体"/>
          <w:color w:val="auto"/>
          <w:szCs w:val="21"/>
          <w:highlight w:val="none"/>
        </w:rPr>
        <w:t>人。</w:t>
      </w:r>
    </w:p>
    <w:p w14:paraId="1B498DA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 磋商时间、地点、人员：</w:t>
      </w:r>
    </w:p>
    <w:p w14:paraId="394EE85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bookmarkStart w:id="95" w:name="_Toc9878"/>
      <w:r>
        <w:rPr>
          <w:rFonts w:hint="eastAsia" w:ascii="宋体" w:hAnsi="宋体" w:eastAsia="宋体" w:cs="宋体"/>
          <w:color w:val="auto"/>
          <w:szCs w:val="21"/>
          <w:highlight w:val="none"/>
        </w:rPr>
        <w:t>19.2.1磋商时间：响应文件递交截止时间后。</w:t>
      </w:r>
      <w:bookmarkEnd w:id="95"/>
    </w:p>
    <w:p w14:paraId="07A1CD8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lang w:eastAsia="zh-CN"/>
        </w:rPr>
      </w:pPr>
      <w:bookmarkStart w:id="96" w:name="_Toc29268"/>
      <w:r>
        <w:rPr>
          <w:rFonts w:hint="eastAsia" w:ascii="宋体" w:hAnsi="宋体" w:eastAsia="宋体" w:cs="宋体"/>
          <w:color w:val="auto"/>
          <w:szCs w:val="21"/>
          <w:highlight w:val="none"/>
          <w:lang w:val="en-US" w:eastAsia="zh-CN"/>
        </w:rPr>
        <w:t>19.2.2磋商地点</w:t>
      </w:r>
      <w:r>
        <w:rPr>
          <w:rFonts w:hint="eastAsia" w:ascii="宋体" w:hAnsi="宋体" w:eastAsia="宋体" w:cs="宋体"/>
          <w:color w:val="auto"/>
          <w:szCs w:val="21"/>
          <w:highlight w:val="none"/>
        </w:rPr>
        <w:t>：</w:t>
      </w:r>
      <w:bookmarkEnd w:id="96"/>
      <w:r>
        <w:rPr>
          <w:rFonts w:hint="eastAsia" w:ascii="宋体" w:hAnsi="宋体" w:eastAsia="宋体" w:cs="宋体"/>
          <w:color w:val="auto"/>
          <w:szCs w:val="21"/>
          <w:highlight w:val="none"/>
        </w:rPr>
        <w:t>本项目需要磋商供应商代表在截标当天截标后，按磋商小组要求及时登陆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等候在线磋商</w:t>
      </w:r>
      <w:r>
        <w:rPr>
          <w:rFonts w:hint="eastAsia" w:ascii="宋体" w:hAnsi="宋体" w:eastAsia="宋体" w:cs="宋体"/>
          <w:color w:val="auto"/>
          <w:szCs w:val="21"/>
          <w:highlight w:val="none"/>
          <w:lang w:eastAsia="zh-CN"/>
        </w:rPr>
        <w:t>。</w:t>
      </w:r>
    </w:p>
    <w:p w14:paraId="021DB4D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val="0"/>
          <w:bCs/>
          <w:color w:val="auto"/>
          <w:sz w:val="21"/>
          <w:szCs w:val="21"/>
          <w:highlight w:val="none"/>
        </w:rPr>
      </w:pPr>
      <w:bookmarkStart w:id="97" w:name="_Toc21307"/>
      <w:r>
        <w:rPr>
          <w:rFonts w:hint="eastAsia" w:ascii="宋体" w:hAnsi="宋体" w:eastAsia="宋体" w:cs="宋体"/>
          <w:color w:val="auto"/>
          <w:szCs w:val="21"/>
          <w:highlight w:val="none"/>
        </w:rPr>
        <w:t>19</w:t>
      </w:r>
      <w:r>
        <w:rPr>
          <w:rFonts w:hint="eastAsia" w:ascii="宋体" w:hAnsi="宋体" w:eastAsia="宋体" w:cs="宋体"/>
          <w:b w:val="0"/>
          <w:bCs/>
          <w:color w:val="auto"/>
          <w:sz w:val="21"/>
          <w:szCs w:val="21"/>
          <w:highlight w:val="none"/>
        </w:rPr>
        <w:t>.2.3磋商参加人员：供应商法定代表人、负责人、自然人或相应的委托代理人持</w:t>
      </w:r>
      <w:r>
        <w:rPr>
          <w:rFonts w:hint="eastAsia" w:ascii="宋体" w:hAnsi="宋体" w:eastAsia="宋体" w:cs="宋体"/>
          <w:b w:val="0"/>
          <w:bCs/>
          <w:color w:val="auto"/>
          <w:sz w:val="21"/>
          <w:szCs w:val="21"/>
          <w:highlight w:val="none"/>
          <w:u w:val="single"/>
        </w:rPr>
        <w:t>有效身份证</w:t>
      </w:r>
      <w:r>
        <w:rPr>
          <w:rFonts w:hint="eastAsia" w:ascii="宋体" w:hAnsi="宋体" w:eastAsia="宋体" w:cs="宋体"/>
          <w:b w:val="0"/>
          <w:bCs/>
          <w:color w:val="auto"/>
          <w:sz w:val="21"/>
          <w:szCs w:val="21"/>
          <w:highlight w:val="none"/>
          <w:u w:val="single"/>
          <w:lang w:eastAsia="zh-CN"/>
        </w:rPr>
        <w:t>原件</w:t>
      </w:r>
      <w:r>
        <w:rPr>
          <w:rFonts w:hint="eastAsia" w:ascii="宋体" w:hAnsi="宋体" w:eastAsia="宋体" w:cs="宋体"/>
          <w:b w:val="0"/>
          <w:bCs/>
          <w:color w:val="auto"/>
          <w:sz w:val="21"/>
          <w:szCs w:val="21"/>
          <w:highlight w:val="none"/>
        </w:rPr>
        <w:t>和供应商</w:t>
      </w:r>
      <w:r>
        <w:rPr>
          <w:rFonts w:hint="eastAsia" w:ascii="宋体" w:hAnsi="宋体" w:cs="宋体"/>
          <w:b w:val="0"/>
          <w:bCs/>
          <w:color w:val="auto"/>
          <w:sz w:val="21"/>
          <w:szCs w:val="21"/>
          <w:highlight w:val="none"/>
          <w:u w:val="single"/>
          <w:lang w:eastAsia="zh-CN"/>
        </w:rPr>
        <w:t>广西政府采购云平台</w:t>
      </w:r>
      <w:r>
        <w:rPr>
          <w:rFonts w:hint="eastAsia" w:ascii="宋体" w:hAnsi="宋体" w:eastAsia="宋体" w:cs="宋体"/>
          <w:b w:val="0"/>
          <w:bCs/>
          <w:color w:val="auto"/>
          <w:sz w:val="21"/>
          <w:szCs w:val="21"/>
          <w:highlight w:val="none"/>
          <w:u w:val="single"/>
        </w:rPr>
        <w:t>CA数字证书</w:t>
      </w:r>
      <w:r>
        <w:rPr>
          <w:rFonts w:hint="eastAsia" w:ascii="宋体" w:hAnsi="宋体" w:eastAsia="宋体" w:cs="宋体"/>
          <w:b w:val="0"/>
          <w:bCs/>
          <w:color w:val="auto"/>
          <w:sz w:val="21"/>
          <w:szCs w:val="21"/>
          <w:highlight w:val="none"/>
        </w:rPr>
        <w:t>参加磋商。请供应商按时等候磋商。</w:t>
      </w:r>
      <w:bookmarkEnd w:id="97"/>
    </w:p>
    <w:p w14:paraId="57B5531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val="0"/>
          <w:bCs/>
          <w:color w:val="auto"/>
          <w:sz w:val="21"/>
          <w:szCs w:val="21"/>
          <w:highlight w:val="none"/>
        </w:rPr>
      </w:pPr>
      <w:bookmarkStart w:id="98" w:name="_Toc6288"/>
      <w:r>
        <w:rPr>
          <w:rFonts w:hint="eastAsia" w:ascii="宋体" w:hAnsi="宋体" w:eastAsia="宋体" w:cs="宋体"/>
          <w:b w:val="0"/>
          <w:bCs/>
          <w:color w:val="auto"/>
          <w:sz w:val="21"/>
          <w:szCs w:val="21"/>
          <w:highlight w:val="none"/>
        </w:rPr>
        <w:t>19.2.4响应文件递交截止时间后，由磋商小组在评标室内线上开启响应文件。</w:t>
      </w:r>
      <w:bookmarkEnd w:id="98"/>
    </w:p>
    <w:p w14:paraId="19592D60">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99" w:name="_Toc25258"/>
      <w:bookmarkStart w:id="100" w:name="_Toc21088"/>
      <w:r>
        <w:rPr>
          <w:rFonts w:hint="eastAsia" w:ascii="宋体" w:hAnsi="宋体" w:eastAsia="宋体" w:cs="宋体"/>
          <w:color w:val="auto"/>
          <w:sz w:val="21"/>
          <w:szCs w:val="21"/>
          <w:highlight w:val="none"/>
        </w:rPr>
        <w:t>20. 评审原则</w:t>
      </w:r>
      <w:bookmarkEnd w:id="99"/>
      <w:bookmarkEnd w:id="100"/>
    </w:p>
    <w:p w14:paraId="546BFAE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 磋商小组必须坚持公平、公正、科学和择优的原则。</w:t>
      </w:r>
    </w:p>
    <w:p w14:paraId="6A414696">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评审办法：综合评分法，具体详见第四章评审办法。</w:t>
      </w:r>
    </w:p>
    <w:p w14:paraId="0DA1BB5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磋商小组应按磋商文件进行评审，不得擅自更改评审办法。</w:t>
      </w:r>
    </w:p>
    <w:p w14:paraId="2459D17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在评审过程中，磋商小组任何人不得对某个供应商发表任何倾向性意见，不得向其他磋商小组成员明示或者暗示自己的评审意见。</w:t>
      </w:r>
    </w:p>
    <w:p w14:paraId="6E0045AC">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339D8243">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 响应文件最后报价出现前后不一致的，除竞争性磋商文件另有规定外，按照下列规定修正：</w:t>
      </w:r>
    </w:p>
    <w:p w14:paraId="1A77A77C">
      <w:pPr>
        <w:pStyle w:val="31"/>
        <w:keepNext w:val="0"/>
        <w:keepLines w:val="0"/>
        <w:pageBreakBefore w:val="0"/>
        <w:widowControl w:val="0"/>
        <w:tabs>
          <w:tab w:val="left" w:pos="1099"/>
        </w:tabs>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(1) </w:t>
      </w:r>
      <w:r>
        <w:rPr>
          <w:rFonts w:hint="eastAsia" w:ascii="宋体" w:hAnsi="宋体" w:eastAsia="宋体" w:cs="宋体"/>
          <w:color w:val="auto"/>
          <w:highlight w:val="none"/>
        </w:rPr>
        <w:t>响应文件中磋商报价表内容与响应文件中相应内容不一致的，以最后磋商报价表为准；</w:t>
      </w:r>
    </w:p>
    <w:p w14:paraId="5563F1FC">
      <w:pPr>
        <w:pStyle w:val="31"/>
        <w:keepNext w:val="0"/>
        <w:keepLines w:val="0"/>
        <w:pageBreakBefore w:val="0"/>
        <w:widowControl w:val="0"/>
        <w:tabs>
          <w:tab w:val="left" w:pos="1099"/>
        </w:tabs>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eastAsia="宋体" w:cs="宋体"/>
          <w:color w:val="auto"/>
          <w:highlight w:val="none"/>
        </w:rPr>
        <w:t xml:space="preserve"> 大写金额和小写金额不一致的，以大写金额为准；</w:t>
      </w:r>
    </w:p>
    <w:p w14:paraId="070BCC8A">
      <w:pPr>
        <w:pStyle w:val="31"/>
        <w:keepNext w:val="0"/>
        <w:keepLines w:val="0"/>
        <w:pageBreakBefore w:val="0"/>
        <w:widowControl w:val="0"/>
        <w:tabs>
          <w:tab w:val="left" w:pos="1099"/>
        </w:tabs>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(3)</w:t>
      </w:r>
      <w:r>
        <w:rPr>
          <w:rFonts w:hint="eastAsia" w:ascii="宋体" w:hAnsi="宋体" w:eastAsia="宋体" w:cs="宋体"/>
          <w:color w:val="auto"/>
          <w:highlight w:val="none"/>
        </w:rPr>
        <w:t xml:space="preserve"> 总价金额与依据单价计算出的结果不一致的，以单价金额为准修正总价，但单价金额小数点有明显错误的除外；</w:t>
      </w:r>
    </w:p>
    <w:p w14:paraId="476D2A66">
      <w:pPr>
        <w:pStyle w:val="31"/>
        <w:keepNext w:val="0"/>
        <w:keepLines w:val="0"/>
        <w:pageBreakBefore w:val="0"/>
        <w:widowControl w:val="0"/>
        <w:tabs>
          <w:tab w:val="left" w:pos="1099"/>
        </w:tabs>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(4) 当单价与数量相乘不等于合价时，以单价计算为准，如果单价有明显的小数点位置差错，应以标出的合价为准，同时对单价予以修正</w:t>
      </w:r>
      <w:r>
        <w:rPr>
          <w:rFonts w:hint="eastAsia" w:ascii="宋体" w:hAnsi="宋体" w:eastAsia="宋体" w:cs="宋体"/>
          <w:color w:val="auto"/>
          <w:highlight w:val="none"/>
        </w:rPr>
        <w:t>。</w:t>
      </w:r>
    </w:p>
    <w:p w14:paraId="537CD9DE">
      <w:pPr>
        <w:pStyle w:val="31"/>
        <w:keepNext w:val="0"/>
        <w:keepLines w:val="0"/>
        <w:pageBreakBefore w:val="0"/>
        <w:widowControl w:val="0"/>
        <w:tabs>
          <w:tab w:val="left" w:pos="1099"/>
        </w:tabs>
        <w:kinsoku/>
        <w:wordWrap/>
        <w:overflowPunct/>
        <w:topLinePunct w:val="0"/>
        <w:autoSpaceDE/>
        <w:autoSpaceDN/>
        <w:bidi w:val="0"/>
        <w:adjustRightInd/>
        <w:snapToGrid/>
        <w:spacing w:line="440" w:lineRule="exact"/>
        <w:ind w:left="0" w:leftChars="0" w:firstLine="420" w:firstLineChars="200"/>
        <w:jc w:val="left"/>
        <w:textAlignment w:val="auto"/>
        <w:rPr>
          <w:rFonts w:hint="eastAsia" w:ascii="宋体" w:hAnsi="宋体" w:eastAsia="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eastAsia="宋体" w:cs="宋体"/>
          <w:color w:val="auto"/>
          <w:highlight w:val="none"/>
        </w:rPr>
        <w:t>当各子目的合价累计不等于总价时，应以各子目合价累计数为准，修正总价。</w:t>
      </w:r>
    </w:p>
    <w:p w14:paraId="7BE56B91">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2435FFC7">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01" w:name="_Toc21012"/>
      <w:bookmarkStart w:id="102" w:name="_Toc27193"/>
      <w:r>
        <w:rPr>
          <w:rFonts w:hint="eastAsia" w:ascii="宋体" w:hAnsi="宋体" w:eastAsia="宋体" w:cs="宋体"/>
          <w:color w:val="auto"/>
          <w:sz w:val="21"/>
          <w:szCs w:val="21"/>
          <w:highlight w:val="none"/>
        </w:rPr>
        <w:t>21. 评审程序及磋商要求</w:t>
      </w:r>
      <w:bookmarkEnd w:id="101"/>
      <w:bookmarkEnd w:id="102"/>
    </w:p>
    <w:p w14:paraId="2748EEC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21.1磋商小组成员的通讯工具或相关电子设备交由</w:t>
      </w:r>
      <w:r>
        <w:rPr>
          <w:rFonts w:hint="eastAsia" w:ascii="宋体" w:hAnsi="宋体" w:cs="宋体"/>
          <w:color w:val="auto"/>
          <w:szCs w:val="21"/>
          <w:highlight w:val="none"/>
          <w:lang w:eastAsia="zh-CN"/>
        </w:rPr>
        <w:t>贵港市</w:t>
      </w:r>
      <w:r>
        <w:rPr>
          <w:rFonts w:hint="eastAsia" w:ascii="宋体" w:hAnsi="宋体" w:eastAsia="宋体" w:cs="宋体"/>
          <w:color w:val="auto"/>
          <w:szCs w:val="21"/>
          <w:highlight w:val="none"/>
        </w:rPr>
        <w:t xml:space="preserve">公共资源交易中心统一保管后到达评标室，采购 </w:t>
      </w:r>
    </w:p>
    <w:p w14:paraId="4C78A220">
      <w:pPr>
        <w:pageBreakBefore w:val="0"/>
        <w:widowControl w:val="0"/>
        <w:kinsoku/>
        <w:wordWrap/>
        <w:overflowPunct/>
        <w:topLinePunct w:val="0"/>
        <w:bidi w:val="0"/>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代理机构核实磋商小组成员身份，告知回避要求，宣布评审工作纪律和程序，推选磋商小组组长。</w:t>
      </w:r>
    </w:p>
    <w:p w14:paraId="6DB7F2D2">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067C900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21.3 磋商小组依据竞争性磋商文件的规定，首先对响应文件进行资格性审查，以确定供应商是否具备本项 目供应商资格；再对通过资格性审查的供应商响应文件的有效性、完整性和对磋商文件的响应程度进行符合性 审查，以确定是否对磋商文件的实质性要求做出响应。 </w:t>
      </w:r>
    </w:p>
    <w:p w14:paraId="3EC635AB">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7349E6D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21.4.1 查询渠道：《国家企业信用信息公示系统》（网址：www.gsxt.gov.cn/index.html）</w:t>
      </w:r>
    </w:p>
    <w:p w14:paraId="58C1716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21.4.2 审查流程：</w:t>
      </w:r>
    </w:p>
    <w:p w14:paraId="033F87C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（1）进入《国家企业信用信息公示系统》（网址：www.gsxt.gov.cn/index.html），输入企业名称，进入企业信息主页面；</w:t>
      </w:r>
    </w:p>
    <w:p w14:paraId="2EC3EC0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14:paraId="0E0B14E1">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（3）将各供应商的股东及出资信息进行比对，得出审查结论；</w:t>
      </w:r>
    </w:p>
    <w:p w14:paraId="2A4D11E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（4）将相关资料作为评审资料打印存档。</w:t>
      </w:r>
    </w:p>
    <w:p w14:paraId="192C9CA8">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Cs w:val="21"/>
          <w:highlight w:val="none"/>
          <w:lang w:eastAsia="zh-CN"/>
        </w:rPr>
        <w:t>线上</w:t>
      </w:r>
      <w:r>
        <w:rPr>
          <w:rFonts w:hint="eastAsia" w:ascii="宋体" w:hAnsi="宋体" w:eastAsia="宋体" w:cs="宋体"/>
          <w:b/>
          <w:bCs/>
          <w:color w:val="auto"/>
          <w:szCs w:val="21"/>
          <w:highlight w:val="none"/>
        </w:rPr>
        <w:t>补正或更正。</w:t>
      </w:r>
    </w:p>
    <w:p w14:paraId="3DB8E2C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Cs w:val="21"/>
          <w:highlight w:val="none"/>
          <w:lang w:eastAsia="zh-CN"/>
        </w:rPr>
        <w:t>（</w:t>
      </w:r>
      <w:r>
        <w:rPr>
          <w:rFonts w:hint="eastAsia" w:ascii="宋体" w:hAnsi="宋体" w:eastAsia="宋体" w:cs="宋体"/>
          <w:color w:val="auto"/>
          <w:highlight w:val="none"/>
          <w:lang w:val="en-US" w:eastAsia="zh-CN"/>
        </w:rPr>
        <w:t>个人</w:t>
      </w:r>
      <w:r>
        <w:rPr>
          <w:rFonts w:hint="eastAsia" w:ascii="宋体" w:hAnsi="宋体" w:cs="宋体"/>
          <w:color w:val="auto"/>
          <w:highlight w:val="none"/>
          <w:lang w:val="en-US" w:eastAsia="zh-CN"/>
        </w:rPr>
        <w:t>数字证书（CA认证）</w:t>
      </w:r>
      <w:r>
        <w:rPr>
          <w:rFonts w:hint="eastAsia" w:ascii="宋体" w:hAnsi="宋体" w:eastAsia="宋体" w:cs="宋体"/>
          <w:color w:val="auto"/>
          <w:highlight w:val="none"/>
          <w:lang w:val="en-US" w:eastAsia="zh-CN"/>
        </w:rPr>
        <w:t>签章)</w:t>
      </w:r>
      <w:r>
        <w:rPr>
          <w:rFonts w:hint="eastAsia" w:ascii="宋体" w:hAnsi="宋体" w:eastAsia="宋体" w:cs="宋体"/>
          <w:color w:val="auto"/>
          <w:szCs w:val="21"/>
          <w:highlight w:val="none"/>
        </w:rPr>
        <w:t>或者加盖供应商公章</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rPr>
        <w:t>。</w:t>
      </w:r>
    </w:p>
    <w:p w14:paraId="3416BC5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根据磋商文件规定的程序、评定成交的标准等事项与实质性响应竞争性磋商文件要求的供应商进行磋商。 </w:t>
      </w:r>
    </w:p>
    <w:p w14:paraId="69EA3D4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未实质性响应磋商文件的响应文件按无效处理，磋商小组应当告知有关供应商。 </w:t>
      </w:r>
    </w:p>
    <w:p w14:paraId="2F0529C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磋商小组所有成员应当按已确定的磋商顺序集中与单一供应商分别进行磋商，并给予所有实质性响应竞争性磋商文件要求的供应商平等的磋商机会。 </w:t>
      </w:r>
    </w:p>
    <w:p w14:paraId="79AF4AA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磋商中，磋商小组不得透露与磋商有关的其他供应商的技术资料、价格和其他信息。 </w:t>
      </w:r>
    </w:p>
    <w:p w14:paraId="686A5234">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磋商小组对磋商过程和重要磋商内容进行记录，磋商双方在记录上签字确认。 </w:t>
      </w:r>
    </w:p>
    <w:p w14:paraId="64D95E8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21.7当磋商小组一致确定磋商供应商的竞争性磋商响应文件能够详细列明采购标的的技术、服务要求且符合竞争性磋商文件要求，无需再磋商的，磋商小组按竞争性磋商文件设定的21.11、21.16程序和综合评分法确定成交候选人。第一轮磋商后竞争性磋商文件有实质性变动或仍需磋商的，磋商小组对竞争性磋商文件变动或提出磋商意见后进行第二轮磋商。</w:t>
      </w:r>
    </w:p>
    <w:p w14:paraId="718921E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21.8 在磋商过程中，磋商小组可以根据磋商文件和磋商情况实质性变动项目需求中的技术、服务要求以及合同草案条款，但不得变动磋商文件中的其他内容。实质性变动的内容，须经采购人代表确认。 </w:t>
      </w:r>
    </w:p>
    <w:p w14:paraId="549E724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对磋商文件作出的实质性变动是磋商文件的有效组成部分，磋商小组应当及时</w:t>
      </w:r>
      <w:r>
        <w:rPr>
          <w:rFonts w:hint="eastAsia" w:ascii="宋体" w:hAnsi="宋体" w:eastAsia="宋体" w:cs="宋体"/>
          <w:color w:val="auto"/>
          <w:szCs w:val="21"/>
          <w:highlight w:val="none"/>
          <w:lang w:eastAsia="zh-CN"/>
        </w:rPr>
        <w:t>通过</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lang w:eastAsia="zh-CN"/>
        </w:rPr>
        <w:t>同时</w:t>
      </w:r>
      <w:r>
        <w:rPr>
          <w:rFonts w:hint="eastAsia" w:ascii="宋体" w:hAnsi="宋体" w:eastAsia="宋体" w:cs="宋体"/>
          <w:color w:val="auto"/>
          <w:szCs w:val="21"/>
          <w:highlight w:val="none"/>
        </w:rPr>
        <w:t xml:space="preserve">通知所有参加磋商的供应商。 </w:t>
      </w:r>
    </w:p>
    <w:p w14:paraId="6FFDDA1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供应商应当按照磋商文件的变动情况和磋商小组的要求重新提交响应文件，并由其法定代表人、负责人、</w:t>
      </w:r>
      <w:r>
        <w:rPr>
          <w:rFonts w:hint="eastAsia" w:ascii="宋体" w:hAnsi="宋体" w:eastAsia="宋体" w:cs="宋体"/>
          <w:color w:val="auto"/>
          <w:szCs w:val="21"/>
          <w:highlight w:val="none"/>
          <w:lang w:eastAsia="zh-CN"/>
        </w:rPr>
        <w:t>自然人或相应的授权委托代表签字（个人</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或者加盖供应商公章</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rPr>
        <w:t xml:space="preserve">。逾时不交的，视同放弃磋商。 </w:t>
      </w:r>
    </w:p>
    <w:p w14:paraId="7219458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21.9 第二轮磋商</w:t>
      </w:r>
    </w:p>
    <w:p w14:paraId="6B83698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磋商小组集中就重新提交的响应文件或磋商小组提出的磋商意见与单一响应供应商分别进行磋商。磋商小组对磋商过程和重要磋商内容进行记录，磋商双方在记录上签字确认</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签章确认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p w14:paraId="161AB58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磋商后，供应商根据磋商小组统一整理的书面磋商记录要求做出书面承诺，并由其法定代表人或授权代表签字或者加盖公章</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数字证书（CA认证）</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后按时</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lang w:val="en-US" w:eastAsia="zh-CN"/>
        </w:rPr>
        <w:t>提交</w:t>
      </w:r>
      <w:r>
        <w:rPr>
          <w:rFonts w:hint="eastAsia" w:ascii="宋体" w:hAnsi="宋体" w:eastAsia="宋体" w:cs="宋体"/>
          <w:color w:val="auto"/>
          <w:szCs w:val="21"/>
          <w:highlight w:val="none"/>
        </w:rPr>
        <w:t>。</w:t>
      </w:r>
    </w:p>
    <w:p w14:paraId="2788DA3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当磋商小组一致确定供应商的竞争性磋商响应文件符合竞争性磋商文件要求，无需再磋商的，磋商小组按竞争性磋商文件设定的21.11、21.16程序和评审方法确定成交候选人。第二轮磋商后竞争性磋商文件仍有实质性变动的或仍需磋商的，磋商小组对竞争性磋商文件变动或提出磋商意见后进行第三轮磋商。以此类推。</w:t>
      </w:r>
    </w:p>
    <w:p w14:paraId="6FE5811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21.10 在采购过程中符合竞争要求的供应商或者报价未超过采购预算的供应商不足 3 家的，采购人或者采购代理机构应当终止竞争性磋商采购活动。 </w:t>
      </w:r>
    </w:p>
    <w:p w14:paraId="164486D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21.11 最后报价 </w:t>
      </w:r>
    </w:p>
    <w:p w14:paraId="67B88AD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21.11.1 磋商文件能够详细列明采购标的的质量要求的，磋商结束后，磋商小组应当要求所有继续参加磋商的供应商在规定时间内</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 xml:space="preserve">提交最后报价，提交最后报价的供应商不得少于 3 家。 </w:t>
      </w:r>
    </w:p>
    <w:p w14:paraId="57C8837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21.11.2 </w:t>
      </w:r>
      <w:r>
        <w:rPr>
          <w:rFonts w:hint="eastAsia" w:ascii="宋体" w:hAnsi="宋体" w:cs="宋体"/>
          <w:color w:val="auto"/>
          <w:szCs w:val="21"/>
          <w:highlight w:val="none"/>
        </w:rPr>
        <w:t>磋商文件不能详细列明采购标的的施工要求，需经磋商由供应商提供最终设计方案或解决方案的</w:t>
      </w:r>
      <w:r>
        <w:rPr>
          <w:rFonts w:hint="eastAsia" w:ascii="宋体" w:hAnsi="宋体" w:eastAsia="宋体" w:cs="宋体"/>
          <w:color w:val="auto"/>
          <w:szCs w:val="21"/>
          <w:highlight w:val="none"/>
        </w:rPr>
        <w:t>，磋商结束后，磋商小组应当按照少数服从多数的原则投票推荐 3 家以上（含 3 家）供应商的设计方案或者解决方案，并要求其在规定时间内</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 xml:space="preserve">提交最后报价。 </w:t>
      </w:r>
    </w:p>
    <w:p w14:paraId="1FB924DA">
      <w:pPr>
        <w:pageBreakBefore w:val="0"/>
        <w:widowControl w:val="0"/>
        <w:kinsoku/>
        <w:wordWrap/>
        <w:overflowPunct/>
        <w:topLinePunct w:val="0"/>
        <w:bidi w:val="0"/>
        <w:spacing w:line="44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21.11.3</w:t>
      </w:r>
      <w:r>
        <w:rPr>
          <w:rFonts w:hint="eastAsia" w:hAnsi="宋体" w:cs="宋体"/>
          <w:color w:val="auto"/>
          <w:kern w:val="0"/>
          <w:szCs w:val="21"/>
          <w:highlight w:val="none"/>
        </w:rPr>
        <w:t>最后报价（应答文件）是供应商响应文件的有效组成部分：</w:t>
      </w:r>
      <w:r>
        <w:rPr>
          <w:rFonts w:hint="eastAsia" w:hAnsi="宋体" w:cs="宋体"/>
          <w:b/>
          <w:color w:val="auto"/>
          <w:spacing w:val="-4"/>
          <w:szCs w:val="21"/>
          <w:highlight w:val="none"/>
        </w:rPr>
        <w:t>供应商做最终报价时，如供应商维持磋商报价不变</w:t>
      </w:r>
      <w:r>
        <w:rPr>
          <w:rFonts w:hint="eastAsia" w:hAnsi="宋体" w:cs="宋体"/>
          <w:b/>
          <w:color w:val="auto"/>
          <w:spacing w:val="-4"/>
          <w:szCs w:val="21"/>
          <w:highlight w:val="none"/>
          <w:lang w:eastAsia="zh-CN"/>
        </w:rPr>
        <w:t>，</w:t>
      </w:r>
      <w:r>
        <w:rPr>
          <w:rFonts w:hint="eastAsia" w:hAnsi="宋体" w:cs="宋体"/>
          <w:b/>
          <w:color w:val="auto"/>
          <w:spacing w:val="-4"/>
          <w:szCs w:val="21"/>
          <w:highlight w:val="none"/>
        </w:rPr>
        <w:t>以原磋商报价作为供应商最后报价；</w:t>
      </w:r>
      <w:r>
        <w:rPr>
          <w:rFonts w:hint="eastAsia" w:hAnsi="宋体" w:cs="宋体"/>
          <w:b/>
          <w:color w:val="auto"/>
          <w:spacing w:val="-4"/>
          <w:szCs w:val="21"/>
          <w:highlight w:val="none"/>
          <w:lang w:val="en-US" w:eastAsia="zh-CN"/>
        </w:rPr>
        <w:t>若改变磋商报价，</w:t>
      </w:r>
      <w:r>
        <w:rPr>
          <w:rFonts w:hint="eastAsia" w:hAnsi="宋体" w:cs="宋体"/>
          <w:b/>
          <w:color w:val="auto"/>
          <w:spacing w:val="-4"/>
          <w:szCs w:val="21"/>
          <w:highlight w:val="none"/>
        </w:rPr>
        <w:t>供应商应预先准备好调整后的完整已标价的工程量清单。如供应商在磋商过程中，改变原报价且未按竞争性磋商文件要求提供调整后的磋商报价</w:t>
      </w:r>
      <w:r>
        <w:rPr>
          <w:rFonts w:hint="eastAsia" w:hAnsi="宋体" w:cs="宋体"/>
          <w:b/>
          <w:color w:val="auto"/>
          <w:spacing w:val="-4"/>
          <w:szCs w:val="21"/>
          <w:highlight w:val="none"/>
          <w:lang w:eastAsia="zh-CN"/>
        </w:rPr>
        <w:t>电子</w:t>
      </w:r>
      <w:r>
        <w:rPr>
          <w:rFonts w:hint="eastAsia" w:hAnsi="宋体" w:cs="宋体"/>
          <w:b/>
          <w:color w:val="auto"/>
          <w:spacing w:val="-4"/>
          <w:szCs w:val="21"/>
          <w:highlight w:val="none"/>
        </w:rPr>
        <w:t>版的，其报价不予认可，视供应商维持原磋商报价不变</w:t>
      </w:r>
      <w:r>
        <w:rPr>
          <w:rFonts w:hint="eastAsia" w:hAnsi="宋体" w:cs="宋体"/>
          <w:b/>
          <w:color w:val="auto"/>
          <w:szCs w:val="21"/>
          <w:highlight w:val="none"/>
        </w:rPr>
        <w:t>。</w:t>
      </w:r>
      <w:r>
        <w:rPr>
          <w:rFonts w:hint="eastAsia" w:hAnsi="宋体" w:cs="宋体"/>
          <w:color w:val="auto"/>
          <w:spacing w:val="-4"/>
          <w:szCs w:val="21"/>
          <w:highlight w:val="none"/>
        </w:rPr>
        <w:t>必须由供应商</w:t>
      </w:r>
      <w:r>
        <w:rPr>
          <w:rFonts w:hint="eastAsia" w:ascii="宋体" w:hAnsi="宋体" w:eastAsia="宋体" w:cs="宋体"/>
          <w:color w:val="auto"/>
          <w:szCs w:val="21"/>
          <w:highlight w:val="none"/>
        </w:rPr>
        <w:t>加盖公章</w:t>
      </w:r>
      <w:r>
        <w:rPr>
          <w:rFonts w:hint="eastAsia" w:hAnsi="宋体" w:cs="宋体"/>
          <w:color w:val="auto"/>
          <w:spacing w:val="-4"/>
          <w:szCs w:val="21"/>
          <w:highlight w:val="none"/>
        </w:rPr>
        <w:t>。</w:t>
      </w:r>
    </w:p>
    <w:p w14:paraId="5992E34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21.11.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 根据《财政部关于政府采购竞争性磋商采购方式管理暂行办法有关问题的补充通知》</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财库〔2014〕214 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的规定，如采购项目为政府购买服务项目（含政府和社会资本合作项目），在采购过程中符合要求的供应商（社会资本）只有 2 家的，竞争性磋商采购活动可以继续进行，并要求其在规定时间内</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 xml:space="preserve">提交最后报价；采购过程中符合要求的供应商（社会资本）只有 1 家的，采购人或者采购代理机构应当终止竞争性磋商采购活动，发布项目终止公告并说明原因，重新开展采购活动。 </w:t>
      </w:r>
    </w:p>
    <w:p w14:paraId="669EAEA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21.11.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xml:space="preserve"> 根据《政府采购竞争性磋商采购方式管理暂行办法》</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财库〔2014〕214 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的规定：</w:t>
      </w:r>
      <w:r>
        <w:rPr>
          <w:rFonts w:hint="eastAsia" w:ascii="宋体" w:hAnsi="宋体" w:eastAsia="宋体" w:cs="宋体"/>
          <w:b/>
          <w:bCs/>
          <w:color w:val="auto"/>
          <w:szCs w:val="21"/>
          <w:highlight w:val="none"/>
        </w:rPr>
        <w:t xml:space="preserve">最后报价是供应商响应文件的有效组成部分。 </w:t>
      </w:r>
      <w:r>
        <w:rPr>
          <w:rFonts w:hint="eastAsia" w:ascii="宋体" w:hAnsi="宋体" w:eastAsia="宋体" w:cs="宋体"/>
          <w:color w:val="auto"/>
          <w:szCs w:val="21"/>
          <w:highlight w:val="none"/>
        </w:rPr>
        <w:t>符合本办法(财库〔2014〕214号文)第三条第四项情形的，提交最后报价的供应商可以为2家。</w:t>
      </w:r>
      <w:r>
        <w:rPr>
          <w:rFonts w:hint="eastAsia" w:ascii="宋体" w:hAnsi="宋体" w:eastAsia="宋体" w:cs="宋体"/>
          <w:b/>
          <w:bCs/>
          <w:color w:val="auto"/>
          <w:szCs w:val="21"/>
          <w:highlight w:val="none"/>
        </w:rPr>
        <w:t>（财库〔2014〕214号文第三条第四项：市场竞争不充分的科研项目，以及需要扶持的科技成果转化项目。）</w:t>
      </w:r>
    </w:p>
    <w:p w14:paraId="19BCE7B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21.12 已提交响应文件的供应商，在提交最后报价之前，可以根据磋商情况书面退出磋商。 </w:t>
      </w:r>
    </w:p>
    <w:p w14:paraId="6A5F7F7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未书面退出磋商的供应商在规定时间内</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 xml:space="preserve">提交最后报价，其最后报价超出采购预算导致已通过评审的响应文件无效的，按供应商在提交响应文件截止时间后撤回响应文件处理。 </w:t>
      </w:r>
    </w:p>
    <w:p w14:paraId="4F50F748">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21.13 评审报告 </w:t>
      </w:r>
    </w:p>
    <w:p w14:paraId="2D4E2EE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磋商小组应当从质量和服务均能满足磋商文件全部实质性响应要求的供应商中，按照最后综合得分由高到低的顺序提出 3 名以上（含 3 名）成交候选人，并编写评审报告。</w:t>
      </w:r>
    </w:p>
    <w:p w14:paraId="34CD938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21.14 在评审过程中出现法律法规和磋商文件均没有明确规定的情形时，由磋商小组现场协商解决，协商不一致的，由全体磋商小组投票表决，以得票率二分之一以上磋商小组成员的意见为准。 </w:t>
      </w:r>
    </w:p>
    <w:p w14:paraId="43B7C6D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21.15 采购代理机构发现磋商小组有明显的违规倾向或歧视现象，或不按评审办法进行，或其他不正常行为的，应当及时制止。如制止无效，应及时向政府采购监督管理机构报告。</w:t>
      </w:r>
    </w:p>
    <w:p w14:paraId="2740F55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val="0"/>
          <w:bCs w:val="0"/>
          <w:color w:val="auto"/>
          <w:highlight w:val="none"/>
        </w:rPr>
      </w:pPr>
      <w:r>
        <w:rPr>
          <w:rFonts w:hint="eastAsia" w:ascii="宋体" w:hAnsi="宋体" w:eastAsia="宋体" w:cs="宋体"/>
          <w:color w:val="auto"/>
          <w:szCs w:val="21"/>
          <w:highlight w:val="none"/>
        </w:rPr>
        <w:t>21.16 本采购项目的评审依据为竞争性磋商文件和竞争性磋商响应文件，采用的评审方法为</w:t>
      </w:r>
      <w:r>
        <w:rPr>
          <w:rFonts w:hint="eastAsia" w:ascii="宋体" w:hAnsi="宋体" w:eastAsia="宋体" w:cs="宋体"/>
          <w:b w:val="0"/>
          <w:bCs w:val="0"/>
          <w:color w:val="auto"/>
          <w:szCs w:val="21"/>
          <w:highlight w:val="none"/>
        </w:rPr>
        <w:t>综合评分法。</w:t>
      </w:r>
    </w:p>
    <w:p w14:paraId="3E3490E9">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03" w:name="_Toc32470"/>
      <w:bookmarkStart w:id="104" w:name="_Toc18722"/>
      <w:r>
        <w:rPr>
          <w:rFonts w:hint="eastAsia" w:ascii="宋体" w:hAnsi="宋体" w:eastAsia="宋体" w:cs="宋体"/>
          <w:color w:val="auto"/>
          <w:sz w:val="21"/>
          <w:szCs w:val="21"/>
          <w:highlight w:val="none"/>
        </w:rPr>
        <w:t>22. 确定成交供应商</w:t>
      </w:r>
      <w:bookmarkEnd w:id="103"/>
      <w:bookmarkEnd w:id="104"/>
    </w:p>
    <w:p w14:paraId="3D4C100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磋商小组应当根据综合得分情况，按照综合得分由高到低顺序推荐成交候选人，并编写评审报告。磋商小组根据综合得分由高到低排列次序，若得分相同时，以评审报价由低到高顺序排列；若得分相同且评审报价相同的，以最后报价由低到高顺序排列；若仍相同的，由磋商小组按照抽签的方式决定排列次序。</w:t>
      </w:r>
    </w:p>
    <w:p w14:paraId="09035F9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22.2采购单位应当确定磋商小组推荐排名第一的成交候选人为成交供应商。</w:t>
      </w:r>
    </w:p>
    <w:p w14:paraId="164EE782">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排名第一的成交候选人放弃成交、因不可抗力提出不能履行合同，或信用信息记录不符合相关规定的，或者磋商文件规定应当提交履约保证金而在规定的期限内未能提交的（本项目免收履约保证金），采购单位可以确定排名第二的成交候选人为成交供应商。</w:t>
      </w:r>
    </w:p>
    <w:p w14:paraId="565726D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22.4排名第二的成交候选人因前款规定的同样原因不能签订合同的，采购单位可以确定排名第三的成交候选人为成交供应商。</w:t>
      </w:r>
    </w:p>
    <w:p w14:paraId="68D72701">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05" w:name="_Toc15332"/>
      <w:bookmarkStart w:id="106" w:name="_Toc21715"/>
      <w:r>
        <w:rPr>
          <w:rFonts w:hint="eastAsia" w:ascii="宋体" w:hAnsi="宋体" w:eastAsia="宋体" w:cs="宋体"/>
          <w:color w:val="auto"/>
          <w:sz w:val="21"/>
          <w:szCs w:val="21"/>
          <w:highlight w:val="none"/>
        </w:rPr>
        <w:t>23. 属于下列情况之一者，响应文件无效</w:t>
      </w:r>
      <w:bookmarkEnd w:id="105"/>
      <w:bookmarkEnd w:id="106"/>
    </w:p>
    <w:p w14:paraId="7B5C37E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（1）未按磋商文件规定完整</w:t>
      </w:r>
      <w:r>
        <w:rPr>
          <w:rFonts w:hint="eastAsia" w:ascii="宋体" w:hAnsi="宋体" w:eastAsia="宋体" w:cs="宋体"/>
          <w:color w:val="auto"/>
          <w:szCs w:val="21"/>
          <w:highlight w:val="none"/>
          <w:lang w:val="en-US" w:eastAsia="zh-CN"/>
        </w:rPr>
        <w:t>线上</w:t>
      </w:r>
      <w:r>
        <w:rPr>
          <w:rFonts w:hint="eastAsia" w:ascii="宋体" w:hAnsi="宋体" w:eastAsia="宋体" w:cs="宋体"/>
          <w:color w:val="auto"/>
          <w:szCs w:val="21"/>
          <w:highlight w:val="none"/>
        </w:rPr>
        <w:t>提交响应文件或未按规定要求</w:t>
      </w:r>
      <w:r>
        <w:rPr>
          <w:rFonts w:hint="eastAsia" w:ascii="宋体" w:hAnsi="宋体" w:eastAsia="宋体" w:cs="宋体"/>
          <w:color w:val="auto"/>
          <w:szCs w:val="21"/>
          <w:highlight w:val="none"/>
          <w:lang w:eastAsia="zh-CN"/>
        </w:rPr>
        <w:t>线上</w:t>
      </w:r>
      <w:r>
        <w:rPr>
          <w:rFonts w:hint="eastAsia" w:ascii="宋体" w:hAnsi="宋体" w:eastAsia="宋体" w:cs="宋体"/>
          <w:color w:val="auto"/>
          <w:szCs w:val="21"/>
          <w:highlight w:val="none"/>
        </w:rPr>
        <w:t>签字、</w:t>
      </w:r>
      <w:r>
        <w:rPr>
          <w:rFonts w:hint="eastAsia" w:ascii="宋体" w:hAnsi="宋体" w:eastAsia="宋体" w:cs="宋体"/>
          <w:color w:val="auto"/>
          <w:szCs w:val="21"/>
          <w:highlight w:val="none"/>
          <w:lang w:val="en-US" w:eastAsia="zh-CN"/>
        </w:rPr>
        <w:t>签章</w:t>
      </w:r>
      <w:r>
        <w:rPr>
          <w:rFonts w:hint="eastAsia" w:ascii="宋体" w:hAnsi="宋体" w:eastAsia="宋体" w:cs="宋体"/>
          <w:color w:val="auto"/>
          <w:szCs w:val="21"/>
          <w:highlight w:val="none"/>
        </w:rPr>
        <w:t>的；</w:t>
      </w:r>
    </w:p>
    <w:p w14:paraId="07AB578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（2）不具备磋商文件规定的资格要求的；</w:t>
      </w:r>
    </w:p>
    <w:p w14:paraId="2E58EAD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5C26A94C">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）响应文件未按磋商文件的内容和要求编制，或提供虚假材料的；</w:t>
      </w:r>
    </w:p>
    <w:p w14:paraId="44A2BB26">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响应文件有效期、质量要求、工期要求不能满足采购文件要求的</w:t>
      </w:r>
      <w:r>
        <w:rPr>
          <w:rFonts w:hint="eastAsia" w:ascii="宋体" w:hAnsi="宋体" w:eastAsia="宋体" w:cs="宋体"/>
          <w:color w:val="auto"/>
          <w:szCs w:val="21"/>
          <w:highlight w:val="none"/>
        </w:rPr>
        <w:t>；</w:t>
      </w:r>
    </w:p>
    <w:p w14:paraId="71F9B2C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）未在磋商小组规定的时间内提交响应文件(包括最后报价)的；</w:t>
      </w:r>
    </w:p>
    <w:p w14:paraId="7B43BD5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）超越了按照法律法规规定必须获得行政许可或者行政审批的经营范围的；</w:t>
      </w:r>
    </w:p>
    <w:p w14:paraId="303A156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）未满足磋商文件实质性要求的或者响应文件有采购人不能接受的附加条件的；</w:t>
      </w:r>
    </w:p>
    <w:p w14:paraId="6840AA2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）响应文件实质性要求未做变动，供应商最后报价高于第一次报价的；</w:t>
      </w:r>
    </w:p>
    <w:p w14:paraId="37118F7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）不符合法律、法规和磋商文件规定的其他实质性要求和条件的。</w:t>
      </w:r>
    </w:p>
    <w:p w14:paraId="717E533A">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供应商有下列情形之一的视为供应商相互串通磋商，响应文件将被视为无效</w:t>
      </w:r>
    </w:p>
    <w:p w14:paraId="2D451077">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（1）不同供应商的响应文件由同一单位或者个人编制；或不同供应商报名的IP地址一致的；</w:t>
      </w:r>
    </w:p>
    <w:p w14:paraId="6A2BA1D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（2）不同供应商委托同一单位或者个人办理磋商事宜；</w:t>
      </w:r>
    </w:p>
    <w:p w14:paraId="1CBA0E20">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1B4226EE">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（4）不同供应商的响应文件异常一致或竞标报价呈规律性差异；</w:t>
      </w:r>
    </w:p>
    <w:p w14:paraId="4A5FC7E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w:t>
      </w:r>
      <w:r>
        <w:rPr>
          <w:rFonts w:hint="eastAsia" w:ascii="宋体" w:hAnsi="宋体" w:cs="宋体"/>
          <w:color w:val="auto"/>
          <w:szCs w:val="21"/>
          <w:highlight w:val="none"/>
          <w:lang w:eastAsia="zh-CN"/>
        </w:rPr>
        <w:t>编</w:t>
      </w:r>
      <w:r>
        <w:rPr>
          <w:rFonts w:hint="eastAsia" w:ascii="宋体" w:hAnsi="宋体" w:eastAsia="宋体" w:cs="宋体"/>
          <w:color w:val="auto"/>
          <w:szCs w:val="21"/>
          <w:highlight w:val="none"/>
        </w:rPr>
        <w:t>。</w:t>
      </w:r>
    </w:p>
    <w:p w14:paraId="13511FA1">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07" w:name="_Toc27786"/>
      <w:bookmarkStart w:id="108"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07"/>
      <w:bookmarkEnd w:id="108"/>
    </w:p>
    <w:p w14:paraId="00154606">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（1）因情况变化，不再符合规定的竞争性磋商采购方式适用情形的；</w:t>
      </w:r>
    </w:p>
    <w:p w14:paraId="791CAD6B">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（2）出现影响采购公正的违法、违规行为的； </w:t>
      </w:r>
    </w:p>
    <w:p w14:paraId="7577FDF1">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（3）在采购过程中符合竞争要求的供应商或者报价未超过采购预算的供应商不足3家的。</w:t>
      </w:r>
      <w:r>
        <w:rPr>
          <w:rFonts w:hint="eastAsia" w:ascii="宋体" w:hAnsi="宋体" w:eastAsia="宋体" w:cs="宋体"/>
          <w:b/>
          <w:bCs/>
          <w:color w:val="auto"/>
          <w:szCs w:val="21"/>
          <w:highlight w:val="none"/>
        </w:rPr>
        <w:t xml:space="preserve">（除财库〔2014〕214 号《政府采购竞争性磋商采购方式管理暂行办法》第二十一条第三款规定的情形外） </w:t>
      </w:r>
    </w:p>
    <w:p w14:paraId="4364F012">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09" w:name="_Toc19910"/>
      <w:bookmarkStart w:id="110" w:name="_Toc19105"/>
      <w:r>
        <w:rPr>
          <w:rFonts w:hint="eastAsia" w:ascii="宋体" w:hAnsi="宋体" w:eastAsia="宋体" w:cs="宋体"/>
          <w:color w:val="auto"/>
          <w:sz w:val="21"/>
          <w:szCs w:val="21"/>
          <w:highlight w:val="none"/>
        </w:rPr>
        <w:t>25. 磋商过程的监控</w:t>
      </w:r>
      <w:bookmarkEnd w:id="109"/>
      <w:bookmarkEnd w:id="110"/>
    </w:p>
    <w:p w14:paraId="0E03A0AF">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本项目磋商过程实行全程录音、录像监控，供应商在磋商过程中所进行的试图影响磋商结果的不公正活动，可能导致其磋商被拒绝。</w:t>
      </w:r>
    </w:p>
    <w:p w14:paraId="498CAF14">
      <w:pPr>
        <w:pStyle w:val="4"/>
        <w:pageBreakBefore w:val="0"/>
        <w:widowControl w:val="0"/>
        <w:numPr>
          <w:ilvl w:val="0"/>
          <w:numId w:val="5"/>
        </w:numPr>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11" w:name="_Toc14787"/>
      <w:bookmarkStart w:id="112" w:name="_Toc26291"/>
      <w:r>
        <w:rPr>
          <w:rFonts w:hint="eastAsia" w:ascii="宋体" w:hAnsi="宋体" w:eastAsia="宋体" w:cs="宋体"/>
          <w:color w:val="auto"/>
          <w:sz w:val="21"/>
          <w:szCs w:val="21"/>
          <w:highlight w:val="none"/>
        </w:rPr>
        <w:t>信用查询</w:t>
      </w:r>
      <w:bookmarkEnd w:id="111"/>
      <w:bookmarkEnd w:id="112"/>
    </w:p>
    <w:p w14:paraId="0DFA3475">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根据《关于做好政府采购有关信用主体标识码登记及在政府采购活动中查询使用信用记录有关问题的通知》桂财采〔2016〕37号的通知，采购代理机构对成交人的成交资格进行信用查询：</w:t>
      </w:r>
    </w:p>
    <w:p w14:paraId="23819117">
      <w:pPr>
        <w:pageBreakBefore w:val="0"/>
        <w:widowControl w:val="0"/>
        <w:kinsoku/>
        <w:wordWrap/>
        <w:overflowPunct/>
        <w:topLinePunct w:val="0"/>
        <w:bidi w:val="0"/>
        <w:spacing w:line="440" w:lineRule="exact"/>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（1）查询渠道：“信用中国”网站(www.creditchina.gov.cn)、中国政府采购网(www.ccgp.gov.cn)等；</w:t>
      </w:r>
    </w:p>
    <w:p w14:paraId="2CCDA193">
      <w:pPr>
        <w:pageBreakBefore w:val="0"/>
        <w:widowControl w:val="0"/>
        <w:kinsoku/>
        <w:wordWrap/>
        <w:overflowPunct/>
        <w:topLinePunct w:val="0"/>
        <w:bidi w:val="0"/>
        <w:spacing w:line="440" w:lineRule="exact"/>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（2）查询时间：成交通知书发出前；</w:t>
      </w:r>
    </w:p>
    <w:p w14:paraId="6EE582B3">
      <w:pPr>
        <w:pageBreakBefore w:val="0"/>
        <w:widowControl w:val="0"/>
        <w:kinsoku/>
        <w:wordWrap/>
        <w:overflowPunct/>
        <w:topLinePunct w:val="0"/>
        <w:bidi w:val="0"/>
        <w:spacing w:line="440" w:lineRule="exact"/>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（3）信用信息查询记录和证据留存方式：在查询网站中直接打印查询记录，打印材料作为采购活动资料保存。</w:t>
      </w:r>
    </w:p>
    <w:p w14:paraId="194B46FB">
      <w:pPr>
        <w:pageBreakBefore w:val="0"/>
        <w:widowControl w:val="0"/>
        <w:kinsoku/>
        <w:wordWrap/>
        <w:overflowPunct/>
        <w:topLinePunct w:val="0"/>
        <w:bidi w:val="0"/>
        <w:spacing w:line="440" w:lineRule="exact"/>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磋商小组推荐成交候选人排序表确定排名第二的成交候选人为成交供应商或者重新组织采购。</w:t>
      </w:r>
    </w:p>
    <w:p w14:paraId="025B8243">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13" w:name="_Toc9438"/>
      <w:bookmarkStart w:id="114" w:name="_Toc25468"/>
      <w:r>
        <w:rPr>
          <w:rFonts w:hint="eastAsia" w:ascii="宋体" w:hAnsi="宋体" w:eastAsia="宋体" w:cs="宋体"/>
          <w:color w:val="auto"/>
          <w:sz w:val="21"/>
          <w:szCs w:val="21"/>
          <w:highlight w:val="none"/>
        </w:rPr>
        <w:t>27. 成交结果公告及成交通知书</w:t>
      </w:r>
      <w:bookmarkEnd w:id="113"/>
      <w:bookmarkEnd w:id="114"/>
    </w:p>
    <w:p w14:paraId="60770BC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 采购代理机构于磋商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3952B3FF">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 在发布成交公告的同时，采购代理机构向成交供应商发出成交通知书。成交供应商自接到通知之日起七个工作日内，办理成交通知书领取手续。</w:t>
      </w:r>
    </w:p>
    <w:p w14:paraId="1D8D57B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 采购代理机构无义务向未成交的供应商解释未成交原因和退还响应文件。</w:t>
      </w:r>
    </w:p>
    <w:p w14:paraId="3317C799">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115" w:name="_Toc25593"/>
    </w:p>
    <w:p w14:paraId="14CA5C4B">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116" w:name="_Toc29518"/>
      <w:bookmarkStart w:id="117" w:name="_Toc24102"/>
      <w:r>
        <w:rPr>
          <w:rFonts w:hint="eastAsia" w:ascii="宋体" w:hAnsi="宋体" w:eastAsia="宋体" w:cs="宋体"/>
          <w:b/>
          <w:bCs w:val="0"/>
          <w:color w:val="auto"/>
          <w:szCs w:val="28"/>
          <w:highlight w:val="none"/>
        </w:rPr>
        <w:t>五、签订合同</w:t>
      </w:r>
      <w:bookmarkEnd w:id="115"/>
      <w:bookmarkEnd w:id="116"/>
      <w:bookmarkEnd w:id="117"/>
    </w:p>
    <w:p w14:paraId="0BFDC22D">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highlight w:val="none"/>
        </w:rPr>
      </w:pPr>
      <w:bookmarkStart w:id="118" w:name="_Toc1032"/>
      <w:bookmarkStart w:id="119" w:name="_Toc26520"/>
      <w:r>
        <w:rPr>
          <w:rFonts w:hint="eastAsia" w:ascii="宋体" w:hAnsi="宋体" w:eastAsia="宋体" w:cs="宋体"/>
          <w:color w:val="auto"/>
          <w:sz w:val="21"/>
          <w:szCs w:val="21"/>
          <w:highlight w:val="none"/>
        </w:rPr>
        <w:t>28. 履约保证金</w:t>
      </w:r>
      <w:bookmarkEnd w:id="118"/>
      <w:bookmarkEnd w:id="119"/>
    </w:p>
    <w:p w14:paraId="1AADFC33">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bookmarkStart w:id="120" w:name="_Toc22004"/>
      <w:bookmarkStart w:id="121" w:name="_Toc4956"/>
      <w:r>
        <w:rPr>
          <w:rFonts w:hint="eastAsia" w:ascii="宋体" w:hAnsi="宋体" w:cs="宋体"/>
          <w:color w:val="auto"/>
          <w:szCs w:val="21"/>
          <w:highlight w:val="none"/>
          <w:lang w:eastAsia="zh-CN"/>
        </w:rPr>
        <w:t>本项目不收取履约保证金</w:t>
      </w:r>
      <w:r>
        <w:rPr>
          <w:rFonts w:hint="eastAsia" w:ascii="宋体" w:hAnsi="宋体" w:eastAsia="宋体" w:cs="宋体"/>
          <w:color w:val="auto"/>
          <w:szCs w:val="21"/>
          <w:highlight w:val="none"/>
        </w:rPr>
        <w:t>。</w:t>
      </w:r>
    </w:p>
    <w:p w14:paraId="24246920">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0"/>
      <w:bookmarkEnd w:id="121"/>
    </w:p>
    <w:p w14:paraId="2DC347AE">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29.1 签订合同时间：</w:t>
      </w:r>
      <w:r>
        <w:rPr>
          <w:rFonts w:hint="eastAsia" w:ascii="宋体" w:hAnsi="宋体" w:eastAsia="宋体" w:cs="宋体"/>
          <w:b/>
          <w:bCs/>
          <w:color w:val="auto"/>
          <w:szCs w:val="21"/>
          <w:highlight w:val="none"/>
          <w:lang w:eastAsia="zh-CN"/>
        </w:rPr>
        <w:t>成交通知书</w:t>
      </w:r>
      <w:r>
        <w:rPr>
          <w:rFonts w:hint="eastAsia" w:ascii="宋体" w:hAnsi="宋体" w:eastAsia="宋体" w:cs="宋体"/>
          <w:b/>
          <w:bCs/>
          <w:color w:val="auto"/>
          <w:szCs w:val="21"/>
          <w:highlight w:val="none"/>
        </w:rPr>
        <w:t>发出之日起8个工作日内签订合同。成交供应商领取成交通知书后，应按规定与采购人签订合同。</w:t>
      </w:r>
    </w:p>
    <w:p w14:paraId="74AD3F99">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100DD1A">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（1）成交后不与采购人签订合同的（不可抗力除外）；</w:t>
      </w:r>
    </w:p>
    <w:p w14:paraId="0F31F602">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（2）将成交项目转让给他人，或者在响应文件中未说明，且未经采购人同意，将成交项目分包给他人的；</w:t>
      </w:r>
    </w:p>
    <w:p w14:paraId="03A3FC9D">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（3）拒绝履行合同义务的。</w:t>
      </w:r>
    </w:p>
    <w:p w14:paraId="49DBDAFF">
      <w:pPr>
        <w:pageBreakBefore w:val="0"/>
        <w:widowControl w:val="0"/>
        <w:kinsoku/>
        <w:wordWrap/>
        <w:overflowPunct/>
        <w:topLinePunct w:val="0"/>
        <w:bidi w:val="0"/>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29.3 合同备案存档：</w:t>
      </w:r>
      <w:r>
        <w:rPr>
          <w:rFonts w:hint="eastAsia" w:ascii="宋体" w:hAnsi="宋体" w:eastAsia="宋体" w:cs="宋体"/>
          <w:color w:val="auto"/>
          <w:highlight w:val="none"/>
        </w:rPr>
        <w:t>政府采购合同双方自签订之日起一个工作日内将合同原件一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highlight w:val="none"/>
          <w:lang w:eastAsia="zh-CN"/>
        </w:rPr>
        <w:t>广西龙珂建设工程集团有限公司</w:t>
      </w:r>
      <w:r>
        <w:rPr>
          <w:rFonts w:hint="eastAsia" w:ascii="宋体" w:hAnsi="宋体" w:eastAsia="宋体" w:cs="宋体"/>
          <w:color w:val="auto"/>
          <w:highlight w:val="none"/>
        </w:rPr>
        <w:t>存档。</w:t>
      </w:r>
    </w:p>
    <w:p w14:paraId="0AEC8FD9">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sectPr>
          <w:pgSz w:w="11906" w:h="16838"/>
          <w:pgMar w:top="1418" w:right="1115" w:bottom="1418" w:left="1131" w:header="851" w:footer="992" w:gutter="0"/>
          <w:pgNumType w:fmt="decimal"/>
          <w:cols w:space="720" w:num="1"/>
          <w:titlePg/>
          <w:docGrid w:type="lines" w:linePitch="312" w:charSpace="0"/>
        </w:sectPr>
      </w:pPr>
      <w:bookmarkStart w:id="122" w:name="_Toc16348"/>
      <w:bookmarkStart w:id="123" w:name="_Toc17898"/>
    </w:p>
    <w:p w14:paraId="1FE2D3BE">
      <w:pPr>
        <w:pStyle w:val="3"/>
        <w:pageBreakBefore w:val="0"/>
        <w:widowControl w:val="0"/>
        <w:tabs>
          <w:tab w:val="left" w:pos="567"/>
        </w:tabs>
        <w:kinsoku/>
        <w:wordWrap/>
        <w:overflowPunct/>
        <w:topLinePunct w:val="0"/>
        <w:bidi w:val="0"/>
        <w:spacing w:line="440" w:lineRule="exact"/>
        <w:jc w:val="center"/>
        <w:textAlignment w:val="auto"/>
        <w:rPr>
          <w:rFonts w:hint="eastAsia" w:ascii="宋体" w:hAnsi="宋体" w:eastAsia="宋体" w:cs="宋体"/>
          <w:b/>
          <w:bCs w:val="0"/>
          <w:color w:val="auto"/>
          <w:szCs w:val="28"/>
          <w:highlight w:val="none"/>
        </w:rPr>
      </w:pPr>
      <w:bookmarkStart w:id="124" w:name="_Toc30713"/>
      <w:r>
        <w:rPr>
          <w:rFonts w:hint="eastAsia" w:ascii="宋体" w:hAnsi="宋体" w:eastAsia="宋体" w:cs="宋体"/>
          <w:b/>
          <w:bCs w:val="0"/>
          <w:color w:val="auto"/>
          <w:szCs w:val="28"/>
          <w:highlight w:val="none"/>
        </w:rPr>
        <w:t>六、其他事项</w:t>
      </w:r>
      <w:bookmarkEnd w:id="122"/>
      <w:bookmarkEnd w:id="123"/>
      <w:bookmarkEnd w:id="124"/>
    </w:p>
    <w:p w14:paraId="137CA729">
      <w:pPr>
        <w:pStyle w:val="4"/>
        <w:pageBreakBefore w:val="0"/>
        <w:widowControl w:val="0"/>
        <w:kinsoku/>
        <w:wordWrap/>
        <w:overflowPunct/>
        <w:topLinePunct w:val="0"/>
        <w:bidi w:val="0"/>
        <w:spacing w:before="0" w:after="0" w:line="440" w:lineRule="exact"/>
        <w:ind w:firstLine="422" w:firstLineChars="200"/>
        <w:textAlignment w:val="auto"/>
        <w:rPr>
          <w:rFonts w:hint="eastAsia" w:ascii="宋体" w:hAnsi="宋体" w:eastAsia="宋体" w:cs="宋体"/>
          <w:color w:val="auto"/>
          <w:sz w:val="21"/>
          <w:szCs w:val="21"/>
          <w:highlight w:val="none"/>
        </w:rPr>
      </w:pPr>
      <w:bookmarkStart w:id="125" w:name="_Toc28647"/>
      <w:bookmarkStart w:id="126" w:name="_Toc29572"/>
      <w:r>
        <w:rPr>
          <w:rFonts w:hint="eastAsia" w:ascii="宋体" w:hAnsi="宋体" w:eastAsia="宋体" w:cs="宋体"/>
          <w:color w:val="auto"/>
          <w:sz w:val="21"/>
          <w:szCs w:val="21"/>
          <w:highlight w:val="none"/>
        </w:rPr>
        <w:t>30. 采购代理服务费</w:t>
      </w:r>
      <w:bookmarkEnd w:id="125"/>
      <w:bookmarkEnd w:id="126"/>
    </w:p>
    <w:p w14:paraId="0A6713D8">
      <w:pPr>
        <w:spacing w:line="400" w:lineRule="exact"/>
        <w:ind w:firstLine="420"/>
        <w:rPr>
          <w:rFonts w:hint="eastAsia" w:ascii="宋体" w:hAnsi="宋体" w:eastAsia="宋体" w:cs="宋体"/>
          <w:color w:val="auto"/>
          <w:szCs w:val="21"/>
          <w:highlight w:val="none"/>
        </w:rPr>
      </w:pPr>
      <w:bookmarkStart w:id="127" w:name="_Toc12374"/>
      <w:r>
        <w:rPr>
          <w:rFonts w:hint="eastAsia" w:ascii="宋体" w:hAnsi="宋体" w:eastAsia="宋体" w:cs="宋体"/>
          <w:color w:val="auto"/>
          <w:highlight w:val="none"/>
          <w:lang w:val="en-US" w:eastAsia="zh-CN"/>
        </w:rPr>
        <w:t>30.1</w:t>
      </w:r>
      <w:r>
        <w:rPr>
          <w:rFonts w:hint="eastAsia" w:ascii="宋体" w:hAnsi="宋体" w:eastAsia="宋体" w:cs="宋体"/>
          <w:color w:val="auto"/>
          <w:highlight w:val="none"/>
        </w:rPr>
        <w:t>成交供应商领取成交通知书前，</w:t>
      </w:r>
      <w:r>
        <w:rPr>
          <w:rFonts w:hint="eastAsia" w:ascii="宋体" w:hAnsi="宋体" w:eastAsia="宋体" w:cs="宋体"/>
          <w:color w:val="auto"/>
          <w:szCs w:val="21"/>
          <w:highlight w:val="none"/>
        </w:rPr>
        <w:t>向</w:t>
      </w:r>
      <w:r>
        <w:rPr>
          <w:rFonts w:hint="eastAsia" w:ascii="宋体" w:hAnsi="宋体" w:cs="宋体"/>
          <w:color w:val="auto"/>
          <w:highlight w:val="none"/>
          <w:lang w:eastAsia="zh-CN"/>
        </w:rPr>
        <w:t>广西龙珂建设工程集团有限公司</w:t>
      </w:r>
      <w:r>
        <w:rPr>
          <w:rFonts w:hint="eastAsia" w:ascii="宋体" w:hAnsi="宋体" w:eastAsia="宋体" w:cs="宋体"/>
          <w:color w:val="auto"/>
          <w:highlight w:val="none"/>
        </w:rPr>
        <w:t>一次性付清代理服务费。</w:t>
      </w:r>
      <w:r>
        <w:rPr>
          <w:rFonts w:hint="eastAsia" w:ascii="宋体" w:hAnsi="宋体" w:eastAsia="宋体" w:cs="宋体"/>
          <w:color w:val="auto"/>
          <w:szCs w:val="21"/>
          <w:highlight w:val="none"/>
        </w:rPr>
        <w:t>成交人领取成交通知书前，向采购代理机构一次性付清采购代理服务费，本项目采购代理服务收费标准参照计价格[2002]1980号《招标代理服务收费管理暂行办法》以预算为基准价，按工程类收费标准向成交人收取（不足人民币5000元的，按5000元支付）。</w:t>
      </w:r>
    </w:p>
    <w:tbl>
      <w:tblPr>
        <w:tblStyle w:val="27"/>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7208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4B5E4674">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Cs w:val="21"/>
                <w:highlight w:val="none"/>
              </w:rPr>
              <w:t>费率           服务类型</w:t>
            </w:r>
          </w:p>
          <w:p w14:paraId="629B9E59">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53D9855F">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中标金额（万元）</w:t>
            </w:r>
          </w:p>
        </w:tc>
        <w:tc>
          <w:tcPr>
            <w:tcW w:w="1841" w:type="dxa"/>
            <w:vAlign w:val="center"/>
          </w:tcPr>
          <w:p w14:paraId="68F58BCE">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992" w:type="dxa"/>
            <w:vAlign w:val="center"/>
          </w:tcPr>
          <w:p w14:paraId="639DBF49">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2293" w:type="dxa"/>
            <w:vAlign w:val="center"/>
          </w:tcPr>
          <w:p w14:paraId="77C7BB16">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345B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73E4282C">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100以下</w:t>
            </w:r>
          </w:p>
        </w:tc>
        <w:tc>
          <w:tcPr>
            <w:tcW w:w="1841" w:type="dxa"/>
            <w:vAlign w:val="top"/>
          </w:tcPr>
          <w:p w14:paraId="664AEB22">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992" w:type="dxa"/>
            <w:vAlign w:val="top"/>
          </w:tcPr>
          <w:p w14:paraId="6F575DDC">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2293" w:type="dxa"/>
            <w:vAlign w:val="top"/>
          </w:tcPr>
          <w:p w14:paraId="0BCB7EAF">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26EF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05A2DFA3">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w:t>
            </w:r>
          </w:p>
        </w:tc>
        <w:tc>
          <w:tcPr>
            <w:tcW w:w="1841" w:type="dxa"/>
            <w:vAlign w:val="top"/>
          </w:tcPr>
          <w:p w14:paraId="32DDD90F">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992" w:type="dxa"/>
            <w:vAlign w:val="top"/>
          </w:tcPr>
          <w:p w14:paraId="43FC5438">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2293" w:type="dxa"/>
            <w:vAlign w:val="top"/>
          </w:tcPr>
          <w:p w14:paraId="1F896CC7">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40AE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6DA7542D">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w:t>
            </w:r>
          </w:p>
        </w:tc>
        <w:tc>
          <w:tcPr>
            <w:tcW w:w="1841" w:type="dxa"/>
            <w:vAlign w:val="top"/>
          </w:tcPr>
          <w:p w14:paraId="38D44B04">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992" w:type="dxa"/>
            <w:vAlign w:val="top"/>
          </w:tcPr>
          <w:p w14:paraId="0A77EF1F">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2293" w:type="dxa"/>
            <w:vAlign w:val="top"/>
          </w:tcPr>
          <w:p w14:paraId="2E549C5B">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5F12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AF7081B">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w:t>
            </w:r>
          </w:p>
        </w:tc>
        <w:tc>
          <w:tcPr>
            <w:tcW w:w="1841" w:type="dxa"/>
            <w:vAlign w:val="top"/>
          </w:tcPr>
          <w:p w14:paraId="13B35932">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992" w:type="dxa"/>
            <w:vAlign w:val="top"/>
          </w:tcPr>
          <w:p w14:paraId="60F3BEA5">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2293" w:type="dxa"/>
            <w:vAlign w:val="top"/>
          </w:tcPr>
          <w:p w14:paraId="56A4BEB1">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751D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287E651B">
            <w:pPr>
              <w:spacing w:before="0" w:after="0" w:line="400" w:lineRule="exact"/>
              <w:ind w:left="23"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5000-10000</w:t>
            </w:r>
          </w:p>
        </w:tc>
        <w:tc>
          <w:tcPr>
            <w:tcW w:w="1841" w:type="dxa"/>
            <w:vAlign w:val="top"/>
          </w:tcPr>
          <w:p w14:paraId="17435FE5">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992" w:type="dxa"/>
            <w:vAlign w:val="top"/>
          </w:tcPr>
          <w:p w14:paraId="0E6E6DC4">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2293" w:type="dxa"/>
            <w:vAlign w:val="top"/>
          </w:tcPr>
          <w:p w14:paraId="6B5CF353">
            <w:pPr>
              <w:spacing w:before="0" w:after="0" w:line="400" w:lineRule="exact"/>
              <w:ind w:left="23"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bl>
    <w:p w14:paraId="1AEAD557">
      <w:pPr>
        <w:spacing w:before="0" w:after="0" w:line="400" w:lineRule="exact"/>
        <w:ind w:left="25" w:firstLine="0" w:firstLineChars="0"/>
        <w:rPr>
          <w:rFonts w:hint="eastAsia" w:ascii="宋体" w:hAnsi="宋体" w:eastAsia="宋体" w:cs="宋体"/>
          <w:color w:val="auto"/>
          <w:szCs w:val="20"/>
          <w:highlight w:val="none"/>
        </w:rPr>
      </w:pPr>
      <w:r>
        <w:rPr>
          <w:rFonts w:hint="eastAsia" w:ascii="宋体" w:hAnsi="宋体" w:eastAsia="宋体" w:cs="宋体"/>
          <w:color w:val="auto"/>
          <w:szCs w:val="20"/>
          <w:highlight w:val="none"/>
        </w:rPr>
        <w:t>注：招标代理服务收费按差额定率累进法计算。</w:t>
      </w:r>
    </w:p>
    <w:p w14:paraId="15F738ED">
      <w:pPr>
        <w:spacing w:before="0" w:after="0" w:line="400" w:lineRule="exact"/>
        <w:ind w:firstLine="422"/>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30.2</w:t>
      </w:r>
      <w:r>
        <w:rPr>
          <w:rFonts w:hint="eastAsia" w:ascii="宋体" w:hAnsi="宋体" w:eastAsia="宋体" w:cs="宋体"/>
          <w:b w:val="0"/>
          <w:bCs/>
          <w:color w:val="auto"/>
          <w:highlight w:val="none"/>
        </w:rPr>
        <w:t>招标代理服务费缴纳账户：</w:t>
      </w:r>
    </w:p>
    <w:p w14:paraId="2765A03D">
      <w:pPr>
        <w:pageBreakBefore w:val="0"/>
        <w:widowControl w:val="0"/>
        <w:kinsoku/>
        <w:wordWrap/>
        <w:overflowPunct/>
        <w:topLinePunct w:val="0"/>
        <w:bidi w:val="0"/>
        <w:spacing w:line="440" w:lineRule="exact"/>
        <w:ind w:firstLine="420" w:firstLineChars="200"/>
        <w:textAlignment w:val="auto"/>
        <w:rPr>
          <w:rStyle w:val="32"/>
          <w:rFonts w:hint="eastAsia" w:ascii="宋体" w:hAnsi="宋体" w:eastAsia="宋体" w:cs="宋体"/>
          <w:b w:val="0"/>
          <w:bCs/>
          <w:color w:val="auto"/>
          <w:sz w:val="21"/>
          <w:szCs w:val="21"/>
          <w:highlight w:val="none"/>
          <w:lang w:val="en-US" w:eastAsia="zh-CN"/>
        </w:rPr>
      </w:pPr>
      <w:bookmarkStart w:id="128" w:name="_Toc9779"/>
      <w:r>
        <w:rPr>
          <w:rStyle w:val="32"/>
          <w:rFonts w:hint="eastAsia" w:ascii="宋体" w:hAnsi="宋体" w:eastAsia="宋体" w:cs="宋体"/>
          <w:b w:val="0"/>
          <w:bCs/>
          <w:color w:val="auto"/>
          <w:sz w:val="21"/>
          <w:szCs w:val="21"/>
          <w:highlight w:val="none"/>
          <w:lang w:val="en-US"/>
        </w:rPr>
        <w:t>开户名称：</w:t>
      </w:r>
      <w:r>
        <w:rPr>
          <w:rStyle w:val="32"/>
          <w:rFonts w:hint="eastAsia" w:ascii="宋体" w:hAnsi="宋体" w:cs="宋体"/>
          <w:b w:val="0"/>
          <w:bCs/>
          <w:color w:val="auto"/>
          <w:sz w:val="21"/>
          <w:szCs w:val="21"/>
          <w:highlight w:val="none"/>
          <w:lang w:val="en-US" w:eastAsia="zh-CN"/>
        </w:rPr>
        <w:t>广西龙珂建设工程集团有限公司</w:t>
      </w:r>
    </w:p>
    <w:p w14:paraId="7912FFFD">
      <w:pPr>
        <w:spacing w:before="108" w:line="221" w:lineRule="auto"/>
        <w:ind w:left="7" w:firstLine="400" w:firstLineChars="200"/>
        <w:rPr>
          <w:rFonts w:ascii="宋体" w:hAnsi="宋体" w:eastAsia="宋体" w:cs="宋体"/>
          <w:color w:val="auto"/>
          <w:highlight w:val="none"/>
          <w:lang w:eastAsia="zh-CN"/>
        </w:rPr>
      </w:pPr>
      <w:r>
        <w:rPr>
          <w:rFonts w:ascii="宋体" w:hAnsi="宋体" w:eastAsia="宋体" w:cs="宋体"/>
          <w:color w:val="auto"/>
          <w:spacing w:val="-5"/>
          <w:highlight w:val="none"/>
          <w:lang w:eastAsia="zh-CN"/>
        </w:rPr>
        <w:t>开户银行：</w:t>
      </w:r>
      <w:r>
        <w:rPr>
          <w:rFonts w:hint="eastAsia" w:ascii="宋体" w:hAnsi="宋体" w:eastAsia="宋体" w:cs="宋体"/>
          <w:color w:val="auto"/>
          <w:spacing w:val="-5"/>
          <w:highlight w:val="none"/>
          <w:lang w:eastAsia="zh-CN"/>
        </w:rPr>
        <w:t>中国银行贵港分行营业部</w:t>
      </w:r>
    </w:p>
    <w:p w14:paraId="56D1F295">
      <w:pPr>
        <w:spacing w:before="110" w:line="221" w:lineRule="auto"/>
        <w:ind w:left="7" w:firstLine="396" w:firstLineChars="200"/>
        <w:rPr>
          <w:rFonts w:ascii="宋体" w:hAnsi="宋体" w:eastAsia="宋体" w:cs="宋体"/>
          <w:color w:val="auto"/>
          <w:highlight w:val="none"/>
          <w:lang w:eastAsia="zh-CN"/>
        </w:rPr>
      </w:pPr>
      <w:r>
        <w:rPr>
          <w:rFonts w:ascii="宋体" w:hAnsi="宋体" w:eastAsia="宋体" w:cs="宋体"/>
          <w:color w:val="auto"/>
          <w:spacing w:val="-6"/>
          <w:highlight w:val="none"/>
          <w:lang w:eastAsia="zh-CN"/>
        </w:rPr>
        <w:t>银行账号：</w:t>
      </w:r>
      <w:r>
        <w:rPr>
          <w:rFonts w:hint="eastAsia" w:ascii="宋体" w:hAnsi="宋体" w:eastAsia="宋体" w:cs="宋体"/>
          <w:color w:val="auto"/>
          <w:spacing w:val="-6"/>
          <w:highlight w:val="none"/>
          <w:lang w:eastAsia="zh-CN"/>
        </w:rPr>
        <w:t>624981470217</w:t>
      </w:r>
    </w:p>
    <w:p w14:paraId="1F996A5E">
      <w:pPr>
        <w:pageBreakBefore w:val="0"/>
        <w:widowControl w:val="0"/>
        <w:kinsoku/>
        <w:wordWrap/>
        <w:overflowPunct/>
        <w:topLinePunct w:val="0"/>
        <w:bidi w:val="0"/>
        <w:spacing w:line="440" w:lineRule="exact"/>
        <w:ind w:firstLine="422" w:firstLineChars="200"/>
        <w:textAlignment w:val="auto"/>
        <w:rPr>
          <w:rFonts w:hint="eastAsia" w:ascii="宋体" w:hAnsi="宋体" w:eastAsia="宋体" w:cs="宋体"/>
          <w:color w:val="auto"/>
          <w:szCs w:val="21"/>
          <w:highlight w:val="none"/>
        </w:rPr>
      </w:pPr>
      <w:r>
        <w:rPr>
          <w:rStyle w:val="32"/>
          <w:rFonts w:hint="eastAsia" w:ascii="宋体" w:hAnsi="宋体" w:eastAsia="宋体" w:cs="宋体"/>
          <w:color w:val="auto"/>
          <w:sz w:val="21"/>
          <w:szCs w:val="21"/>
          <w:highlight w:val="none"/>
        </w:rPr>
        <w:t>31. 解释权</w:t>
      </w:r>
      <w:bookmarkEnd w:id="127"/>
      <w:bookmarkEnd w:id="128"/>
      <w:r>
        <w:rPr>
          <w:rFonts w:hint="eastAsia" w:ascii="宋体" w:hAnsi="宋体" w:eastAsia="宋体" w:cs="宋体"/>
          <w:color w:val="auto"/>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17DD0EAF">
      <w:pPr>
        <w:spacing w:line="360" w:lineRule="exact"/>
        <w:ind w:left="315"/>
        <w:rPr>
          <w:rFonts w:ascii="宋体" w:hAnsi="宋体"/>
          <w:color w:val="auto"/>
          <w:highlight w:val="none"/>
        </w:rPr>
      </w:pPr>
      <w:bookmarkStart w:id="129" w:name="_Toc32738"/>
      <w:r>
        <w:rPr>
          <w:rStyle w:val="32"/>
          <w:rFonts w:hint="eastAsia" w:ascii="宋体" w:hAnsi="宋体" w:eastAsia="宋体" w:cs="宋体"/>
          <w:color w:val="auto"/>
          <w:sz w:val="21"/>
          <w:szCs w:val="21"/>
          <w:highlight w:val="none"/>
        </w:rPr>
        <w:t>32. 监督管理机构</w:t>
      </w:r>
      <w:bookmarkEnd w:id="129"/>
      <w:r>
        <w:rPr>
          <w:rFonts w:hint="eastAsia" w:ascii="宋体" w:hAnsi="宋体" w:eastAsia="宋体" w:cs="宋体"/>
          <w:color w:val="auto"/>
          <w:szCs w:val="21"/>
          <w:highlight w:val="none"/>
        </w:rPr>
        <w:t>：</w:t>
      </w:r>
      <w:r>
        <w:rPr>
          <w:rFonts w:hint="eastAsia" w:ascii="宋体" w:hAnsi="宋体" w:cs="宋体"/>
          <w:color w:val="auto"/>
          <w:szCs w:val="21"/>
          <w:highlight w:val="none"/>
        </w:rPr>
        <w:t>贵港市财政局政府采购监督管理科    联系电话： 0775-4555290、0775-4564649</w:t>
      </w:r>
    </w:p>
    <w:p w14:paraId="13DC9F99">
      <w:pPr>
        <w:pageBreakBefore w:val="0"/>
        <w:widowControl w:val="0"/>
        <w:kinsoku/>
        <w:wordWrap/>
        <w:overflowPunct/>
        <w:topLinePunct w:val="0"/>
        <w:bidi w:val="0"/>
        <w:snapToGrid w:val="0"/>
        <w:spacing w:line="440" w:lineRule="exact"/>
        <w:ind w:firstLine="420" w:firstLineChars="200"/>
        <w:textAlignment w:val="auto"/>
        <w:rPr>
          <w:rFonts w:hint="eastAsia" w:ascii="宋体" w:hAnsi="宋体" w:eastAsia="宋体" w:cs="宋体"/>
          <w:color w:val="auto"/>
          <w:szCs w:val="21"/>
          <w:highlight w:val="none"/>
          <w:lang w:eastAsia="zh-CN"/>
        </w:rPr>
      </w:pPr>
    </w:p>
    <w:p w14:paraId="5267EA0E">
      <w:pPr>
        <w:pageBreakBefore w:val="0"/>
        <w:widowControl w:val="0"/>
        <w:kinsoku/>
        <w:wordWrap/>
        <w:overflowPunct/>
        <w:topLinePunct w:val="0"/>
        <w:bidi w:val="0"/>
        <w:spacing w:line="440" w:lineRule="exact"/>
        <w:textAlignment w:val="auto"/>
        <w:rPr>
          <w:rFonts w:hint="eastAsia"/>
          <w:color w:val="auto"/>
          <w:highlight w:val="none"/>
          <w:lang w:eastAsia="zh-CN"/>
        </w:rPr>
      </w:pPr>
    </w:p>
    <w:p w14:paraId="6D01DADA">
      <w:pPr>
        <w:pStyle w:val="11"/>
        <w:rPr>
          <w:rFonts w:hint="eastAsia"/>
          <w:color w:val="auto"/>
          <w:highlight w:val="none"/>
          <w:lang w:eastAsia="zh-CN"/>
        </w:rPr>
      </w:pPr>
    </w:p>
    <w:p w14:paraId="6787DA7B">
      <w:pPr>
        <w:pStyle w:val="11"/>
        <w:rPr>
          <w:rFonts w:hint="eastAsia"/>
          <w:color w:val="auto"/>
          <w:highlight w:val="none"/>
          <w:lang w:eastAsia="zh-CN"/>
        </w:rPr>
      </w:pPr>
    </w:p>
    <w:p w14:paraId="45F06EBB">
      <w:pPr>
        <w:pStyle w:val="11"/>
        <w:rPr>
          <w:rFonts w:hint="eastAsia"/>
          <w:color w:val="auto"/>
          <w:highlight w:val="none"/>
          <w:lang w:eastAsia="zh-CN"/>
        </w:rPr>
      </w:pPr>
    </w:p>
    <w:p w14:paraId="44992945">
      <w:pPr>
        <w:snapToGrid w:val="0"/>
        <w:rPr>
          <w:rFonts w:hint="eastAsia"/>
          <w:b/>
          <w:color w:val="auto"/>
          <w:kern w:val="0"/>
          <w:sz w:val="24"/>
          <w:highlight w:val="none"/>
        </w:rPr>
      </w:pPr>
    </w:p>
    <w:p w14:paraId="69713C2C">
      <w:pPr>
        <w:snapToGrid w:val="0"/>
        <w:rPr>
          <w:rFonts w:hint="eastAsia"/>
          <w:b/>
          <w:color w:val="auto"/>
          <w:kern w:val="0"/>
          <w:sz w:val="24"/>
          <w:highlight w:val="none"/>
        </w:rPr>
      </w:pPr>
    </w:p>
    <w:p w14:paraId="5BE23461">
      <w:pPr>
        <w:snapToGrid w:val="0"/>
        <w:rPr>
          <w:rFonts w:hint="eastAsia"/>
          <w:b/>
          <w:color w:val="auto"/>
          <w:kern w:val="0"/>
          <w:sz w:val="24"/>
          <w:highlight w:val="none"/>
        </w:rPr>
        <w:sectPr>
          <w:pgSz w:w="11906" w:h="16838"/>
          <w:pgMar w:top="1418" w:right="1115" w:bottom="1418" w:left="1131" w:header="851" w:footer="992" w:gutter="0"/>
          <w:pgNumType w:fmt="decimal"/>
          <w:cols w:space="720" w:num="1"/>
          <w:titlePg/>
          <w:docGrid w:type="lines" w:linePitch="312" w:charSpace="0"/>
        </w:sectPr>
      </w:pPr>
    </w:p>
    <w:p w14:paraId="3CA70D68">
      <w:pPr>
        <w:snapToGrid w:val="0"/>
        <w:rPr>
          <w:rFonts w:hint="eastAsia"/>
          <w:b/>
          <w:color w:val="auto"/>
          <w:kern w:val="0"/>
          <w:sz w:val="24"/>
          <w:highlight w:val="none"/>
        </w:rPr>
      </w:pPr>
    </w:p>
    <w:p w14:paraId="1EFDDE9E">
      <w:pPr>
        <w:snapToGrid w:val="0"/>
        <w:rPr>
          <w:rFonts w:hAnsi="宋体"/>
          <w:b/>
          <w:color w:val="auto"/>
          <w:kern w:val="0"/>
          <w:sz w:val="24"/>
          <w:highlight w:val="none"/>
        </w:rPr>
      </w:pPr>
      <w:r>
        <w:rPr>
          <w:rFonts w:hint="eastAsia"/>
          <w:b/>
          <w:color w:val="auto"/>
          <w:kern w:val="0"/>
          <w:sz w:val="24"/>
          <w:highlight w:val="none"/>
        </w:rPr>
        <w:t>附表1：</w:t>
      </w:r>
    </w:p>
    <w:p w14:paraId="5BB3CAAE">
      <w:pPr>
        <w:spacing w:line="460" w:lineRule="exact"/>
        <w:jc w:val="center"/>
        <w:rPr>
          <w:rFonts w:eastAsia="隶书"/>
          <w:color w:val="auto"/>
          <w:kern w:val="0"/>
          <w:sz w:val="44"/>
          <w:highlight w:val="none"/>
        </w:rPr>
      </w:pPr>
      <w:r>
        <w:rPr>
          <w:rFonts w:hint="eastAsia" w:eastAsia="隶书"/>
          <w:color w:val="auto"/>
          <w:kern w:val="0"/>
          <w:sz w:val="44"/>
          <w:highlight w:val="none"/>
        </w:rPr>
        <w:t>质疑函（格式）</w:t>
      </w:r>
    </w:p>
    <w:p w14:paraId="42C503B2">
      <w:pPr>
        <w:snapToGrid w:val="0"/>
        <w:spacing w:line="360" w:lineRule="exact"/>
        <w:ind w:firstLine="422" w:firstLineChars="200"/>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一、质疑供应商基本信息：</w:t>
      </w:r>
    </w:p>
    <w:p w14:paraId="5F9D317E">
      <w:pPr>
        <w:snapToGrid w:val="0"/>
        <w:spacing w:line="36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质疑供应商：</w:t>
      </w:r>
    </w:p>
    <w:p w14:paraId="79CD34E3">
      <w:pPr>
        <w:snapToGrid w:val="0"/>
        <w:spacing w:line="36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地址：邮编：</w:t>
      </w:r>
    </w:p>
    <w:p w14:paraId="70A09C7A">
      <w:pPr>
        <w:snapToGrid w:val="0"/>
        <w:spacing w:line="36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联系人：联系电话：</w:t>
      </w:r>
    </w:p>
    <w:p w14:paraId="5AFCBE7B">
      <w:pPr>
        <w:snapToGrid w:val="0"/>
        <w:spacing w:line="36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授权代表：</w:t>
      </w:r>
    </w:p>
    <w:p w14:paraId="51B178FA">
      <w:pPr>
        <w:snapToGrid w:val="0"/>
        <w:spacing w:line="36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联系电话：</w:t>
      </w:r>
    </w:p>
    <w:p w14:paraId="62AD7CBC">
      <w:pPr>
        <w:snapToGrid w:val="0"/>
        <w:spacing w:line="36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地址：邮编：</w:t>
      </w:r>
    </w:p>
    <w:p w14:paraId="7317FD7F">
      <w:pPr>
        <w:snapToGrid w:val="0"/>
        <w:spacing w:line="360" w:lineRule="exact"/>
        <w:ind w:firstLine="422" w:firstLineChars="200"/>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二、质疑项目基本情况：</w:t>
      </w:r>
    </w:p>
    <w:p w14:paraId="54F132F0">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bCs/>
          <w:color w:val="auto"/>
          <w:kern w:val="0"/>
          <w:highlight w:val="none"/>
        </w:rPr>
        <w:t>质疑</w:t>
      </w:r>
      <w:r>
        <w:rPr>
          <w:rFonts w:hint="eastAsia" w:ascii="宋体" w:hAnsi="宋体" w:eastAsia="宋体" w:cs="宋体"/>
          <w:color w:val="auto"/>
          <w:kern w:val="0"/>
          <w:szCs w:val="21"/>
          <w:highlight w:val="none"/>
        </w:rPr>
        <w:t>项目的名称：</w:t>
      </w:r>
    </w:p>
    <w:p w14:paraId="6A55EF07">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bCs/>
          <w:color w:val="auto"/>
          <w:kern w:val="0"/>
          <w:highlight w:val="none"/>
        </w:rPr>
        <w:t>质疑</w:t>
      </w:r>
      <w:r>
        <w:rPr>
          <w:rFonts w:hint="eastAsia" w:ascii="宋体" w:hAnsi="宋体" w:eastAsia="宋体" w:cs="宋体"/>
          <w:color w:val="auto"/>
          <w:kern w:val="0"/>
          <w:szCs w:val="21"/>
          <w:highlight w:val="none"/>
        </w:rPr>
        <w:t>项目的编号：</w:t>
      </w:r>
    </w:p>
    <w:p w14:paraId="6E0EFD51">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采购人名称：</w:t>
      </w:r>
    </w:p>
    <w:p w14:paraId="128D1913">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质疑事项：</w:t>
      </w:r>
    </w:p>
    <w:p w14:paraId="1231E75F">
      <w:pPr>
        <w:spacing w:line="360" w:lineRule="exact"/>
        <w:ind w:left="25" w:leftChars="12" w:firstLine="441" w:firstLineChars="147"/>
        <w:rPr>
          <w:rFonts w:hint="eastAsia" w:ascii="宋体" w:hAnsi="宋体" w:eastAsia="宋体" w:cs="宋体"/>
          <w:color w:val="auto"/>
          <w:kern w:val="0"/>
          <w:szCs w:val="21"/>
          <w:highlight w:val="none"/>
        </w:rPr>
      </w:pPr>
      <w:r>
        <w:rPr>
          <w:rFonts w:hint="eastAsia" w:ascii="宋体" w:hAnsi="宋体" w:eastAsia="宋体" w:cs="宋体"/>
          <w:color w:val="auto"/>
          <w:kern w:val="0"/>
          <w:sz w:val="30"/>
          <w:szCs w:val="30"/>
          <w:highlight w:val="none"/>
        </w:rPr>
        <w:t>□</w:t>
      </w:r>
      <w:r>
        <w:rPr>
          <w:rFonts w:hint="eastAsia" w:ascii="宋体" w:hAnsi="宋体" w:eastAsia="宋体" w:cs="宋体"/>
          <w:color w:val="auto"/>
          <w:kern w:val="0"/>
          <w:szCs w:val="21"/>
          <w:highlight w:val="none"/>
        </w:rPr>
        <w:t>采购文件   采购文件获取日期：</w:t>
      </w:r>
    </w:p>
    <w:p w14:paraId="41EF6289">
      <w:pPr>
        <w:spacing w:line="360" w:lineRule="exact"/>
        <w:ind w:left="25" w:leftChars="12" w:firstLine="441" w:firstLineChars="147"/>
        <w:rPr>
          <w:rFonts w:hint="eastAsia" w:ascii="宋体" w:hAnsi="宋体" w:eastAsia="宋体" w:cs="宋体"/>
          <w:color w:val="auto"/>
          <w:kern w:val="0"/>
          <w:szCs w:val="21"/>
          <w:highlight w:val="none"/>
        </w:rPr>
      </w:pPr>
      <w:r>
        <w:rPr>
          <w:rFonts w:hint="eastAsia" w:ascii="宋体" w:hAnsi="宋体" w:eastAsia="宋体" w:cs="宋体"/>
          <w:color w:val="auto"/>
          <w:kern w:val="0"/>
          <w:sz w:val="30"/>
          <w:szCs w:val="30"/>
          <w:highlight w:val="none"/>
        </w:rPr>
        <w:t>□</w:t>
      </w:r>
      <w:r>
        <w:rPr>
          <w:rFonts w:hint="eastAsia" w:ascii="宋体" w:hAnsi="宋体" w:eastAsia="宋体" w:cs="宋体"/>
          <w:color w:val="auto"/>
          <w:kern w:val="0"/>
          <w:szCs w:val="21"/>
          <w:highlight w:val="none"/>
        </w:rPr>
        <w:t xml:space="preserve">采购过程   </w:t>
      </w:r>
    </w:p>
    <w:p w14:paraId="63A41983">
      <w:pPr>
        <w:spacing w:line="360" w:lineRule="exact"/>
        <w:ind w:left="25" w:leftChars="12" w:firstLine="441" w:firstLineChars="147"/>
        <w:rPr>
          <w:rFonts w:hint="eastAsia" w:ascii="宋体" w:hAnsi="宋体" w:eastAsia="宋体" w:cs="宋体"/>
          <w:bCs/>
          <w:color w:val="auto"/>
          <w:kern w:val="0"/>
          <w:highlight w:val="none"/>
          <w:u w:val="single"/>
        </w:rPr>
      </w:pPr>
      <w:r>
        <w:rPr>
          <w:rFonts w:hint="eastAsia" w:ascii="宋体" w:hAnsi="宋体" w:eastAsia="宋体" w:cs="宋体"/>
          <w:color w:val="auto"/>
          <w:kern w:val="0"/>
          <w:sz w:val="30"/>
          <w:szCs w:val="30"/>
          <w:highlight w:val="none"/>
        </w:rPr>
        <w:t>□</w:t>
      </w:r>
      <w:r>
        <w:rPr>
          <w:rFonts w:hint="eastAsia" w:ascii="宋体" w:hAnsi="宋体" w:eastAsia="宋体" w:cs="宋体"/>
          <w:color w:val="auto"/>
          <w:kern w:val="0"/>
          <w:szCs w:val="21"/>
          <w:highlight w:val="none"/>
        </w:rPr>
        <w:t xml:space="preserve">成交结果   </w:t>
      </w:r>
    </w:p>
    <w:p w14:paraId="32C8063A">
      <w:pPr>
        <w:spacing w:line="360" w:lineRule="exact"/>
        <w:ind w:left="25" w:leftChars="12" w:firstLine="413" w:firstLine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三、质疑事项具体内容</w:t>
      </w:r>
    </w:p>
    <w:p w14:paraId="44F7178A">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质疑事项1：</w:t>
      </w:r>
    </w:p>
    <w:p w14:paraId="55077992">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事实依据：</w:t>
      </w:r>
    </w:p>
    <w:p w14:paraId="703471AA">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法律依据：</w:t>
      </w:r>
    </w:p>
    <w:p w14:paraId="20278F62">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质疑事项2</w:t>
      </w:r>
    </w:p>
    <w:p w14:paraId="5A812C9C">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p w14:paraId="501FE56F">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四、与质疑事项相关的质疑请求：</w:t>
      </w:r>
    </w:p>
    <w:p w14:paraId="74E55114">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请求：</w:t>
      </w:r>
    </w:p>
    <w:p w14:paraId="040ECFF4">
      <w:pPr>
        <w:spacing w:line="360" w:lineRule="exact"/>
        <w:ind w:left="25" w:leftChars="12" w:firstLine="308" w:firstLineChars="147"/>
        <w:rPr>
          <w:rFonts w:hint="eastAsia" w:ascii="宋体" w:hAnsi="宋体" w:eastAsia="宋体" w:cs="宋体"/>
          <w:color w:val="auto"/>
          <w:kern w:val="0"/>
          <w:szCs w:val="21"/>
          <w:highlight w:val="none"/>
        </w:rPr>
      </w:pPr>
    </w:p>
    <w:p w14:paraId="077A9038">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签字（签章）：                                       公章：</w:t>
      </w:r>
    </w:p>
    <w:p w14:paraId="3882A69D">
      <w:pPr>
        <w:spacing w:line="360" w:lineRule="exact"/>
        <w:ind w:left="25" w:leftChars="12" w:firstLine="308" w:firstLineChars="147"/>
        <w:rPr>
          <w:rFonts w:hint="eastAsia" w:ascii="宋体" w:hAnsi="宋体" w:eastAsia="宋体" w:cs="宋体"/>
          <w:color w:val="auto"/>
          <w:kern w:val="0"/>
          <w:szCs w:val="21"/>
          <w:highlight w:val="none"/>
        </w:rPr>
      </w:pPr>
    </w:p>
    <w:p w14:paraId="2685A7FC">
      <w:pPr>
        <w:spacing w:line="36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w:t>
      </w:r>
    </w:p>
    <w:p w14:paraId="0122341B">
      <w:pPr>
        <w:snapToGrid w:val="0"/>
        <w:spacing w:line="340" w:lineRule="exact"/>
        <w:rPr>
          <w:rFonts w:hint="eastAsia" w:ascii="宋体" w:hAnsi="宋体" w:eastAsia="宋体" w:cs="宋体"/>
          <w:b/>
          <w:color w:val="auto"/>
          <w:kern w:val="0"/>
          <w:szCs w:val="21"/>
          <w:highlight w:val="none"/>
        </w:rPr>
      </w:pPr>
    </w:p>
    <w:p w14:paraId="6114746B">
      <w:pPr>
        <w:snapToGrid w:val="0"/>
        <w:spacing w:line="34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说明：</w:t>
      </w:r>
    </w:p>
    <w:p w14:paraId="79264D4E">
      <w:pPr>
        <w:spacing w:line="340" w:lineRule="exact"/>
        <w:ind w:left="25" w:leftChars="12" w:firstLine="310" w:firstLineChars="147"/>
        <w:rPr>
          <w:rFonts w:hint="eastAsia" w:ascii="宋体" w:hAnsi="宋体" w:eastAsia="宋体" w:cs="宋体"/>
          <w:b/>
          <w:bCs/>
          <w:color w:val="auto"/>
          <w:kern w:val="0"/>
          <w:highlight w:val="none"/>
        </w:rPr>
      </w:pPr>
      <w:r>
        <w:rPr>
          <w:rFonts w:hint="eastAsia" w:ascii="宋体" w:hAnsi="宋体" w:eastAsia="宋体" w:cs="宋体"/>
          <w:b/>
          <w:color w:val="auto"/>
          <w:kern w:val="0"/>
          <w:szCs w:val="21"/>
          <w:highlight w:val="none"/>
        </w:rPr>
        <w:t>1.供应商提出质疑时，应提交质疑函和必要的证明材料</w:t>
      </w:r>
      <w:r>
        <w:rPr>
          <w:rFonts w:hint="eastAsia" w:ascii="宋体" w:hAnsi="宋体" w:eastAsia="宋体" w:cs="宋体"/>
          <w:b/>
          <w:bCs/>
          <w:color w:val="auto"/>
          <w:kern w:val="0"/>
          <w:highlight w:val="none"/>
        </w:rPr>
        <w:t>。</w:t>
      </w:r>
    </w:p>
    <w:p w14:paraId="3C18A7D4">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68D218A">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3.质疑函的质疑事项应具体、明确，并有必要的事实依据和法律依据。</w:t>
      </w:r>
    </w:p>
    <w:p w14:paraId="3C3DAD6F">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4.质疑函的质疑请求应与质疑事项相关。</w:t>
      </w:r>
    </w:p>
    <w:p w14:paraId="5C90603B">
      <w:pPr>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6.质疑供应商为法人或者其他组织的，质疑函应由法定代表人、主要负责人，或者其授权代表签字或者盖章，并加盖公章。</w:t>
      </w:r>
    </w:p>
    <w:p w14:paraId="579E02F5">
      <w:pPr>
        <w:snapToGrid w:val="0"/>
        <w:rPr>
          <w:rFonts w:hAnsi="宋体"/>
          <w:b/>
          <w:color w:val="auto"/>
          <w:kern w:val="0"/>
          <w:sz w:val="24"/>
          <w:highlight w:val="none"/>
        </w:rPr>
      </w:pPr>
      <w:r>
        <w:rPr>
          <w:rFonts w:hint="eastAsia"/>
          <w:b/>
          <w:color w:val="auto"/>
          <w:kern w:val="0"/>
          <w:sz w:val="24"/>
          <w:highlight w:val="none"/>
        </w:rPr>
        <w:t>附表2：</w:t>
      </w:r>
    </w:p>
    <w:p w14:paraId="2942FA55">
      <w:pPr>
        <w:spacing w:line="460" w:lineRule="exact"/>
        <w:jc w:val="center"/>
        <w:rPr>
          <w:rFonts w:eastAsia="隶书"/>
          <w:color w:val="auto"/>
          <w:kern w:val="0"/>
          <w:sz w:val="44"/>
          <w:highlight w:val="none"/>
        </w:rPr>
      </w:pPr>
    </w:p>
    <w:p w14:paraId="60533279">
      <w:pPr>
        <w:spacing w:line="460" w:lineRule="exact"/>
        <w:jc w:val="center"/>
        <w:rPr>
          <w:rFonts w:eastAsia="隶书"/>
          <w:color w:val="auto"/>
          <w:kern w:val="0"/>
          <w:sz w:val="44"/>
          <w:highlight w:val="none"/>
        </w:rPr>
      </w:pPr>
      <w:r>
        <w:rPr>
          <w:rFonts w:hint="eastAsia" w:eastAsia="隶书"/>
          <w:color w:val="auto"/>
          <w:kern w:val="0"/>
          <w:sz w:val="44"/>
          <w:highlight w:val="none"/>
        </w:rPr>
        <w:t>投诉书（格式）</w:t>
      </w:r>
    </w:p>
    <w:p w14:paraId="3C12A4C6">
      <w:pPr>
        <w:snapToGrid w:val="0"/>
        <w:spacing w:line="400" w:lineRule="exact"/>
        <w:ind w:firstLine="422" w:firstLineChars="200"/>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一、投诉相关主体基本情况：</w:t>
      </w:r>
    </w:p>
    <w:p w14:paraId="5314F8F3">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供应商：</w:t>
      </w:r>
    </w:p>
    <w:p w14:paraId="5174F76D">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地址：邮编：</w:t>
      </w:r>
    </w:p>
    <w:p w14:paraId="074F4FA5">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法定代表人/主要负责人：</w:t>
      </w:r>
    </w:p>
    <w:p w14:paraId="794DC231">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联系电话：</w:t>
      </w:r>
    </w:p>
    <w:p w14:paraId="6FFE9DAF">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授权代表：联系电话：</w:t>
      </w:r>
    </w:p>
    <w:p w14:paraId="15E39F75">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地址：邮编：</w:t>
      </w:r>
    </w:p>
    <w:p w14:paraId="11617179">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被投诉人1：</w:t>
      </w:r>
    </w:p>
    <w:p w14:paraId="2E23DD26">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地址：邮编：</w:t>
      </w:r>
    </w:p>
    <w:p w14:paraId="683F475D">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联系人：联系电话：</w:t>
      </w:r>
    </w:p>
    <w:p w14:paraId="629B16EF">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被投诉人2：</w:t>
      </w:r>
    </w:p>
    <w:p w14:paraId="2823C3FC">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w:t>
      </w:r>
    </w:p>
    <w:p w14:paraId="516F4988">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相关供应商：</w:t>
      </w:r>
    </w:p>
    <w:p w14:paraId="3A4AE26F">
      <w:pPr>
        <w:snapToGrid w:val="0"/>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地址：邮编：</w:t>
      </w:r>
    </w:p>
    <w:p w14:paraId="0692636F">
      <w:pPr>
        <w:snapToGrid w:val="0"/>
        <w:spacing w:line="400" w:lineRule="exact"/>
        <w:ind w:firstLine="420" w:firstLineChars="200"/>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联系人：联系电话：</w:t>
      </w:r>
    </w:p>
    <w:p w14:paraId="5F474C0C">
      <w:pPr>
        <w:snapToGrid w:val="0"/>
        <w:spacing w:line="400" w:lineRule="exact"/>
        <w:ind w:firstLine="422" w:firstLineChars="200"/>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二、投诉项目基本情况：</w:t>
      </w:r>
    </w:p>
    <w:p w14:paraId="189D6165">
      <w:pPr>
        <w:spacing w:line="40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bCs/>
          <w:color w:val="auto"/>
          <w:kern w:val="0"/>
          <w:highlight w:val="none"/>
        </w:rPr>
        <w:t>采购</w:t>
      </w:r>
      <w:r>
        <w:rPr>
          <w:rFonts w:hint="eastAsia" w:ascii="宋体" w:hAnsi="宋体" w:eastAsia="宋体" w:cs="宋体"/>
          <w:color w:val="auto"/>
          <w:kern w:val="0"/>
          <w:szCs w:val="21"/>
          <w:highlight w:val="none"/>
        </w:rPr>
        <w:t>项目的名称：</w:t>
      </w:r>
    </w:p>
    <w:p w14:paraId="127EE79B">
      <w:pPr>
        <w:spacing w:line="40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bCs/>
          <w:color w:val="auto"/>
          <w:kern w:val="0"/>
          <w:highlight w:val="none"/>
        </w:rPr>
        <w:t>采购</w:t>
      </w:r>
      <w:r>
        <w:rPr>
          <w:rFonts w:hint="eastAsia" w:ascii="宋体" w:hAnsi="宋体" w:eastAsia="宋体" w:cs="宋体"/>
          <w:color w:val="auto"/>
          <w:kern w:val="0"/>
          <w:szCs w:val="21"/>
          <w:highlight w:val="none"/>
        </w:rPr>
        <w:t>项目的编号：</w:t>
      </w:r>
    </w:p>
    <w:p w14:paraId="2546D03A">
      <w:pPr>
        <w:spacing w:line="400" w:lineRule="exact"/>
        <w:ind w:left="25" w:leftChars="12" w:firstLine="413" w:firstLineChars="197"/>
        <w:rPr>
          <w:rFonts w:hint="eastAsia" w:ascii="宋体" w:hAnsi="宋体" w:eastAsia="宋体" w:cs="宋体"/>
          <w:bCs/>
          <w:color w:val="auto"/>
          <w:kern w:val="0"/>
          <w:highlight w:val="none"/>
          <w:u w:val="single"/>
        </w:rPr>
      </w:pPr>
      <w:r>
        <w:rPr>
          <w:rFonts w:hint="eastAsia" w:ascii="宋体" w:hAnsi="宋体" w:eastAsia="宋体" w:cs="宋体"/>
          <w:color w:val="auto"/>
          <w:kern w:val="0"/>
          <w:szCs w:val="21"/>
          <w:highlight w:val="none"/>
        </w:rPr>
        <w:t>采购人名称：</w:t>
      </w:r>
    </w:p>
    <w:p w14:paraId="32D25E7F">
      <w:pPr>
        <w:spacing w:line="400" w:lineRule="exact"/>
        <w:ind w:left="25" w:leftChars="12" w:firstLine="413" w:firstLineChars="197"/>
        <w:rPr>
          <w:rFonts w:hint="eastAsia" w:ascii="宋体" w:hAnsi="宋体" w:eastAsia="宋体" w:cs="宋体"/>
          <w:bCs/>
          <w:color w:val="auto"/>
          <w:kern w:val="0"/>
          <w:highlight w:val="none"/>
          <w:u w:val="single"/>
        </w:rPr>
      </w:pPr>
      <w:r>
        <w:rPr>
          <w:rFonts w:hint="eastAsia" w:ascii="宋体" w:hAnsi="宋体" w:eastAsia="宋体" w:cs="宋体"/>
          <w:color w:val="auto"/>
          <w:kern w:val="0"/>
          <w:szCs w:val="21"/>
          <w:highlight w:val="none"/>
        </w:rPr>
        <w:t>代理机构名称：</w:t>
      </w:r>
    </w:p>
    <w:p w14:paraId="7B832694">
      <w:pPr>
        <w:spacing w:line="400" w:lineRule="exact"/>
        <w:ind w:left="25" w:leftChars="12" w:firstLine="413" w:firstLineChars="197"/>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采购文件公告：</w:t>
      </w:r>
      <w:r>
        <w:rPr>
          <w:rFonts w:hint="eastAsia" w:ascii="宋体" w:hAnsi="宋体" w:eastAsia="宋体" w:cs="宋体"/>
          <w:bCs/>
          <w:color w:val="auto"/>
          <w:kern w:val="0"/>
          <w:highlight w:val="none"/>
          <w:u w:val="single"/>
        </w:rPr>
        <w:t>是/否</w:t>
      </w:r>
      <w:r>
        <w:rPr>
          <w:rFonts w:hint="eastAsia" w:ascii="宋体" w:hAnsi="宋体" w:eastAsia="宋体" w:cs="宋体"/>
          <w:bCs/>
          <w:color w:val="auto"/>
          <w:kern w:val="0"/>
          <w:highlight w:val="none"/>
        </w:rPr>
        <w:t>公告期限：</w:t>
      </w:r>
    </w:p>
    <w:p w14:paraId="7F151051">
      <w:pPr>
        <w:spacing w:line="400" w:lineRule="exact"/>
        <w:ind w:left="25" w:leftChars="12" w:firstLine="413" w:firstLineChars="197"/>
        <w:rPr>
          <w:rFonts w:hint="eastAsia" w:ascii="宋体" w:hAnsi="宋体" w:eastAsia="宋体" w:cs="宋体"/>
          <w:b/>
          <w:color w:val="auto"/>
          <w:kern w:val="0"/>
          <w:szCs w:val="21"/>
          <w:highlight w:val="none"/>
        </w:rPr>
      </w:pPr>
      <w:r>
        <w:rPr>
          <w:rFonts w:hint="eastAsia" w:ascii="宋体" w:hAnsi="宋体" w:eastAsia="宋体" w:cs="宋体"/>
          <w:bCs/>
          <w:color w:val="auto"/>
          <w:kern w:val="0"/>
          <w:highlight w:val="none"/>
        </w:rPr>
        <w:t>采购结果公告：</w:t>
      </w:r>
      <w:r>
        <w:rPr>
          <w:rFonts w:hint="eastAsia" w:ascii="宋体" w:hAnsi="宋体" w:eastAsia="宋体" w:cs="宋体"/>
          <w:bCs/>
          <w:color w:val="auto"/>
          <w:kern w:val="0"/>
          <w:highlight w:val="none"/>
          <w:u w:val="single"/>
        </w:rPr>
        <w:t>是/否</w:t>
      </w:r>
      <w:r>
        <w:rPr>
          <w:rFonts w:hint="eastAsia" w:ascii="宋体" w:hAnsi="宋体" w:eastAsia="宋体" w:cs="宋体"/>
          <w:bCs/>
          <w:color w:val="auto"/>
          <w:kern w:val="0"/>
          <w:highlight w:val="none"/>
        </w:rPr>
        <w:t>公告期限：</w:t>
      </w:r>
    </w:p>
    <w:p w14:paraId="79F085F0">
      <w:pPr>
        <w:spacing w:line="400" w:lineRule="exact"/>
        <w:ind w:left="25" w:leftChars="12" w:firstLine="413" w:firstLine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三、质疑基本情况</w:t>
      </w:r>
    </w:p>
    <w:p w14:paraId="16C302CF">
      <w:pPr>
        <w:spacing w:line="400" w:lineRule="exact"/>
        <w:ind w:left="25" w:leftChars="12" w:firstLine="833" w:firstLineChars="3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投诉人于年月日，向提出质疑，质疑事项为：</w:t>
      </w:r>
    </w:p>
    <w:p w14:paraId="4DE85C02">
      <w:pPr>
        <w:spacing w:line="400" w:lineRule="exact"/>
        <w:rPr>
          <w:rFonts w:hint="eastAsia" w:ascii="宋体" w:hAnsi="宋体" w:eastAsia="宋体" w:cs="宋体"/>
          <w:bCs/>
          <w:color w:val="auto"/>
          <w:kern w:val="0"/>
          <w:highlight w:val="none"/>
          <w:u w:val="single"/>
        </w:rPr>
      </w:pPr>
    </w:p>
    <w:p w14:paraId="3374EA3D">
      <w:pPr>
        <w:spacing w:line="400" w:lineRule="exact"/>
        <w:rPr>
          <w:rFonts w:hint="eastAsia" w:ascii="宋体" w:hAnsi="宋体" w:eastAsia="宋体" w:cs="宋体"/>
          <w:bCs/>
          <w:color w:val="auto"/>
          <w:kern w:val="0"/>
          <w:highlight w:val="none"/>
          <w:u w:val="single"/>
        </w:rPr>
      </w:pPr>
    </w:p>
    <w:p w14:paraId="41268D75">
      <w:pPr>
        <w:spacing w:line="400" w:lineRule="exact"/>
        <w:rPr>
          <w:rFonts w:hint="eastAsia" w:ascii="宋体" w:hAnsi="宋体" w:eastAsia="宋体" w:cs="宋体"/>
          <w:color w:val="auto"/>
          <w:kern w:val="0"/>
          <w:szCs w:val="21"/>
          <w:highlight w:val="none"/>
        </w:rPr>
      </w:pPr>
      <w:r>
        <w:rPr>
          <w:rFonts w:hint="eastAsia" w:ascii="宋体" w:hAnsi="宋体" w:eastAsia="宋体" w:cs="宋体"/>
          <w:bCs/>
          <w:color w:val="auto"/>
          <w:kern w:val="0"/>
          <w:highlight w:val="none"/>
          <w:u w:val="single"/>
        </w:rPr>
        <w:t>采购人/代理机构</w:t>
      </w:r>
      <w:r>
        <w:rPr>
          <w:rFonts w:hint="eastAsia" w:ascii="宋体" w:hAnsi="宋体" w:eastAsia="宋体" w:cs="宋体"/>
          <w:bCs/>
          <w:color w:val="auto"/>
          <w:kern w:val="0"/>
          <w:highlight w:val="none"/>
        </w:rPr>
        <w:t>于</w:t>
      </w:r>
      <w:r>
        <w:rPr>
          <w:rFonts w:hint="eastAsia" w:ascii="宋体" w:hAnsi="宋体" w:eastAsia="宋体" w:cs="宋体"/>
          <w:color w:val="auto"/>
          <w:kern w:val="0"/>
          <w:szCs w:val="21"/>
          <w:highlight w:val="none"/>
        </w:rPr>
        <w:t>年月日，</w:t>
      </w:r>
      <w:r>
        <w:rPr>
          <w:rFonts w:hint="eastAsia" w:ascii="宋体" w:hAnsi="宋体" w:eastAsia="宋体" w:cs="宋体"/>
          <w:bCs/>
          <w:color w:val="auto"/>
          <w:kern w:val="0"/>
          <w:highlight w:val="none"/>
        </w:rPr>
        <w:t xml:space="preserve">就质疑事项作出了答复/没有在法定期限内作出答复。                                                                                             </w:t>
      </w:r>
    </w:p>
    <w:p w14:paraId="109F19AE">
      <w:pPr>
        <w:spacing w:line="400" w:lineRule="exact"/>
        <w:ind w:left="25" w:leftChars="12" w:firstLine="413" w:firstLine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四、投诉事项具体内容</w:t>
      </w:r>
    </w:p>
    <w:p w14:paraId="6A85D6F0">
      <w:pPr>
        <w:spacing w:line="400" w:lineRule="exact"/>
        <w:ind w:left="25" w:leftChars="12" w:firstLine="413" w:firstLineChars="197"/>
        <w:rPr>
          <w:rFonts w:hint="eastAsia" w:ascii="宋体" w:hAnsi="宋体" w:eastAsia="宋体" w:cs="宋体"/>
          <w:bCs/>
          <w:color w:val="auto"/>
          <w:kern w:val="0"/>
          <w:highlight w:val="none"/>
          <w:u w:val="single"/>
        </w:rPr>
      </w:pPr>
      <w:r>
        <w:rPr>
          <w:rFonts w:hint="eastAsia" w:ascii="宋体" w:hAnsi="宋体" w:eastAsia="宋体" w:cs="宋体"/>
          <w:color w:val="auto"/>
          <w:kern w:val="0"/>
          <w:szCs w:val="21"/>
          <w:highlight w:val="none"/>
        </w:rPr>
        <w:t>投诉事项1：</w:t>
      </w:r>
    </w:p>
    <w:p w14:paraId="42BA20C4">
      <w:pPr>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事实依据：</w:t>
      </w:r>
    </w:p>
    <w:p w14:paraId="6A0E27AA">
      <w:pPr>
        <w:spacing w:line="400" w:lineRule="exact"/>
        <w:ind w:left="25" w:leftChars="12" w:firstLine="413" w:firstLineChars="197"/>
        <w:rPr>
          <w:rFonts w:hint="eastAsia" w:ascii="宋体" w:hAnsi="宋体" w:eastAsia="宋体" w:cs="宋体"/>
          <w:color w:val="auto"/>
          <w:kern w:val="0"/>
          <w:szCs w:val="21"/>
          <w:highlight w:val="none"/>
        </w:rPr>
      </w:pPr>
    </w:p>
    <w:p w14:paraId="39196C06">
      <w:pPr>
        <w:spacing w:line="400" w:lineRule="exact"/>
        <w:ind w:firstLine="420" w:firstLineChars="200"/>
        <w:rPr>
          <w:rFonts w:hint="eastAsia" w:ascii="宋体" w:hAnsi="宋体" w:eastAsia="宋体" w:cs="宋体"/>
          <w:bCs/>
          <w:color w:val="auto"/>
          <w:kern w:val="0"/>
          <w:highlight w:val="none"/>
          <w:u w:val="single"/>
        </w:rPr>
      </w:pPr>
      <w:r>
        <w:rPr>
          <w:rFonts w:hint="eastAsia" w:ascii="宋体" w:hAnsi="宋体" w:eastAsia="宋体" w:cs="宋体"/>
          <w:bCs/>
          <w:color w:val="auto"/>
          <w:kern w:val="0"/>
          <w:highlight w:val="none"/>
        </w:rPr>
        <w:t>法律依据：</w:t>
      </w:r>
    </w:p>
    <w:p w14:paraId="68806E06">
      <w:pPr>
        <w:spacing w:line="400" w:lineRule="exact"/>
        <w:ind w:left="25" w:leftChars="12" w:firstLine="308" w:firstLineChars="147"/>
        <w:rPr>
          <w:rFonts w:hint="eastAsia" w:ascii="宋体" w:hAnsi="宋体" w:eastAsia="宋体" w:cs="宋体"/>
          <w:bCs/>
          <w:color w:val="auto"/>
          <w:kern w:val="0"/>
          <w:highlight w:val="none"/>
          <w:u w:val="single"/>
        </w:rPr>
      </w:pPr>
    </w:p>
    <w:p w14:paraId="670B5114">
      <w:pPr>
        <w:spacing w:line="400" w:lineRule="exact"/>
        <w:ind w:left="25" w:leftChars="12" w:firstLine="413" w:firstLineChars="197"/>
        <w:rPr>
          <w:rFonts w:hint="eastAsia" w:ascii="宋体" w:hAnsi="宋体" w:eastAsia="宋体" w:cs="宋体"/>
          <w:bCs/>
          <w:color w:val="auto"/>
          <w:kern w:val="0"/>
          <w:highlight w:val="none"/>
        </w:rPr>
      </w:pPr>
      <w:r>
        <w:rPr>
          <w:rFonts w:hint="eastAsia" w:ascii="宋体" w:hAnsi="宋体" w:eastAsia="宋体" w:cs="宋体"/>
          <w:color w:val="auto"/>
          <w:kern w:val="0"/>
          <w:szCs w:val="21"/>
          <w:highlight w:val="none"/>
        </w:rPr>
        <w:t xml:space="preserve">投诉事项2  </w:t>
      </w:r>
    </w:p>
    <w:p w14:paraId="7054B6D1">
      <w:pPr>
        <w:spacing w:line="400" w:lineRule="exact"/>
        <w:ind w:left="25" w:leftChars="12" w:firstLine="413" w:firstLineChars="197"/>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w:t>
      </w:r>
    </w:p>
    <w:p w14:paraId="77B1D70B">
      <w:pPr>
        <w:spacing w:line="400" w:lineRule="exact"/>
        <w:ind w:left="25" w:leftChars="12" w:firstLine="413" w:firstLine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五、与投诉事项相关的投诉请求：</w:t>
      </w:r>
    </w:p>
    <w:p w14:paraId="4B54BF8C">
      <w:pPr>
        <w:spacing w:line="40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请求：</w:t>
      </w:r>
    </w:p>
    <w:p w14:paraId="13585D56">
      <w:pPr>
        <w:spacing w:line="400" w:lineRule="exact"/>
        <w:ind w:left="25" w:leftChars="12" w:firstLine="308" w:firstLineChars="147"/>
        <w:rPr>
          <w:rFonts w:hint="eastAsia" w:ascii="宋体" w:hAnsi="宋体" w:eastAsia="宋体" w:cs="宋体"/>
          <w:color w:val="auto"/>
          <w:kern w:val="0"/>
          <w:szCs w:val="21"/>
          <w:highlight w:val="none"/>
        </w:rPr>
      </w:pPr>
    </w:p>
    <w:p w14:paraId="43585D4F">
      <w:pPr>
        <w:spacing w:line="40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签字（签章）：                                       公章：</w:t>
      </w:r>
    </w:p>
    <w:p w14:paraId="19FA6D95">
      <w:pPr>
        <w:spacing w:line="400" w:lineRule="exact"/>
        <w:ind w:left="25" w:leftChars="12" w:firstLine="308" w:firstLineChars="147"/>
        <w:rPr>
          <w:rFonts w:hint="eastAsia" w:ascii="宋体" w:hAnsi="宋体" w:eastAsia="宋体" w:cs="宋体"/>
          <w:color w:val="auto"/>
          <w:kern w:val="0"/>
          <w:szCs w:val="21"/>
          <w:highlight w:val="none"/>
        </w:rPr>
      </w:pPr>
    </w:p>
    <w:p w14:paraId="786DBD6B">
      <w:pPr>
        <w:spacing w:line="400" w:lineRule="exact"/>
        <w:ind w:left="25" w:leftChars="12" w:firstLine="413" w:firstLineChars="197"/>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w:t>
      </w:r>
    </w:p>
    <w:p w14:paraId="0235E1CD">
      <w:pPr>
        <w:spacing w:line="360" w:lineRule="exact"/>
        <w:ind w:left="25" w:leftChars="12" w:firstLine="413" w:firstLineChars="197"/>
        <w:rPr>
          <w:rFonts w:hint="eastAsia" w:ascii="宋体" w:hAnsi="宋体" w:eastAsia="宋体" w:cs="宋体"/>
          <w:color w:val="auto"/>
          <w:kern w:val="0"/>
          <w:szCs w:val="21"/>
          <w:highlight w:val="none"/>
        </w:rPr>
      </w:pPr>
    </w:p>
    <w:p w14:paraId="4965930E">
      <w:pPr>
        <w:snapToGrid w:val="0"/>
        <w:spacing w:line="340" w:lineRule="exact"/>
        <w:rPr>
          <w:rFonts w:hint="eastAsia" w:ascii="宋体" w:hAnsi="宋体" w:eastAsia="宋体" w:cs="宋体"/>
          <w:b/>
          <w:color w:val="auto"/>
          <w:kern w:val="0"/>
          <w:szCs w:val="21"/>
          <w:highlight w:val="none"/>
        </w:rPr>
      </w:pPr>
    </w:p>
    <w:p w14:paraId="7F893BA2">
      <w:pPr>
        <w:snapToGrid w:val="0"/>
        <w:spacing w:line="34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说明：</w:t>
      </w:r>
    </w:p>
    <w:p w14:paraId="10187539">
      <w:pPr>
        <w:spacing w:line="340" w:lineRule="exact"/>
        <w:ind w:left="25" w:leftChars="12" w:firstLine="310" w:firstLineChars="147"/>
        <w:rPr>
          <w:rFonts w:hint="eastAsia" w:ascii="宋体" w:hAnsi="宋体" w:eastAsia="宋体" w:cs="宋体"/>
          <w:b/>
          <w:bCs/>
          <w:color w:val="auto"/>
          <w:kern w:val="0"/>
          <w:highlight w:val="none"/>
        </w:rPr>
      </w:pPr>
      <w:r>
        <w:rPr>
          <w:rFonts w:hint="eastAsia" w:ascii="宋体" w:hAnsi="宋体" w:eastAsia="宋体" w:cs="宋体"/>
          <w:b/>
          <w:color w:val="auto"/>
          <w:kern w:val="0"/>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highlight w:val="none"/>
        </w:rPr>
        <w:t>。</w:t>
      </w:r>
    </w:p>
    <w:p w14:paraId="01949BA0">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B51261E">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3.投诉书应简要列明质疑事项，质疑函、质疑答复等作为附件材料提供。</w:t>
      </w:r>
    </w:p>
    <w:p w14:paraId="6021FDBC">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4.投诉书的投诉事项应具体、明确，并有必要的事实依据和法律依据。</w:t>
      </w:r>
    </w:p>
    <w:p w14:paraId="5780103F">
      <w:pPr>
        <w:spacing w:line="340" w:lineRule="exact"/>
        <w:ind w:left="25" w:leftChars="12" w:firstLine="310" w:firstLineChars="147"/>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5.投诉书的投诉请求应与投诉事项相关。</w:t>
      </w:r>
    </w:p>
    <w:p w14:paraId="13669BBD">
      <w:pPr>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6.</w:t>
      </w:r>
      <w:r>
        <w:rPr>
          <w:rFonts w:hint="eastAsia" w:ascii="宋体" w:hAnsi="宋体" w:eastAsia="宋体" w:cs="宋体"/>
          <w:b/>
          <w:color w:val="auto"/>
          <w:szCs w:val="21"/>
          <w:highlight w:val="none"/>
        </w:rPr>
        <w:t>投诉人为法人或者其他组织的，投诉书应由法定代表人、主要负责人，或者其授权代表签字或者盖章，并加盖公章。</w:t>
      </w:r>
    </w:p>
    <w:p w14:paraId="22F3A977">
      <w:pPr>
        <w:spacing w:line="340" w:lineRule="exact"/>
        <w:ind w:left="25" w:leftChars="12" w:firstLine="310" w:firstLineChars="147"/>
        <w:rPr>
          <w:rFonts w:hAnsi="宋体"/>
          <w:b/>
          <w:color w:val="auto"/>
          <w:kern w:val="0"/>
          <w:szCs w:val="21"/>
          <w:highlight w:val="none"/>
        </w:rPr>
      </w:pPr>
    </w:p>
    <w:p w14:paraId="314E8622">
      <w:pPr>
        <w:pStyle w:val="3"/>
        <w:rPr>
          <w:rFonts w:hint="eastAsia"/>
          <w:color w:val="auto"/>
          <w:highlight w:val="none"/>
          <w:lang w:eastAsia="zh-CN"/>
        </w:rPr>
      </w:pPr>
    </w:p>
    <w:p w14:paraId="216185FA">
      <w:pPr>
        <w:rPr>
          <w:rFonts w:hint="eastAsia"/>
          <w:color w:val="auto"/>
          <w:highlight w:val="none"/>
          <w:lang w:eastAsia="zh-CN"/>
        </w:rPr>
      </w:pPr>
    </w:p>
    <w:p w14:paraId="0A25248D">
      <w:pPr>
        <w:pStyle w:val="3"/>
        <w:rPr>
          <w:rFonts w:hint="eastAsia"/>
          <w:color w:val="auto"/>
          <w:highlight w:val="none"/>
          <w:lang w:eastAsia="zh-CN"/>
        </w:rPr>
      </w:pPr>
    </w:p>
    <w:p w14:paraId="2B7FBF87">
      <w:pPr>
        <w:rPr>
          <w:rFonts w:hint="eastAsia"/>
          <w:color w:val="auto"/>
          <w:highlight w:val="none"/>
          <w:lang w:eastAsia="zh-CN"/>
        </w:rPr>
      </w:pPr>
    </w:p>
    <w:p w14:paraId="13C60658">
      <w:pPr>
        <w:pStyle w:val="3"/>
        <w:rPr>
          <w:rFonts w:hint="eastAsia"/>
          <w:color w:val="auto"/>
          <w:highlight w:val="none"/>
          <w:lang w:eastAsia="zh-CN"/>
        </w:rPr>
      </w:pPr>
    </w:p>
    <w:p w14:paraId="3B7EFEF7">
      <w:pPr>
        <w:rPr>
          <w:rFonts w:hint="eastAsia"/>
          <w:color w:val="auto"/>
          <w:highlight w:val="none"/>
          <w:lang w:eastAsia="zh-CN"/>
        </w:rPr>
      </w:pPr>
    </w:p>
    <w:p w14:paraId="01F37802">
      <w:pPr>
        <w:pStyle w:val="33"/>
        <w:rPr>
          <w:rFonts w:hint="eastAsia"/>
          <w:color w:val="auto"/>
          <w:highlight w:val="none"/>
          <w:lang w:eastAsia="zh-CN"/>
        </w:rPr>
      </w:pPr>
    </w:p>
    <w:p w14:paraId="19DD734B">
      <w:pPr>
        <w:rPr>
          <w:rFonts w:hint="eastAsia"/>
          <w:color w:val="auto"/>
          <w:highlight w:val="none"/>
          <w:lang w:eastAsia="zh-CN"/>
        </w:rPr>
      </w:pPr>
    </w:p>
    <w:p w14:paraId="03E753BD">
      <w:pPr>
        <w:pStyle w:val="9"/>
        <w:rPr>
          <w:rFonts w:hint="eastAsia"/>
          <w:color w:val="auto"/>
          <w:highlight w:val="none"/>
          <w:lang w:eastAsia="zh-CN"/>
        </w:rPr>
      </w:pPr>
    </w:p>
    <w:p w14:paraId="2605E2E4">
      <w:pPr>
        <w:rPr>
          <w:rFonts w:hint="eastAsia"/>
          <w:color w:val="auto"/>
          <w:highlight w:val="none"/>
          <w:lang w:eastAsia="zh-CN"/>
        </w:rPr>
      </w:pPr>
    </w:p>
    <w:p w14:paraId="6AB32977">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eastAsia="宋体"/>
          <w:color w:val="auto"/>
          <w:sz w:val="32"/>
          <w:szCs w:val="32"/>
          <w:highlight w:val="none"/>
          <w:lang w:eastAsia="zh-CN"/>
        </w:rPr>
      </w:pPr>
      <w:bookmarkStart w:id="130" w:name="_Toc31415"/>
      <w:bookmarkStart w:id="131" w:name="_Toc28939"/>
      <w:bookmarkStart w:id="132" w:name="_Toc2989"/>
      <w:r>
        <w:rPr>
          <w:rFonts w:hint="eastAsia"/>
          <w:color w:val="auto"/>
          <w:sz w:val="32"/>
          <w:szCs w:val="32"/>
          <w:highlight w:val="none"/>
        </w:rPr>
        <w:t xml:space="preserve">第三章  </w:t>
      </w:r>
      <w:r>
        <w:rPr>
          <w:rFonts w:hint="eastAsia"/>
          <w:color w:val="auto"/>
          <w:sz w:val="32"/>
          <w:szCs w:val="32"/>
          <w:highlight w:val="none"/>
          <w:lang w:eastAsia="zh-CN"/>
        </w:rPr>
        <w:t>工程量清单</w:t>
      </w:r>
      <w:bookmarkEnd w:id="130"/>
      <w:bookmarkEnd w:id="131"/>
    </w:p>
    <w:p w14:paraId="672EAC13">
      <w:pPr>
        <w:adjustRightInd w:val="0"/>
        <w:spacing w:line="400" w:lineRule="exact"/>
        <w:ind w:firstLine="1205" w:firstLineChars="500"/>
        <w:rPr>
          <w:rFonts w:hint="eastAsia" w:ascii="宋体" w:hAnsi="宋体" w:eastAsia="宋体" w:cs="宋体"/>
          <w:color w:val="auto"/>
          <w:sz w:val="32"/>
          <w:szCs w:val="32"/>
          <w:highlight w:val="none"/>
          <w:lang w:eastAsia="zh-CN"/>
        </w:rPr>
      </w:pPr>
      <w:r>
        <w:rPr>
          <w:rFonts w:hint="eastAsia" w:ascii="宋体" w:hAnsi="宋体" w:cs="宋体"/>
          <w:b/>
          <w:color w:val="auto"/>
          <w:sz w:val="24"/>
          <w:szCs w:val="24"/>
          <w:highlight w:val="none"/>
        </w:rPr>
        <w:t>工程量清单（另册），是本竞争</w:t>
      </w:r>
      <w:r>
        <w:rPr>
          <w:rFonts w:hint="eastAsia" w:ascii="宋体" w:hAnsi="宋体" w:cs="宋体"/>
          <w:b/>
          <w:color w:val="auto"/>
          <w:sz w:val="24"/>
          <w:szCs w:val="24"/>
          <w:highlight w:val="none"/>
          <w:lang w:val="en-US" w:eastAsia="zh-CN"/>
        </w:rPr>
        <w:t>性磋商</w:t>
      </w:r>
      <w:r>
        <w:rPr>
          <w:rFonts w:hint="eastAsia" w:ascii="宋体" w:hAnsi="宋体" w:cs="宋体"/>
          <w:b/>
          <w:color w:val="auto"/>
          <w:sz w:val="24"/>
          <w:szCs w:val="24"/>
          <w:highlight w:val="none"/>
        </w:rPr>
        <w:t>文件的一个重要组成部分</w:t>
      </w:r>
      <w:bookmarkEnd w:id="132"/>
      <w:bookmarkStart w:id="133" w:name="_Toc17774"/>
    </w:p>
    <w:p w14:paraId="13CF90DF">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8F8986B">
      <w:pPr>
        <w:rPr>
          <w:rFonts w:hint="eastAsia"/>
          <w:color w:val="auto"/>
          <w:highlight w:val="none"/>
          <w:lang w:eastAsia="zh-CN"/>
        </w:rPr>
      </w:pPr>
    </w:p>
    <w:p w14:paraId="2FDF51CF">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140BBFA9">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007F50D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55C6F4D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4639F14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26BDC4FB">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336935E7">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3606514">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18FE6B4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55526C9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1C4723C">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4D069D8A">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24F0C4A4">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5F80BE6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4FC397B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4932D86A">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2428C813">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7D527B0">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52D74BEC">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72ADDD01">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7B12861">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294468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5F2F90AB">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642D9CC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112AD251">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32"/>
          <w:szCs w:val="32"/>
          <w:highlight w:val="none"/>
          <w:lang w:eastAsia="zh-CN"/>
        </w:rPr>
      </w:pPr>
    </w:p>
    <w:p w14:paraId="1122792A">
      <w:pPr>
        <w:rPr>
          <w:rFonts w:hint="eastAsia" w:ascii="宋体" w:hAnsi="宋体" w:eastAsia="宋体" w:cs="宋体"/>
          <w:color w:val="auto"/>
          <w:sz w:val="32"/>
          <w:szCs w:val="32"/>
          <w:highlight w:val="none"/>
          <w:lang w:eastAsia="zh-CN"/>
        </w:rPr>
      </w:pPr>
    </w:p>
    <w:p w14:paraId="51EF5A04">
      <w:pPr>
        <w:pStyle w:val="9"/>
        <w:rPr>
          <w:rFonts w:hint="eastAsia"/>
          <w:color w:val="auto"/>
          <w:highlight w:val="none"/>
          <w:lang w:eastAsia="zh-CN"/>
        </w:rPr>
      </w:pPr>
    </w:p>
    <w:p w14:paraId="51C95A9C">
      <w:pPr>
        <w:rPr>
          <w:rFonts w:hint="eastAsia"/>
          <w:color w:val="auto"/>
          <w:highlight w:val="none"/>
          <w:lang w:eastAsia="zh-CN"/>
        </w:rPr>
      </w:pPr>
    </w:p>
    <w:p w14:paraId="43DDB9F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b/>
          <w:bCs/>
          <w:color w:val="auto"/>
          <w:highlight w:val="none"/>
        </w:rPr>
      </w:pPr>
      <w:r>
        <w:rPr>
          <w:rFonts w:hint="eastAsia" w:ascii="宋体" w:hAnsi="宋体" w:eastAsia="宋体" w:cs="宋体"/>
          <w:color w:val="auto"/>
          <w:sz w:val="32"/>
          <w:szCs w:val="32"/>
          <w:highlight w:val="none"/>
          <w:lang w:eastAsia="zh-CN"/>
        </w:rPr>
        <w:t>第四章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评审办法</w:t>
      </w:r>
      <w:bookmarkEnd w:id="133"/>
    </w:p>
    <w:p w14:paraId="7C30DF2F">
      <w:pPr>
        <w:pStyle w:val="12"/>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一、评审依据及方式</w:t>
      </w:r>
    </w:p>
    <w:p w14:paraId="1C93F62A">
      <w:pPr>
        <w:pStyle w:val="12"/>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1.评审依据：磋商小组以竞争性磋商文件和响应文件为评审依据，</w:t>
      </w:r>
      <w:r>
        <w:rPr>
          <w:rFonts w:hint="eastAsia" w:ascii="宋体" w:hAnsi="宋体" w:eastAsia="宋体" w:cs="宋体"/>
          <w:color w:val="auto"/>
          <w:highlight w:val="none"/>
          <w:lang w:val="en-US" w:eastAsia="zh-CN"/>
        </w:rPr>
        <w:t>对磋商供应商的响应文件按百分制打分</w:t>
      </w:r>
      <w:r>
        <w:rPr>
          <w:rFonts w:hint="eastAsia" w:ascii="宋体" w:hAnsi="宋体" w:eastAsia="宋体" w:cs="宋体"/>
          <w:color w:val="auto"/>
          <w:highlight w:val="none"/>
        </w:rPr>
        <w:t>。</w:t>
      </w:r>
    </w:p>
    <w:p w14:paraId="2FE21517">
      <w:pPr>
        <w:pStyle w:val="12"/>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2.评审方式：以封闭方式进行评审。</w:t>
      </w:r>
    </w:p>
    <w:p w14:paraId="2089FFFE">
      <w:pPr>
        <w:pStyle w:val="12"/>
        <w:pageBreakBefore w:val="0"/>
        <w:widowControl w:val="0"/>
        <w:kinsoku/>
        <w:wordWrap/>
        <w:overflowPunct/>
        <w:topLinePunct w:val="0"/>
        <w:bidi w:val="0"/>
        <w:snapToGrid/>
        <w:spacing w:line="440" w:lineRule="exact"/>
        <w:ind w:left="210" w:leftChars="100" w:firstLine="21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3.根据财库〔2012〕69号文规定，采购人和采购代理机构，磋商小组成员要严格遵守政府采购相关法律制度，依法履行各自职责，公正、客观、审慎地组织和参与评审工作。</w:t>
      </w:r>
    </w:p>
    <w:p w14:paraId="5C964B02">
      <w:pPr>
        <w:pStyle w:val="12"/>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二、评审办法</w:t>
      </w:r>
    </w:p>
    <w:p w14:paraId="3A12F7D6">
      <w:pPr>
        <w:pStyle w:val="12"/>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（一）本次评标采用综合评分法。</w:t>
      </w:r>
      <w:r>
        <w:rPr>
          <w:rFonts w:hint="eastAsia" w:hAnsi="宋体" w:eastAsia="宋体" w:cs="宋体"/>
          <w:bCs/>
          <w:color w:val="auto"/>
          <w:highlight w:val="none"/>
          <w:lang w:eastAsia="zh-CN"/>
        </w:rPr>
        <w:t>磋商小组</w:t>
      </w:r>
      <w:r>
        <w:rPr>
          <w:rFonts w:hint="eastAsia" w:ascii="宋体" w:hAnsi="宋体" w:eastAsia="宋体" w:cs="宋体"/>
          <w:bCs/>
          <w:color w:val="auto"/>
          <w:highlight w:val="none"/>
        </w:rPr>
        <w:t>会首先对</w:t>
      </w:r>
      <w:r>
        <w:rPr>
          <w:rFonts w:hint="eastAsia" w:hAnsi="宋体" w:eastAsia="宋体" w:cs="宋体"/>
          <w:bCs/>
          <w:color w:val="auto"/>
          <w:highlight w:val="none"/>
          <w:lang w:eastAsia="zh-CN"/>
        </w:rPr>
        <w:t>磋商供应商</w:t>
      </w:r>
      <w:r>
        <w:rPr>
          <w:rFonts w:hint="eastAsia" w:ascii="宋体" w:hAnsi="宋体" w:eastAsia="宋体" w:cs="宋体"/>
          <w:bCs/>
          <w:color w:val="auto"/>
          <w:highlight w:val="none"/>
        </w:rPr>
        <w:t>提交的响应文件进行资格性审查和符合性审查，只有通过了资格性审查和符合性审查才能进入详评。</w:t>
      </w:r>
    </w:p>
    <w:p w14:paraId="58FA8E0B">
      <w:pPr>
        <w:pageBreakBefore w:val="0"/>
        <w:wordWrap/>
        <w:overflowPunct/>
        <w:topLinePunct w:val="0"/>
        <w:bidi w:val="0"/>
        <w:spacing w:line="500" w:lineRule="exact"/>
        <w:jc w:val="left"/>
        <w:rPr>
          <w:rFonts w:hint="eastAsia" w:ascii="宋体" w:hAnsi="宋体" w:eastAsia="宋体" w:cs="宋体"/>
          <w:b/>
          <w:color w:val="auto"/>
          <w:w w:val="99"/>
          <w:kern w:val="0"/>
          <w:sz w:val="24"/>
          <w:szCs w:val="24"/>
          <w:highlight w:val="none"/>
          <w:lang w:val="en-US" w:eastAsia="zh-CN"/>
        </w:rPr>
      </w:pPr>
      <w:r>
        <w:rPr>
          <w:rFonts w:hint="eastAsia" w:ascii="宋体" w:hAnsi="宋体" w:eastAsia="宋体" w:cs="宋体"/>
          <w:b/>
          <w:color w:val="auto"/>
          <w:w w:val="99"/>
          <w:kern w:val="0"/>
          <w:sz w:val="24"/>
          <w:szCs w:val="24"/>
          <w:highlight w:val="none"/>
          <w:lang w:val="en-US" w:eastAsia="zh-CN"/>
        </w:rPr>
        <w:t>初步评审：</w:t>
      </w:r>
    </w:p>
    <w:tbl>
      <w:tblPr>
        <w:tblStyle w:val="27"/>
        <w:tblW w:w="9948" w:type="dxa"/>
        <w:jc w:val="center"/>
        <w:tblLayout w:type="fixed"/>
        <w:tblCellMar>
          <w:top w:w="0" w:type="dxa"/>
          <w:left w:w="108" w:type="dxa"/>
          <w:bottom w:w="0" w:type="dxa"/>
          <w:right w:w="108" w:type="dxa"/>
        </w:tblCellMar>
      </w:tblPr>
      <w:tblGrid>
        <w:gridCol w:w="944"/>
        <w:gridCol w:w="1460"/>
        <w:gridCol w:w="2344"/>
        <w:gridCol w:w="5200"/>
      </w:tblGrid>
      <w:tr w14:paraId="18AA484C">
        <w:tblPrEx>
          <w:tblCellMar>
            <w:top w:w="0" w:type="dxa"/>
            <w:left w:w="108" w:type="dxa"/>
            <w:bottom w:w="0" w:type="dxa"/>
            <w:right w:w="108" w:type="dxa"/>
          </w:tblCellMar>
        </w:tblPrEx>
        <w:trPr>
          <w:trHeight w:val="609" w:hRule="atLeast"/>
          <w:jc w:val="center"/>
        </w:trPr>
        <w:tc>
          <w:tcPr>
            <w:tcW w:w="944" w:type="dxa"/>
            <w:tcBorders>
              <w:top w:val="single" w:color="auto" w:sz="4" w:space="0"/>
              <w:left w:val="single" w:color="auto" w:sz="4" w:space="0"/>
              <w:bottom w:val="single" w:color="auto" w:sz="4" w:space="0"/>
              <w:right w:val="single" w:color="auto" w:sz="4" w:space="0"/>
            </w:tcBorders>
            <w:vAlign w:val="center"/>
          </w:tcPr>
          <w:p w14:paraId="2FD30B9B">
            <w:pPr>
              <w:pStyle w:val="34"/>
              <w:pageBreakBefore w:val="0"/>
              <w:kinsoku/>
              <w:wordWrap/>
              <w:overflowPunct/>
              <w:topLinePunct w:val="0"/>
              <w:bidi w:val="0"/>
              <w:snapToGrid w:val="0"/>
              <w:spacing w:line="500" w:lineRule="exact"/>
              <w:jc w:val="center"/>
              <w:rPr>
                <w:rFonts w:hint="eastAsia" w:ascii="宋体" w:hAnsi="宋体" w:cs="宋体"/>
                <w:b w:val="0"/>
                <w:bCs w:val="0"/>
                <w:color w:val="auto"/>
                <w:highlight w:val="none"/>
              </w:rPr>
            </w:pPr>
            <w:r>
              <w:rPr>
                <w:rFonts w:hint="eastAsia" w:ascii="宋体" w:hAnsi="宋体" w:cs="宋体"/>
                <w:b w:val="0"/>
                <w:bCs w:val="0"/>
                <w:color w:val="auto"/>
                <w:highlight w:val="none"/>
              </w:rPr>
              <w:t>条款号</w:t>
            </w:r>
          </w:p>
        </w:tc>
        <w:tc>
          <w:tcPr>
            <w:tcW w:w="9004" w:type="dxa"/>
            <w:gridSpan w:val="3"/>
            <w:tcBorders>
              <w:top w:val="single" w:color="auto" w:sz="4" w:space="0"/>
              <w:left w:val="single" w:color="auto" w:sz="4" w:space="0"/>
              <w:bottom w:val="single" w:color="auto" w:sz="4" w:space="0"/>
              <w:right w:val="single" w:color="auto" w:sz="4" w:space="0"/>
            </w:tcBorders>
            <w:vAlign w:val="center"/>
          </w:tcPr>
          <w:p w14:paraId="4784295F">
            <w:pPr>
              <w:pStyle w:val="34"/>
              <w:pageBreakBefore w:val="0"/>
              <w:kinsoku/>
              <w:wordWrap/>
              <w:overflowPunct/>
              <w:topLinePunct w:val="0"/>
              <w:bidi w:val="0"/>
              <w:snapToGrid w:val="0"/>
              <w:spacing w:line="500" w:lineRule="exact"/>
              <w:jc w:val="center"/>
              <w:rPr>
                <w:rFonts w:hint="eastAsia" w:ascii="宋体" w:hAnsi="宋体" w:cs="宋体"/>
                <w:b w:val="0"/>
                <w:bCs w:val="0"/>
                <w:color w:val="auto"/>
                <w:highlight w:val="none"/>
              </w:rPr>
            </w:pPr>
            <w:r>
              <w:rPr>
                <w:rFonts w:hint="eastAsia" w:ascii="宋体" w:hAnsi="宋体" w:cs="宋体"/>
                <w:b w:val="0"/>
                <w:bCs w:val="0"/>
                <w:color w:val="auto"/>
                <w:highlight w:val="none"/>
              </w:rPr>
              <w:t>评审标准</w:t>
            </w:r>
          </w:p>
        </w:tc>
      </w:tr>
      <w:tr w14:paraId="2D1BFBC8">
        <w:tblPrEx>
          <w:tblCellMar>
            <w:top w:w="0" w:type="dxa"/>
            <w:left w:w="108" w:type="dxa"/>
            <w:bottom w:w="0" w:type="dxa"/>
            <w:right w:w="108" w:type="dxa"/>
          </w:tblCellMar>
        </w:tblPrEx>
        <w:trPr>
          <w:trHeight w:val="453"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46B8D2C8">
            <w:pPr>
              <w:pageBreakBefore w:val="0"/>
              <w:widowControl/>
              <w:kinsoku/>
              <w:wordWrap/>
              <w:overflowPunct/>
              <w:topLinePunct w:val="0"/>
              <w:bidi w:val="0"/>
              <w:spacing w:line="500" w:lineRule="exact"/>
              <w:jc w:val="center"/>
              <w:rPr>
                <w:rFonts w:hint="eastAsia" w:ascii="宋体" w:hAnsi="宋体" w:cs="宋体"/>
                <w:color w:val="auto"/>
                <w:highlight w:val="none"/>
              </w:rPr>
            </w:pPr>
            <w:r>
              <w:rPr>
                <w:rFonts w:hint="eastAsia" w:ascii="宋体" w:hAnsi="宋体" w:cs="宋体"/>
                <w:color w:val="auto"/>
                <w:highlight w:val="none"/>
              </w:rPr>
              <w:t>2.1.1</w:t>
            </w:r>
          </w:p>
        </w:tc>
        <w:tc>
          <w:tcPr>
            <w:tcW w:w="1460" w:type="dxa"/>
            <w:vMerge w:val="restart"/>
            <w:tcBorders>
              <w:top w:val="single" w:color="auto" w:sz="4" w:space="0"/>
              <w:left w:val="single" w:color="auto" w:sz="4" w:space="0"/>
              <w:bottom w:val="single" w:color="auto" w:sz="4" w:space="0"/>
              <w:right w:val="single" w:color="auto" w:sz="4" w:space="0"/>
            </w:tcBorders>
            <w:vAlign w:val="center"/>
          </w:tcPr>
          <w:p w14:paraId="4B99DC90">
            <w:pPr>
              <w:pStyle w:val="34"/>
              <w:pageBreakBefore w:val="0"/>
              <w:kinsoku/>
              <w:wordWrap/>
              <w:overflowPunct/>
              <w:topLinePunct w:val="0"/>
              <w:bidi w:val="0"/>
              <w:snapToGrid w:val="0"/>
              <w:spacing w:line="500" w:lineRule="exact"/>
              <w:jc w:val="center"/>
              <w:rPr>
                <w:rFonts w:hint="eastAsia" w:ascii="宋体" w:hAnsi="宋体" w:eastAsia="宋体" w:cs="宋体"/>
                <w:color w:val="auto"/>
                <w:spacing w:val="-6"/>
                <w:highlight w:val="none"/>
                <w:lang w:eastAsia="zh-CN"/>
              </w:rPr>
            </w:pPr>
            <w:r>
              <w:rPr>
                <w:rFonts w:hint="eastAsia" w:ascii="宋体" w:hAnsi="宋体" w:cs="宋体"/>
                <w:color w:val="auto"/>
                <w:highlight w:val="none"/>
              </w:rPr>
              <w:t>资格</w:t>
            </w:r>
            <w:r>
              <w:rPr>
                <w:rFonts w:hint="eastAsia" w:ascii="宋体" w:hAnsi="宋体" w:cs="宋体"/>
                <w:color w:val="auto"/>
                <w:highlight w:val="none"/>
                <w:lang w:eastAsia="zh-CN"/>
              </w:rPr>
              <w:t>评审</w:t>
            </w:r>
          </w:p>
          <w:p w14:paraId="2788D1BC">
            <w:pPr>
              <w:pStyle w:val="15"/>
              <w:pageBreakBefore w:val="0"/>
              <w:kinsoku/>
              <w:wordWrap/>
              <w:overflowPunct/>
              <w:topLinePunct w:val="0"/>
              <w:bidi w:val="0"/>
              <w:snapToGrid w:val="0"/>
              <w:spacing w:line="500" w:lineRule="exact"/>
              <w:jc w:val="center"/>
              <w:rPr>
                <w:rFonts w:hint="eastAsia" w:ascii="宋体" w:hAnsi="宋体" w:cs="宋体"/>
                <w:color w:val="auto"/>
                <w:spacing w:val="-6"/>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09F765C8">
            <w:pPr>
              <w:pStyle w:val="34"/>
              <w:pageBreakBefore w:val="0"/>
              <w:kinsoku/>
              <w:wordWrap/>
              <w:overflowPunct/>
              <w:topLinePunct w:val="0"/>
              <w:bidi w:val="0"/>
              <w:snapToGrid w:val="0"/>
              <w:spacing w:line="500" w:lineRule="exact"/>
              <w:jc w:val="center"/>
              <w:rPr>
                <w:rFonts w:hint="eastAsia" w:ascii="宋体" w:hAnsi="宋体" w:cs="宋体"/>
                <w:b/>
                <w:color w:val="auto"/>
                <w:highlight w:val="none"/>
              </w:rPr>
            </w:pPr>
            <w:r>
              <w:rPr>
                <w:rFonts w:hint="eastAsia" w:ascii="宋体" w:hAnsi="宋体" w:cs="宋体"/>
                <w:b/>
                <w:color w:val="auto"/>
                <w:highlight w:val="none"/>
              </w:rPr>
              <w:t>评审因素</w:t>
            </w:r>
          </w:p>
        </w:tc>
        <w:tc>
          <w:tcPr>
            <w:tcW w:w="5200" w:type="dxa"/>
            <w:tcBorders>
              <w:top w:val="single" w:color="auto" w:sz="4" w:space="0"/>
              <w:left w:val="single" w:color="auto" w:sz="4" w:space="0"/>
              <w:bottom w:val="single" w:color="auto" w:sz="4" w:space="0"/>
              <w:right w:val="single" w:color="auto" w:sz="4" w:space="0"/>
            </w:tcBorders>
            <w:vAlign w:val="center"/>
          </w:tcPr>
          <w:p w14:paraId="7E283C22">
            <w:pPr>
              <w:pStyle w:val="34"/>
              <w:pageBreakBefore w:val="0"/>
              <w:kinsoku/>
              <w:wordWrap/>
              <w:overflowPunct/>
              <w:topLinePunct w:val="0"/>
              <w:bidi w:val="0"/>
              <w:snapToGrid w:val="0"/>
              <w:spacing w:line="500" w:lineRule="exact"/>
              <w:jc w:val="left"/>
              <w:rPr>
                <w:rFonts w:hint="eastAsia" w:ascii="宋体" w:hAnsi="宋体" w:cs="宋体"/>
                <w:b/>
                <w:color w:val="auto"/>
                <w:highlight w:val="none"/>
              </w:rPr>
            </w:pPr>
            <w:r>
              <w:rPr>
                <w:rFonts w:hint="eastAsia" w:ascii="宋体" w:hAnsi="宋体" w:cs="宋体"/>
                <w:b/>
                <w:color w:val="auto"/>
                <w:highlight w:val="none"/>
              </w:rPr>
              <w:t>评审标准</w:t>
            </w:r>
            <w:r>
              <w:rPr>
                <w:rFonts w:hint="eastAsia" w:ascii="宋体" w:hAnsi="宋体" w:cs="宋体"/>
                <w:b/>
                <w:bCs/>
                <w:color w:val="auto"/>
                <w:highlight w:val="none"/>
              </w:rPr>
              <w:t>（合格标准：缺少任何一项或有任何一项不合格者，其资格</w:t>
            </w:r>
            <w:r>
              <w:rPr>
                <w:rFonts w:hint="eastAsia" w:ascii="宋体" w:hAnsi="宋体" w:cs="宋体"/>
                <w:b/>
                <w:bCs/>
                <w:color w:val="auto"/>
                <w:highlight w:val="none"/>
                <w:lang w:eastAsia="zh-CN"/>
              </w:rPr>
              <w:t>评审</w:t>
            </w:r>
            <w:r>
              <w:rPr>
                <w:rFonts w:hint="eastAsia" w:ascii="宋体" w:hAnsi="宋体" w:cs="宋体"/>
                <w:b/>
                <w:bCs/>
                <w:color w:val="auto"/>
                <w:highlight w:val="none"/>
              </w:rPr>
              <w:t>视为不合格）</w:t>
            </w:r>
          </w:p>
        </w:tc>
      </w:tr>
      <w:tr w14:paraId="5123551C">
        <w:tblPrEx>
          <w:tblCellMar>
            <w:top w:w="0" w:type="dxa"/>
            <w:left w:w="108" w:type="dxa"/>
            <w:bottom w:w="0" w:type="dxa"/>
            <w:right w:w="108" w:type="dxa"/>
          </w:tblCellMar>
        </w:tblPrEx>
        <w:trPr>
          <w:trHeight w:val="537"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6E6329D1">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4A024221">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6C7F672D">
            <w:pPr>
              <w:pStyle w:val="34"/>
              <w:pageBreakBefore w:val="0"/>
              <w:kinsoku/>
              <w:wordWrap/>
              <w:overflowPunct/>
              <w:topLinePunct w:val="0"/>
              <w:bidi w:val="0"/>
              <w:snapToGrid w:val="0"/>
              <w:spacing w:line="500" w:lineRule="exact"/>
              <w:ind w:left="720" w:hanging="720"/>
              <w:jc w:val="left"/>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、委托代理人身份</w:t>
            </w:r>
            <w:r>
              <w:rPr>
                <w:rFonts w:hint="eastAsia" w:ascii="宋体" w:hAnsi="宋体" w:cs="宋体"/>
                <w:color w:val="auto"/>
                <w:szCs w:val="21"/>
                <w:highlight w:val="none"/>
                <w:lang w:eastAsia="zh-CN"/>
              </w:rPr>
              <w:t>证</w:t>
            </w:r>
            <w:r>
              <w:rPr>
                <w:rFonts w:hint="eastAsia" w:ascii="宋体" w:hAnsi="宋体" w:eastAsia="宋体" w:cs="宋体"/>
                <w:color w:val="auto"/>
                <w:szCs w:val="21"/>
                <w:highlight w:val="none"/>
                <w:lang w:eastAsia="zh-CN"/>
              </w:rPr>
              <w:t>明</w:t>
            </w:r>
          </w:p>
        </w:tc>
        <w:tc>
          <w:tcPr>
            <w:tcW w:w="5200" w:type="dxa"/>
            <w:tcBorders>
              <w:top w:val="single" w:color="auto" w:sz="4" w:space="0"/>
              <w:left w:val="single" w:color="auto" w:sz="4" w:space="0"/>
              <w:bottom w:val="single" w:color="auto" w:sz="4" w:space="0"/>
              <w:right w:val="single" w:color="auto" w:sz="4" w:space="0"/>
            </w:tcBorders>
            <w:vAlign w:val="center"/>
          </w:tcPr>
          <w:p w14:paraId="7325FE07">
            <w:pPr>
              <w:pStyle w:val="34"/>
              <w:pageBreakBefore w:val="0"/>
              <w:kinsoku/>
              <w:wordWrap/>
              <w:overflowPunct/>
              <w:topLinePunct w:val="0"/>
              <w:bidi w:val="0"/>
              <w:snapToGrid w:val="0"/>
              <w:spacing w:line="500" w:lineRule="exact"/>
              <w:rPr>
                <w:rFonts w:hint="eastAsia" w:ascii="宋体" w:hAnsi="宋体" w:cs="宋体"/>
                <w:color w:val="auto"/>
                <w:highlight w:val="none"/>
              </w:rPr>
            </w:pPr>
            <w:r>
              <w:rPr>
                <w:rFonts w:hint="eastAsia" w:ascii="宋体" w:hAnsi="宋体" w:cs="宋体"/>
                <w:color w:val="auto"/>
                <w:highlight w:val="none"/>
              </w:rPr>
              <w:t>有效的法定代表人身份</w:t>
            </w:r>
            <w:r>
              <w:rPr>
                <w:rFonts w:hint="eastAsia" w:ascii="宋体" w:hAnsi="宋体" w:cs="宋体"/>
                <w:color w:val="auto"/>
                <w:highlight w:val="none"/>
                <w:lang w:eastAsia="zh-CN"/>
              </w:rPr>
              <w:t>证</w:t>
            </w:r>
            <w:r>
              <w:rPr>
                <w:rFonts w:hint="eastAsia" w:ascii="宋体" w:hAnsi="宋体" w:cs="宋体"/>
                <w:color w:val="auto"/>
                <w:highlight w:val="none"/>
              </w:rPr>
              <w:t>复印件</w:t>
            </w:r>
            <w:r>
              <w:rPr>
                <w:rFonts w:hint="eastAsia" w:ascii="宋体" w:hAnsi="宋体" w:cs="宋体"/>
                <w:color w:val="auto"/>
                <w:highlight w:val="none"/>
                <w:lang w:eastAsia="zh-CN"/>
              </w:rPr>
              <w:t>、</w:t>
            </w:r>
            <w:r>
              <w:rPr>
                <w:rFonts w:hint="eastAsia" w:ascii="宋体" w:hAnsi="宋体" w:cs="宋体"/>
                <w:color w:val="auto"/>
                <w:highlight w:val="none"/>
              </w:rPr>
              <w:t>法人授权委托书（附身份证复印件</w:t>
            </w:r>
          </w:p>
        </w:tc>
      </w:tr>
      <w:tr w14:paraId="1E5557AD">
        <w:tblPrEx>
          <w:tblCellMar>
            <w:top w:w="0" w:type="dxa"/>
            <w:left w:w="108" w:type="dxa"/>
            <w:bottom w:w="0" w:type="dxa"/>
            <w:right w:w="108" w:type="dxa"/>
          </w:tblCellMar>
        </w:tblPrEx>
        <w:trPr>
          <w:trHeight w:val="537"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04F1857">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3ECD46F3">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032E61AA">
            <w:pPr>
              <w:pStyle w:val="34"/>
              <w:pageBreakBefore w:val="0"/>
              <w:kinsoku/>
              <w:wordWrap/>
              <w:overflowPunct/>
              <w:topLinePunct w:val="0"/>
              <w:bidi w:val="0"/>
              <w:snapToGrid w:val="0"/>
              <w:spacing w:line="500" w:lineRule="exact"/>
              <w:jc w:val="left"/>
              <w:rPr>
                <w:rFonts w:hint="eastAsia" w:ascii="宋体" w:hAnsi="宋体" w:cs="宋体"/>
                <w:color w:val="auto"/>
                <w:kern w:val="0"/>
                <w:sz w:val="21"/>
                <w:szCs w:val="21"/>
                <w:highlight w:val="none"/>
                <w:lang w:val="en-US" w:eastAsia="zh-CN" w:bidi="ar-SA"/>
              </w:rPr>
            </w:pPr>
            <w:r>
              <w:rPr>
                <w:rFonts w:hint="eastAsia" w:ascii="宋体" w:hAnsi="宋体" w:eastAsia="宋体" w:cs="宋体"/>
                <w:color w:val="auto"/>
                <w:szCs w:val="21"/>
                <w:highlight w:val="none"/>
                <w:lang w:eastAsia="zh-CN"/>
              </w:rPr>
              <w:t>无</w:t>
            </w:r>
            <w:r>
              <w:rPr>
                <w:rFonts w:hint="eastAsia" w:ascii="宋体" w:hAnsi="宋体" w:eastAsia="宋体" w:cs="宋体"/>
                <w:color w:val="auto"/>
                <w:szCs w:val="21"/>
                <w:highlight w:val="none"/>
              </w:rPr>
              <w:t>重大违法记录的书面声明</w:t>
            </w:r>
          </w:p>
        </w:tc>
        <w:tc>
          <w:tcPr>
            <w:tcW w:w="5200" w:type="dxa"/>
            <w:tcBorders>
              <w:top w:val="single" w:color="auto" w:sz="4" w:space="0"/>
              <w:left w:val="single" w:color="auto" w:sz="4" w:space="0"/>
              <w:bottom w:val="single" w:color="auto" w:sz="4" w:space="0"/>
              <w:right w:val="single" w:color="auto" w:sz="4" w:space="0"/>
            </w:tcBorders>
            <w:vAlign w:val="center"/>
          </w:tcPr>
          <w:p w14:paraId="33E88F9B">
            <w:pPr>
              <w:pStyle w:val="34"/>
              <w:pageBreakBefore w:val="0"/>
              <w:kinsoku/>
              <w:wordWrap/>
              <w:overflowPunct/>
              <w:topLinePunct w:val="0"/>
              <w:bidi w:val="0"/>
              <w:snapToGrid w:val="0"/>
              <w:spacing w:line="500" w:lineRule="exact"/>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szCs w:val="21"/>
                <w:highlight w:val="none"/>
                <w:lang w:eastAsia="zh-CN"/>
              </w:rPr>
              <w:t>竞标人</w:t>
            </w:r>
            <w:r>
              <w:rPr>
                <w:rFonts w:hint="eastAsia" w:ascii="宋体" w:hAnsi="宋体" w:eastAsia="宋体" w:cs="宋体"/>
                <w:color w:val="auto"/>
                <w:szCs w:val="21"/>
                <w:highlight w:val="none"/>
              </w:rPr>
              <w:t>参加政府采购活动前3年内在经营活动中没有重大违法记录的书面声明</w:t>
            </w:r>
          </w:p>
        </w:tc>
      </w:tr>
      <w:tr w14:paraId="40DDF36C">
        <w:tblPrEx>
          <w:tblCellMar>
            <w:top w:w="0" w:type="dxa"/>
            <w:left w:w="108" w:type="dxa"/>
            <w:bottom w:w="0" w:type="dxa"/>
            <w:right w:w="108" w:type="dxa"/>
          </w:tblCellMar>
        </w:tblPrEx>
        <w:trPr>
          <w:trHeight w:val="62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619E1F38">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5F1D97C9">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0F3FA3F8">
            <w:pPr>
              <w:pStyle w:val="34"/>
              <w:pageBreakBefore w:val="0"/>
              <w:kinsoku/>
              <w:wordWrap/>
              <w:overflowPunct/>
              <w:topLinePunct w:val="0"/>
              <w:bidi w:val="0"/>
              <w:snapToGrid w:val="0"/>
              <w:spacing w:line="500" w:lineRule="exact"/>
              <w:jc w:val="left"/>
              <w:rPr>
                <w:rFonts w:hint="eastAsia" w:ascii="宋体" w:hAnsi="宋体" w:cs="宋体"/>
                <w:color w:val="auto"/>
                <w:highlight w:val="none"/>
              </w:rPr>
            </w:pPr>
            <w:r>
              <w:rPr>
                <w:rFonts w:hint="eastAsia" w:ascii="宋体" w:hAnsi="宋体" w:cs="宋体"/>
                <w:color w:val="auto"/>
                <w:highlight w:val="none"/>
              </w:rPr>
              <w:t>营业执照</w:t>
            </w:r>
          </w:p>
        </w:tc>
        <w:tc>
          <w:tcPr>
            <w:tcW w:w="5200" w:type="dxa"/>
            <w:tcBorders>
              <w:top w:val="single" w:color="auto" w:sz="4" w:space="0"/>
              <w:left w:val="single" w:color="auto" w:sz="4" w:space="0"/>
              <w:bottom w:val="single" w:color="auto" w:sz="4" w:space="0"/>
              <w:right w:val="single" w:color="auto" w:sz="4" w:space="0"/>
            </w:tcBorders>
            <w:vAlign w:val="center"/>
          </w:tcPr>
          <w:p w14:paraId="6EE49EF4">
            <w:pPr>
              <w:pStyle w:val="34"/>
              <w:pageBreakBefore w:val="0"/>
              <w:kinsoku/>
              <w:wordWrap/>
              <w:overflowPunct/>
              <w:topLinePunct w:val="0"/>
              <w:bidi w:val="0"/>
              <w:snapToGrid w:val="0"/>
              <w:spacing w:line="500" w:lineRule="exact"/>
              <w:rPr>
                <w:rFonts w:hint="eastAsia" w:ascii="宋体" w:hAnsi="宋体" w:eastAsia="宋体" w:cs="宋体"/>
                <w:bCs/>
                <w:color w:val="auto"/>
                <w:highlight w:val="none"/>
                <w:lang w:eastAsia="zh-CN"/>
              </w:rPr>
            </w:pPr>
            <w:r>
              <w:rPr>
                <w:rFonts w:hint="eastAsia" w:ascii="宋体" w:hAnsi="宋体" w:cs="宋体"/>
                <w:color w:val="auto"/>
                <w:highlight w:val="none"/>
                <w:lang w:eastAsia="zh-CN"/>
              </w:rPr>
              <w:t>提供</w:t>
            </w:r>
            <w:r>
              <w:rPr>
                <w:rFonts w:hint="eastAsia" w:ascii="宋体" w:hAnsi="宋体" w:cs="宋体"/>
                <w:color w:val="auto"/>
                <w:highlight w:val="none"/>
              </w:rPr>
              <w:t>有效的营业执照</w:t>
            </w:r>
            <w:r>
              <w:rPr>
                <w:rFonts w:hint="eastAsia" w:ascii="宋体" w:hAnsi="宋体" w:cs="宋体"/>
                <w:color w:val="auto"/>
                <w:highlight w:val="none"/>
                <w:lang w:eastAsia="zh-CN"/>
              </w:rPr>
              <w:t>复印件</w:t>
            </w:r>
          </w:p>
        </w:tc>
      </w:tr>
      <w:tr w14:paraId="0A047B41">
        <w:tblPrEx>
          <w:tblCellMar>
            <w:top w:w="0" w:type="dxa"/>
            <w:left w:w="108" w:type="dxa"/>
            <w:bottom w:w="0" w:type="dxa"/>
            <w:right w:w="108" w:type="dxa"/>
          </w:tblCellMar>
        </w:tblPrEx>
        <w:trPr>
          <w:trHeight w:val="62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1ECA572">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4F997D7B">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6847E4A0">
            <w:pPr>
              <w:pStyle w:val="34"/>
              <w:pageBreakBefore w:val="0"/>
              <w:kinsoku/>
              <w:wordWrap/>
              <w:overflowPunct/>
              <w:topLinePunct w:val="0"/>
              <w:bidi w:val="0"/>
              <w:snapToGrid w:val="0"/>
              <w:spacing w:line="500" w:lineRule="exact"/>
              <w:jc w:val="left"/>
              <w:rPr>
                <w:rFonts w:hint="eastAsia" w:ascii="宋体" w:hAnsi="宋体" w:cs="宋体"/>
                <w:color w:val="auto"/>
                <w:kern w:val="0"/>
                <w:sz w:val="21"/>
                <w:szCs w:val="21"/>
                <w:highlight w:val="none"/>
                <w:lang w:val="en-US" w:eastAsia="zh-CN" w:bidi="ar-SA"/>
              </w:rPr>
            </w:pPr>
            <w:r>
              <w:rPr>
                <w:rFonts w:hint="eastAsia" w:ascii="宋体" w:hAnsi="宋体" w:eastAsia="宋体" w:cs="宋体"/>
                <w:color w:val="auto"/>
                <w:szCs w:val="21"/>
                <w:highlight w:val="none"/>
                <w:lang w:eastAsia="zh-CN"/>
              </w:rPr>
              <w:t>资质证书</w:t>
            </w:r>
          </w:p>
        </w:tc>
        <w:tc>
          <w:tcPr>
            <w:tcW w:w="5200" w:type="dxa"/>
            <w:tcBorders>
              <w:top w:val="single" w:color="auto" w:sz="4" w:space="0"/>
              <w:left w:val="single" w:color="auto" w:sz="4" w:space="0"/>
              <w:bottom w:val="single" w:color="auto" w:sz="4" w:space="0"/>
              <w:right w:val="single" w:color="auto" w:sz="4" w:space="0"/>
            </w:tcBorders>
            <w:vAlign w:val="center"/>
          </w:tcPr>
          <w:p w14:paraId="6534F167">
            <w:pPr>
              <w:pStyle w:val="34"/>
              <w:pageBreakBefore w:val="0"/>
              <w:kinsoku/>
              <w:wordWrap/>
              <w:overflowPunct/>
              <w:topLinePunct w:val="0"/>
              <w:bidi w:val="0"/>
              <w:snapToGrid w:val="0"/>
              <w:spacing w:line="500" w:lineRule="exact"/>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highlight w:val="none"/>
              </w:rPr>
              <w:t>符合</w:t>
            </w:r>
            <w:r>
              <w:rPr>
                <w:rFonts w:hint="eastAsia" w:ascii="宋体" w:hAnsi="宋体" w:cs="宋体"/>
                <w:color w:val="auto"/>
                <w:highlight w:val="none"/>
                <w:lang w:eastAsia="zh-CN"/>
              </w:rPr>
              <w:t>采购文件要求。</w:t>
            </w:r>
          </w:p>
        </w:tc>
      </w:tr>
      <w:tr w14:paraId="68759FF7">
        <w:tblPrEx>
          <w:tblCellMar>
            <w:top w:w="0" w:type="dxa"/>
            <w:left w:w="108" w:type="dxa"/>
            <w:bottom w:w="0" w:type="dxa"/>
            <w:right w:w="108" w:type="dxa"/>
          </w:tblCellMar>
        </w:tblPrEx>
        <w:trPr>
          <w:trHeight w:val="62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6ECD43A">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51B2441F">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096E53BC">
            <w:pPr>
              <w:pStyle w:val="34"/>
              <w:pageBreakBefore w:val="0"/>
              <w:kinsoku/>
              <w:wordWrap/>
              <w:overflowPunct/>
              <w:topLinePunct w:val="0"/>
              <w:bidi w:val="0"/>
              <w:snapToGrid w:val="0"/>
              <w:spacing w:line="500" w:lineRule="exact"/>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0"/>
                <w:sz w:val="21"/>
                <w:szCs w:val="21"/>
                <w:highlight w:val="none"/>
                <w:lang w:val="en-US" w:eastAsia="zh-CN"/>
              </w:rPr>
              <w:t>落实政府采购政策需满足的资格要求</w:t>
            </w:r>
          </w:p>
        </w:tc>
        <w:tc>
          <w:tcPr>
            <w:tcW w:w="5200" w:type="dxa"/>
            <w:tcBorders>
              <w:top w:val="single" w:color="auto" w:sz="4" w:space="0"/>
              <w:left w:val="single" w:color="auto" w:sz="4" w:space="0"/>
              <w:bottom w:val="single" w:color="auto" w:sz="4" w:space="0"/>
              <w:right w:val="single" w:color="auto" w:sz="4" w:space="0"/>
            </w:tcBorders>
            <w:vAlign w:val="center"/>
          </w:tcPr>
          <w:p w14:paraId="0647EA2C">
            <w:pPr>
              <w:pStyle w:val="34"/>
              <w:pageBreakBefore w:val="0"/>
              <w:kinsoku/>
              <w:wordWrap/>
              <w:overflowPunct/>
              <w:topLinePunct w:val="0"/>
              <w:bidi w:val="0"/>
              <w:snapToGrid w:val="0"/>
              <w:spacing w:line="500" w:lineRule="exact"/>
              <w:rPr>
                <w:rFonts w:hint="eastAsia" w:ascii="宋体" w:hAnsi="宋体" w:cs="宋体"/>
                <w:color w:val="auto"/>
                <w:highlight w:val="none"/>
              </w:rPr>
            </w:pPr>
            <w:r>
              <w:rPr>
                <w:rFonts w:hint="eastAsia" w:ascii="宋体" w:hAnsi="宋体" w:cs="宋体"/>
                <w:color w:val="auto"/>
                <w:highlight w:val="none"/>
                <w:lang w:val="en-US" w:eastAsia="zh-CN"/>
              </w:rPr>
              <w:t>《中小企业声明函》或《残疾人福利性单位声明函》或省级以上监狱管理局、戒毒管理局（含新疆生产建设兵团）出具的属于监狱企业的证明文件复印件（必须提供其中一项）</w:t>
            </w:r>
          </w:p>
        </w:tc>
      </w:tr>
      <w:tr w14:paraId="1E744D15">
        <w:tblPrEx>
          <w:tblCellMar>
            <w:top w:w="0" w:type="dxa"/>
            <w:left w:w="108" w:type="dxa"/>
            <w:bottom w:w="0" w:type="dxa"/>
            <w:right w:w="108" w:type="dxa"/>
          </w:tblCellMar>
        </w:tblPrEx>
        <w:trPr>
          <w:trHeight w:val="497"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65DC682">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2FA596A2">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4B891981">
            <w:pPr>
              <w:pStyle w:val="34"/>
              <w:pageBreakBefore w:val="0"/>
              <w:kinsoku/>
              <w:wordWrap/>
              <w:overflowPunct/>
              <w:topLinePunct w:val="0"/>
              <w:bidi w:val="0"/>
              <w:snapToGrid w:val="0"/>
              <w:spacing w:line="500" w:lineRule="exact"/>
              <w:jc w:val="left"/>
              <w:rPr>
                <w:rFonts w:hint="eastAsia" w:ascii="宋体" w:hAnsi="宋体" w:cs="宋体"/>
                <w:color w:val="auto"/>
                <w:highlight w:val="none"/>
              </w:rPr>
            </w:pPr>
            <w:r>
              <w:rPr>
                <w:rFonts w:hint="eastAsia" w:ascii="宋体" w:hAnsi="宋体" w:cs="宋体"/>
                <w:color w:val="auto"/>
                <w:highlight w:val="none"/>
              </w:rPr>
              <w:t>安全生产许可证</w:t>
            </w:r>
          </w:p>
        </w:tc>
        <w:tc>
          <w:tcPr>
            <w:tcW w:w="5200" w:type="dxa"/>
            <w:tcBorders>
              <w:top w:val="single" w:color="auto" w:sz="4" w:space="0"/>
              <w:left w:val="single" w:color="auto" w:sz="4" w:space="0"/>
              <w:bottom w:val="single" w:color="auto" w:sz="4" w:space="0"/>
              <w:right w:val="single" w:color="auto" w:sz="4" w:space="0"/>
            </w:tcBorders>
            <w:vAlign w:val="center"/>
          </w:tcPr>
          <w:p w14:paraId="5CEFE9DF">
            <w:pPr>
              <w:pStyle w:val="34"/>
              <w:pageBreakBefore w:val="0"/>
              <w:kinsoku/>
              <w:wordWrap/>
              <w:overflowPunct/>
              <w:topLinePunct w:val="0"/>
              <w:bidi w:val="0"/>
              <w:snapToGrid w:val="0"/>
              <w:spacing w:line="500" w:lineRule="exact"/>
              <w:rPr>
                <w:rFonts w:hint="eastAsia" w:ascii="宋体" w:hAnsi="宋体" w:eastAsia="宋体" w:cs="宋体"/>
                <w:color w:val="auto"/>
                <w:highlight w:val="none"/>
                <w:lang w:eastAsia="zh-CN"/>
              </w:rPr>
            </w:pPr>
            <w:r>
              <w:rPr>
                <w:rFonts w:hint="eastAsia" w:ascii="宋体" w:hAnsi="宋体" w:cs="宋体"/>
                <w:color w:val="auto"/>
                <w:highlight w:val="none"/>
                <w:lang w:eastAsia="zh-CN"/>
              </w:rPr>
              <w:t>提供</w:t>
            </w:r>
            <w:r>
              <w:rPr>
                <w:rFonts w:hint="eastAsia" w:ascii="宋体" w:hAnsi="宋体" w:cs="宋体"/>
                <w:color w:val="auto"/>
                <w:highlight w:val="none"/>
              </w:rPr>
              <w:t>有效的安全生产许可证</w:t>
            </w:r>
            <w:r>
              <w:rPr>
                <w:rFonts w:hint="eastAsia" w:ascii="宋体" w:hAnsi="宋体" w:cs="宋体"/>
                <w:color w:val="auto"/>
                <w:highlight w:val="none"/>
                <w:lang w:eastAsia="zh-CN"/>
              </w:rPr>
              <w:t>复印件取得“三证合一”的除外。</w:t>
            </w:r>
          </w:p>
        </w:tc>
      </w:tr>
      <w:tr w14:paraId="0BC95EBA">
        <w:tblPrEx>
          <w:tblCellMar>
            <w:top w:w="0" w:type="dxa"/>
            <w:left w:w="108" w:type="dxa"/>
            <w:bottom w:w="0" w:type="dxa"/>
            <w:right w:w="108" w:type="dxa"/>
          </w:tblCellMar>
        </w:tblPrEx>
        <w:trPr>
          <w:trHeight w:val="560"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AC3D369">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auto" w:sz="4" w:space="0"/>
              <w:bottom w:val="single" w:color="auto" w:sz="4" w:space="0"/>
              <w:right w:val="single" w:color="auto" w:sz="4" w:space="0"/>
            </w:tcBorders>
            <w:vAlign w:val="center"/>
          </w:tcPr>
          <w:p w14:paraId="0B07B1ED">
            <w:pPr>
              <w:pageBreakBefore w:val="0"/>
              <w:widowControl/>
              <w:kinsoku/>
              <w:wordWrap/>
              <w:overflowPunct/>
              <w:topLinePunct w:val="0"/>
              <w:bidi w:val="0"/>
              <w:spacing w:line="500" w:lineRule="exact"/>
              <w:jc w:val="left"/>
              <w:rPr>
                <w:rFonts w:hint="eastAsia" w:ascii="宋体" w:hAnsi="宋体" w:cs="宋体"/>
                <w:color w:val="auto"/>
                <w:kern w:val="0"/>
                <w:highlight w:val="none"/>
              </w:rPr>
            </w:pPr>
          </w:p>
        </w:tc>
        <w:tc>
          <w:tcPr>
            <w:tcW w:w="2344" w:type="dxa"/>
            <w:tcBorders>
              <w:top w:val="single" w:color="auto" w:sz="4" w:space="0"/>
              <w:left w:val="single" w:color="auto" w:sz="4" w:space="0"/>
              <w:bottom w:val="single" w:color="auto" w:sz="4" w:space="0"/>
              <w:right w:val="single" w:color="auto" w:sz="4" w:space="0"/>
            </w:tcBorders>
            <w:vAlign w:val="center"/>
          </w:tcPr>
          <w:p w14:paraId="45CC7770">
            <w:pPr>
              <w:pStyle w:val="34"/>
              <w:pageBreakBefore w:val="0"/>
              <w:kinsoku/>
              <w:wordWrap/>
              <w:overflowPunct/>
              <w:topLinePunct w:val="0"/>
              <w:bidi w:val="0"/>
              <w:snapToGrid w:val="0"/>
              <w:spacing w:line="500" w:lineRule="exact"/>
              <w:jc w:val="left"/>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贵港市政府采购项目投标资格承诺函</w:t>
            </w:r>
          </w:p>
        </w:tc>
        <w:tc>
          <w:tcPr>
            <w:tcW w:w="5200" w:type="dxa"/>
            <w:tcBorders>
              <w:top w:val="single" w:color="auto" w:sz="4" w:space="0"/>
              <w:left w:val="single" w:color="auto" w:sz="4" w:space="0"/>
              <w:bottom w:val="single" w:color="auto" w:sz="4" w:space="0"/>
              <w:right w:val="single" w:color="auto" w:sz="4" w:space="0"/>
            </w:tcBorders>
            <w:vAlign w:val="center"/>
          </w:tcPr>
          <w:p w14:paraId="38C59413">
            <w:pPr>
              <w:pStyle w:val="34"/>
              <w:pageBreakBefore w:val="0"/>
              <w:kinsoku/>
              <w:wordWrap/>
              <w:overflowPunct/>
              <w:topLinePunct w:val="0"/>
              <w:bidi w:val="0"/>
              <w:snapToGrid w:val="0"/>
              <w:spacing w:line="500" w:lineRule="exact"/>
              <w:rPr>
                <w:rFonts w:hint="eastAsia" w:ascii="宋体" w:hAnsi="宋体" w:cs="宋体"/>
                <w:color w:val="auto"/>
                <w:highlight w:val="none"/>
              </w:rPr>
            </w:pPr>
            <w:r>
              <w:rPr>
                <w:rFonts w:hint="eastAsia" w:ascii="宋体" w:hAnsi="宋体" w:cs="宋体"/>
                <w:color w:val="auto"/>
                <w:highlight w:val="none"/>
                <w:lang w:eastAsia="zh-CN"/>
              </w:rPr>
              <w:t>必须提供。</w:t>
            </w:r>
          </w:p>
        </w:tc>
      </w:tr>
      <w:tr w14:paraId="28EB5EA5">
        <w:tblPrEx>
          <w:tblCellMar>
            <w:top w:w="0" w:type="dxa"/>
            <w:left w:w="108" w:type="dxa"/>
            <w:bottom w:w="0" w:type="dxa"/>
            <w:right w:w="108" w:type="dxa"/>
          </w:tblCellMar>
        </w:tblPrEx>
        <w:trPr>
          <w:trHeight w:val="487"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4C7CC989">
            <w:pPr>
              <w:pageBreakBefore w:val="0"/>
              <w:kinsoku/>
              <w:wordWrap/>
              <w:overflowPunct/>
              <w:topLinePunct w:val="0"/>
              <w:bidi w:val="0"/>
              <w:spacing w:line="500" w:lineRule="exact"/>
              <w:jc w:val="center"/>
              <w:rPr>
                <w:rFonts w:hint="eastAsia" w:ascii="宋体" w:hAnsi="宋体" w:cs="宋体"/>
                <w:b/>
                <w:color w:val="auto"/>
                <w:highlight w:val="none"/>
              </w:rPr>
            </w:pPr>
            <w:r>
              <w:rPr>
                <w:rFonts w:hint="eastAsia" w:ascii="宋体" w:hAnsi="宋体" w:cs="宋体"/>
                <w:bCs/>
                <w:color w:val="auto"/>
                <w:highlight w:val="none"/>
              </w:rPr>
              <w:t>2.1.2</w:t>
            </w:r>
          </w:p>
        </w:tc>
        <w:tc>
          <w:tcPr>
            <w:tcW w:w="1460" w:type="dxa"/>
            <w:vMerge w:val="restart"/>
            <w:tcBorders>
              <w:top w:val="single" w:color="auto" w:sz="4" w:space="0"/>
              <w:left w:val="single" w:color="auto" w:sz="4" w:space="0"/>
              <w:bottom w:val="single" w:color="auto" w:sz="4" w:space="0"/>
              <w:right w:val="single" w:color="auto" w:sz="4" w:space="0"/>
            </w:tcBorders>
            <w:vAlign w:val="center"/>
          </w:tcPr>
          <w:p w14:paraId="649192FF">
            <w:pPr>
              <w:pageBreakBefore w:val="0"/>
              <w:kinsoku/>
              <w:wordWrap/>
              <w:overflowPunct/>
              <w:topLinePunct w:val="0"/>
              <w:bidi w:val="0"/>
              <w:spacing w:line="500" w:lineRule="exact"/>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符合性评审</w:t>
            </w:r>
          </w:p>
        </w:tc>
        <w:tc>
          <w:tcPr>
            <w:tcW w:w="2344" w:type="dxa"/>
            <w:tcBorders>
              <w:top w:val="single" w:color="auto" w:sz="4" w:space="0"/>
              <w:left w:val="single" w:color="auto" w:sz="4" w:space="0"/>
              <w:bottom w:val="single" w:color="auto" w:sz="4" w:space="0"/>
              <w:right w:val="single" w:color="auto" w:sz="4" w:space="0"/>
            </w:tcBorders>
            <w:vAlign w:val="center"/>
          </w:tcPr>
          <w:p w14:paraId="7C16367A">
            <w:pPr>
              <w:pageBreakBefore w:val="0"/>
              <w:kinsoku/>
              <w:wordWrap/>
              <w:overflowPunct/>
              <w:topLinePunct w:val="0"/>
              <w:bidi w:val="0"/>
              <w:spacing w:line="500" w:lineRule="exact"/>
              <w:rPr>
                <w:rFonts w:hint="eastAsia" w:ascii="宋体" w:hAnsi="宋体" w:cs="宋体"/>
                <w:b/>
                <w:bCs/>
                <w:color w:val="auto"/>
                <w:highlight w:val="none"/>
              </w:rPr>
            </w:pPr>
            <w:r>
              <w:rPr>
                <w:rFonts w:hint="eastAsia" w:ascii="宋体" w:hAnsi="宋体" w:cs="宋体"/>
                <w:b/>
                <w:bCs/>
                <w:color w:val="auto"/>
                <w:highlight w:val="none"/>
              </w:rPr>
              <w:t>评审因素</w:t>
            </w:r>
          </w:p>
        </w:tc>
        <w:tc>
          <w:tcPr>
            <w:tcW w:w="5200" w:type="dxa"/>
            <w:tcBorders>
              <w:top w:val="single" w:color="auto" w:sz="4" w:space="0"/>
              <w:left w:val="single" w:color="auto" w:sz="4" w:space="0"/>
              <w:bottom w:val="single" w:color="auto" w:sz="4" w:space="0"/>
              <w:right w:val="single" w:color="auto" w:sz="4" w:space="0"/>
            </w:tcBorders>
            <w:vAlign w:val="center"/>
          </w:tcPr>
          <w:p w14:paraId="0B115856">
            <w:pPr>
              <w:pageBreakBefore w:val="0"/>
              <w:kinsoku/>
              <w:wordWrap/>
              <w:overflowPunct/>
              <w:topLinePunct w:val="0"/>
              <w:bidi w:val="0"/>
              <w:spacing w:line="500" w:lineRule="exact"/>
              <w:rPr>
                <w:rFonts w:hint="eastAsia" w:ascii="宋体" w:hAnsi="宋体" w:cs="宋体"/>
                <w:b/>
                <w:bCs/>
                <w:color w:val="auto"/>
                <w:highlight w:val="none"/>
              </w:rPr>
            </w:pPr>
            <w:r>
              <w:rPr>
                <w:rFonts w:hint="eastAsia" w:ascii="宋体" w:hAnsi="宋体" w:cs="宋体"/>
                <w:b/>
                <w:bCs/>
                <w:color w:val="auto"/>
                <w:highlight w:val="none"/>
              </w:rPr>
              <w:t>评审标准（合格标准：缺少任何一项或有任何一项不合格者，其</w:t>
            </w:r>
            <w:r>
              <w:rPr>
                <w:rFonts w:hint="eastAsia" w:ascii="宋体" w:hAnsi="宋体" w:cs="宋体"/>
                <w:b/>
                <w:bCs/>
                <w:color w:val="auto"/>
                <w:highlight w:val="none"/>
                <w:lang w:eastAsia="zh-CN"/>
              </w:rPr>
              <w:t>符合性评审</w:t>
            </w:r>
            <w:r>
              <w:rPr>
                <w:rFonts w:hint="eastAsia" w:ascii="宋体" w:hAnsi="宋体" w:cs="宋体"/>
                <w:b/>
                <w:bCs/>
                <w:color w:val="auto"/>
                <w:highlight w:val="none"/>
              </w:rPr>
              <w:t>视为不合格）</w:t>
            </w:r>
          </w:p>
        </w:tc>
      </w:tr>
      <w:tr w14:paraId="2C0F7AA3">
        <w:tblPrEx>
          <w:tblCellMar>
            <w:top w:w="0" w:type="dxa"/>
            <w:left w:w="108" w:type="dxa"/>
            <w:bottom w:w="0" w:type="dxa"/>
            <w:right w:w="108" w:type="dxa"/>
          </w:tblCellMar>
        </w:tblPrEx>
        <w:trPr>
          <w:trHeight w:val="515"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2592AA03">
            <w:pPr>
              <w:pageBreakBefore w:val="0"/>
              <w:kinsoku/>
              <w:wordWrap/>
              <w:overflowPunct/>
              <w:topLinePunct w:val="0"/>
              <w:bidi w:val="0"/>
              <w:spacing w:line="500" w:lineRule="exac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4627C0FA">
            <w:pPr>
              <w:pageBreakBefore w:val="0"/>
              <w:kinsoku/>
              <w:wordWrap/>
              <w:overflowPunct/>
              <w:topLinePunct w:val="0"/>
              <w:bidi w:val="0"/>
              <w:spacing w:line="500" w:lineRule="exact"/>
              <w:rPr>
                <w:rFonts w:hint="eastAsia" w:ascii="宋体" w:hAnsi="宋体" w:cs="宋体"/>
                <w:color w:val="auto"/>
                <w:highlight w:val="none"/>
              </w:rPr>
            </w:pPr>
          </w:p>
        </w:tc>
        <w:tc>
          <w:tcPr>
            <w:tcW w:w="2344" w:type="dxa"/>
            <w:tcBorders>
              <w:top w:val="single" w:color="auto" w:sz="4" w:space="0"/>
              <w:left w:val="single" w:color="000000" w:sz="4" w:space="0"/>
              <w:bottom w:val="single" w:color="000000" w:sz="4" w:space="0"/>
              <w:right w:val="single" w:color="000000" w:sz="4" w:space="0"/>
            </w:tcBorders>
            <w:vAlign w:val="center"/>
          </w:tcPr>
          <w:p w14:paraId="51F61DE3">
            <w:pPr>
              <w:pageBreakBefore w:val="0"/>
              <w:kinsoku/>
              <w:wordWrap/>
              <w:overflowPunct/>
              <w:topLinePunct w:val="0"/>
              <w:bidi w:val="0"/>
              <w:spacing w:line="500" w:lineRule="exact"/>
              <w:rPr>
                <w:rFonts w:hint="eastAsia" w:ascii="宋体" w:hAnsi="宋体" w:cs="宋体"/>
                <w:color w:val="auto"/>
                <w:highlight w:val="none"/>
              </w:rPr>
            </w:pPr>
            <w:r>
              <w:rPr>
                <w:rFonts w:hint="eastAsia" w:ascii="宋体" w:hAnsi="宋体" w:cs="宋体"/>
                <w:color w:val="auto"/>
                <w:kern w:val="0"/>
                <w:highlight w:val="none"/>
                <w:lang w:eastAsia="zh-CN"/>
              </w:rPr>
              <w:t>响应函</w:t>
            </w:r>
          </w:p>
        </w:tc>
        <w:tc>
          <w:tcPr>
            <w:tcW w:w="5200" w:type="dxa"/>
            <w:tcBorders>
              <w:top w:val="single" w:color="auto" w:sz="4" w:space="0"/>
              <w:left w:val="single" w:color="000000" w:sz="4" w:space="0"/>
              <w:bottom w:val="single" w:color="000000" w:sz="4" w:space="0"/>
              <w:right w:val="single" w:color="000000" w:sz="4" w:space="0"/>
            </w:tcBorders>
            <w:vAlign w:val="center"/>
          </w:tcPr>
          <w:p w14:paraId="3C6993C2">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必须提供</w:t>
            </w:r>
          </w:p>
        </w:tc>
      </w:tr>
      <w:tr w14:paraId="672BABC9">
        <w:tblPrEx>
          <w:tblCellMar>
            <w:top w:w="0" w:type="dxa"/>
            <w:left w:w="108" w:type="dxa"/>
            <w:bottom w:w="0" w:type="dxa"/>
            <w:right w:w="108" w:type="dxa"/>
          </w:tblCellMar>
        </w:tblPrEx>
        <w:trPr>
          <w:trHeight w:val="546"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2F56C673">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7F59A37E">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40CCEE4E">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工程报价汇总表</w:t>
            </w:r>
          </w:p>
        </w:tc>
        <w:tc>
          <w:tcPr>
            <w:tcW w:w="5200" w:type="dxa"/>
            <w:tcBorders>
              <w:top w:val="single" w:color="000000" w:sz="4" w:space="0"/>
              <w:left w:val="single" w:color="000000" w:sz="4" w:space="0"/>
              <w:bottom w:val="single" w:color="000000" w:sz="4" w:space="0"/>
              <w:right w:val="single" w:color="000000" w:sz="4" w:space="0"/>
            </w:tcBorders>
            <w:vAlign w:val="center"/>
          </w:tcPr>
          <w:p w14:paraId="681C09BB">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必须提供</w:t>
            </w:r>
          </w:p>
        </w:tc>
      </w:tr>
      <w:tr w14:paraId="7A543D00">
        <w:tblPrEx>
          <w:tblCellMar>
            <w:top w:w="0" w:type="dxa"/>
            <w:left w:w="108" w:type="dxa"/>
            <w:bottom w:w="0" w:type="dxa"/>
            <w:right w:w="108" w:type="dxa"/>
          </w:tblCellMar>
        </w:tblPrEx>
        <w:trPr>
          <w:trHeight w:val="525"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736069E1">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3526FB9D">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auto" w:sz="4" w:space="0"/>
              <w:right w:val="single" w:color="000000" w:sz="4" w:space="0"/>
            </w:tcBorders>
            <w:vAlign w:val="center"/>
          </w:tcPr>
          <w:p w14:paraId="1A06F316">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highlight w:val="none"/>
                <w:lang w:eastAsia="zh-CN"/>
              </w:rPr>
              <w:t>已标价工程量清单</w:t>
            </w:r>
          </w:p>
        </w:tc>
        <w:tc>
          <w:tcPr>
            <w:tcW w:w="5200" w:type="dxa"/>
            <w:tcBorders>
              <w:top w:val="single" w:color="000000" w:sz="4" w:space="0"/>
              <w:left w:val="single" w:color="000000" w:sz="4" w:space="0"/>
              <w:bottom w:val="single" w:color="000000" w:sz="4" w:space="0"/>
              <w:right w:val="single" w:color="000000" w:sz="4" w:space="0"/>
            </w:tcBorders>
            <w:vAlign w:val="center"/>
          </w:tcPr>
          <w:p w14:paraId="73F8F593">
            <w:pPr>
              <w:pageBreakBefore w:val="0"/>
              <w:kinsoku/>
              <w:wordWrap/>
              <w:overflowPunct/>
              <w:topLinePunct w:val="0"/>
              <w:bidi w:val="0"/>
              <w:spacing w:line="500" w:lineRule="exact"/>
              <w:rPr>
                <w:rFonts w:hint="eastAsia" w:ascii="宋体" w:hAnsi="宋体" w:cs="宋体"/>
                <w:color w:val="auto"/>
                <w:highlight w:val="none"/>
              </w:rPr>
            </w:pPr>
            <w:r>
              <w:rPr>
                <w:rFonts w:hint="eastAsia" w:ascii="宋体" w:hAnsi="宋体" w:cs="宋体"/>
                <w:color w:val="auto"/>
                <w:kern w:val="0"/>
                <w:highlight w:val="none"/>
                <w:lang w:eastAsia="zh-CN"/>
              </w:rPr>
              <w:t>必须提供</w:t>
            </w:r>
          </w:p>
        </w:tc>
      </w:tr>
      <w:tr w14:paraId="10483111">
        <w:tblPrEx>
          <w:tblCellMar>
            <w:top w:w="0" w:type="dxa"/>
            <w:left w:w="108" w:type="dxa"/>
            <w:bottom w:w="0" w:type="dxa"/>
            <w:right w:w="108" w:type="dxa"/>
          </w:tblCellMar>
        </w:tblPrEx>
        <w:trPr>
          <w:trHeight w:val="491"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7F8C1C17">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688FC86B">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auto" w:sz="4" w:space="0"/>
              <w:left w:val="single" w:color="000000" w:sz="4" w:space="0"/>
              <w:bottom w:val="single" w:color="auto" w:sz="4" w:space="0"/>
              <w:right w:val="single" w:color="000000" w:sz="4" w:space="0"/>
            </w:tcBorders>
            <w:vAlign w:val="center"/>
          </w:tcPr>
          <w:p w14:paraId="7ECD8D86">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拟投入主要施工管理人员</w:t>
            </w:r>
          </w:p>
        </w:tc>
        <w:tc>
          <w:tcPr>
            <w:tcW w:w="5200" w:type="dxa"/>
            <w:tcBorders>
              <w:top w:val="single" w:color="000000" w:sz="4" w:space="0"/>
              <w:left w:val="single" w:color="000000" w:sz="4" w:space="0"/>
              <w:bottom w:val="single" w:color="auto" w:sz="4" w:space="0"/>
              <w:right w:val="single" w:color="000000" w:sz="4" w:space="0"/>
            </w:tcBorders>
            <w:vAlign w:val="center"/>
          </w:tcPr>
          <w:p w14:paraId="0A48D3D0">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符合采购文件要求</w:t>
            </w:r>
          </w:p>
        </w:tc>
      </w:tr>
      <w:tr w14:paraId="567B40E5">
        <w:tblPrEx>
          <w:tblCellMar>
            <w:top w:w="0" w:type="dxa"/>
            <w:left w:w="108" w:type="dxa"/>
            <w:bottom w:w="0" w:type="dxa"/>
            <w:right w:w="108" w:type="dxa"/>
          </w:tblCellMar>
        </w:tblPrEx>
        <w:trPr>
          <w:trHeight w:val="429"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51177BA6">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6CCE001F">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0DF9C17A">
            <w:pPr>
              <w:pageBreakBefore w:val="0"/>
              <w:kinsoku/>
              <w:wordWrap/>
              <w:overflowPunct/>
              <w:topLinePunct w:val="0"/>
              <w:bidi w:val="0"/>
              <w:spacing w:line="500" w:lineRule="exact"/>
              <w:rPr>
                <w:rFonts w:hint="default" w:ascii="宋体" w:hAnsi="宋体" w:eastAsia="宋体" w:cs="宋体"/>
                <w:color w:val="auto"/>
                <w:highlight w:val="none"/>
                <w:lang w:val="en-US" w:eastAsia="zh-CN"/>
              </w:rPr>
            </w:pPr>
            <w:r>
              <w:rPr>
                <w:rFonts w:hint="eastAsia" w:ascii="宋体" w:hAnsi="宋体" w:cs="宋体"/>
                <w:color w:val="auto"/>
                <w:kern w:val="0"/>
                <w:highlight w:val="none"/>
                <w:lang w:eastAsia="zh-CN"/>
              </w:rPr>
              <w:t>项目经理</w:t>
            </w:r>
          </w:p>
        </w:tc>
        <w:tc>
          <w:tcPr>
            <w:tcW w:w="5200" w:type="dxa"/>
            <w:tcBorders>
              <w:top w:val="single" w:color="000000" w:sz="4" w:space="0"/>
              <w:left w:val="single" w:color="000000" w:sz="4" w:space="0"/>
              <w:bottom w:val="single" w:color="000000" w:sz="4" w:space="0"/>
              <w:right w:val="single" w:color="auto" w:sz="4" w:space="0"/>
            </w:tcBorders>
            <w:vAlign w:val="center"/>
          </w:tcPr>
          <w:p w14:paraId="77375671">
            <w:pPr>
              <w:pageBreakBefore w:val="0"/>
              <w:kinsoku/>
              <w:wordWrap/>
              <w:overflowPunct/>
              <w:topLinePunct w:val="0"/>
              <w:bidi w:val="0"/>
              <w:spacing w:line="500" w:lineRule="exact"/>
              <w:rPr>
                <w:rFonts w:hint="eastAsia" w:ascii="宋体" w:hAnsi="宋体" w:cs="宋体"/>
                <w:color w:val="auto"/>
                <w:highlight w:val="none"/>
              </w:rPr>
            </w:pPr>
            <w:r>
              <w:rPr>
                <w:rFonts w:hint="eastAsia" w:ascii="宋体" w:hAnsi="宋体" w:cs="宋体"/>
                <w:color w:val="auto"/>
                <w:kern w:val="0"/>
                <w:highlight w:val="none"/>
                <w:lang w:eastAsia="zh-CN"/>
              </w:rPr>
              <w:t>符合采购文件要求</w:t>
            </w:r>
          </w:p>
        </w:tc>
      </w:tr>
      <w:tr w14:paraId="6F52A249">
        <w:tblPrEx>
          <w:tblCellMar>
            <w:top w:w="0" w:type="dxa"/>
            <w:left w:w="108" w:type="dxa"/>
            <w:bottom w:w="0" w:type="dxa"/>
            <w:right w:w="108" w:type="dxa"/>
          </w:tblCellMar>
        </w:tblPrEx>
        <w:trPr>
          <w:trHeight w:val="470"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4545F2E4">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5BC47BC0">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2C655234">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施工组织方案</w:t>
            </w:r>
          </w:p>
        </w:tc>
        <w:tc>
          <w:tcPr>
            <w:tcW w:w="5200" w:type="dxa"/>
            <w:tcBorders>
              <w:top w:val="single" w:color="000000" w:sz="4" w:space="0"/>
              <w:left w:val="single" w:color="000000" w:sz="4" w:space="0"/>
              <w:bottom w:val="single" w:color="000000" w:sz="4" w:space="0"/>
              <w:right w:val="single" w:color="auto" w:sz="4" w:space="0"/>
            </w:tcBorders>
            <w:vAlign w:val="center"/>
          </w:tcPr>
          <w:p w14:paraId="269BEA9E">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必须提供</w:t>
            </w:r>
          </w:p>
        </w:tc>
      </w:tr>
      <w:tr w14:paraId="39D6D4A6">
        <w:tblPrEx>
          <w:tblCellMar>
            <w:top w:w="0" w:type="dxa"/>
            <w:left w:w="108" w:type="dxa"/>
            <w:bottom w:w="0" w:type="dxa"/>
            <w:right w:w="108" w:type="dxa"/>
          </w:tblCellMar>
        </w:tblPrEx>
        <w:trPr>
          <w:trHeight w:val="523"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061CEC8C">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6DA31DCB">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4DE8A606">
            <w:pPr>
              <w:pageBreakBefore w:val="0"/>
              <w:kinsoku/>
              <w:wordWrap/>
              <w:overflowPunct/>
              <w:topLinePunct w:val="0"/>
              <w:bidi w:val="0"/>
              <w:spacing w:line="500" w:lineRule="exact"/>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工程完工服务承诺书</w:t>
            </w:r>
          </w:p>
        </w:tc>
        <w:tc>
          <w:tcPr>
            <w:tcW w:w="5200" w:type="dxa"/>
            <w:tcBorders>
              <w:top w:val="single" w:color="000000" w:sz="4" w:space="0"/>
              <w:left w:val="single" w:color="000000" w:sz="4" w:space="0"/>
              <w:bottom w:val="single" w:color="000000" w:sz="4" w:space="0"/>
              <w:right w:val="single" w:color="auto" w:sz="4" w:space="0"/>
            </w:tcBorders>
            <w:vAlign w:val="center"/>
          </w:tcPr>
          <w:p w14:paraId="2AC159F2">
            <w:pPr>
              <w:pageBreakBefore w:val="0"/>
              <w:kinsoku/>
              <w:wordWrap/>
              <w:overflowPunct/>
              <w:topLinePunct w:val="0"/>
              <w:bidi w:val="0"/>
              <w:spacing w:line="500" w:lineRule="exact"/>
              <w:rPr>
                <w:rFonts w:hint="eastAsia" w:ascii="宋体" w:hAnsi="宋体" w:cs="宋体"/>
                <w:color w:val="auto"/>
                <w:highlight w:val="none"/>
              </w:rPr>
            </w:pPr>
            <w:r>
              <w:rPr>
                <w:rFonts w:hint="eastAsia" w:ascii="宋体" w:hAnsi="宋体" w:cs="宋体"/>
                <w:color w:val="auto"/>
                <w:kern w:val="0"/>
                <w:highlight w:val="none"/>
                <w:lang w:eastAsia="zh-CN"/>
              </w:rPr>
              <w:t>必须提供</w:t>
            </w:r>
          </w:p>
        </w:tc>
      </w:tr>
      <w:tr w14:paraId="027D74CB">
        <w:tblPrEx>
          <w:tblCellMar>
            <w:top w:w="0" w:type="dxa"/>
            <w:left w:w="108" w:type="dxa"/>
            <w:bottom w:w="0" w:type="dxa"/>
            <w:right w:w="108" w:type="dxa"/>
          </w:tblCellMar>
        </w:tblPrEx>
        <w:trPr>
          <w:trHeight w:val="577" w:hRule="atLeas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7F5AF3D4">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640EDBCF">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0EFF85CF">
            <w:pPr>
              <w:pageBreakBefore w:val="0"/>
              <w:kinsoku/>
              <w:wordWrap/>
              <w:overflowPunct/>
              <w:topLinePunct w:val="0"/>
              <w:bidi w:val="0"/>
              <w:spacing w:line="500" w:lineRule="exact"/>
              <w:rPr>
                <w:rFonts w:hint="eastAsia" w:ascii="宋体" w:hAnsi="宋体" w:eastAsia="宋体" w:cs="宋体"/>
                <w:bCs/>
                <w:color w:val="auto"/>
                <w:highlight w:val="none"/>
                <w:lang w:eastAsia="zh-CN"/>
              </w:rPr>
            </w:pPr>
            <w:r>
              <w:rPr>
                <w:rFonts w:hint="eastAsia" w:ascii="宋体" w:hAnsi="宋体" w:cs="宋体"/>
                <w:color w:val="auto"/>
                <w:kern w:val="0"/>
                <w:highlight w:val="none"/>
                <w:lang w:eastAsia="zh-CN"/>
              </w:rPr>
              <w:t>农民工工资保障金缴纳与使用承诺书</w:t>
            </w:r>
          </w:p>
        </w:tc>
        <w:tc>
          <w:tcPr>
            <w:tcW w:w="5200" w:type="dxa"/>
            <w:tcBorders>
              <w:top w:val="single" w:color="000000" w:sz="4" w:space="0"/>
              <w:left w:val="single" w:color="000000" w:sz="4" w:space="0"/>
              <w:bottom w:val="single" w:color="000000" w:sz="4" w:space="0"/>
              <w:right w:val="single" w:color="auto" w:sz="4" w:space="0"/>
            </w:tcBorders>
            <w:vAlign w:val="center"/>
          </w:tcPr>
          <w:p w14:paraId="4A164516">
            <w:pPr>
              <w:pageBreakBefore w:val="0"/>
              <w:kinsoku/>
              <w:wordWrap/>
              <w:overflowPunct/>
              <w:topLinePunct w:val="0"/>
              <w:bidi w:val="0"/>
              <w:spacing w:line="500" w:lineRule="exact"/>
              <w:rPr>
                <w:rFonts w:hint="eastAsia" w:ascii="宋体" w:hAnsi="宋体" w:cs="宋体"/>
                <w:bCs/>
                <w:color w:val="auto"/>
                <w:highlight w:val="none"/>
              </w:rPr>
            </w:pPr>
            <w:r>
              <w:rPr>
                <w:rFonts w:hint="eastAsia" w:ascii="宋体" w:hAnsi="宋体" w:cs="宋体"/>
                <w:color w:val="auto"/>
                <w:kern w:val="0"/>
                <w:highlight w:val="none"/>
                <w:lang w:eastAsia="zh-CN"/>
              </w:rPr>
              <w:t>必须提供</w:t>
            </w:r>
          </w:p>
        </w:tc>
      </w:tr>
      <w:tr w14:paraId="15344F75">
        <w:tblPrEx>
          <w:tblCellMar>
            <w:top w:w="0" w:type="dxa"/>
            <w:left w:w="108" w:type="dxa"/>
            <w:bottom w:w="0" w:type="dxa"/>
            <w:right w:w="108" w:type="dxa"/>
          </w:tblCellMar>
        </w:tblPrEx>
        <w:trPr>
          <w:trHeight w:val="1039" w:hRule="exact"/>
          <w:jc w:val="center"/>
        </w:trPr>
        <w:tc>
          <w:tcPr>
            <w:tcW w:w="944" w:type="dxa"/>
            <w:vMerge w:val="continue"/>
            <w:tcBorders>
              <w:top w:val="single" w:color="auto" w:sz="4" w:space="0"/>
              <w:left w:val="single" w:color="auto" w:sz="4" w:space="0"/>
              <w:bottom w:val="single" w:color="auto" w:sz="4" w:space="0"/>
              <w:right w:val="single" w:color="000000" w:sz="4" w:space="0"/>
            </w:tcBorders>
            <w:vAlign w:val="center"/>
          </w:tcPr>
          <w:p w14:paraId="1534A116">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1460" w:type="dxa"/>
            <w:vMerge w:val="continue"/>
            <w:tcBorders>
              <w:top w:val="single" w:color="auto" w:sz="4" w:space="0"/>
              <w:left w:val="single" w:color="000000" w:sz="4" w:space="0"/>
              <w:bottom w:val="single" w:color="auto" w:sz="4" w:space="0"/>
              <w:right w:val="single" w:color="000000" w:sz="4" w:space="0"/>
            </w:tcBorders>
            <w:vAlign w:val="center"/>
          </w:tcPr>
          <w:p w14:paraId="75E7A8F6">
            <w:pPr>
              <w:pageBreakBefore w:val="0"/>
              <w:widowControl/>
              <w:kinsoku/>
              <w:wordWrap/>
              <w:overflowPunct/>
              <w:topLinePunct w:val="0"/>
              <w:bidi w:val="0"/>
              <w:spacing w:line="500" w:lineRule="exact"/>
              <w:jc w:val="left"/>
              <w:rPr>
                <w:rFonts w:hint="eastAsia" w:ascii="宋体" w:hAnsi="宋体" w:cs="宋体"/>
                <w:color w:val="auto"/>
                <w:highlight w:val="none"/>
              </w:rPr>
            </w:pPr>
          </w:p>
        </w:tc>
        <w:tc>
          <w:tcPr>
            <w:tcW w:w="2344" w:type="dxa"/>
            <w:tcBorders>
              <w:top w:val="single" w:color="000000" w:sz="4" w:space="0"/>
              <w:left w:val="single" w:color="000000" w:sz="4" w:space="0"/>
              <w:bottom w:val="single" w:color="auto" w:sz="4" w:space="0"/>
              <w:right w:val="single" w:color="000000" w:sz="4" w:space="0"/>
            </w:tcBorders>
            <w:vAlign w:val="center"/>
          </w:tcPr>
          <w:p w14:paraId="3919DC4C">
            <w:pPr>
              <w:pageBreakBefore w:val="0"/>
              <w:kinsoku/>
              <w:wordWrap/>
              <w:overflowPunct/>
              <w:topLinePunct w:val="0"/>
              <w:bidi w:val="0"/>
              <w:spacing w:line="500" w:lineRule="exact"/>
              <w:rPr>
                <w:rFonts w:hint="eastAsia" w:ascii="宋体" w:hAnsi="宋体" w:eastAsia="宋体" w:cs="宋体"/>
                <w:color w:val="auto"/>
                <w:kern w:val="0"/>
                <w:highlight w:val="none"/>
                <w:lang w:eastAsia="zh-CN"/>
              </w:rPr>
            </w:pPr>
            <w:r>
              <w:rPr>
                <w:rFonts w:hint="eastAsia" w:ascii="宋体" w:hAnsi="宋体" w:cs="宋体"/>
                <w:color w:val="auto"/>
                <w:kern w:val="0"/>
                <w:highlight w:val="none"/>
                <w:lang w:eastAsia="zh-CN"/>
              </w:rPr>
              <w:t>城乡清洁工程渣土清运承诺书</w:t>
            </w:r>
          </w:p>
        </w:tc>
        <w:tc>
          <w:tcPr>
            <w:tcW w:w="5200" w:type="dxa"/>
            <w:tcBorders>
              <w:top w:val="single" w:color="000000" w:sz="4" w:space="0"/>
              <w:left w:val="single" w:color="000000" w:sz="4" w:space="0"/>
              <w:bottom w:val="single" w:color="auto" w:sz="4" w:space="0"/>
              <w:right w:val="single" w:color="auto" w:sz="4" w:space="0"/>
            </w:tcBorders>
            <w:vAlign w:val="center"/>
          </w:tcPr>
          <w:p w14:paraId="37D8EE09">
            <w:pPr>
              <w:pageBreakBefore w:val="0"/>
              <w:kinsoku/>
              <w:wordWrap/>
              <w:overflowPunct/>
              <w:topLinePunct w:val="0"/>
              <w:bidi w:val="0"/>
              <w:snapToGrid w:val="0"/>
              <w:spacing w:line="500" w:lineRule="exact"/>
              <w:rPr>
                <w:rFonts w:hint="eastAsia" w:ascii="宋体" w:hAnsi="宋体" w:cs="宋体"/>
                <w:color w:val="auto"/>
                <w:kern w:val="0"/>
                <w:highlight w:val="none"/>
              </w:rPr>
            </w:pPr>
            <w:r>
              <w:rPr>
                <w:rFonts w:hint="eastAsia" w:ascii="宋体" w:hAnsi="宋体" w:cs="宋体"/>
                <w:color w:val="auto"/>
                <w:kern w:val="0"/>
                <w:highlight w:val="none"/>
                <w:lang w:eastAsia="zh-CN"/>
              </w:rPr>
              <w:t>必须提供</w:t>
            </w:r>
          </w:p>
        </w:tc>
      </w:tr>
    </w:tbl>
    <w:p w14:paraId="02678253">
      <w:pPr>
        <w:pStyle w:val="1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color w:val="auto"/>
          <w:highlight w:val="none"/>
        </w:rPr>
      </w:pPr>
      <w:r>
        <w:rPr>
          <w:rFonts w:hint="eastAsia" w:hAnsi="宋体" w:eastAsia="宋体" w:cs="宋体"/>
          <w:b/>
          <w:bCs w:val="0"/>
          <w:color w:val="auto"/>
          <w:sz w:val="24"/>
          <w:szCs w:val="24"/>
          <w:highlight w:val="none"/>
          <w:lang w:eastAsia="zh-CN"/>
        </w:rPr>
        <w:t>详细评审：</w:t>
      </w:r>
    </w:p>
    <w:p w14:paraId="0144E13B">
      <w:pPr>
        <w:pageBreakBefore w:val="0"/>
        <w:widowControl w:val="0"/>
        <w:kinsoku/>
        <w:wordWrap/>
        <w:overflowPunct/>
        <w:topLinePunct w:val="0"/>
        <w:bidi w:val="0"/>
        <w:snapToGrid/>
        <w:spacing w:line="440" w:lineRule="exact"/>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1、价格分…………………………………………………………………………………</w:t>
      </w:r>
      <w:r>
        <w:rPr>
          <w:rFonts w:hint="eastAsia" w:ascii="宋体" w:hAnsi="宋体" w:eastAsia="宋体" w:cs="宋体"/>
          <w:b/>
          <w:bCs w:val="0"/>
          <w:color w:val="auto"/>
          <w:highlight w:val="none"/>
        </w:rPr>
        <w:t>……</w:t>
      </w:r>
      <w:r>
        <w:rPr>
          <w:rFonts w:hint="eastAsia" w:ascii="宋体" w:hAnsi="宋体" w:eastAsia="宋体" w:cs="宋体"/>
          <w:b/>
          <w:color w:val="auto"/>
          <w:highlight w:val="none"/>
        </w:rPr>
        <w:t>……</w:t>
      </w:r>
      <w:r>
        <w:rPr>
          <w:rFonts w:hint="eastAsia" w:ascii="宋体" w:hAnsi="宋体" w:eastAsia="宋体" w:cs="宋体"/>
          <w:b/>
          <w:color w:val="auto"/>
          <w:highlight w:val="none"/>
          <w:lang w:val="en-US" w:eastAsia="zh-CN"/>
        </w:rPr>
        <w:t>满分30</w:t>
      </w:r>
      <w:r>
        <w:rPr>
          <w:rFonts w:hint="eastAsia" w:ascii="宋体" w:hAnsi="宋体" w:eastAsia="宋体" w:cs="宋体"/>
          <w:b/>
          <w:color w:val="auto"/>
          <w:highlight w:val="none"/>
        </w:rPr>
        <w:t>分</w:t>
      </w:r>
    </w:p>
    <w:p w14:paraId="4B2C71A6">
      <w:pPr>
        <w:pageBreakBefore w:val="0"/>
        <w:widowControl w:val="0"/>
        <w:kinsoku/>
        <w:wordWrap/>
        <w:overflowPunct/>
        <w:topLinePunct w:val="0"/>
        <w:bidi w:val="0"/>
        <w:snapToGrid/>
        <w:spacing w:line="440" w:lineRule="exact"/>
        <w:ind w:firstLine="210" w:firstLineChars="1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（1）本项目为专门面向中小微企业采购的项目（供应商应为中小微企业、监狱企业、残疾人福利性单位)，不再执行价格评审优惠的扶持政策。即评标价=最终报价。</w:t>
      </w:r>
    </w:p>
    <w:p w14:paraId="47A28762">
      <w:pPr>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6109FA6B">
      <w:pPr>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highlight w:val="none"/>
          <w:lang w:eastAsia="zh-CN"/>
        </w:rPr>
        <w:t>成交</w:t>
      </w:r>
      <w:r>
        <w:rPr>
          <w:rFonts w:hint="eastAsia" w:ascii="宋体" w:hAnsi="宋体" w:eastAsia="宋体" w:cs="宋体"/>
          <w:b w:val="0"/>
          <w:bCs/>
          <w:color w:val="auto"/>
          <w:highlight w:val="none"/>
        </w:rPr>
        <w:t>人为残疾人福利性单位的，随</w:t>
      </w:r>
      <w:r>
        <w:rPr>
          <w:rFonts w:hint="eastAsia" w:ascii="宋体" w:hAnsi="宋体" w:eastAsia="宋体" w:cs="宋体"/>
          <w:b w:val="0"/>
          <w:bCs/>
          <w:color w:val="auto"/>
          <w:highlight w:val="none"/>
          <w:lang w:eastAsia="zh-CN"/>
        </w:rPr>
        <w:t>成交</w:t>
      </w:r>
      <w:r>
        <w:rPr>
          <w:rFonts w:hint="eastAsia" w:ascii="宋体" w:hAnsi="宋体" w:eastAsia="宋体" w:cs="宋体"/>
          <w:b w:val="0"/>
          <w:bCs/>
          <w:color w:val="auto"/>
          <w:highlight w:val="none"/>
        </w:rPr>
        <w:t>结果公告其《残疾人福利性单位声明函》，接受社会监督。</w:t>
      </w:r>
    </w:p>
    <w:p w14:paraId="1657EBA4">
      <w:pPr>
        <w:pageBreakBefore w:val="0"/>
        <w:widowControl w:val="0"/>
        <w:kinsoku/>
        <w:wordWrap/>
        <w:overflowPunct/>
        <w:topLinePunct w:val="0"/>
        <w:bidi w:val="0"/>
        <w:snapToGrid/>
        <w:spacing w:line="440" w:lineRule="exact"/>
        <w:ind w:firstLine="210" w:firstLineChars="1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（2）以进入评审的最低的评标价为</w:t>
      </w: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p w14:paraId="5F2D38E1">
      <w:pPr>
        <w:pageBreakBefore w:val="0"/>
        <w:widowControl w:val="0"/>
        <w:kinsoku/>
        <w:wordWrap/>
        <w:overflowPunct/>
        <w:topLinePunct w:val="0"/>
        <w:bidi w:val="0"/>
        <w:snapToGrid/>
        <w:spacing w:line="440" w:lineRule="exact"/>
        <w:ind w:firstLine="210" w:firstLineChars="1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（3）某供应商价格分 = 供应商最低评</w:t>
      </w:r>
      <w:r>
        <w:rPr>
          <w:rFonts w:hint="eastAsia" w:ascii="宋体" w:hAnsi="宋体" w:eastAsia="宋体" w:cs="宋体"/>
          <w:b w:val="0"/>
          <w:bCs/>
          <w:color w:val="auto"/>
          <w:highlight w:val="none"/>
          <w:lang w:eastAsia="zh-CN"/>
        </w:rPr>
        <w:t>审</w:t>
      </w:r>
      <w:r>
        <w:rPr>
          <w:rFonts w:hint="eastAsia" w:ascii="宋体" w:hAnsi="宋体" w:eastAsia="宋体" w:cs="宋体"/>
          <w:b w:val="0"/>
          <w:bCs/>
          <w:color w:val="auto"/>
          <w:highlight w:val="none"/>
        </w:rPr>
        <w:t>报价（金额）/某供应商评</w:t>
      </w:r>
      <w:r>
        <w:rPr>
          <w:rFonts w:hint="eastAsia" w:ascii="宋体" w:hAnsi="宋体" w:eastAsia="宋体" w:cs="宋体"/>
          <w:b w:val="0"/>
          <w:bCs/>
          <w:color w:val="auto"/>
          <w:highlight w:val="none"/>
          <w:lang w:eastAsia="zh-CN"/>
        </w:rPr>
        <w:t>审</w:t>
      </w:r>
      <w:r>
        <w:rPr>
          <w:rFonts w:hint="eastAsia" w:ascii="宋体" w:hAnsi="宋体" w:eastAsia="宋体" w:cs="宋体"/>
          <w:b w:val="0"/>
          <w:bCs/>
          <w:color w:val="auto"/>
          <w:highlight w:val="none"/>
        </w:rPr>
        <w:t>报价（金额）×</w:t>
      </w: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p w14:paraId="13535DC8">
      <w:pPr>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2、</w:t>
      </w:r>
      <w:r>
        <w:rPr>
          <w:rFonts w:hint="eastAsia" w:ascii="新宋体" w:hAnsi="新宋体" w:eastAsia="新宋体" w:cs="新宋体"/>
          <w:b/>
          <w:color w:val="auto"/>
          <w:highlight w:val="none"/>
          <w:lang w:val="en-US" w:eastAsia="zh-CN"/>
        </w:rPr>
        <w:t>技术分</w:t>
      </w:r>
      <w:r>
        <w:rPr>
          <w:rFonts w:hint="eastAsia" w:ascii="新宋体" w:hAnsi="新宋体" w:eastAsia="新宋体" w:cs="新宋体"/>
          <w:b/>
          <w:color w:val="auto"/>
          <w:highlight w:val="none"/>
        </w:rPr>
        <w:t>……………………………</w:t>
      </w:r>
      <w:r>
        <w:rPr>
          <w:rFonts w:hint="eastAsia" w:ascii="新宋体" w:hAnsi="新宋体" w:eastAsia="新宋体" w:cs="新宋体"/>
          <w:b/>
          <w:bCs/>
          <w:color w:val="auto"/>
          <w:sz w:val="21"/>
          <w:szCs w:val="21"/>
          <w:highlight w:val="none"/>
        </w:rPr>
        <w:t>…………………………</w:t>
      </w:r>
      <w:r>
        <w:rPr>
          <w:rFonts w:hint="eastAsia" w:ascii="新宋体" w:hAnsi="新宋体" w:eastAsia="新宋体" w:cs="新宋体"/>
          <w:b/>
          <w:color w:val="auto"/>
          <w:highlight w:val="none"/>
        </w:rPr>
        <w:t>…………………………………</w:t>
      </w:r>
      <w:r>
        <w:rPr>
          <w:rFonts w:hint="eastAsia" w:ascii="新宋体" w:hAnsi="新宋体" w:eastAsia="新宋体" w:cs="新宋体"/>
          <w:b/>
          <w:color w:val="auto"/>
          <w:highlight w:val="none"/>
          <w:lang w:val="en-US" w:eastAsia="zh-CN"/>
        </w:rPr>
        <w:t>满分50</w:t>
      </w:r>
      <w:r>
        <w:rPr>
          <w:rFonts w:hint="eastAsia" w:ascii="新宋体" w:hAnsi="新宋体" w:eastAsia="新宋体" w:cs="新宋体"/>
          <w:b/>
          <w:color w:val="auto"/>
          <w:highlight w:val="none"/>
        </w:rPr>
        <w:t>分</w:t>
      </w:r>
    </w:p>
    <w:p w14:paraId="070BE530">
      <w:pPr>
        <w:pStyle w:val="12"/>
        <w:pageBreakBefore w:val="0"/>
        <w:widowControl w:val="0"/>
        <w:tabs>
          <w:tab w:val="left" w:leader="middleDot" w:pos="8820"/>
        </w:tabs>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highlight w:val="none"/>
        </w:rPr>
        <w:t>（1）</w:t>
      </w:r>
      <w:r>
        <w:rPr>
          <w:rFonts w:hint="eastAsia" w:ascii="新宋体" w:hAnsi="新宋体" w:eastAsia="新宋体" w:cs="新宋体"/>
          <w:b/>
          <w:bCs w:val="0"/>
          <w:color w:val="auto"/>
          <w:szCs w:val="21"/>
          <w:highlight w:val="none"/>
        </w:rPr>
        <w:t>总体概述</w:t>
      </w:r>
      <w:r>
        <w:rPr>
          <w:rFonts w:hint="eastAsia" w:ascii="新宋体" w:hAnsi="新宋体" w:eastAsia="新宋体" w:cs="新宋体"/>
          <w:b/>
          <w:bCs w:val="0"/>
          <w:color w:val="auto"/>
          <w:highlight w:val="none"/>
        </w:rPr>
        <w:t>……………………………………………</w:t>
      </w:r>
      <w:r>
        <w:rPr>
          <w:rFonts w:hint="eastAsia" w:ascii="新宋体" w:hAnsi="新宋体" w:eastAsia="新宋体" w:cs="新宋体"/>
          <w:b/>
          <w:color w:val="auto"/>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highlight w:val="none"/>
          <w:lang w:val="en-US" w:eastAsia="zh-CN"/>
        </w:rPr>
        <w:t>5</w:t>
      </w:r>
      <w:r>
        <w:rPr>
          <w:rFonts w:hint="eastAsia" w:ascii="新宋体" w:hAnsi="新宋体" w:eastAsia="新宋体" w:cs="新宋体"/>
          <w:b/>
          <w:bCs w:val="0"/>
          <w:color w:val="auto"/>
          <w:szCs w:val="21"/>
          <w:highlight w:val="none"/>
        </w:rPr>
        <w:t>分</w:t>
      </w:r>
    </w:p>
    <w:p w14:paraId="50C95A94">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kern w:val="0"/>
          <w:szCs w:val="21"/>
          <w:highlight w:val="none"/>
          <w:lang w:eastAsia="zh-CN"/>
        </w:rPr>
      </w:pPr>
      <w:r>
        <w:rPr>
          <w:rFonts w:hint="eastAsia" w:ascii="新宋体" w:hAnsi="新宋体" w:eastAsia="新宋体" w:cs="新宋体"/>
          <w:b w:val="0"/>
          <w:bCs/>
          <w:color w:val="auto"/>
          <w:kern w:val="0"/>
          <w:szCs w:val="21"/>
          <w:highlight w:val="none"/>
          <w:lang w:val="en-US" w:eastAsia="zh-CN"/>
        </w:rPr>
        <w:t>三档</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lang w:val="en-US" w:eastAsia="zh-CN"/>
        </w:rPr>
        <w:t>5.0分</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rPr>
        <w:t>：对项目总体有深刻认识，表达清晰、完整、严谨、合理，措施先进、具体、有效、成熟；施工段划分清晰、合理，符合规范要求</w:t>
      </w:r>
      <w:r>
        <w:rPr>
          <w:rFonts w:hint="eastAsia" w:ascii="新宋体" w:hAnsi="新宋体" w:eastAsia="新宋体" w:cs="新宋体"/>
          <w:b w:val="0"/>
          <w:bCs/>
          <w:color w:val="auto"/>
          <w:kern w:val="0"/>
          <w:szCs w:val="21"/>
          <w:highlight w:val="none"/>
          <w:lang w:eastAsia="zh-CN"/>
        </w:rPr>
        <w:t>；</w:t>
      </w:r>
    </w:p>
    <w:p w14:paraId="42C45F19">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kern w:val="0"/>
          <w:szCs w:val="21"/>
          <w:highlight w:val="none"/>
          <w:lang w:eastAsia="zh-CN"/>
        </w:rPr>
      </w:pPr>
      <w:r>
        <w:rPr>
          <w:rFonts w:hint="eastAsia" w:ascii="新宋体" w:hAnsi="新宋体" w:eastAsia="新宋体" w:cs="新宋体"/>
          <w:b w:val="0"/>
          <w:bCs/>
          <w:color w:val="auto"/>
          <w:kern w:val="0"/>
          <w:szCs w:val="21"/>
          <w:highlight w:val="none"/>
          <w:lang w:val="en-US" w:eastAsia="zh-CN"/>
        </w:rPr>
        <w:t>二档</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lang w:val="en-US" w:eastAsia="zh-CN"/>
        </w:rPr>
        <w:t>3.0分</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rPr>
        <w:t>：对项目总体有一定认识，表达清晰、完整，措施具体有效；施工段划分清晰，符合规范要求</w:t>
      </w:r>
      <w:r>
        <w:rPr>
          <w:rFonts w:hint="eastAsia" w:ascii="新宋体" w:hAnsi="新宋体" w:eastAsia="新宋体" w:cs="新宋体"/>
          <w:b w:val="0"/>
          <w:bCs/>
          <w:color w:val="auto"/>
          <w:kern w:val="0"/>
          <w:szCs w:val="21"/>
          <w:highlight w:val="none"/>
          <w:lang w:eastAsia="zh-CN"/>
        </w:rPr>
        <w:t>；</w:t>
      </w:r>
    </w:p>
    <w:p w14:paraId="393695AF">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kern w:val="0"/>
          <w:szCs w:val="21"/>
          <w:highlight w:val="none"/>
          <w:lang w:eastAsia="zh-CN"/>
        </w:rPr>
      </w:pPr>
      <w:r>
        <w:rPr>
          <w:rFonts w:hint="eastAsia" w:ascii="新宋体" w:hAnsi="新宋体" w:eastAsia="新宋体" w:cs="新宋体"/>
          <w:b w:val="0"/>
          <w:bCs/>
          <w:color w:val="auto"/>
          <w:kern w:val="0"/>
          <w:szCs w:val="21"/>
          <w:highlight w:val="none"/>
          <w:lang w:val="en-US" w:eastAsia="zh-CN"/>
        </w:rPr>
        <w:t>一档</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lang w:val="en-US" w:eastAsia="zh-CN"/>
        </w:rPr>
        <w:t>1.0分</w:t>
      </w:r>
      <w:r>
        <w:rPr>
          <w:rFonts w:hint="eastAsia" w:ascii="新宋体" w:hAnsi="新宋体" w:eastAsia="新宋体" w:cs="新宋体"/>
          <w:b w:val="0"/>
          <w:bCs/>
          <w:color w:val="auto"/>
          <w:kern w:val="0"/>
          <w:szCs w:val="21"/>
          <w:highlight w:val="none"/>
          <w:lang w:eastAsia="zh-CN"/>
        </w:rPr>
        <w:t>）</w:t>
      </w:r>
      <w:r>
        <w:rPr>
          <w:rFonts w:hint="eastAsia" w:ascii="新宋体" w:hAnsi="新宋体" w:eastAsia="新宋体" w:cs="新宋体"/>
          <w:b w:val="0"/>
          <w:bCs/>
          <w:color w:val="auto"/>
          <w:kern w:val="0"/>
          <w:szCs w:val="21"/>
          <w:highlight w:val="none"/>
        </w:rPr>
        <w:t>：对项目总体有认识，有一定的措施但部分不具体；施工段划分较合理，符合规范要求</w:t>
      </w:r>
      <w:r>
        <w:rPr>
          <w:rFonts w:hint="eastAsia" w:ascii="新宋体" w:hAnsi="新宋体" w:eastAsia="新宋体" w:cs="新宋体"/>
          <w:b w:val="0"/>
          <w:bCs/>
          <w:color w:val="auto"/>
          <w:kern w:val="0"/>
          <w:szCs w:val="21"/>
          <w:highlight w:val="none"/>
          <w:lang w:eastAsia="zh-CN"/>
        </w:rPr>
        <w:t>；</w:t>
      </w:r>
    </w:p>
    <w:p w14:paraId="21732573">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highlight w:val="none"/>
        </w:rPr>
      </w:pPr>
      <w:r>
        <w:rPr>
          <w:rFonts w:hint="eastAsia" w:ascii="新宋体" w:hAnsi="新宋体" w:eastAsia="新宋体" w:cs="新宋体"/>
          <w:b/>
          <w:bCs w:val="0"/>
          <w:color w:val="auto"/>
          <w:highlight w:val="none"/>
        </w:rPr>
        <w:t>（2）主要施工方法…………</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color w:val="auto"/>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highlight w:val="none"/>
          <w:lang w:val="en-US" w:eastAsia="zh-CN"/>
        </w:rPr>
        <w:t>8</w:t>
      </w:r>
      <w:r>
        <w:rPr>
          <w:rFonts w:hint="eastAsia" w:ascii="新宋体" w:hAnsi="新宋体" w:eastAsia="新宋体" w:cs="新宋体"/>
          <w:b/>
          <w:bCs w:val="0"/>
          <w:color w:val="auto"/>
          <w:szCs w:val="21"/>
          <w:highlight w:val="none"/>
        </w:rPr>
        <w:t>分</w:t>
      </w:r>
    </w:p>
    <w:p w14:paraId="13372916">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b w:val="0"/>
          <w:bCs w:val="0"/>
          <w:color w:val="auto"/>
          <w:sz w:val="21"/>
          <w:highlight w:val="none"/>
          <w:lang w:val="en-US" w:eastAsia="zh-CN"/>
        </w:rPr>
        <w:t>对</w:t>
      </w:r>
      <w:r>
        <w:rPr>
          <w:rFonts w:hint="eastAsia" w:ascii="新宋体" w:hAnsi="新宋体" w:eastAsia="新宋体" w:cs="新宋体"/>
          <w:bCs/>
          <w:color w:val="auto"/>
          <w:sz w:val="21"/>
          <w:highlight w:val="none"/>
        </w:rPr>
        <w:t>项目关键技术、工艺的表述</w:t>
      </w:r>
      <w:r>
        <w:rPr>
          <w:rFonts w:hint="eastAsia" w:ascii="新宋体" w:hAnsi="新宋体" w:eastAsia="新宋体" w:cs="新宋体"/>
          <w:bCs/>
          <w:color w:val="auto"/>
          <w:sz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Cs/>
          <w:color w:val="auto"/>
          <w:sz w:val="21"/>
          <w:highlight w:val="none"/>
        </w:rPr>
        <w:t>对重点、难点的施工措施</w:t>
      </w:r>
      <w:r>
        <w:rPr>
          <w:rFonts w:hint="eastAsia" w:ascii="新宋体" w:hAnsi="新宋体" w:eastAsia="新宋体" w:cs="新宋体"/>
          <w:bCs/>
          <w:color w:val="auto"/>
          <w:sz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3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③</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Cs/>
          <w:color w:val="auto"/>
          <w:sz w:val="21"/>
          <w:highlight w:val="none"/>
        </w:rPr>
        <w:t>安全措施</w:t>
      </w:r>
      <w:r>
        <w:rPr>
          <w:rFonts w:hint="eastAsia" w:ascii="新宋体" w:hAnsi="新宋体" w:eastAsia="新宋体" w:cs="新宋体"/>
          <w:bCs/>
          <w:color w:val="auto"/>
          <w:sz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4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④</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Cs/>
          <w:color w:val="auto"/>
          <w:sz w:val="21"/>
          <w:highlight w:val="none"/>
        </w:rPr>
        <w:t>解决方案</w:t>
      </w:r>
      <w:r>
        <w:rPr>
          <w:rFonts w:hint="eastAsia" w:ascii="新宋体" w:hAnsi="新宋体" w:eastAsia="新宋体" w:cs="新宋体"/>
          <w:color w:val="auto"/>
          <w:sz w:val="21"/>
          <w:highlight w:val="none"/>
        </w:rPr>
        <w:t>等内容进行综合评定，并按以下标准独立评分：</w:t>
      </w:r>
    </w:p>
    <w:p w14:paraId="5BC2BBF9">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三档</w:t>
      </w:r>
      <w:r>
        <w:rPr>
          <w:rFonts w:hint="eastAsia" w:ascii="新宋体" w:hAnsi="新宋体" w:eastAsia="新宋体" w:cs="新宋体"/>
          <w:color w:val="auto"/>
          <w:sz w:val="21"/>
          <w:highlight w:val="none"/>
        </w:rPr>
        <w:t>（</w:t>
      </w:r>
      <w:r>
        <w:rPr>
          <w:rFonts w:hint="eastAsia" w:ascii="新宋体" w:hAnsi="新宋体" w:eastAsia="新宋体" w:cs="新宋体"/>
          <w:color w:val="auto"/>
          <w:sz w:val="21"/>
          <w:highlight w:val="none"/>
          <w:lang w:val="en-US" w:eastAsia="zh-CN"/>
        </w:rPr>
        <w:t>8.0</w:t>
      </w:r>
      <w:r>
        <w:rPr>
          <w:rFonts w:hint="eastAsia" w:ascii="新宋体" w:hAnsi="新宋体" w:eastAsia="新宋体" w:cs="新宋体"/>
          <w:color w:val="auto"/>
          <w:sz w:val="21"/>
          <w:highlight w:val="none"/>
        </w:rPr>
        <w:t>分）：各主要分部施工方法符合项目实际，有详尽的施工技术方案，工艺先进、方法科学合理、可行，能指导具体施工并确保安全。</w:t>
      </w:r>
    </w:p>
    <w:p w14:paraId="7022357B">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二档</w:t>
      </w:r>
      <w:r>
        <w:rPr>
          <w:rFonts w:hint="eastAsia" w:ascii="新宋体" w:hAnsi="新宋体" w:eastAsia="新宋体" w:cs="新宋体"/>
          <w:color w:val="auto"/>
          <w:sz w:val="21"/>
          <w:highlight w:val="none"/>
        </w:rPr>
        <w:t>（</w:t>
      </w:r>
      <w:r>
        <w:rPr>
          <w:rFonts w:hint="eastAsia" w:ascii="新宋体" w:hAnsi="新宋体" w:eastAsia="新宋体" w:cs="新宋体"/>
          <w:color w:val="auto"/>
          <w:sz w:val="21"/>
          <w:highlight w:val="none"/>
          <w:lang w:val="en-US" w:eastAsia="zh-CN"/>
        </w:rPr>
        <w:t>5.0</w:t>
      </w:r>
      <w:r>
        <w:rPr>
          <w:rFonts w:hint="eastAsia" w:ascii="新宋体" w:hAnsi="新宋体" w:eastAsia="新宋体" w:cs="新宋体"/>
          <w:color w:val="auto"/>
          <w:sz w:val="21"/>
          <w:highlight w:val="none"/>
        </w:rPr>
        <w:t xml:space="preserve">分）：各主要分部施工方法符合项目实际，有详尽的施工技术方案，工艺一般，能指导施工并确保安全。 </w:t>
      </w:r>
    </w:p>
    <w:p w14:paraId="01CA5566">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一档</w:t>
      </w:r>
      <w:r>
        <w:rPr>
          <w:rFonts w:hint="eastAsia" w:ascii="新宋体" w:hAnsi="新宋体" w:eastAsia="新宋体" w:cs="新宋体"/>
          <w:color w:val="auto"/>
          <w:sz w:val="21"/>
          <w:highlight w:val="none"/>
        </w:rPr>
        <w:t>（</w:t>
      </w:r>
      <w:r>
        <w:rPr>
          <w:rFonts w:hint="eastAsia" w:ascii="新宋体" w:hAnsi="新宋体" w:eastAsia="新宋体" w:cs="新宋体"/>
          <w:color w:val="auto"/>
          <w:sz w:val="21"/>
          <w:highlight w:val="none"/>
          <w:lang w:val="en-US" w:eastAsia="zh-CN"/>
        </w:rPr>
        <w:t>3.0</w:t>
      </w:r>
      <w:r>
        <w:rPr>
          <w:rFonts w:hint="eastAsia" w:ascii="新宋体" w:hAnsi="新宋体" w:eastAsia="新宋体" w:cs="新宋体"/>
          <w:color w:val="auto"/>
          <w:sz w:val="21"/>
          <w:highlight w:val="none"/>
        </w:rPr>
        <w:t xml:space="preserve">分）：各主要分部施工方法符合项目实际，有施工技术方案，基本可能指导具体施工并确保安全。 </w:t>
      </w:r>
    </w:p>
    <w:p w14:paraId="4D094F19">
      <w:pPr>
        <w:pStyle w:val="7"/>
        <w:ind w:left="420" w:leftChars="200"/>
        <w:jc w:val="left"/>
        <w:rPr>
          <w:rFonts w:hint="eastAsia"/>
          <w:color w:val="auto"/>
          <w:highlight w:val="none"/>
        </w:rPr>
      </w:pPr>
      <w:r>
        <w:rPr>
          <w:rFonts w:hint="eastAsia"/>
          <w:color w:val="auto"/>
          <w:highlight w:val="none"/>
        </w:rPr>
        <w:t>注：无相关内容或内容无针对性的为0分。</w:t>
      </w:r>
    </w:p>
    <w:p w14:paraId="134AE184">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highlight w:val="none"/>
        </w:rPr>
      </w:pPr>
      <w:r>
        <w:rPr>
          <w:rFonts w:hint="eastAsia" w:ascii="新宋体" w:hAnsi="新宋体" w:eastAsia="新宋体" w:cs="新宋体"/>
          <w:b/>
          <w:bCs w:val="0"/>
          <w:color w:val="auto"/>
          <w:szCs w:val="21"/>
          <w:highlight w:val="none"/>
        </w:rPr>
        <w:t>（3）施工进度、施工进度计划和各阶段进度的保证措施</w:t>
      </w:r>
      <w:r>
        <w:rPr>
          <w:rFonts w:hint="eastAsia" w:ascii="新宋体" w:hAnsi="新宋体" w:eastAsia="新宋体" w:cs="新宋体"/>
          <w:b/>
          <w:bCs w:val="0"/>
          <w:color w:val="auto"/>
          <w:highlight w:val="none"/>
        </w:rPr>
        <w:t>……</w:t>
      </w:r>
      <w:r>
        <w:rPr>
          <w:rFonts w:hint="eastAsia" w:ascii="新宋体" w:hAnsi="新宋体" w:eastAsia="新宋体" w:cs="新宋体"/>
          <w:b/>
          <w:color w:val="auto"/>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highlight w:val="none"/>
          <w:lang w:val="en-US" w:eastAsia="zh-CN"/>
        </w:rPr>
        <w:t>5</w:t>
      </w:r>
      <w:r>
        <w:rPr>
          <w:rFonts w:hint="eastAsia" w:ascii="新宋体" w:hAnsi="新宋体" w:eastAsia="新宋体" w:cs="新宋体"/>
          <w:b/>
          <w:bCs w:val="0"/>
          <w:color w:val="auto"/>
          <w:szCs w:val="21"/>
          <w:highlight w:val="none"/>
        </w:rPr>
        <w:t>分</w:t>
      </w:r>
    </w:p>
    <w:p w14:paraId="7322AA42">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b w:val="0"/>
          <w:bCs w:val="0"/>
          <w:color w:val="auto"/>
          <w:sz w:val="21"/>
          <w:highlight w:val="none"/>
          <w:lang w:val="en-US" w:eastAsia="zh-CN"/>
        </w:rPr>
        <w:t>关键线路；</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计划编制；</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3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③</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关键节点的控制措施；</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4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④</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进度违约责任承诺</w:t>
      </w:r>
      <w:r>
        <w:rPr>
          <w:rFonts w:hint="eastAsia" w:ascii="新宋体" w:hAnsi="新宋体" w:eastAsia="新宋体" w:cs="新宋体"/>
          <w:color w:val="auto"/>
          <w:sz w:val="21"/>
          <w:highlight w:val="none"/>
        </w:rPr>
        <w:t>等</w:t>
      </w:r>
      <w:r>
        <w:rPr>
          <w:rFonts w:hint="eastAsia" w:ascii="新宋体" w:hAnsi="新宋体" w:eastAsia="新宋体" w:cs="新宋体"/>
          <w:color w:val="auto"/>
          <w:sz w:val="21"/>
          <w:highlight w:val="none"/>
          <w:lang w:val="en-US" w:eastAsia="zh-CN"/>
        </w:rPr>
        <w:t>4</w:t>
      </w:r>
      <w:r>
        <w:rPr>
          <w:rFonts w:hint="eastAsia" w:ascii="新宋体" w:hAnsi="新宋体" w:eastAsia="新宋体" w:cs="新宋体"/>
          <w:color w:val="auto"/>
          <w:sz w:val="21"/>
          <w:highlight w:val="none"/>
        </w:rPr>
        <w:t>项内容进行综合评定，并按以下标准独立评分：</w:t>
      </w:r>
    </w:p>
    <w:p w14:paraId="3FF35E6D">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三</w:t>
      </w:r>
      <w:r>
        <w:rPr>
          <w:rFonts w:hint="eastAsia" w:ascii="新宋体" w:hAnsi="新宋体" w:eastAsia="新宋体" w:cs="新宋体"/>
          <w:b w:val="0"/>
          <w:bCs/>
          <w:color w:val="auto"/>
          <w:szCs w:val="21"/>
          <w:highlight w:val="none"/>
        </w:rPr>
        <w:t>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5</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：供应商在满足</w:t>
      </w:r>
      <w:r>
        <w:rPr>
          <w:rFonts w:hint="eastAsia" w:ascii="新宋体" w:hAnsi="新宋体" w:eastAsia="新宋体" w:cs="新宋体"/>
          <w:b w:val="0"/>
          <w:bCs/>
          <w:color w:val="auto"/>
          <w:szCs w:val="21"/>
          <w:highlight w:val="none"/>
          <w:lang w:val="en-US" w:eastAsia="zh-CN"/>
        </w:rPr>
        <w:t>三</w:t>
      </w:r>
      <w:r>
        <w:rPr>
          <w:rFonts w:hint="eastAsia" w:ascii="新宋体" w:hAnsi="新宋体" w:eastAsia="新宋体" w:cs="新宋体"/>
          <w:b w:val="0"/>
          <w:bCs/>
          <w:color w:val="auto"/>
          <w:szCs w:val="21"/>
          <w:highlight w:val="none"/>
        </w:rPr>
        <w:t>档的基础上，关键线路清晰，有各项计划图表编制，其内容完全符合项目实际情况。。</w:t>
      </w:r>
    </w:p>
    <w:p w14:paraId="2C32F515">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二档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3</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：供应商在满足一档的基础上，提供的工程进度计划与措施基本符合本项目施工实际要求，有施工总进度表或施工网络图，其内容较符合项目实际情况。</w:t>
      </w:r>
    </w:p>
    <w:p w14:paraId="7DFAACB5">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一</w:t>
      </w:r>
      <w:r>
        <w:rPr>
          <w:rFonts w:hint="eastAsia" w:ascii="新宋体" w:hAnsi="新宋体" w:eastAsia="新宋体" w:cs="新宋体"/>
          <w:b w:val="0"/>
          <w:bCs/>
          <w:color w:val="auto"/>
          <w:szCs w:val="21"/>
          <w:highlight w:val="none"/>
        </w:rPr>
        <w:t>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1</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color w:val="auto"/>
          <w:sz w:val="21"/>
          <w:highlight w:val="none"/>
        </w:rPr>
        <w:t>供应商能提供工程进度计划与措施，内容包括：控制工期的施工进度计划、保证工期的措施，其内容基本符合项目实际情况。</w:t>
      </w:r>
    </w:p>
    <w:p w14:paraId="571FCCBF">
      <w:pPr>
        <w:pStyle w:val="7"/>
        <w:ind w:left="420" w:leftChars="200"/>
        <w:jc w:val="left"/>
        <w:rPr>
          <w:rFonts w:hint="eastAsia"/>
          <w:color w:val="auto"/>
          <w:highlight w:val="none"/>
        </w:rPr>
      </w:pPr>
      <w:r>
        <w:rPr>
          <w:rFonts w:hint="eastAsia"/>
          <w:color w:val="auto"/>
          <w:highlight w:val="none"/>
        </w:rPr>
        <w:t>注：无相关内容或内容无针对性的为0分。</w:t>
      </w:r>
    </w:p>
    <w:p w14:paraId="3E126F53">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highlight w:val="none"/>
        </w:rPr>
      </w:pPr>
      <w:r>
        <w:rPr>
          <w:rFonts w:hint="eastAsia" w:ascii="新宋体" w:hAnsi="新宋体" w:eastAsia="新宋体" w:cs="新宋体"/>
          <w:b/>
          <w:bCs w:val="0"/>
          <w:color w:val="auto"/>
          <w:szCs w:val="21"/>
          <w:highlight w:val="none"/>
        </w:rPr>
        <w:t>（4）劳动力和材料投入计划及其保证措施</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color w:val="auto"/>
          <w:highlight w:val="none"/>
        </w:rPr>
        <w:t>………</w:t>
      </w:r>
      <w:r>
        <w:rPr>
          <w:rFonts w:hint="eastAsia" w:ascii="新宋体" w:hAnsi="新宋体" w:eastAsia="新宋体" w:cs="新宋体"/>
          <w:b/>
          <w:color w:val="auto"/>
          <w:highlight w:val="none"/>
          <w:lang w:val="en-US" w:eastAsia="zh-CN"/>
        </w:rPr>
        <w:t>8</w:t>
      </w:r>
      <w:r>
        <w:rPr>
          <w:rFonts w:hint="eastAsia" w:ascii="新宋体" w:hAnsi="新宋体" w:eastAsia="新宋体" w:cs="新宋体"/>
          <w:b/>
          <w:bCs w:val="0"/>
          <w:color w:val="auto"/>
          <w:szCs w:val="21"/>
          <w:highlight w:val="none"/>
        </w:rPr>
        <w:t>分</w:t>
      </w:r>
    </w:p>
    <w:p w14:paraId="163E0C1B">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b w:val="0"/>
          <w:bCs w:val="0"/>
          <w:color w:val="auto"/>
          <w:sz w:val="21"/>
          <w:highlight w:val="none"/>
          <w:lang w:val="en-US" w:eastAsia="zh-CN"/>
        </w:rPr>
        <w:t>劳动力计划；</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材料投入计划；</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3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③</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color w:val="auto"/>
          <w:szCs w:val="21"/>
          <w:highlight w:val="none"/>
        </w:rPr>
        <w:t>调配投入计划</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4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④</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color w:val="auto"/>
          <w:szCs w:val="21"/>
          <w:highlight w:val="none"/>
        </w:rPr>
        <w:t>进度计划</w:t>
      </w:r>
      <w:r>
        <w:rPr>
          <w:rFonts w:hint="eastAsia" w:ascii="新宋体" w:hAnsi="新宋体" w:eastAsia="新宋体" w:cs="新宋体"/>
          <w:color w:val="auto"/>
          <w:sz w:val="21"/>
          <w:highlight w:val="none"/>
        </w:rPr>
        <w:t>等</w:t>
      </w:r>
      <w:r>
        <w:rPr>
          <w:rFonts w:hint="eastAsia" w:ascii="新宋体" w:hAnsi="新宋体" w:eastAsia="新宋体" w:cs="新宋体"/>
          <w:color w:val="auto"/>
          <w:sz w:val="21"/>
          <w:highlight w:val="none"/>
          <w:lang w:val="en-US" w:eastAsia="zh-CN"/>
        </w:rPr>
        <w:t>4</w:t>
      </w:r>
      <w:r>
        <w:rPr>
          <w:rFonts w:hint="eastAsia" w:ascii="新宋体" w:hAnsi="新宋体" w:eastAsia="新宋体" w:cs="新宋体"/>
          <w:color w:val="auto"/>
          <w:sz w:val="21"/>
          <w:highlight w:val="none"/>
        </w:rPr>
        <w:t>项内容进行综合评定，并按以下标准独立评分：</w:t>
      </w:r>
    </w:p>
    <w:p w14:paraId="1B30CCB5">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lang w:val="en-US" w:eastAsia="zh-CN"/>
        </w:rPr>
      </w:pPr>
      <w:r>
        <w:rPr>
          <w:rFonts w:hint="eastAsia" w:ascii="新宋体" w:hAnsi="新宋体" w:eastAsia="新宋体" w:cs="新宋体"/>
          <w:b w:val="0"/>
          <w:bCs/>
          <w:color w:val="auto"/>
          <w:szCs w:val="21"/>
          <w:highlight w:val="none"/>
          <w:lang w:val="en-US" w:eastAsia="zh-CN"/>
        </w:rPr>
        <w:t>三档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8</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b w:val="0"/>
          <w:bCs/>
          <w:color w:val="auto"/>
          <w:szCs w:val="21"/>
          <w:highlight w:val="none"/>
          <w:lang w:val="en-US" w:eastAsia="zh-CN"/>
        </w:rPr>
        <w:t>项目负责人和技术负责人都具有文博系列文物保护专业副高级及以上职称，</w:t>
      </w:r>
      <w:r>
        <w:rPr>
          <w:rFonts w:hint="eastAsia" w:ascii="新宋体" w:hAnsi="新宋体" w:eastAsia="新宋体" w:cs="新宋体"/>
          <w:b w:val="0"/>
          <w:bCs/>
          <w:color w:val="auto"/>
          <w:szCs w:val="21"/>
          <w:highlight w:val="none"/>
        </w:rPr>
        <w:t>各主要施工工序有详细周密的劳动力安排计划，有各工种劳动力安排计划，劳动力投入合理，投入的施工材料有详细的组织计划且计划周密、有物资保障措施，数量、选型配置优、进场时间安排合理，满足施工需要。</w:t>
      </w:r>
      <w:r>
        <w:rPr>
          <w:rFonts w:hint="eastAsia" w:ascii="新宋体" w:hAnsi="新宋体" w:eastAsia="新宋体" w:cs="新宋体"/>
          <w:b w:val="0"/>
          <w:bCs/>
          <w:color w:val="auto"/>
          <w:szCs w:val="21"/>
          <w:highlight w:val="none"/>
          <w:lang w:val="en-US" w:eastAsia="zh-CN"/>
        </w:rPr>
        <w:t xml:space="preserve"> </w:t>
      </w:r>
    </w:p>
    <w:p w14:paraId="2D141516">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二档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5</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b w:val="0"/>
          <w:bCs/>
          <w:color w:val="auto"/>
          <w:szCs w:val="21"/>
          <w:highlight w:val="none"/>
          <w:lang w:val="en-US" w:eastAsia="zh-CN"/>
        </w:rPr>
        <w:t>项目负责人或技术负责人具有文博系列文物保护专业副高级及以上职称，</w:t>
      </w:r>
      <w:r>
        <w:rPr>
          <w:rFonts w:hint="eastAsia" w:ascii="新宋体" w:hAnsi="新宋体" w:eastAsia="新宋体" w:cs="新宋体"/>
          <w:b w:val="0"/>
          <w:bCs/>
          <w:color w:val="auto"/>
          <w:szCs w:val="21"/>
          <w:highlight w:val="none"/>
        </w:rPr>
        <w:t>各主要施工工序有劳动力安排计划，有各工种劳动力安排计划，劳动力投入合理，投入的施工材料有组织计划且计划一般，数量、选型配置及进场计划符合项目实际，基本满足施工需要。</w:t>
      </w:r>
    </w:p>
    <w:p w14:paraId="1785F537">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一档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2</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color w:val="auto"/>
          <w:sz w:val="21"/>
          <w:highlight w:val="none"/>
        </w:rPr>
        <w:t>项目负责人或技术负责人具有文博系列文物保护专业</w:t>
      </w:r>
      <w:r>
        <w:rPr>
          <w:rFonts w:hint="eastAsia" w:ascii="新宋体" w:hAnsi="新宋体" w:eastAsia="新宋体" w:cs="新宋体"/>
          <w:color w:val="auto"/>
          <w:sz w:val="21"/>
          <w:highlight w:val="none"/>
          <w:lang w:val="en-US" w:eastAsia="zh-CN"/>
        </w:rPr>
        <w:t>中级</w:t>
      </w:r>
      <w:r>
        <w:rPr>
          <w:rFonts w:hint="eastAsia" w:ascii="新宋体" w:hAnsi="新宋体" w:eastAsia="新宋体" w:cs="新宋体"/>
          <w:color w:val="auto"/>
          <w:sz w:val="21"/>
          <w:highlight w:val="none"/>
        </w:rPr>
        <w:t>及以上职称</w:t>
      </w:r>
      <w:r>
        <w:rPr>
          <w:rFonts w:hint="eastAsia" w:ascii="新宋体" w:hAnsi="新宋体" w:eastAsia="新宋体" w:cs="新宋体"/>
          <w:color w:val="auto"/>
          <w:sz w:val="21"/>
          <w:highlight w:val="none"/>
          <w:lang w:eastAsia="zh-CN"/>
        </w:rPr>
        <w:t>，有简单劳动力安排计划，及劳动力投入说明；投入的施工材料有组织计划且计划简单，有简单的选型配置及进场计划，勉强满足施工需要</w:t>
      </w:r>
      <w:r>
        <w:rPr>
          <w:rFonts w:hint="eastAsia" w:ascii="新宋体" w:hAnsi="新宋体" w:eastAsia="新宋体" w:cs="新宋体"/>
          <w:color w:val="auto"/>
          <w:sz w:val="21"/>
          <w:highlight w:val="none"/>
        </w:rPr>
        <w:t>。</w:t>
      </w:r>
    </w:p>
    <w:p w14:paraId="2B04FBBD">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rPr>
        <w:t>注：无相关内容或内容无针对性的为0分。</w:t>
      </w:r>
    </w:p>
    <w:p w14:paraId="4D5E73FF">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szCs w:val="21"/>
          <w:highlight w:val="none"/>
        </w:rPr>
        <w:t>（5）施工平面布置和临时设施布置</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highlight w:val="none"/>
          <w:lang w:val="en-US" w:eastAsia="zh-CN"/>
        </w:rPr>
        <w:t>5</w:t>
      </w:r>
      <w:r>
        <w:rPr>
          <w:rFonts w:hint="eastAsia" w:ascii="新宋体" w:hAnsi="新宋体" w:eastAsia="新宋体" w:cs="新宋体"/>
          <w:b/>
          <w:bCs w:val="0"/>
          <w:color w:val="auto"/>
          <w:szCs w:val="21"/>
          <w:highlight w:val="none"/>
        </w:rPr>
        <w:t>分</w:t>
      </w:r>
    </w:p>
    <w:p w14:paraId="46049D8E">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color w:val="auto"/>
          <w:sz w:val="21"/>
          <w:highlight w:val="none"/>
        </w:rPr>
        <w:t>施工平面布置</w:t>
      </w:r>
      <w:r>
        <w:rPr>
          <w:rFonts w:hint="eastAsia" w:ascii="新宋体" w:hAnsi="新宋体" w:eastAsia="新宋体" w:cs="新宋体"/>
          <w:b w:val="0"/>
          <w:bCs w:val="0"/>
          <w:color w:val="auto"/>
          <w:sz w:val="21"/>
          <w:highlight w:val="none"/>
          <w:lang w:val="en-US"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临时设施布置</w:t>
      </w:r>
      <w:r>
        <w:rPr>
          <w:rFonts w:hint="eastAsia" w:ascii="新宋体" w:hAnsi="新宋体" w:eastAsia="新宋体" w:cs="新宋体"/>
          <w:color w:val="auto"/>
          <w:sz w:val="21"/>
          <w:highlight w:val="none"/>
        </w:rPr>
        <w:t>等</w:t>
      </w:r>
      <w:r>
        <w:rPr>
          <w:rFonts w:hint="eastAsia" w:ascii="新宋体" w:hAnsi="新宋体" w:eastAsia="新宋体" w:cs="新宋体"/>
          <w:color w:val="auto"/>
          <w:sz w:val="21"/>
          <w:highlight w:val="none"/>
          <w:lang w:val="en-US" w:eastAsia="zh-CN"/>
        </w:rPr>
        <w:t>2</w:t>
      </w:r>
      <w:r>
        <w:rPr>
          <w:rFonts w:hint="eastAsia" w:ascii="新宋体" w:hAnsi="新宋体" w:eastAsia="新宋体" w:cs="新宋体"/>
          <w:color w:val="auto"/>
          <w:sz w:val="21"/>
          <w:highlight w:val="none"/>
        </w:rPr>
        <w:t>项内容进行综合评定，并按以下标准独立评分：</w:t>
      </w:r>
    </w:p>
    <w:p w14:paraId="52DA6CF0">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三档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5</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：有施工总平面布置图，总体布置有针对性、安排科学合理，完全满足施工需要，符合安全、文明生产要求。</w:t>
      </w:r>
    </w:p>
    <w:p w14:paraId="7EF8DAE8">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二档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3</w:t>
      </w:r>
      <w:r>
        <w:rPr>
          <w:rFonts w:hint="eastAsia" w:ascii="新宋体" w:hAnsi="新宋体" w:eastAsia="新宋体" w:cs="新宋体"/>
          <w:b w:val="0"/>
          <w:bCs w:val="0"/>
          <w:color w:val="auto"/>
          <w:kern w:val="0"/>
          <w:sz w:val="21"/>
          <w:szCs w:val="21"/>
          <w:highlight w:val="none"/>
          <w:lang w:val="en-US" w:eastAsia="zh-CN"/>
        </w:rPr>
        <w:t>.0分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color w:val="auto"/>
          <w:sz w:val="21"/>
          <w:highlight w:val="none"/>
        </w:rPr>
        <w:t>有施工总平面布置图，总体布置合理，基本满足施工需要，符合安全、文明生产要求。</w:t>
      </w:r>
    </w:p>
    <w:p w14:paraId="39055997">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一档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lang w:val="en-US" w:eastAsia="zh-CN"/>
        </w:rPr>
        <w:t>1.0</w:t>
      </w:r>
      <w:r>
        <w:rPr>
          <w:rFonts w:hint="eastAsia" w:ascii="新宋体" w:hAnsi="新宋体" w:eastAsia="新宋体" w:cs="新宋体"/>
          <w:b w:val="0"/>
          <w:bCs w:val="0"/>
          <w:color w:val="auto"/>
          <w:kern w:val="0"/>
          <w:sz w:val="21"/>
          <w:szCs w:val="21"/>
          <w:highlight w:val="none"/>
          <w:lang w:val="en-US" w:eastAsia="zh-CN"/>
        </w:rPr>
        <w:t>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color w:val="auto"/>
          <w:sz w:val="21"/>
          <w:highlight w:val="none"/>
        </w:rPr>
        <w:t>有施工总平面布置图，总体布置基本合理，基本满足施工需要，基本符合安全、文明生产要求。。</w:t>
      </w:r>
    </w:p>
    <w:p w14:paraId="103168C7">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rPr>
        <w:t>注：无相关内容或内容无针对性的为0分。</w:t>
      </w:r>
    </w:p>
    <w:p w14:paraId="5914CBC0">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szCs w:val="21"/>
          <w:highlight w:val="none"/>
        </w:rPr>
        <w:t>（6）关键施工技术、工艺及工程实施的重点、难点和解决方案</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highlight w:val="none"/>
          <w:lang w:val="en-US" w:eastAsia="zh-CN"/>
        </w:rPr>
        <w:t>7</w:t>
      </w:r>
      <w:r>
        <w:rPr>
          <w:rFonts w:hint="eastAsia" w:ascii="新宋体" w:hAnsi="新宋体" w:eastAsia="新宋体" w:cs="新宋体"/>
          <w:b/>
          <w:bCs w:val="0"/>
          <w:color w:val="auto"/>
          <w:szCs w:val="21"/>
          <w:highlight w:val="none"/>
        </w:rPr>
        <w:t>分</w:t>
      </w:r>
    </w:p>
    <w:p w14:paraId="160885BE">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color w:val="auto"/>
          <w:sz w:val="21"/>
          <w:highlight w:val="none"/>
        </w:rPr>
        <w:t>关键施工技术</w:t>
      </w:r>
      <w:r>
        <w:rPr>
          <w:rFonts w:hint="eastAsia" w:ascii="新宋体" w:hAnsi="新宋体" w:eastAsia="新宋体" w:cs="新宋体"/>
          <w:b w:val="0"/>
          <w:bCs w:val="0"/>
          <w:color w:val="auto"/>
          <w:sz w:val="21"/>
          <w:highlight w:val="none"/>
          <w:lang w:val="en-US" w:eastAsia="zh-CN"/>
        </w:rPr>
        <w:t>、工艺；</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工程实施的重点、难点；</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3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③</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b w:val="0"/>
          <w:bCs w:val="0"/>
          <w:color w:val="auto"/>
          <w:sz w:val="21"/>
          <w:highlight w:val="none"/>
          <w:lang w:val="en-US" w:eastAsia="zh-CN"/>
        </w:rPr>
        <w:t>解决方案</w:t>
      </w:r>
      <w:r>
        <w:rPr>
          <w:rFonts w:hint="eastAsia" w:ascii="新宋体" w:hAnsi="新宋体" w:eastAsia="新宋体" w:cs="新宋体"/>
          <w:color w:val="auto"/>
          <w:sz w:val="21"/>
          <w:highlight w:val="none"/>
        </w:rPr>
        <w:t>等</w:t>
      </w:r>
      <w:r>
        <w:rPr>
          <w:rFonts w:hint="eastAsia" w:ascii="新宋体" w:hAnsi="新宋体" w:eastAsia="新宋体" w:cs="新宋体"/>
          <w:color w:val="auto"/>
          <w:sz w:val="21"/>
          <w:highlight w:val="none"/>
          <w:lang w:val="en-US" w:eastAsia="zh-CN"/>
        </w:rPr>
        <w:t>3</w:t>
      </w:r>
      <w:r>
        <w:rPr>
          <w:rFonts w:hint="eastAsia" w:ascii="新宋体" w:hAnsi="新宋体" w:eastAsia="新宋体" w:cs="新宋体"/>
          <w:color w:val="auto"/>
          <w:sz w:val="21"/>
          <w:highlight w:val="none"/>
        </w:rPr>
        <w:t>项内容进行综合评定，并按以下标准独立评分：</w:t>
      </w:r>
    </w:p>
    <w:p w14:paraId="72E318B0">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color w:val="auto"/>
          <w:sz w:val="21"/>
          <w:highlight w:val="none"/>
        </w:rPr>
        <w:t>三档（7分）：针对本工程的特点，阐述工程的重点和难点评委认可的不少于3个，有解决重点和难点问题的切实可行方案且措施得力。</w:t>
      </w:r>
    </w:p>
    <w:p w14:paraId="1717899E">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color w:val="auto"/>
          <w:sz w:val="21"/>
          <w:highlight w:val="none"/>
        </w:rPr>
        <w:t>二档（4分）：针对本工程的特点，阐述工程的重点和难点评委认可的不少于2个，有解决重点和难点问题的方案。</w:t>
      </w:r>
    </w:p>
    <w:p w14:paraId="2943C00F">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color w:val="auto"/>
          <w:sz w:val="21"/>
          <w:highlight w:val="none"/>
        </w:rPr>
        <w:t>一档（1分）：针对本工程的特点，能简单阐述工程的重点和难点评委认可的至少1项，解决重点和难点问题的方案，方案基本可行。</w:t>
      </w:r>
    </w:p>
    <w:p w14:paraId="69274B48">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rPr>
        <w:t>注：无相关内容或内容无针对性的为0分。</w:t>
      </w:r>
    </w:p>
    <w:p w14:paraId="2465CEB3">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kern w:val="0"/>
          <w:szCs w:val="21"/>
          <w:highlight w:val="none"/>
        </w:rPr>
        <w:t>（7）安全文明施工措施</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lang w:val="en-US" w:eastAsia="zh-CN"/>
        </w:rPr>
        <w:t>4</w:t>
      </w:r>
      <w:r>
        <w:rPr>
          <w:rFonts w:hint="eastAsia" w:ascii="新宋体" w:hAnsi="新宋体" w:eastAsia="新宋体" w:cs="新宋体"/>
          <w:b/>
          <w:bCs w:val="0"/>
          <w:color w:val="auto"/>
          <w:szCs w:val="21"/>
          <w:highlight w:val="none"/>
        </w:rPr>
        <w:t>分</w:t>
      </w:r>
    </w:p>
    <w:p w14:paraId="6FD62C62">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lang w:eastAsia="zh-CN"/>
        </w:rPr>
        <w:t>磋商小组</w:t>
      </w:r>
      <w:r>
        <w:rPr>
          <w:rFonts w:hint="eastAsia" w:ascii="新宋体" w:hAnsi="新宋体" w:eastAsia="新宋体" w:cs="新宋体"/>
          <w:color w:val="auto"/>
          <w:sz w:val="21"/>
          <w:highlight w:val="none"/>
        </w:rPr>
        <w:t>会</w:t>
      </w:r>
      <w:r>
        <w:rPr>
          <w:rFonts w:hint="eastAsia" w:ascii="新宋体" w:hAnsi="新宋体" w:eastAsia="新宋体" w:cs="新宋体"/>
          <w:color w:val="auto"/>
          <w:sz w:val="21"/>
          <w:highlight w:val="none"/>
          <w:lang w:eastAsia="zh-CN"/>
        </w:rPr>
        <w:t>各成员</w:t>
      </w:r>
      <w:r>
        <w:rPr>
          <w:rFonts w:hint="eastAsia" w:ascii="新宋体" w:hAnsi="新宋体" w:eastAsia="新宋体" w:cs="新宋体"/>
          <w:color w:val="auto"/>
          <w:sz w:val="21"/>
          <w:highlight w:val="none"/>
        </w:rPr>
        <w:t>对比各</w:t>
      </w:r>
      <w:r>
        <w:rPr>
          <w:rFonts w:hint="eastAsia" w:ascii="新宋体" w:hAnsi="新宋体" w:eastAsia="新宋体" w:cs="新宋体"/>
          <w:color w:val="auto"/>
          <w:sz w:val="21"/>
          <w:highlight w:val="none"/>
          <w:lang w:eastAsia="zh-CN"/>
        </w:rPr>
        <w:t>磋商供应商</w:t>
      </w:r>
      <w:r>
        <w:rPr>
          <w:rFonts w:hint="eastAsia" w:ascii="新宋体" w:hAnsi="新宋体" w:eastAsia="新宋体" w:cs="新宋体"/>
          <w:color w:val="auto"/>
          <w:sz w:val="21"/>
          <w:highlight w:val="none"/>
        </w:rPr>
        <w:t>提供的</w:t>
      </w:r>
      <w:r>
        <w:rPr>
          <w:rFonts w:hint="eastAsia" w:ascii="新宋体" w:hAnsi="新宋体" w:eastAsia="新宋体" w:cs="新宋体"/>
          <w:color w:val="auto"/>
          <w:sz w:val="21"/>
          <w:highlight w:val="none"/>
        </w:rPr>
        <w:fldChar w:fldCharType="begin"/>
      </w:r>
      <w:r>
        <w:rPr>
          <w:rFonts w:hint="eastAsia" w:ascii="新宋体" w:hAnsi="新宋体" w:eastAsia="新宋体" w:cs="新宋体"/>
          <w:color w:val="auto"/>
          <w:sz w:val="21"/>
          <w:highlight w:val="none"/>
        </w:rPr>
        <w:instrText xml:space="preserve"> = 1 \* GB3 \* MERGEFORMAT </w:instrText>
      </w:r>
      <w:r>
        <w:rPr>
          <w:rFonts w:hint="eastAsia" w:ascii="新宋体" w:hAnsi="新宋体" w:eastAsia="新宋体" w:cs="新宋体"/>
          <w:color w:val="auto"/>
          <w:sz w:val="21"/>
          <w:highlight w:val="none"/>
        </w:rPr>
        <w:fldChar w:fldCharType="separate"/>
      </w:r>
      <w:r>
        <w:rPr>
          <w:rFonts w:hint="eastAsia" w:ascii="新宋体" w:hAnsi="新宋体" w:eastAsia="新宋体" w:cs="新宋体"/>
          <w:color w:val="auto"/>
          <w:highlight w:val="none"/>
        </w:rPr>
        <w:t>①</w:t>
      </w:r>
      <w:r>
        <w:rPr>
          <w:rFonts w:hint="eastAsia" w:ascii="新宋体" w:hAnsi="新宋体" w:eastAsia="新宋体" w:cs="新宋体"/>
          <w:color w:val="auto"/>
          <w:sz w:val="21"/>
          <w:highlight w:val="none"/>
        </w:rPr>
        <w:fldChar w:fldCharType="end"/>
      </w:r>
      <w:r>
        <w:rPr>
          <w:rFonts w:hint="eastAsia" w:ascii="新宋体" w:hAnsi="新宋体" w:eastAsia="新宋体" w:cs="新宋体"/>
          <w:color w:val="auto"/>
          <w:sz w:val="21"/>
          <w:highlight w:val="none"/>
        </w:rPr>
        <w:t>项目实际情况</w:t>
      </w:r>
      <w:r>
        <w:rPr>
          <w:rFonts w:hint="eastAsia" w:ascii="新宋体" w:hAnsi="新宋体" w:eastAsia="新宋体" w:cs="新宋体"/>
          <w:color w:val="auto"/>
          <w:sz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2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②</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color w:val="auto"/>
          <w:sz w:val="21"/>
          <w:highlight w:val="none"/>
        </w:rPr>
        <w:t>实施措施</w:t>
      </w:r>
      <w:r>
        <w:rPr>
          <w:rFonts w:hint="eastAsia" w:ascii="新宋体" w:hAnsi="新宋体" w:eastAsia="新宋体" w:cs="新宋体"/>
          <w:color w:val="auto"/>
          <w:sz w:val="21"/>
          <w:highlight w:val="none"/>
          <w:lang w:eastAsia="zh-CN"/>
        </w:rPr>
        <w:t>；</w:t>
      </w:r>
      <w:r>
        <w:rPr>
          <w:rFonts w:hint="eastAsia" w:ascii="新宋体" w:hAnsi="新宋体" w:eastAsia="新宋体" w:cs="新宋体"/>
          <w:bCs/>
          <w:color w:val="auto"/>
          <w:sz w:val="21"/>
          <w:highlight w:val="none"/>
          <w:lang w:eastAsia="zh-CN"/>
        </w:rPr>
        <w:fldChar w:fldCharType="begin"/>
      </w:r>
      <w:r>
        <w:rPr>
          <w:rFonts w:hint="eastAsia" w:ascii="新宋体" w:hAnsi="新宋体" w:eastAsia="新宋体" w:cs="新宋体"/>
          <w:bCs/>
          <w:color w:val="auto"/>
          <w:sz w:val="21"/>
          <w:highlight w:val="none"/>
          <w:lang w:eastAsia="zh-CN"/>
        </w:rPr>
        <w:instrText xml:space="preserve"> = 3 \* GB3 \* MERGEFORMAT </w:instrText>
      </w:r>
      <w:r>
        <w:rPr>
          <w:rFonts w:hint="eastAsia" w:ascii="新宋体" w:hAnsi="新宋体" w:eastAsia="新宋体" w:cs="新宋体"/>
          <w:bCs/>
          <w:color w:val="auto"/>
          <w:sz w:val="21"/>
          <w:highlight w:val="none"/>
          <w:lang w:eastAsia="zh-CN"/>
        </w:rPr>
        <w:fldChar w:fldCharType="separate"/>
      </w:r>
      <w:r>
        <w:rPr>
          <w:rFonts w:hint="eastAsia" w:ascii="新宋体" w:hAnsi="新宋体" w:eastAsia="新宋体" w:cs="新宋体"/>
          <w:color w:val="auto"/>
          <w:highlight w:val="none"/>
        </w:rPr>
        <w:t>③</w:t>
      </w:r>
      <w:r>
        <w:rPr>
          <w:rFonts w:hint="eastAsia" w:ascii="新宋体" w:hAnsi="新宋体" w:eastAsia="新宋体" w:cs="新宋体"/>
          <w:bCs/>
          <w:color w:val="auto"/>
          <w:sz w:val="21"/>
          <w:highlight w:val="none"/>
          <w:lang w:eastAsia="zh-CN"/>
        </w:rPr>
        <w:fldChar w:fldCharType="end"/>
      </w:r>
      <w:r>
        <w:rPr>
          <w:rFonts w:hint="eastAsia" w:ascii="新宋体" w:hAnsi="新宋体" w:eastAsia="新宋体" w:cs="新宋体"/>
          <w:color w:val="auto"/>
          <w:sz w:val="21"/>
          <w:highlight w:val="none"/>
        </w:rPr>
        <w:t>安全文明措施等</w:t>
      </w:r>
      <w:r>
        <w:rPr>
          <w:rFonts w:hint="eastAsia" w:ascii="新宋体" w:hAnsi="新宋体" w:eastAsia="新宋体" w:cs="新宋体"/>
          <w:color w:val="auto"/>
          <w:sz w:val="21"/>
          <w:highlight w:val="none"/>
          <w:lang w:val="en-US" w:eastAsia="zh-CN"/>
        </w:rPr>
        <w:t>3</w:t>
      </w:r>
      <w:r>
        <w:rPr>
          <w:rFonts w:hint="eastAsia" w:ascii="新宋体" w:hAnsi="新宋体" w:eastAsia="新宋体" w:cs="新宋体"/>
          <w:color w:val="auto"/>
          <w:sz w:val="21"/>
          <w:highlight w:val="none"/>
        </w:rPr>
        <w:t>项内容进行综合评定，并按以下标准独立评分：</w:t>
      </w:r>
    </w:p>
    <w:p w14:paraId="094F0066">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三档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val="0"/>
          <w:color w:val="auto"/>
          <w:kern w:val="0"/>
          <w:sz w:val="21"/>
          <w:szCs w:val="21"/>
          <w:highlight w:val="none"/>
          <w:lang w:val="en-US" w:eastAsia="zh-CN"/>
        </w:rPr>
        <w:t>4.0分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有专门的安全管理人员和制度，且人员配备合理，制度健全，各道工序安全技术措施针对性强，确保安全生产的技术组织措施符合实际且完全满足有关安全技术标准要求。现场防火、应急救援、社会治安安全措施得力。针对本工程项目特点，有现场文明施工、环境保护措施，且措施内容达到合格标准并完全符合</w:t>
      </w:r>
      <w:r>
        <w:rPr>
          <w:rFonts w:hint="eastAsia" w:ascii="新宋体" w:hAnsi="新宋体" w:eastAsia="新宋体" w:cs="新宋体"/>
          <w:b w:val="0"/>
          <w:bCs/>
          <w:color w:val="auto"/>
          <w:szCs w:val="21"/>
          <w:highlight w:val="none"/>
          <w:lang w:val="en-US" w:eastAsia="zh-CN"/>
        </w:rPr>
        <w:t>当地相关部门的相关法规</w:t>
      </w:r>
      <w:r>
        <w:rPr>
          <w:rFonts w:hint="eastAsia" w:ascii="新宋体" w:hAnsi="新宋体" w:eastAsia="新宋体" w:cs="新宋体"/>
          <w:b w:val="0"/>
          <w:bCs/>
          <w:color w:val="auto"/>
          <w:szCs w:val="21"/>
          <w:highlight w:val="none"/>
        </w:rPr>
        <w:t>要求。各项措施周全、具体、有效。有具体实现现场文明施工目标的承诺。</w:t>
      </w:r>
    </w:p>
    <w:p w14:paraId="761CDAE8">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lang w:val="en-US" w:eastAsia="zh-CN"/>
        </w:rPr>
        <w:t>二档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val="0"/>
          <w:color w:val="auto"/>
          <w:kern w:val="0"/>
          <w:sz w:val="21"/>
          <w:szCs w:val="21"/>
          <w:highlight w:val="none"/>
          <w:lang w:val="en-US" w:eastAsia="zh-CN"/>
        </w:rPr>
        <w:t>2.0分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有专门的安全管理人员和制度，基本确保安全生产的技术组织措施及有关安全技术标准要求。有简单的相关措施。有现场文明施工、环境保护措施，且措施内容达到合格标准并符合当地相关部门的相关法规要求。</w:t>
      </w:r>
    </w:p>
    <w:p w14:paraId="0D254376">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rPr>
      </w:pPr>
      <w:r>
        <w:rPr>
          <w:rFonts w:hint="eastAsia" w:ascii="新宋体" w:hAnsi="新宋体" w:eastAsia="新宋体" w:cs="新宋体"/>
          <w:b w:val="0"/>
          <w:bCs/>
          <w:color w:val="auto"/>
          <w:szCs w:val="21"/>
          <w:highlight w:val="none"/>
          <w:lang w:val="en-US" w:eastAsia="zh-CN"/>
        </w:rPr>
        <w:t>一档</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val="0"/>
          <w:color w:val="auto"/>
          <w:kern w:val="0"/>
          <w:sz w:val="21"/>
          <w:szCs w:val="21"/>
          <w:highlight w:val="none"/>
          <w:lang w:val="en-US" w:eastAsia="zh-CN"/>
        </w:rPr>
        <w:t>1.0分</w:t>
      </w:r>
      <w:r>
        <w:rPr>
          <w:rFonts w:hint="eastAsia" w:ascii="新宋体" w:hAnsi="新宋体" w:eastAsia="新宋体" w:cs="新宋体"/>
          <w:b w:val="0"/>
          <w:bCs/>
          <w:color w:val="auto"/>
          <w:szCs w:val="21"/>
          <w:highlight w:val="none"/>
          <w:lang w:eastAsia="zh-CN"/>
        </w:rPr>
        <w:t>）</w:t>
      </w:r>
      <w:r>
        <w:rPr>
          <w:rFonts w:hint="eastAsia" w:ascii="新宋体" w:hAnsi="新宋体" w:eastAsia="新宋体" w:cs="新宋体"/>
          <w:b w:val="0"/>
          <w:bCs/>
          <w:color w:val="auto"/>
          <w:szCs w:val="21"/>
          <w:highlight w:val="none"/>
        </w:rPr>
        <w:t>：</w:t>
      </w:r>
      <w:r>
        <w:rPr>
          <w:rFonts w:hint="eastAsia" w:ascii="新宋体" w:hAnsi="新宋体" w:eastAsia="新宋体" w:cs="新宋体"/>
          <w:color w:val="auto"/>
          <w:sz w:val="21"/>
          <w:highlight w:val="none"/>
        </w:rPr>
        <w:t>安全文明措施简单，但不能较好满足项目实际需求。。</w:t>
      </w:r>
    </w:p>
    <w:p w14:paraId="60846188">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b w:val="0"/>
          <w:bCs/>
          <w:color w:val="auto"/>
          <w:szCs w:val="21"/>
          <w:highlight w:val="none"/>
        </w:rPr>
      </w:pPr>
      <w:r>
        <w:rPr>
          <w:rFonts w:hint="eastAsia" w:ascii="新宋体" w:hAnsi="新宋体" w:eastAsia="新宋体" w:cs="新宋体"/>
          <w:color w:val="auto"/>
          <w:sz w:val="21"/>
          <w:highlight w:val="none"/>
        </w:rPr>
        <w:t>注：无相关内容或内容无针对性的为0分。</w:t>
      </w:r>
    </w:p>
    <w:p w14:paraId="113D32D5">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szCs w:val="21"/>
          <w:highlight w:val="none"/>
        </w:rPr>
        <w:t>（8）</w:t>
      </w:r>
      <w:r>
        <w:rPr>
          <w:rFonts w:hint="eastAsia" w:ascii="新宋体" w:hAnsi="新宋体" w:eastAsia="新宋体" w:cs="新宋体"/>
          <w:b/>
          <w:bCs w:val="0"/>
          <w:color w:val="auto"/>
          <w:szCs w:val="21"/>
          <w:highlight w:val="none"/>
          <w:lang w:eastAsia="zh-CN"/>
        </w:rPr>
        <w:t>确保工程质量的技术组织措施</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lang w:val="en-US" w:eastAsia="zh-CN"/>
        </w:rPr>
        <w:t>5</w:t>
      </w:r>
      <w:r>
        <w:rPr>
          <w:rFonts w:hint="eastAsia" w:ascii="新宋体" w:hAnsi="新宋体" w:eastAsia="新宋体" w:cs="新宋体"/>
          <w:b/>
          <w:bCs w:val="0"/>
          <w:color w:val="auto"/>
          <w:szCs w:val="21"/>
          <w:highlight w:val="none"/>
        </w:rPr>
        <w:t>分</w:t>
      </w:r>
    </w:p>
    <w:p w14:paraId="1308AB9C">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lang w:eastAsia="zh-CN"/>
        </w:rPr>
      </w:pPr>
      <w:r>
        <w:rPr>
          <w:rFonts w:hint="eastAsia" w:ascii="新宋体" w:hAnsi="新宋体" w:eastAsia="新宋体" w:cs="新宋体"/>
          <w:color w:val="auto"/>
          <w:sz w:val="21"/>
          <w:highlight w:val="none"/>
          <w:lang w:val="en-US" w:eastAsia="zh-CN"/>
        </w:rPr>
        <w:t>三</w:t>
      </w:r>
      <w:r>
        <w:rPr>
          <w:rFonts w:hint="eastAsia" w:ascii="新宋体" w:hAnsi="新宋体" w:eastAsia="新宋体" w:cs="新宋体"/>
          <w:color w:val="auto"/>
          <w:sz w:val="21"/>
          <w:highlight w:val="none"/>
          <w:lang w:eastAsia="zh-CN"/>
        </w:rPr>
        <w:t>档（</w:t>
      </w:r>
      <w:r>
        <w:rPr>
          <w:rFonts w:hint="eastAsia" w:ascii="新宋体" w:hAnsi="新宋体" w:eastAsia="新宋体" w:cs="新宋体"/>
          <w:color w:val="auto"/>
          <w:sz w:val="21"/>
          <w:highlight w:val="none"/>
          <w:lang w:val="en-US" w:eastAsia="zh-CN"/>
        </w:rPr>
        <w:t>5</w:t>
      </w:r>
      <w:r>
        <w:rPr>
          <w:rFonts w:hint="eastAsia" w:ascii="新宋体" w:hAnsi="新宋体" w:eastAsia="新宋体" w:cs="新宋体"/>
          <w:color w:val="auto"/>
          <w:sz w:val="21"/>
          <w:highlight w:val="none"/>
          <w:lang w:eastAsia="zh-CN"/>
        </w:rPr>
        <w:t>分）：有专门的质量技术管理班子和制度，且人员配备合理，制度健全。主要工序有符合项目实际的质量技术保证措施和手段，自控体系完整，能有效保证技术质量，满足招标文件的质量要求。</w:t>
      </w:r>
    </w:p>
    <w:p w14:paraId="6993750F">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lang w:eastAsia="zh-CN"/>
        </w:rPr>
      </w:pPr>
      <w:r>
        <w:rPr>
          <w:rFonts w:hint="eastAsia" w:ascii="新宋体" w:hAnsi="新宋体" w:eastAsia="新宋体" w:cs="新宋体"/>
          <w:color w:val="auto"/>
          <w:sz w:val="21"/>
          <w:highlight w:val="none"/>
          <w:lang w:val="en-US" w:eastAsia="zh-CN"/>
        </w:rPr>
        <w:t>二</w:t>
      </w:r>
      <w:r>
        <w:rPr>
          <w:rFonts w:hint="eastAsia" w:ascii="新宋体" w:hAnsi="新宋体" w:eastAsia="新宋体" w:cs="新宋体"/>
          <w:color w:val="auto"/>
          <w:sz w:val="21"/>
          <w:highlight w:val="none"/>
          <w:lang w:eastAsia="zh-CN"/>
        </w:rPr>
        <w:t>档（</w:t>
      </w:r>
      <w:r>
        <w:rPr>
          <w:rFonts w:hint="eastAsia" w:ascii="新宋体" w:hAnsi="新宋体" w:eastAsia="新宋体" w:cs="新宋体"/>
          <w:color w:val="auto"/>
          <w:sz w:val="21"/>
          <w:highlight w:val="none"/>
          <w:lang w:val="en-US" w:eastAsia="zh-CN"/>
        </w:rPr>
        <w:t>3</w:t>
      </w:r>
      <w:r>
        <w:rPr>
          <w:rFonts w:hint="eastAsia" w:ascii="新宋体" w:hAnsi="新宋体" w:eastAsia="新宋体" w:cs="新宋体"/>
          <w:color w:val="auto"/>
          <w:sz w:val="21"/>
          <w:highlight w:val="none"/>
          <w:lang w:eastAsia="zh-CN"/>
        </w:rPr>
        <w:t>分）：有质量技术管理班子和制度，且人员配备合理，制度健全。主要工序有符合项目实际的质量技术保证措施，自控体系完整，较好满足招标文件的质量要求。</w:t>
      </w:r>
    </w:p>
    <w:p w14:paraId="2ED40F48">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highlight w:val="none"/>
          <w:lang w:eastAsia="zh-CN"/>
        </w:rPr>
      </w:pPr>
      <w:r>
        <w:rPr>
          <w:rFonts w:hint="eastAsia" w:ascii="新宋体" w:hAnsi="新宋体" w:eastAsia="新宋体" w:cs="新宋体"/>
          <w:color w:val="auto"/>
          <w:sz w:val="21"/>
          <w:highlight w:val="none"/>
          <w:lang w:eastAsia="zh-CN"/>
        </w:rPr>
        <w:t>一档（1分）：工程质量技术组织措施简单。</w:t>
      </w:r>
    </w:p>
    <w:p w14:paraId="7415A0DB">
      <w:pPr>
        <w:pStyle w:val="12"/>
        <w:pageBreakBefore w:val="0"/>
        <w:widowControl w:val="0"/>
        <w:kinsoku/>
        <w:wordWrap/>
        <w:overflowPunct/>
        <w:topLinePunct w:val="0"/>
        <w:bidi w:val="0"/>
        <w:snapToGrid/>
        <w:spacing w:line="440" w:lineRule="exact"/>
        <w:ind w:firstLine="210" w:firstLineChars="100"/>
        <w:textAlignment w:val="auto"/>
        <w:rPr>
          <w:rFonts w:hint="eastAsia" w:ascii="新宋体" w:hAnsi="新宋体" w:eastAsia="新宋体" w:cs="新宋体"/>
          <w:color w:val="auto"/>
          <w:sz w:val="21"/>
          <w:highlight w:val="none"/>
          <w:lang w:eastAsia="zh-CN"/>
        </w:rPr>
      </w:pPr>
      <w:r>
        <w:rPr>
          <w:rFonts w:hint="eastAsia" w:ascii="新宋体" w:hAnsi="新宋体" w:eastAsia="新宋体" w:cs="新宋体"/>
          <w:color w:val="auto"/>
          <w:sz w:val="21"/>
          <w:highlight w:val="none"/>
        </w:rPr>
        <w:t>注：无相关内容或内容无针对性的为0分。</w:t>
      </w:r>
    </w:p>
    <w:p w14:paraId="7BD832A1">
      <w:pPr>
        <w:pStyle w:val="12"/>
        <w:pageBreakBefore w:val="0"/>
        <w:widowControl w:val="0"/>
        <w:kinsoku/>
        <w:wordWrap/>
        <w:overflowPunct/>
        <w:topLinePunct w:val="0"/>
        <w:bidi w:val="0"/>
        <w:snapToGrid/>
        <w:spacing w:line="440" w:lineRule="exact"/>
        <w:ind w:firstLine="211" w:firstLineChars="100"/>
        <w:textAlignment w:val="auto"/>
        <w:rPr>
          <w:rFonts w:hint="eastAsia" w:ascii="新宋体" w:hAnsi="新宋体" w:eastAsia="新宋体" w:cs="新宋体"/>
          <w:b/>
          <w:bCs w:val="0"/>
          <w:color w:val="auto"/>
          <w:szCs w:val="21"/>
          <w:highlight w:val="none"/>
        </w:rPr>
      </w:pPr>
      <w:r>
        <w:rPr>
          <w:rFonts w:hint="eastAsia" w:ascii="新宋体" w:hAnsi="新宋体" w:eastAsia="新宋体" w:cs="新宋体"/>
          <w:b/>
          <w:bCs w:val="0"/>
          <w:color w:val="auto"/>
          <w:szCs w:val="21"/>
          <w:highlight w:val="none"/>
        </w:rPr>
        <w:t>（9）新技术应用与承诺</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rPr>
        <w:t>…</w:t>
      </w:r>
      <w:r>
        <w:rPr>
          <w:rFonts w:hint="eastAsia" w:ascii="新宋体" w:hAnsi="新宋体" w:eastAsia="新宋体" w:cs="新宋体"/>
          <w:b/>
          <w:bCs w:val="0"/>
          <w:color w:val="auto"/>
          <w:highlight w:val="none"/>
        </w:rPr>
        <w:t>……</w:t>
      </w:r>
      <w:r>
        <w:rPr>
          <w:rFonts w:hint="eastAsia" w:ascii="新宋体" w:hAnsi="新宋体" w:eastAsia="新宋体" w:cs="新宋体"/>
          <w:b/>
          <w:bCs w:val="0"/>
          <w:color w:val="auto"/>
          <w:szCs w:val="21"/>
          <w:highlight w:val="none"/>
          <w:lang w:val="en-US" w:eastAsia="zh-CN"/>
        </w:rPr>
        <w:t>3</w:t>
      </w:r>
      <w:r>
        <w:rPr>
          <w:rFonts w:hint="eastAsia" w:ascii="新宋体" w:hAnsi="新宋体" w:eastAsia="新宋体" w:cs="新宋体"/>
          <w:b/>
          <w:bCs w:val="0"/>
          <w:color w:val="auto"/>
          <w:szCs w:val="21"/>
          <w:highlight w:val="none"/>
        </w:rPr>
        <w:t>分</w:t>
      </w:r>
    </w:p>
    <w:p w14:paraId="71031B2E">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highlight w:val="none"/>
        </w:rPr>
      </w:pPr>
      <w:r>
        <w:rPr>
          <w:rFonts w:hint="eastAsia" w:ascii="新宋体" w:hAnsi="新宋体" w:eastAsia="新宋体" w:cs="新宋体"/>
          <w:color w:val="auto"/>
          <w:highlight w:val="none"/>
          <w:lang w:val="en-US" w:eastAsia="zh-CN"/>
        </w:rPr>
        <w:t>三档</w:t>
      </w:r>
      <w:r>
        <w:rPr>
          <w:rFonts w:hint="eastAsia" w:ascii="新宋体" w:hAnsi="新宋体" w:eastAsia="新宋体" w:cs="新宋体"/>
          <w:color w:val="auto"/>
          <w:highlight w:val="none"/>
          <w:lang w:eastAsia="zh-CN"/>
        </w:rPr>
        <w:t>（</w:t>
      </w:r>
      <w:r>
        <w:rPr>
          <w:rFonts w:hint="eastAsia" w:ascii="新宋体" w:hAnsi="新宋体" w:eastAsia="新宋体" w:cs="新宋体"/>
          <w:b w:val="0"/>
          <w:bCs w:val="0"/>
          <w:color w:val="auto"/>
          <w:kern w:val="0"/>
          <w:sz w:val="21"/>
          <w:szCs w:val="21"/>
          <w:highlight w:val="none"/>
          <w:lang w:val="en-US" w:eastAsia="zh-CN"/>
        </w:rPr>
        <w:t>3.0分</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：针对项目实际，提出采用新技术的具体措施。新技术的验证材料可靠，对节约投资和工期的保证措施得力、具体、严谨。对采用新技术可能产生的风险预见充分，对新技术的实施有安全生产的可靠方案。</w:t>
      </w:r>
    </w:p>
    <w:p w14:paraId="195F6D7D">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highlight w:val="none"/>
        </w:rPr>
      </w:pPr>
      <w:r>
        <w:rPr>
          <w:rFonts w:hint="eastAsia" w:ascii="新宋体" w:hAnsi="新宋体" w:eastAsia="新宋体" w:cs="新宋体"/>
          <w:color w:val="auto"/>
          <w:highlight w:val="none"/>
          <w:lang w:val="en-US" w:eastAsia="zh-CN"/>
        </w:rPr>
        <w:t>二档</w:t>
      </w:r>
      <w:r>
        <w:rPr>
          <w:rFonts w:hint="eastAsia" w:ascii="新宋体" w:hAnsi="新宋体" w:eastAsia="新宋体" w:cs="新宋体"/>
          <w:color w:val="auto"/>
          <w:highlight w:val="none"/>
          <w:lang w:eastAsia="zh-CN"/>
        </w:rPr>
        <w:t>（</w:t>
      </w:r>
      <w:r>
        <w:rPr>
          <w:rFonts w:hint="eastAsia" w:ascii="新宋体" w:hAnsi="新宋体" w:eastAsia="新宋体" w:cs="新宋体"/>
          <w:b w:val="0"/>
          <w:bCs w:val="0"/>
          <w:color w:val="auto"/>
          <w:kern w:val="0"/>
          <w:sz w:val="21"/>
          <w:szCs w:val="21"/>
          <w:highlight w:val="none"/>
          <w:lang w:val="en-US" w:eastAsia="zh-CN"/>
        </w:rPr>
        <w:t>2.0分</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：针对项目实际，提出采用新技术的具体措施。新技术的验证材料可靠，对节约投资和工期有保证措施。对采用新技术可能产生的风险有一定的预见。</w:t>
      </w:r>
    </w:p>
    <w:p w14:paraId="7B117389">
      <w:pPr>
        <w:pStyle w:val="12"/>
        <w:pageBreakBefore w:val="0"/>
        <w:widowControl w:val="0"/>
        <w:kinsoku/>
        <w:wordWrap/>
        <w:overflowPunct/>
        <w:topLinePunct w:val="0"/>
        <w:bidi w:val="0"/>
        <w:snapToGrid/>
        <w:spacing w:line="440" w:lineRule="exact"/>
        <w:ind w:firstLine="535" w:firstLineChars="255"/>
        <w:textAlignment w:val="auto"/>
        <w:rPr>
          <w:rFonts w:hint="eastAsia" w:ascii="新宋体" w:hAnsi="新宋体" w:eastAsia="新宋体" w:cs="新宋体"/>
          <w:color w:val="auto"/>
          <w:sz w:val="21"/>
          <w:szCs w:val="21"/>
          <w:highlight w:val="none"/>
        </w:rPr>
      </w:pPr>
      <w:r>
        <w:rPr>
          <w:rFonts w:hint="eastAsia" w:ascii="新宋体" w:hAnsi="新宋体" w:eastAsia="新宋体" w:cs="新宋体"/>
          <w:color w:val="auto"/>
          <w:highlight w:val="none"/>
          <w:lang w:val="en-US" w:eastAsia="zh-CN"/>
        </w:rPr>
        <w:t>一档</w:t>
      </w:r>
      <w:r>
        <w:rPr>
          <w:rFonts w:hint="eastAsia" w:ascii="新宋体" w:hAnsi="新宋体" w:eastAsia="新宋体" w:cs="新宋体"/>
          <w:color w:val="auto"/>
          <w:highlight w:val="none"/>
          <w:lang w:eastAsia="zh-CN"/>
        </w:rPr>
        <w:t>（</w:t>
      </w:r>
      <w:r>
        <w:rPr>
          <w:rFonts w:hint="eastAsia" w:ascii="新宋体" w:hAnsi="新宋体" w:eastAsia="新宋体" w:cs="新宋体"/>
          <w:b w:val="0"/>
          <w:bCs w:val="0"/>
          <w:color w:val="auto"/>
          <w:kern w:val="0"/>
          <w:sz w:val="21"/>
          <w:szCs w:val="21"/>
          <w:highlight w:val="none"/>
          <w:lang w:val="en-US" w:eastAsia="zh-CN"/>
        </w:rPr>
        <w:t>1.0分</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：有新技术措施，但验证材料不充分，对节约投资和工期可能有一定收益，对</w:t>
      </w:r>
      <w:r>
        <w:rPr>
          <w:rFonts w:hint="eastAsia" w:ascii="新宋体" w:hAnsi="新宋体" w:eastAsia="新宋体" w:cs="新宋体"/>
          <w:color w:val="auto"/>
          <w:sz w:val="21"/>
          <w:szCs w:val="21"/>
          <w:highlight w:val="none"/>
        </w:rPr>
        <w:t>采用新技术可能产生的风险预见不足。</w:t>
      </w:r>
    </w:p>
    <w:p w14:paraId="5C0B341D">
      <w:pPr>
        <w:pageBreakBefore w:val="0"/>
        <w:widowControl w:val="0"/>
        <w:kinsoku/>
        <w:wordWrap/>
        <w:overflowPunct/>
        <w:topLinePunct w:val="0"/>
        <w:bidi w:val="0"/>
        <w:snapToGrid/>
        <w:spacing w:line="440" w:lineRule="exact"/>
        <w:ind w:firstLine="315" w:firstLineChars="150"/>
        <w:textAlignment w:val="auto"/>
        <w:outlineLvl w:val="0"/>
        <w:rPr>
          <w:rFonts w:hint="eastAsia" w:ascii="新宋体" w:hAnsi="新宋体" w:eastAsia="新宋体" w:cs="新宋体"/>
          <w:color w:val="auto"/>
          <w:sz w:val="21"/>
          <w:highlight w:val="none"/>
        </w:rPr>
      </w:pPr>
      <w:bookmarkStart w:id="134" w:name="_Toc27705"/>
      <w:bookmarkStart w:id="135" w:name="_Toc23170"/>
      <w:bookmarkStart w:id="136" w:name="_Toc4007"/>
      <w:r>
        <w:rPr>
          <w:rFonts w:hint="eastAsia" w:ascii="新宋体" w:hAnsi="新宋体" w:eastAsia="新宋体" w:cs="新宋体"/>
          <w:color w:val="auto"/>
          <w:sz w:val="21"/>
          <w:highlight w:val="none"/>
        </w:rPr>
        <w:t>注：无相关内容或内容无针对性的为0分。</w:t>
      </w:r>
    </w:p>
    <w:bookmarkEnd w:id="134"/>
    <w:bookmarkEnd w:id="135"/>
    <w:bookmarkEnd w:id="136"/>
    <w:p w14:paraId="5706AFE1">
      <w:pPr>
        <w:pageBreakBefore w:val="0"/>
        <w:widowControl w:val="0"/>
        <w:numPr>
          <w:ilvl w:val="0"/>
          <w:numId w:val="0"/>
        </w:numPr>
        <w:tabs>
          <w:tab w:val="left" w:pos="1305"/>
        </w:tabs>
        <w:kinsoku/>
        <w:wordWrap/>
        <w:overflowPunct/>
        <w:topLinePunct w:val="0"/>
        <w:bidi w:val="0"/>
        <w:snapToGrid/>
        <w:spacing w:line="440" w:lineRule="exact"/>
        <w:ind w:left="210" w:leftChars="0"/>
        <w:textAlignment w:val="auto"/>
        <w:rPr>
          <w:rFonts w:hint="eastAsia" w:ascii="宋体" w:hAnsi="宋体" w:eastAsia="宋体" w:cs="宋体"/>
          <w:b/>
          <w:bCs/>
          <w:color w:val="auto"/>
          <w:szCs w:val="21"/>
          <w:highlight w:val="none"/>
        </w:rPr>
      </w:pPr>
      <w:r>
        <w:rPr>
          <w:rFonts w:hint="eastAsia" w:ascii="宋体" w:hAnsi="宋体" w:cs="宋体"/>
          <w:b/>
          <w:bCs/>
          <w:color w:val="auto"/>
          <w:highlight w:val="none"/>
          <w:lang w:val="en-US" w:eastAsia="zh-CN"/>
        </w:rPr>
        <w:t>3、信誉业绩分</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b/>
          <w:bCs/>
          <w:color w:val="auto"/>
          <w:highlight w:val="none"/>
        </w:rPr>
        <w:t>…</w:t>
      </w:r>
      <w:r>
        <w:rPr>
          <w:rFonts w:hint="eastAsia" w:ascii="宋体" w:hAnsi="宋体" w:cs="宋体"/>
          <w:b/>
          <w:bCs/>
          <w:color w:val="auto"/>
          <w:szCs w:val="21"/>
          <w:highlight w:val="none"/>
          <w:lang w:val="en-US" w:eastAsia="zh-CN"/>
        </w:rPr>
        <w:t>20</w:t>
      </w:r>
      <w:r>
        <w:rPr>
          <w:rFonts w:hint="eastAsia" w:ascii="宋体" w:hAnsi="宋体" w:eastAsia="宋体" w:cs="宋体"/>
          <w:b/>
          <w:bCs/>
          <w:color w:val="auto"/>
          <w:szCs w:val="21"/>
          <w:highlight w:val="none"/>
        </w:rPr>
        <w:t>分</w:t>
      </w:r>
    </w:p>
    <w:p w14:paraId="6D3C5692">
      <w:pPr>
        <w:pageBreakBefore w:val="0"/>
        <w:widowControl w:val="0"/>
        <w:numPr>
          <w:ilvl w:val="0"/>
          <w:numId w:val="6"/>
        </w:numPr>
        <w:kinsoku/>
        <w:wordWrap/>
        <w:overflowPunct/>
        <w:topLinePunct w:val="0"/>
        <w:bidi w:val="0"/>
        <w:spacing w:line="440" w:lineRule="exact"/>
        <w:ind w:firstLine="420" w:firstLineChars="20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业绩：</w:t>
      </w:r>
      <w:r>
        <w:rPr>
          <w:rFonts w:hint="eastAsia" w:ascii="宋体" w:hAnsi="宋体" w:cs="宋体"/>
          <w:color w:val="auto"/>
          <w:szCs w:val="21"/>
          <w:highlight w:val="none"/>
          <w:lang w:eastAsia="zh-CN"/>
        </w:rPr>
        <w:t>供应商</w:t>
      </w:r>
      <w:r>
        <w:rPr>
          <w:rFonts w:hint="eastAsia" w:ascii="宋体" w:hAnsi="宋体" w:cs="宋体"/>
          <w:color w:val="auto"/>
          <w:szCs w:val="21"/>
          <w:highlight w:val="none"/>
          <w:lang w:val="en-US" w:eastAsia="zh-CN"/>
        </w:rPr>
        <w:t>2019年1月1日</w:t>
      </w:r>
      <w:r>
        <w:rPr>
          <w:rFonts w:hint="eastAsia" w:ascii="宋体" w:hAnsi="宋体" w:cs="宋体"/>
          <w:color w:val="auto"/>
          <w:szCs w:val="21"/>
          <w:highlight w:val="none"/>
          <w:lang w:eastAsia="zh-CN"/>
        </w:rPr>
        <w:t>以来具有</w:t>
      </w:r>
      <w:r>
        <w:rPr>
          <w:rFonts w:hint="eastAsia" w:ascii="宋体" w:hAnsi="宋体" w:cs="宋体"/>
          <w:color w:val="auto"/>
          <w:szCs w:val="21"/>
          <w:highlight w:val="none"/>
          <w:lang w:val="en-US" w:eastAsia="zh-CN"/>
        </w:rPr>
        <w:t>类似</w:t>
      </w:r>
      <w:r>
        <w:rPr>
          <w:rFonts w:hint="eastAsia" w:ascii="宋体" w:hAnsi="宋体" w:cs="宋体"/>
          <w:color w:val="auto"/>
          <w:kern w:val="2"/>
          <w:sz w:val="21"/>
          <w:szCs w:val="21"/>
          <w:highlight w:val="none"/>
          <w:lang w:val="en-US" w:eastAsia="zh-CN"/>
        </w:rPr>
        <w:t>工程</w:t>
      </w:r>
      <w:r>
        <w:rPr>
          <w:rFonts w:hint="eastAsia" w:ascii="宋体" w:hAnsi="宋体" w:eastAsia="宋体" w:cs="宋体"/>
          <w:color w:val="auto"/>
          <w:szCs w:val="21"/>
          <w:highlight w:val="none"/>
        </w:rPr>
        <w:t>的业绩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古墓葬</w:t>
      </w:r>
      <w:r>
        <w:rPr>
          <w:rFonts w:hint="eastAsia" w:ascii="宋体" w:hAnsi="宋体" w:cs="宋体"/>
          <w:color w:val="auto"/>
          <w:szCs w:val="21"/>
          <w:highlight w:val="none"/>
          <w:lang w:eastAsia="zh-CN"/>
        </w:rPr>
        <w:t>）</w:t>
      </w:r>
      <w:r>
        <w:rPr>
          <w:rFonts w:hint="eastAsia" w:ascii="宋体" w:hAnsi="宋体" w:eastAsia="宋体" w:cs="宋体"/>
          <w:color w:val="auto"/>
          <w:highlight w:val="none"/>
          <w:lang w:eastAsia="zh-CN"/>
        </w:rPr>
        <w:t>，每提供一个得</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分，满分</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分。</w:t>
      </w:r>
      <w:r>
        <w:rPr>
          <w:rFonts w:hint="eastAsia" w:ascii="宋体" w:hAnsi="宋体" w:eastAsia="宋体" w:cs="宋体"/>
          <w:color w:val="auto"/>
          <w:kern w:val="2"/>
          <w:sz w:val="21"/>
          <w:szCs w:val="24"/>
          <w:highlight w:val="none"/>
          <w:lang w:val="en-US" w:eastAsia="zh-CN" w:bidi="ar-SA"/>
        </w:rPr>
        <w:t>以中标</w:t>
      </w:r>
      <w:r>
        <w:rPr>
          <w:rFonts w:hint="eastAsia" w:ascii="宋体" w:hAnsi="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成交</w:t>
      </w:r>
      <w:r>
        <w:rPr>
          <w:rFonts w:hint="eastAsia" w:ascii="宋体" w:hAnsi="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通知书</w:t>
      </w:r>
      <w:r>
        <w:rPr>
          <w:rFonts w:hint="eastAsia" w:ascii="宋体" w:hAnsi="宋体" w:cs="宋体"/>
          <w:color w:val="auto"/>
          <w:kern w:val="2"/>
          <w:sz w:val="21"/>
          <w:szCs w:val="24"/>
          <w:highlight w:val="none"/>
          <w:lang w:val="en-US" w:eastAsia="zh-CN" w:bidi="ar-SA"/>
        </w:rPr>
        <w:t>或</w:t>
      </w:r>
      <w:r>
        <w:rPr>
          <w:rFonts w:hint="eastAsia" w:ascii="宋体" w:hAnsi="宋体" w:eastAsia="宋体" w:cs="宋体"/>
          <w:color w:val="auto"/>
          <w:kern w:val="2"/>
          <w:sz w:val="21"/>
          <w:szCs w:val="24"/>
          <w:highlight w:val="none"/>
          <w:lang w:val="en-US" w:eastAsia="zh-CN" w:bidi="ar-SA"/>
        </w:rPr>
        <w:t>签订的合同</w:t>
      </w:r>
      <w:r>
        <w:rPr>
          <w:rFonts w:hint="eastAsia" w:ascii="宋体" w:hAnsi="宋体" w:cs="宋体"/>
          <w:color w:val="auto"/>
          <w:kern w:val="2"/>
          <w:sz w:val="21"/>
          <w:szCs w:val="24"/>
          <w:highlight w:val="none"/>
          <w:lang w:val="en-US" w:eastAsia="zh-CN" w:bidi="ar-SA"/>
        </w:rPr>
        <w:t>及竣工证明文件</w:t>
      </w:r>
      <w:r>
        <w:rPr>
          <w:rFonts w:hint="eastAsia" w:ascii="宋体" w:hAnsi="宋体" w:eastAsia="宋体" w:cs="宋体"/>
          <w:color w:val="auto"/>
          <w:kern w:val="2"/>
          <w:sz w:val="21"/>
          <w:szCs w:val="24"/>
          <w:highlight w:val="none"/>
          <w:lang w:val="en-US" w:eastAsia="zh-CN" w:bidi="ar-SA"/>
        </w:rPr>
        <w:t>为准。</w:t>
      </w:r>
    </w:p>
    <w:p w14:paraId="63FACC0A">
      <w:pPr>
        <w:pageBreakBefore w:val="0"/>
        <w:widowControl/>
        <w:kinsoku/>
        <w:wordWrap/>
        <w:overflowPunct/>
        <w:topLinePunct w:val="0"/>
        <w:bidi w:val="0"/>
        <w:spacing w:line="360" w:lineRule="auto"/>
        <w:ind w:firstLine="420" w:firstLineChars="200"/>
        <w:textAlignment w:val="auto"/>
        <w:rPr>
          <w:rFonts w:hint="eastAsia"/>
          <w:b w:val="0"/>
          <w:bCs w:val="0"/>
          <w:color w:val="auto"/>
          <w:highlight w:val="none"/>
        </w:rPr>
      </w:pPr>
      <w:r>
        <w:rPr>
          <w:rFonts w:hint="eastAsia" w:ascii="宋体" w:hAnsi="宋体" w:cs="宋体"/>
          <w:color w:val="auto"/>
          <w:kern w:val="2"/>
          <w:sz w:val="21"/>
          <w:szCs w:val="24"/>
          <w:highlight w:val="none"/>
          <w:lang w:val="en-US" w:eastAsia="zh-CN" w:bidi="ar-SA"/>
        </w:rPr>
        <w:t>（2）信誉：</w:t>
      </w:r>
      <w:r>
        <w:rPr>
          <w:rFonts w:hint="eastAsia"/>
          <w:color w:val="auto"/>
          <w:highlight w:val="none"/>
          <w:lang w:val="en-US" w:eastAsia="zh-CN"/>
        </w:rPr>
        <w:t>供应商</w:t>
      </w:r>
      <w:r>
        <w:rPr>
          <w:rFonts w:hint="eastAsia"/>
          <w:color w:val="auto"/>
          <w:highlight w:val="none"/>
          <w:lang w:eastAsia="zh-CN"/>
        </w:rPr>
        <w:t>2019年1月1日</w:t>
      </w:r>
      <w:r>
        <w:rPr>
          <w:rFonts w:hint="eastAsia" w:ascii="宋体" w:hAnsi="宋体" w:cs="宋体"/>
          <w:color w:val="auto"/>
          <w:szCs w:val="21"/>
          <w:highlight w:val="none"/>
          <w:lang w:eastAsia="zh-CN"/>
        </w:rPr>
        <w:t>以来</w:t>
      </w:r>
      <w:r>
        <w:rPr>
          <w:rFonts w:hint="eastAsia" w:ascii="宋体" w:hAnsi="宋体" w:eastAsia="宋体" w:cs="宋体"/>
          <w:color w:val="auto"/>
          <w:highlight w:val="none"/>
        </w:rPr>
        <w:t>获得有关文物保护方面的奖项，每项得</w:t>
      </w: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w:t>
      </w:r>
      <w:r>
        <w:rPr>
          <w:rFonts w:hint="eastAsia" w:ascii="宋体" w:hAnsi="宋体" w:eastAsia="宋体" w:cs="宋体"/>
          <w:b w:val="0"/>
          <w:bCs w:val="0"/>
          <w:color w:val="auto"/>
          <w:highlight w:val="none"/>
          <w:lang w:val="en-US" w:eastAsia="zh-CN"/>
        </w:rPr>
        <w:t>(满分</w:t>
      </w:r>
      <w:r>
        <w:rPr>
          <w:rFonts w:hint="eastAsia" w:ascii="宋体" w:hAnsi="宋体" w:cs="宋体"/>
          <w:b w:val="0"/>
          <w:bCs w:val="0"/>
          <w:color w:val="auto"/>
          <w:highlight w:val="none"/>
          <w:lang w:val="en-US" w:eastAsia="zh-CN"/>
        </w:rPr>
        <w:t>12</w:t>
      </w:r>
      <w:r>
        <w:rPr>
          <w:rFonts w:hint="eastAsia" w:ascii="宋体" w:hAnsi="宋体" w:eastAsia="宋体" w:cs="宋体"/>
          <w:b w:val="0"/>
          <w:bCs w:val="0"/>
          <w:color w:val="auto"/>
          <w:highlight w:val="none"/>
          <w:lang w:val="en-US" w:eastAsia="zh-CN"/>
        </w:rPr>
        <w:t>分）。</w:t>
      </w:r>
    </w:p>
    <w:p w14:paraId="4CB6A107">
      <w:pPr>
        <w:pStyle w:val="35"/>
        <w:ind w:left="0" w:leftChars="0" w:firstLine="0" w:firstLineChars="0"/>
        <w:rPr>
          <w:rFonts w:hint="default" w:ascii="宋体" w:hAnsi="宋体" w:eastAsia="宋体" w:cs="宋体"/>
          <w:b/>
          <w:color w:val="auto"/>
          <w:szCs w:val="21"/>
          <w:highlight w:val="none"/>
          <w:lang w:val="en-US" w:eastAsia="zh-CN"/>
        </w:rPr>
      </w:pPr>
      <w:r>
        <w:rPr>
          <w:rFonts w:hint="eastAsia" w:eastAsia="宋体" w:cs="宋体"/>
          <w:b/>
          <w:color w:val="auto"/>
          <w:szCs w:val="21"/>
          <w:highlight w:val="none"/>
          <w:lang w:val="en-US" w:eastAsia="zh-CN"/>
        </w:rPr>
        <w:t xml:space="preserve">  </w:t>
      </w:r>
      <w:r>
        <w:rPr>
          <w:rFonts w:hint="eastAsia" w:cs="宋体"/>
          <w:b/>
          <w:color w:val="auto"/>
          <w:szCs w:val="21"/>
          <w:highlight w:val="none"/>
          <w:lang w:val="en-US" w:eastAsia="zh-CN"/>
        </w:rPr>
        <w:t>4</w:t>
      </w:r>
      <w:r>
        <w:rPr>
          <w:rFonts w:hint="eastAsia" w:eastAsia="宋体" w:cs="宋体"/>
          <w:b/>
          <w:color w:val="auto"/>
          <w:szCs w:val="21"/>
          <w:highlight w:val="none"/>
          <w:lang w:val="en-US" w:eastAsia="zh-CN"/>
        </w:rPr>
        <w:t>、</w:t>
      </w:r>
      <w:r>
        <w:rPr>
          <w:rFonts w:hint="eastAsia" w:ascii="宋体" w:hAnsi="宋体" w:eastAsia="宋体" w:cs="宋体"/>
          <w:b/>
          <w:color w:val="auto"/>
          <w:szCs w:val="21"/>
          <w:highlight w:val="none"/>
          <w:lang w:val="en-US" w:eastAsia="zh-CN"/>
        </w:rPr>
        <w:t>综合得分＝1+2</w:t>
      </w:r>
      <w:r>
        <w:rPr>
          <w:rFonts w:hint="eastAsia" w:eastAsia="宋体" w:cs="宋体"/>
          <w:b/>
          <w:color w:val="auto"/>
          <w:szCs w:val="21"/>
          <w:highlight w:val="none"/>
          <w:lang w:val="en-US" w:eastAsia="zh-CN"/>
        </w:rPr>
        <w:t>+3</w:t>
      </w:r>
    </w:p>
    <w:p w14:paraId="74BA175C">
      <w:pPr>
        <w:pageBreakBefore w:val="0"/>
        <w:widowControl w:val="0"/>
        <w:tabs>
          <w:tab w:val="left" w:pos="1305"/>
        </w:tabs>
        <w:kinsoku/>
        <w:wordWrap/>
        <w:overflowPunct/>
        <w:topLinePunct w:val="0"/>
        <w:bidi w:val="0"/>
        <w:snapToGrid/>
        <w:spacing w:line="440" w:lineRule="exact"/>
        <w:ind w:firstLine="211" w:firstLineChars="1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三、</w:t>
      </w:r>
      <w:r>
        <w:rPr>
          <w:rFonts w:hint="eastAsia" w:ascii="宋体" w:hAnsi="宋体" w:eastAsia="宋体" w:cs="宋体"/>
          <w:b/>
          <w:color w:val="auto"/>
          <w:szCs w:val="21"/>
          <w:highlight w:val="none"/>
        </w:rPr>
        <w:t>推荐成交候选人原则</w:t>
      </w:r>
    </w:p>
    <w:p w14:paraId="72C490D1">
      <w:pPr>
        <w:pageBreakBefore w:val="0"/>
        <w:widowControl w:val="0"/>
        <w:tabs>
          <w:tab w:val="left" w:pos="1305"/>
        </w:tabs>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（1）磋商小组应当根据综合评分情况，按照综合得分由高到低顺序推荐三名成交候选供应商，并编写评审报告。磋商小组根据综合得分由高到低排列次序，若得分相同时，以最后报价由低到高顺序排列；</w:t>
      </w:r>
      <w:r>
        <w:rPr>
          <w:rFonts w:hint="eastAsia" w:ascii="宋体" w:hAnsi="宋体" w:eastAsia="宋体" w:cs="宋体"/>
          <w:color w:val="auto"/>
          <w:szCs w:val="21"/>
          <w:highlight w:val="none"/>
        </w:rPr>
        <w:t>若仍相同的，依次按技术分、</w:t>
      </w:r>
      <w:r>
        <w:rPr>
          <w:rFonts w:hint="eastAsia" w:ascii="宋体" w:hAnsi="宋体" w:eastAsia="宋体" w:cs="宋体"/>
          <w:color w:val="auto"/>
          <w:szCs w:val="21"/>
          <w:highlight w:val="none"/>
          <w:lang w:val="en-US" w:eastAsia="zh-CN"/>
        </w:rPr>
        <w:t>企业信誉实力</w:t>
      </w:r>
      <w:r>
        <w:rPr>
          <w:rFonts w:hint="eastAsia" w:ascii="宋体" w:hAnsi="宋体" w:eastAsia="宋体" w:cs="宋体"/>
          <w:color w:val="auto"/>
          <w:szCs w:val="21"/>
          <w:highlight w:val="none"/>
        </w:rPr>
        <w:t>分由高到低顺序排列并推荐成交候选供应商</w:t>
      </w:r>
      <w:r>
        <w:rPr>
          <w:rFonts w:hint="eastAsia" w:ascii="宋体" w:hAnsi="宋体" w:eastAsia="宋体" w:cs="宋体"/>
          <w:color w:val="auto"/>
          <w:sz w:val="21"/>
          <w:szCs w:val="21"/>
          <w:highlight w:val="none"/>
        </w:rPr>
        <w:t>。</w:t>
      </w:r>
    </w:p>
    <w:p w14:paraId="291006A8">
      <w:pPr>
        <w:pageBreakBefore w:val="0"/>
        <w:widowControl w:val="0"/>
        <w:tabs>
          <w:tab w:val="left" w:pos="1305"/>
        </w:tabs>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（2）采购人应当确定磋商小组推荐排名第一的成交候选供应商为成交供应商。</w:t>
      </w:r>
    </w:p>
    <w:p w14:paraId="7A4FD5EE">
      <w:pPr>
        <w:pageBreakBefore w:val="0"/>
        <w:widowControl w:val="0"/>
        <w:tabs>
          <w:tab w:val="left" w:pos="1305"/>
        </w:tabs>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（3）排名第一的成交候选供应商放弃成交、因不可抗力提出不能履行合同，采购人可以按照评审报告推荐的成交候选供应商名单排序，确定下一候选供应商为成交供应商，也可以重新开展政府采购活动。</w:t>
      </w:r>
    </w:p>
    <w:p w14:paraId="77494556">
      <w:pPr>
        <w:pageBreakBefore w:val="0"/>
        <w:widowControl w:val="0"/>
        <w:tabs>
          <w:tab w:val="left" w:pos="1305"/>
        </w:tabs>
        <w:kinsoku/>
        <w:wordWrap/>
        <w:overflowPunct/>
        <w:topLinePunct w:val="0"/>
        <w:autoSpaceDE/>
        <w:autoSpaceDN/>
        <w:bidi w:val="0"/>
        <w:adjustRightInd/>
        <w:snapToGrid/>
        <w:spacing w:line="44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小组认为，某供应商的响应报价或者某些分项报价明显不合理或者低于成本，有可能影响质量和不能诚信履约的，应要求其在规定的期限内提供书面文件予以解释说明，并提交相关证明材料，否则，磋商小组可以取消该供应商的成交候选资格，按顺序由排在其后面的供应商递补，以此类推。</w:t>
      </w:r>
    </w:p>
    <w:p w14:paraId="1D70B93E">
      <w:pPr>
        <w:pStyle w:val="3"/>
        <w:rPr>
          <w:rFonts w:hint="eastAsia" w:ascii="宋体" w:hAnsi="宋体" w:eastAsia="宋体" w:cs="宋体"/>
          <w:color w:val="auto"/>
          <w:sz w:val="21"/>
          <w:szCs w:val="21"/>
          <w:highlight w:val="none"/>
        </w:rPr>
      </w:pPr>
    </w:p>
    <w:p w14:paraId="49A1B15C">
      <w:pPr>
        <w:pStyle w:val="11"/>
        <w:ind w:left="0" w:leftChars="0" w:firstLine="0" w:firstLineChars="0"/>
        <w:rPr>
          <w:rFonts w:hint="eastAsia"/>
          <w:color w:val="auto"/>
          <w:highlight w:val="none"/>
        </w:rPr>
      </w:pPr>
    </w:p>
    <w:p w14:paraId="5DC1CD1B">
      <w:pPr>
        <w:pStyle w:val="11"/>
        <w:ind w:left="0" w:leftChars="0" w:firstLine="0" w:firstLineChars="0"/>
        <w:rPr>
          <w:rFonts w:hint="eastAsia"/>
          <w:color w:val="auto"/>
          <w:highlight w:val="none"/>
        </w:rPr>
      </w:pPr>
    </w:p>
    <w:p w14:paraId="5E587F4F">
      <w:pPr>
        <w:keepNext w:val="0"/>
        <w:keepLines w:val="0"/>
        <w:pageBreakBefore w:val="0"/>
        <w:kinsoku/>
        <w:wordWrap/>
        <w:overflowPunct/>
        <w:topLinePunct w:val="0"/>
        <w:autoSpaceDE/>
        <w:autoSpaceDN/>
        <w:bidi w:val="0"/>
        <w:snapToGrid/>
        <w:spacing w:line="280" w:lineRule="exact"/>
        <w:ind w:right="0" w:rightChars="0"/>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附表</w:t>
      </w:r>
    </w:p>
    <w:p w14:paraId="216B8A48">
      <w:pPr>
        <w:keepNext w:val="0"/>
        <w:keepLines w:val="0"/>
        <w:pageBreakBefore w:val="0"/>
        <w:widowControl/>
        <w:kinsoku/>
        <w:wordWrap/>
        <w:overflowPunct/>
        <w:topLinePunct w:val="0"/>
        <w:autoSpaceDE/>
        <w:autoSpaceDN/>
        <w:bidi w:val="0"/>
        <w:snapToGrid/>
        <w:spacing w:before="156" w:beforeLines="50" w:after="156" w:afterLines="50" w:line="280" w:lineRule="exact"/>
        <w:ind w:right="0" w:rightChars="0"/>
        <w:jc w:val="center"/>
        <w:textAlignment w:val="auto"/>
        <w:outlineLvl w:val="9"/>
        <w:rPr>
          <w:rFonts w:hint="eastAsia" w:ascii="宋体" w:hAnsi="宋体" w:eastAsia="宋体" w:cs="宋体"/>
          <w:b/>
          <w:bCs/>
          <w:color w:val="auto"/>
          <w:kern w:val="0"/>
          <w:sz w:val="30"/>
          <w:szCs w:val="30"/>
          <w:highlight w:val="none"/>
        </w:rPr>
      </w:pPr>
      <w:bookmarkStart w:id="137" w:name="_Toc28361_WPSOffice_Level2"/>
      <w:r>
        <w:rPr>
          <w:rFonts w:hint="eastAsia" w:ascii="宋体" w:hAnsi="宋体" w:eastAsia="宋体" w:cs="宋体"/>
          <w:b/>
          <w:bCs/>
          <w:color w:val="auto"/>
          <w:kern w:val="0"/>
          <w:sz w:val="30"/>
          <w:szCs w:val="30"/>
          <w:highlight w:val="none"/>
        </w:rPr>
        <w:t>统计上大中小微型企业划分标准</w:t>
      </w:r>
      <w:bookmarkEnd w:id="137"/>
    </w:p>
    <w:tbl>
      <w:tblPr>
        <w:tblStyle w:val="27"/>
        <w:tblpPr w:leftFromText="180" w:rightFromText="180" w:vertAnchor="text" w:horzAnchor="page" w:tblpX="1302" w:tblpY="438"/>
        <w:tblOverlap w:val="never"/>
        <w:tblW w:w="9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7C2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113" w:type="dxa"/>
            <w:shd w:val="clear" w:color="auto" w:fill="FFFFFF"/>
            <w:vAlign w:val="center"/>
          </w:tcPr>
          <w:p w14:paraId="7B1BC04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FFFFFF"/>
            <w:vAlign w:val="center"/>
          </w:tcPr>
          <w:p w14:paraId="50F8092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FFFFFF"/>
            <w:vAlign w:val="center"/>
          </w:tcPr>
          <w:p w14:paraId="4E632C2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rPr>
              <w:t>计量</w:t>
            </w:r>
          </w:p>
          <w:p w14:paraId="12ED6AF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125" w:type="dxa"/>
            <w:shd w:val="clear" w:color="auto" w:fill="FFFFFF"/>
            <w:vAlign w:val="center"/>
          </w:tcPr>
          <w:p w14:paraId="0EDBF1F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FFFFFF"/>
            <w:vAlign w:val="center"/>
          </w:tcPr>
          <w:p w14:paraId="07881C6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FFFFFF"/>
            <w:vAlign w:val="center"/>
          </w:tcPr>
          <w:p w14:paraId="3150646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FFFFFF"/>
            <w:vAlign w:val="center"/>
          </w:tcPr>
          <w:p w14:paraId="461867B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5400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Align w:val="center"/>
          </w:tcPr>
          <w:p w14:paraId="2E92F4B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vAlign w:val="center"/>
          </w:tcPr>
          <w:p w14:paraId="03FDFB6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6F9DC5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439132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2280A76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4910BD7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vAlign w:val="center"/>
          </w:tcPr>
          <w:p w14:paraId="244DE43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3805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5D516E7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369" w:type="dxa"/>
            <w:vAlign w:val="center"/>
          </w:tcPr>
          <w:p w14:paraId="3675119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3369B9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83B6DD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26956F1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7F703F0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445C312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459C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0C8F4AF6">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63BB75D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116B5B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A35D83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5A6F13E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vAlign w:val="center"/>
          </w:tcPr>
          <w:p w14:paraId="21ADCD4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vAlign w:val="center"/>
          </w:tcPr>
          <w:p w14:paraId="3D07FD9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1183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35FB219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vAlign w:val="center"/>
          </w:tcPr>
          <w:p w14:paraId="3D30396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C4A9B3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477AA6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vAlign w:val="center"/>
          </w:tcPr>
          <w:p w14:paraId="5805215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vAlign w:val="center"/>
          </w:tcPr>
          <w:p w14:paraId="591ECD8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vAlign w:val="center"/>
          </w:tcPr>
          <w:p w14:paraId="62F9701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018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019E087E">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172D737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68F45F2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10353C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vAlign w:val="center"/>
          </w:tcPr>
          <w:p w14:paraId="3B6255D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vAlign w:val="center"/>
          </w:tcPr>
          <w:p w14:paraId="4BE4D10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vAlign w:val="center"/>
          </w:tcPr>
          <w:p w14:paraId="2811A4A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555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759C4611">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vAlign w:val="center"/>
          </w:tcPr>
          <w:p w14:paraId="1DCAFEE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8EBD9A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0E15F2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1FB118C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vAlign w:val="center"/>
          </w:tcPr>
          <w:p w14:paraId="32CD0F4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vAlign w:val="center"/>
          </w:tcPr>
          <w:p w14:paraId="2B0BBA6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7CB9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09CE020F">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79A0D7F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4983BE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E6B244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6BD9727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vAlign w:val="center"/>
          </w:tcPr>
          <w:p w14:paraId="6A7CC655">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vAlign w:val="center"/>
          </w:tcPr>
          <w:p w14:paraId="0E68F4A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5957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267C4CA0">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vAlign w:val="center"/>
          </w:tcPr>
          <w:p w14:paraId="68283A1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2F8FB5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61F241B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6BBA042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vAlign w:val="center"/>
          </w:tcPr>
          <w:p w14:paraId="7E14984C">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vAlign w:val="center"/>
          </w:tcPr>
          <w:p w14:paraId="1FC086B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088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4F8AE632">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2FA3889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E3482E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F97DAE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330DE0F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07549324">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vAlign w:val="center"/>
          </w:tcPr>
          <w:p w14:paraId="2863289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FAF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427AAE8F">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369" w:type="dxa"/>
            <w:vAlign w:val="center"/>
          </w:tcPr>
          <w:p w14:paraId="2681111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585A15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7D866D1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3E82C74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046294C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1594FDE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2FD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6513406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55E0296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81D042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1BE71D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4C7475B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vAlign w:val="center"/>
          </w:tcPr>
          <w:p w14:paraId="0101952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vAlign w:val="center"/>
          </w:tcPr>
          <w:p w14:paraId="31259AF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169A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2B9C2C78">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vAlign w:val="center"/>
          </w:tcPr>
          <w:p w14:paraId="36F3CF3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3451B5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93F9C0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6F8E48E6">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vAlign w:val="center"/>
          </w:tcPr>
          <w:p w14:paraId="01579B9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vAlign w:val="center"/>
          </w:tcPr>
          <w:p w14:paraId="2316A8F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89D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08F7BA3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5DB7A73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DD9875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B641E3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5352E33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vAlign w:val="center"/>
          </w:tcPr>
          <w:p w14:paraId="1C3C548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4329E4D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586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35426648">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vAlign w:val="center"/>
          </w:tcPr>
          <w:p w14:paraId="77A5555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23141EE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61543F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66881ED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0884ACB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1A27061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86F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157F23E5">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4236DD5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BC1E4C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6ABE56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3BCB100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vAlign w:val="center"/>
          </w:tcPr>
          <w:p w14:paraId="0356D73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5216185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1F0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7BFFC39F">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vAlign w:val="center"/>
          </w:tcPr>
          <w:p w14:paraId="34330EE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A90A19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9B4748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1E10A47A">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6388AEF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0A31938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F09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50D0D263">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4FABA2E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FE2466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183B22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0B4B88A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3C50EB8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4D519BC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C32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6E782CB7">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vAlign w:val="center"/>
          </w:tcPr>
          <w:p w14:paraId="4BB5A92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3199A88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47D4557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F058856">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vAlign w:val="center"/>
          </w:tcPr>
          <w:p w14:paraId="424FDF5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4141AD5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A05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7C3985EC">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75B9C87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436F32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1298EA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4E9F9CB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448208D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086D624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EF2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restart"/>
            <w:vAlign w:val="center"/>
          </w:tcPr>
          <w:p w14:paraId="39519C6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369" w:type="dxa"/>
            <w:vAlign w:val="center"/>
          </w:tcPr>
          <w:p w14:paraId="118E508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E0F4D0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E4B85A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vAlign w:val="center"/>
          </w:tcPr>
          <w:p w14:paraId="510AF2A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vAlign w:val="center"/>
          </w:tcPr>
          <w:p w14:paraId="6412938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6B602BA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F76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Merge w:val="continue"/>
            <w:vAlign w:val="center"/>
          </w:tcPr>
          <w:p w14:paraId="72AED4B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357A80C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0036D3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6F1075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vAlign w:val="center"/>
          </w:tcPr>
          <w:p w14:paraId="4776B7E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vAlign w:val="center"/>
          </w:tcPr>
          <w:p w14:paraId="5813FC0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77163E0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47E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14:paraId="28FF4926">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vAlign w:val="center"/>
          </w:tcPr>
          <w:p w14:paraId="7FDDA58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71FB90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A5CC86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B5A9DA0">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vAlign w:val="center"/>
          </w:tcPr>
          <w:p w14:paraId="6228FD6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626760B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2F3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14:paraId="2FE6D33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spacing w:val="-12"/>
                <w:kern w:val="0"/>
                <w:sz w:val="18"/>
                <w:szCs w:val="18"/>
                <w:highlight w:val="none"/>
              </w:rPr>
            </w:pPr>
          </w:p>
        </w:tc>
        <w:tc>
          <w:tcPr>
            <w:tcW w:w="1369" w:type="dxa"/>
            <w:vAlign w:val="center"/>
          </w:tcPr>
          <w:p w14:paraId="7CFD88F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6889C9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9D42E4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6A0CD14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vAlign w:val="center"/>
          </w:tcPr>
          <w:p w14:paraId="6BC146E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vAlign w:val="center"/>
          </w:tcPr>
          <w:p w14:paraId="47B4704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0CD2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14:paraId="37F53183">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vAlign w:val="center"/>
          </w:tcPr>
          <w:p w14:paraId="7A323EF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58299F6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3D9A081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vAlign w:val="center"/>
          </w:tcPr>
          <w:p w14:paraId="626F6C7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vAlign w:val="center"/>
          </w:tcPr>
          <w:p w14:paraId="64723F6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47C409C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36E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14:paraId="2DC9CF20">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282C3BE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28BD285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F4F314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vAlign w:val="center"/>
          </w:tcPr>
          <w:p w14:paraId="006B5ED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vAlign w:val="center"/>
          </w:tcPr>
          <w:p w14:paraId="66DE542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vAlign w:val="center"/>
          </w:tcPr>
          <w:p w14:paraId="26B37FE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54E2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14:paraId="3D60A02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vAlign w:val="center"/>
          </w:tcPr>
          <w:p w14:paraId="08B4BAE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578197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CFBA04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34E6CA1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509AA70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vAlign w:val="center"/>
          </w:tcPr>
          <w:p w14:paraId="4077751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755E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14:paraId="2620CFB1">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6C635CE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336103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9F3545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vAlign w:val="center"/>
          </w:tcPr>
          <w:p w14:paraId="47A7C1F3">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vAlign w:val="center"/>
          </w:tcPr>
          <w:p w14:paraId="69DE85B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vAlign w:val="center"/>
          </w:tcPr>
          <w:p w14:paraId="27A77B1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50C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restart"/>
            <w:vAlign w:val="center"/>
          </w:tcPr>
          <w:p w14:paraId="24B23ABE">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vAlign w:val="center"/>
          </w:tcPr>
          <w:p w14:paraId="1CC51FC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D168F7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D31C78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C3E5592">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06142F0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6A80751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669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13" w:type="dxa"/>
            <w:vMerge w:val="continue"/>
            <w:vAlign w:val="center"/>
          </w:tcPr>
          <w:p w14:paraId="4ED37DB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p>
        </w:tc>
        <w:tc>
          <w:tcPr>
            <w:tcW w:w="1369" w:type="dxa"/>
            <w:vAlign w:val="center"/>
          </w:tcPr>
          <w:p w14:paraId="0BBFF68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1EE3C18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EE559A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vAlign w:val="center"/>
          </w:tcPr>
          <w:p w14:paraId="3212673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vAlign w:val="center"/>
          </w:tcPr>
          <w:p w14:paraId="5AA8AFA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vAlign w:val="center"/>
          </w:tcPr>
          <w:p w14:paraId="16DE540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6A84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13" w:type="dxa"/>
            <w:vAlign w:val="center"/>
          </w:tcPr>
          <w:p w14:paraId="09F1D5E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369" w:type="dxa"/>
            <w:vAlign w:val="center"/>
          </w:tcPr>
          <w:p w14:paraId="3C6A49D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6B33CD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BB226F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457489BC">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1AB19A7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2C49B0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27081FBD">
      <w:pPr>
        <w:keepNext w:val="0"/>
        <w:keepLines w:val="0"/>
        <w:pageBreakBefore w:val="0"/>
        <w:widowControl/>
        <w:kinsoku/>
        <w:wordWrap/>
        <w:overflowPunct/>
        <w:topLinePunct w:val="0"/>
        <w:autoSpaceDE/>
        <w:autoSpaceDN/>
        <w:bidi w:val="0"/>
        <w:snapToGrid/>
        <w:spacing w:line="280" w:lineRule="exact"/>
        <w:ind w:right="0" w:rightChars="0"/>
        <w:textAlignment w:val="auto"/>
        <w:outlineLvl w:val="9"/>
        <w:rPr>
          <w:rFonts w:hint="eastAsia" w:ascii="宋体" w:hAnsi="宋体" w:eastAsia="宋体" w:cs="宋体"/>
          <w:color w:val="auto"/>
          <w:spacing w:val="8"/>
          <w:kern w:val="0"/>
          <w:sz w:val="24"/>
          <w:highlight w:val="none"/>
        </w:rPr>
      </w:pPr>
    </w:p>
    <w:p w14:paraId="0A0A2BB1">
      <w:pPr>
        <w:keepNext w:val="0"/>
        <w:keepLines w:val="0"/>
        <w:pageBreakBefore w:val="0"/>
        <w:widowControl/>
        <w:kinsoku/>
        <w:wordWrap/>
        <w:overflowPunct/>
        <w:topLinePunct w:val="0"/>
        <w:autoSpaceDE/>
        <w:autoSpaceDN/>
        <w:bidi w:val="0"/>
        <w:snapToGrid/>
        <w:spacing w:line="280" w:lineRule="exact"/>
        <w:ind w:right="0" w:rightChars="0"/>
        <w:textAlignment w:val="auto"/>
        <w:outlineLvl w:val="9"/>
        <w:rPr>
          <w:rFonts w:hint="eastAsia" w:ascii="宋体" w:hAnsi="宋体" w:eastAsia="宋体" w:cs="宋体"/>
          <w:color w:val="auto"/>
          <w:spacing w:val="8"/>
          <w:kern w:val="0"/>
          <w:sz w:val="24"/>
          <w:highlight w:val="none"/>
        </w:rPr>
      </w:pPr>
    </w:p>
    <w:p w14:paraId="45C16689">
      <w:pPr>
        <w:keepNext w:val="0"/>
        <w:keepLines w:val="0"/>
        <w:pageBreakBefore w:val="0"/>
        <w:widowControl/>
        <w:kinsoku/>
        <w:wordWrap/>
        <w:overflowPunct/>
        <w:topLinePunct w:val="0"/>
        <w:autoSpaceDE/>
        <w:autoSpaceDN/>
        <w:bidi w:val="0"/>
        <w:snapToGrid/>
        <w:spacing w:line="280" w:lineRule="exact"/>
        <w:ind w:right="0" w:rightChars="0"/>
        <w:textAlignment w:val="auto"/>
        <w:outlineLvl w:val="9"/>
        <w:rPr>
          <w:rFonts w:hint="eastAsia" w:ascii="宋体" w:hAnsi="宋体" w:eastAsia="宋体" w:cs="宋体"/>
          <w:color w:val="auto"/>
          <w:spacing w:val="8"/>
          <w:kern w:val="0"/>
          <w:sz w:val="24"/>
          <w:highlight w:val="none"/>
        </w:rPr>
      </w:pPr>
    </w:p>
    <w:p w14:paraId="43B115D4">
      <w:pPr>
        <w:keepNext w:val="0"/>
        <w:keepLines w:val="0"/>
        <w:pageBreakBefore w:val="0"/>
        <w:widowControl/>
        <w:kinsoku/>
        <w:wordWrap/>
        <w:overflowPunct/>
        <w:topLinePunct w:val="0"/>
        <w:autoSpaceDE/>
        <w:autoSpaceDN/>
        <w:bidi w:val="0"/>
        <w:snapToGrid/>
        <w:spacing w:line="440" w:lineRule="exact"/>
        <w:ind w:right="0" w:rightChars="0"/>
        <w:textAlignment w:val="auto"/>
        <w:outlineLvl w:val="9"/>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说明：</w:t>
      </w:r>
    </w:p>
    <w:p w14:paraId="26754FB9">
      <w:pPr>
        <w:pStyle w:val="12"/>
        <w:keepNext w:val="0"/>
        <w:keepLines w:val="0"/>
        <w:pageBreakBefore w:val="0"/>
        <w:kinsoku/>
        <w:wordWrap/>
        <w:overflowPunct/>
        <w:topLinePunct w:val="0"/>
        <w:autoSpaceDE/>
        <w:autoSpaceDN/>
        <w:bidi w:val="0"/>
        <w:adjustRightInd w:val="0"/>
        <w:snapToGrid/>
        <w:spacing w:line="440" w:lineRule="exact"/>
        <w:ind w:right="0" w:rightChars="0" w:firstLine="452" w:firstLineChars="200"/>
        <w:contextualSpacing/>
        <w:textAlignment w:val="auto"/>
        <w:outlineLvl w:val="9"/>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1.大型、中型和小型企业须同时满足所列指标的下限，否则下划一档；微型企业只须满足所列指标中的一项即可。</w:t>
      </w:r>
    </w:p>
    <w:p w14:paraId="51080225">
      <w:pPr>
        <w:pStyle w:val="12"/>
        <w:keepNext w:val="0"/>
        <w:keepLines w:val="0"/>
        <w:pageBreakBefore w:val="0"/>
        <w:kinsoku/>
        <w:wordWrap/>
        <w:overflowPunct/>
        <w:topLinePunct w:val="0"/>
        <w:autoSpaceDE/>
        <w:autoSpaceDN/>
        <w:bidi w:val="0"/>
        <w:adjustRightInd w:val="0"/>
        <w:snapToGrid/>
        <w:spacing w:line="440" w:lineRule="exact"/>
        <w:ind w:right="0" w:rightChars="0" w:firstLine="452" w:firstLineChars="200"/>
        <w:contextualSpacing/>
        <w:textAlignment w:val="auto"/>
        <w:outlineLvl w:val="9"/>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075D069">
      <w:pPr>
        <w:pStyle w:val="12"/>
        <w:keepNext w:val="0"/>
        <w:keepLines w:val="0"/>
        <w:pageBreakBefore w:val="0"/>
        <w:kinsoku/>
        <w:wordWrap/>
        <w:overflowPunct/>
        <w:topLinePunct w:val="0"/>
        <w:autoSpaceDE/>
        <w:autoSpaceDN/>
        <w:bidi w:val="0"/>
        <w:snapToGrid/>
        <w:spacing w:line="440" w:lineRule="exact"/>
        <w:ind w:right="0" w:rightChars="0" w:firstLine="452" w:firstLineChars="200"/>
        <w:textAlignment w:val="auto"/>
        <w:outlineLvl w:val="9"/>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bookmarkStart w:id="138" w:name="_Toc4774"/>
      <w:bookmarkStart w:id="139" w:name="_Toc8466"/>
    </w:p>
    <w:p w14:paraId="07EB361F">
      <w:pPr>
        <w:pStyle w:val="7"/>
        <w:rPr>
          <w:rFonts w:hint="eastAsia" w:ascii="宋体" w:hAnsi="宋体" w:eastAsia="宋体" w:cs="宋体"/>
          <w:color w:val="auto"/>
          <w:spacing w:val="8"/>
          <w:kern w:val="0"/>
          <w:sz w:val="24"/>
          <w:szCs w:val="24"/>
          <w:highlight w:val="none"/>
        </w:rPr>
      </w:pPr>
    </w:p>
    <w:p w14:paraId="7CC78EAB">
      <w:pPr>
        <w:pStyle w:val="30"/>
        <w:rPr>
          <w:rFonts w:hint="eastAsia" w:ascii="宋体" w:hAnsi="宋体" w:eastAsia="宋体" w:cs="宋体"/>
          <w:color w:val="auto"/>
          <w:highlight w:val="none"/>
        </w:rPr>
      </w:pPr>
    </w:p>
    <w:p w14:paraId="510586A7">
      <w:pPr>
        <w:rPr>
          <w:rFonts w:hint="eastAsia" w:ascii="宋体" w:hAnsi="宋体" w:eastAsia="宋体" w:cs="宋体"/>
          <w:color w:val="auto"/>
          <w:highlight w:val="none"/>
        </w:rPr>
      </w:pPr>
    </w:p>
    <w:p w14:paraId="4125B507">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32"/>
          <w:szCs w:val="32"/>
          <w:highlight w:val="none"/>
        </w:rPr>
      </w:pPr>
      <w:bookmarkStart w:id="140" w:name="_Toc25717"/>
      <w:bookmarkStart w:id="141" w:name="_Toc7776"/>
      <w:r>
        <w:rPr>
          <w:rFonts w:hint="eastAsia" w:ascii="宋体" w:hAnsi="宋体" w:eastAsia="宋体" w:cs="宋体"/>
          <w:color w:val="auto"/>
          <w:sz w:val="32"/>
          <w:szCs w:val="32"/>
          <w:highlight w:val="none"/>
          <w:lang w:eastAsia="zh-CN"/>
        </w:rPr>
        <w:t>第五章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采购合同（合同主要条款及格式）</w:t>
      </w:r>
      <w:bookmarkEnd w:id="138"/>
      <w:bookmarkEnd w:id="139"/>
      <w:bookmarkEnd w:id="140"/>
      <w:bookmarkEnd w:id="141"/>
    </w:p>
    <w:p w14:paraId="5C81EC4B">
      <w:pPr>
        <w:pStyle w:val="36"/>
        <w:numPr>
          <w:ilvl w:val="0"/>
          <w:numId w:val="7"/>
        </w:numPr>
        <w:spacing w:line="340" w:lineRule="exact"/>
        <w:jc w:val="center"/>
        <w:rPr>
          <w:rFonts w:ascii="宋体"/>
          <w:color w:val="auto"/>
          <w:sz w:val="32"/>
          <w:highlight w:val="none"/>
        </w:rPr>
      </w:pPr>
      <w:bookmarkStart w:id="142" w:name="_Toc13895"/>
      <w:bookmarkStart w:id="143" w:name="_Toc522201558"/>
      <w:bookmarkStart w:id="144" w:name="_Toc256000031"/>
      <w:bookmarkStart w:id="145" w:name="_Toc10014"/>
      <w:bookmarkStart w:id="146" w:name="_Toc24269"/>
      <w:r>
        <w:rPr>
          <w:rFonts w:ascii="宋体"/>
          <w:color w:val="auto"/>
          <w:sz w:val="32"/>
          <w:highlight w:val="none"/>
        </w:rPr>
        <w:t>合同协议书</w:t>
      </w:r>
      <w:bookmarkEnd w:id="142"/>
      <w:bookmarkEnd w:id="143"/>
      <w:bookmarkEnd w:id="144"/>
    </w:p>
    <w:p w14:paraId="67B3282D">
      <w:pPr>
        <w:pStyle w:val="36"/>
        <w:numPr>
          <w:ilvl w:val="0"/>
          <w:numId w:val="0"/>
        </w:numPr>
        <w:spacing w:line="340" w:lineRule="exact"/>
        <w:jc w:val="both"/>
        <w:rPr>
          <w:rFonts w:ascii="宋体"/>
          <w:color w:val="auto"/>
          <w:sz w:val="32"/>
          <w:highlight w:val="none"/>
        </w:rPr>
      </w:pPr>
    </w:p>
    <w:p w14:paraId="6442E6B5">
      <w:pPr>
        <w:pStyle w:val="38"/>
        <w:adjustRightInd w:val="0"/>
        <w:snapToGrid w:val="0"/>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发包人（全称）：</w:t>
      </w:r>
      <w:r>
        <w:rPr>
          <w:rFonts w:hint="eastAsia" w:ascii="宋体" w:hAnsi="宋体" w:cs="宋体"/>
          <w:color w:val="auto"/>
          <w:szCs w:val="21"/>
          <w:highlight w:val="none"/>
          <w:lang w:val="en-US" w:eastAsia="zh-CN"/>
        </w:rPr>
        <w:t xml:space="preserve"> </w:t>
      </w:r>
    </w:p>
    <w:p w14:paraId="6AC0F1F6">
      <w:pPr>
        <w:pStyle w:val="38"/>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221AF8A">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w:t>
      </w:r>
      <w:r>
        <w:rPr>
          <w:rFonts w:hint="eastAsia" w:ascii="宋体" w:hAnsi="宋体" w:cs="宋体"/>
          <w:color w:val="auto"/>
          <w:szCs w:val="21"/>
          <w:highlight w:val="none"/>
          <w:lang w:eastAsia="zh-CN"/>
        </w:rPr>
        <w:t>民法典</w:t>
      </w:r>
      <w:r>
        <w:rPr>
          <w:rFonts w:hint="eastAsia" w:ascii="宋体" w:hAnsi="宋体" w:cs="宋体"/>
          <w:color w:val="auto"/>
          <w:szCs w:val="21"/>
          <w:highlight w:val="none"/>
        </w:rPr>
        <w:t>》、《中华人民共和国建筑法》及有关法律规定，遵循平等、自愿、公平和诚实信用的原则，双方就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工程施工及有关事项协商一致，共同达成如下协议：</w:t>
      </w:r>
      <w:bookmarkStart w:id="147" w:name="_Toc351203481"/>
    </w:p>
    <w:p w14:paraId="7757CB8B">
      <w:pPr>
        <w:pStyle w:val="39"/>
        <w:adjustRightInd w:val="0"/>
        <w:snapToGrid w:val="0"/>
        <w:spacing w:line="400" w:lineRule="exact"/>
        <w:ind w:firstLine="422"/>
        <w:outlineLvl w:val="0"/>
        <w:rPr>
          <w:rFonts w:ascii="宋体" w:hAnsi="宋体" w:cs="宋体"/>
          <w:b/>
          <w:color w:val="auto"/>
          <w:highlight w:val="none"/>
        </w:rPr>
      </w:pPr>
      <w:bookmarkStart w:id="148" w:name="_Toc406522028"/>
      <w:bookmarkStart w:id="149" w:name="_Toc522201559"/>
      <w:bookmarkStart w:id="150" w:name="_Toc20764"/>
      <w:bookmarkStart w:id="151" w:name="_Toc406419153"/>
      <w:bookmarkStart w:id="152" w:name="_Toc15791"/>
      <w:r>
        <w:rPr>
          <w:rFonts w:hint="eastAsia" w:ascii="宋体" w:hAnsi="宋体" w:cs="宋体"/>
          <w:b/>
          <w:color w:val="auto"/>
          <w:highlight w:val="none"/>
        </w:rPr>
        <w:t>一、工程概况</w:t>
      </w:r>
      <w:bookmarkEnd w:id="147"/>
      <w:bookmarkEnd w:id="148"/>
      <w:bookmarkEnd w:id="149"/>
      <w:bookmarkEnd w:id="150"/>
      <w:bookmarkEnd w:id="151"/>
      <w:bookmarkEnd w:id="152"/>
    </w:p>
    <w:p w14:paraId="7D547690">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61376B3">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C042BFB">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3.资金来源：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15FFA03">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F239F2">
      <w:pPr>
        <w:pStyle w:val="38"/>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.工程承包范围：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71E0E91">
      <w:pPr>
        <w:pStyle w:val="39"/>
        <w:adjustRightInd w:val="0"/>
        <w:snapToGrid w:val="0"/>
        <w:spacing w:line="400" w:lineRule="exact"/>
        <w:ind w:firstLine="422"/>
        <w:outlineLvl w:val="0"/>
        <w:rPr>
          <w:rFonts w:ascii="宋体" w:hAnsi="宋体" w:cs="宋体"/>
          <w:b/>
          <w:color w:val="auto"/>
          <w:highlight w:val="none"/>
        </w:rPr>
      </w:pPr>
      <w:bookmarkStart w:id="153" w:name="_Toc522201560"/>
      <w:bookmarkStart w:id="154" w:name="_Toc349"/>
      <w:bookmarkStart w:id="155" w:name="_Toc3470"/>
      <w:bookmarkStart w:id="156" w:name="_Toc351203482"/>
      <w:bookmarkStart w:id="157" w:name="_Toc406419154"/>
      <w:bookmarkStart w:id="158" w:name="_Toc406522029"/>
      <w:r>
        <w:rPr>
          <w:rFonts w:hint="eastAsia" w:ascii="宋体" w:hAnsi="宋体" w:cs="宋体"/>
          <w:b/>
          <w:color w:val="auto"/>
          <w:highlight w:val="none"/>
        </w:rPr>
        <w:t>二、合同工期</w:t>
      </w:r>
      <w:bookmarkEnd w:id="153"/>
      <w:bookmarkEnd w:id="154"/>
      <w:bookmarkEnd w:id="155"/>
      <w:bookmarkEnd w:id="156"/>
      <w:bookmarkEnd w:id="157"/>
      <w:bookmarkEnd w:id="158"/>
    </w:p>
    <w:p w14:paraId="4232653A">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4FB7E5FB">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1638E8F">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612B9F8B">
      <w:pPr>
        <w:pStyle w:val="39"/>
        <w:adjustRightInd w:val="0"/>
        <w:snapToGrid w:val="0"/>
        <w:spacing w:line="400" w:lineRule="exact"/>
        <w:ind w:firstLine="422"/>
        <w:outlineLvl w:val="0"/>
        <w:rPr>
          <w:rFonts w:ascii="宋体" w:hAnsi="宋体" w:cs="宋体"/>
          <w:b/>
          <w:color w:val="auto"/>
          <w:highlight w:val="none"/>
        </w:rPr>
      </w:pPr>
      <w:bookmarkStart w:id="159" w:name="_Toc406522030"/>
      <w:bookmarkStart w:id="160" w:name="_Toc351203483"/>
      <w:bookmarkStart w:id="161" w:name="_Toc15140"/>
      <w:bookmarkStart w:id="162" w:name="_Toc522201561"/>
      <w:bookmarkStart w:id="163" w:name="_Toc406419155"/>
      <w:bookmarkStart w:id="164" w:name="_Toc12638"/>
      <w:r>
        <w:rPr>
          <w:rFonts w:hint="eastAsia" w:ascii="宋体" w:hAnsi="宋体" w:cs="宋体"/>
          <w:b/>
          <w:color w:val="auto"/>
          <w:highlight w:val="none"/>
        </w:rPr>
        <w:t>三、质量标准</w:t>
      </w:r>
      <w:bookmarkEnd w:id="159"/>
      <w:bookmarkEnd w:id="160"/>
      <w:bookmarkEnd w:id="161"/>
      <w:bookmarkEnd w:id="162"/>
      <w:bookmarkEnd w:id="163"/>
      <w:bookmarkEnd w:id="164"/>
    </w:p>
    <w:p w14:paraId="74AAFEE7">
      <w:pPr>
        <w:tabs>
          <w:tab w:val="left" w:pos="210"/>
        </w:tabs>
        <w:spacing w:line="360" w:lineRule="exact"/>
        <w:ind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质量标准：</w:t>
      </w:r>
      <w:r>
        <w:rPr>
          <w:rFonts w:hint="eastAsia" w:ascii="宋体" w:hAnsi="宋体" w:cs="宋体"/>
          <w:color w:val="auto"/>
          <w:szCs w:val="21"/>
          <w:highlight w:val="none"/>
          <w:u w:val="single"/>
        </w:rPr>
        <w:t>工程质量达到国家验收合格标准</w:t>
      </w:r>
      <w:r>
        <w:rPr>
          <w:rFonts w:hint="eastAsia" w:ascii="宋体" w:hAnsi="宋体" w:cs="宋体"/>
          <w:color w:val="auto"/>
          <w:highlight w:val="none"/>
        </w:rPr>
        <w:t>。</w:t>
      </w:r>
    </w:p>
    <w:p w14:paraId="419B96B3">
      <w:pPr>
        <w:pStyle w:val="39"/>
        <w:adjustRightInd w:val="0"/>
        <w:snapToGrid w:val="0"/>
        <w:spacing w:line="400" w:lineRule="exact"/>
        <w:ind w:firstLine="422"/>
        <w:outlineLvl w:val="0"/>
        <w:rPr>
          <w:rFonts w:ascii="宋体" w:hAnsi="宋体" w:cs="宋体"/>
          <w:b/>
          <w:color w:val="auto"/>
          <w:highlight w:val="none"/>
        </w:rPr>
      </w:pPr>
      <w:bookmarkStart w:id="165" w:name="_Toc31378"/>
      <w:bookmarkStart w:id="166" w:name="_Toc351203484"/>
      <w:bookmarkStart w:id="167" w:name="_Toc522201562"/>
      <w:bookmarkStart w:id="168" w:name="_Toc8031"/>
      <w:bookmarkStart w:id="169" w:name="_Toc406522031"/>
      <w:bookmarkStart w:id="170" w:name="_Toc406419156"/>
      <w:r>
        <w:rPr>
          <w:rFonts w:hint="eastAsia" w:ascii="宋体" w:hAnsi="宋体" w:cs="宋体"/>
          <w:b/>
          <w:color w:val="auto"/>
          <w:highlight w:val="none"/>
        </w:rPr>
        <w:t>四、签约合同价与合同价格形式</w:t>
      </w:r>
      <w:bookmarkEnd w:id="165"/>
      <w:bookmarkEnd w:id="166"/>
      <w:bookmarkEnd w:id="167"/>
      <w:bookmarkEnd w:id="168"/>
      <w:bookmarkEnd w:id="169"/>
      <w:bookmarkEnd w:id="170"/>
    </w:p>
    <w:p w14:paraId="523DB3DE">
      <w:pPr>
        <w:pStyle w:val="3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20C9FFB0">
      <w:pPr>
        <w:pStyle w:val="38"/>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B727B89">
      <w:pPr>
        <w:pStyle w:val="38"/>
        <w:adjustRightInd w:val="0"/>
        <w:snapToGrid w:val="0"/>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其中：</w:t>
      </w:r>
    </w:p>
    <w:p w14:paraId="2FFD06CF">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（1）投标报价：</w:t>
      </w:r>
    </w:p>
    <w:p w14:paraId="263D5556">
      <w:pPr>
        <w:pStyle w:val="3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79D3707B">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（2）安全文明施工费：</w:t>
      </w:r>
    </w:p>
    <w:p w14:paraId="381E25AE">
      <w:pPr>
        <w:pStyle w:val="3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22F1D5AB">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（3）规费：人民币（大写）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5971F9ED">
      <w:pPr>
        <w:pStyle w:val="38"/>
        <w:adjustRightInd w:val="0"/>
        <w:snapToGrid w:val="0"/>
        <w:spacing w:line="40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其中社会保险费：</w:t>
      </w:r>
    </w:p>
    <w:p w14:paraId="5BD07727">
      <w:pPr>
        <w:pStyle w:val="38"/>
        <w:adjustRightInd w:val="0"/>
        <w:snapToGrid w:val="0"/>
        <w:spacing w:line="400" w:lineRule="exact"/>
        <w:ind w:left="420" w:leftChars="200" w:firstLine="638" w:firstLineChars="304"/>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54974652">
      <w:pPr>
        <w:pStyle w:val="38"/>
        <w:adjustRightInd w:val="0"/>
        <w:snapToGrid w:val="0"/>
        <w:spacing w:line="400" w:lineRule="exact"/>
        <w:ind w:firstLine="945" w:firstLineChars="45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其他：</w:t>
      </w: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5083682E">
      <w:pPr>
        <w:pStyle w:val="38"/>
        <w:numPr>
          <w:ilvl w:val="0"/>
          <w:numId w:val="8"/>
        </w:num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增值税：</w:t>
      </w:r>
    </w:p>
    <w:p w14:paraId="49068B95">
      <w:pPr>
        <w:pStyle w:val="38"/>
        <w:adjustRightInd w:val="0"/>
        <w:snapToGrid w:val="0"/>
        <w:spacing w:line="40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637F7B27">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（5）材料和工程设备暂估价金额：</w:t>
      </w:r>
    </w:p>
    <w:p w14:paraId="66A054D5">
      <w:pPr>
        <w:pStyle w:val="3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15FF241C">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（6）专业工程暂估价金额：</w:t>
      </w:r>
    </w:p>
    <w:p w14:paraId="54FDF621">
      <w:pPr>
        <w:pStyle w:val="3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3469EA34">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（7）暂列金额：</w:t>
      </w:r>
    </w:p>
    <w:p w14:paraId="380D5FD4">
      <w:pPr>
        <w:pStyle w:val="3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color w:val="auto"/>
          <w:szCs w:val="21"/>
          <w:highlight w:val="none"/>
        </w:rPr>
        <w:t>元）。</w:t>
      </w:r>
    </w:p>
    <w:p w14:paraId="25391ACF">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027D4C2C">
      <w:pPr>
        <w:pStyle w:val="39"/>
        <w:adjustRightInd w:val="0"/>
        <w:snapToGrid w:val="0"/>
        <w:spacing w:line="400" w:lineRule="exact"/>
        <w:ind w:firstLine="422"/>
        <w:outlineLvl w:val="0"/>
        <w:rPr>
          <w:rFonts w:ascii="宋体" w:hAnsi="宋体" w:cs="宋体"/>
          <w:b/>
          <w:color w:val="auto"/>
          <w:highlight w:val="none"/>
        </w:rPr>
      </w:pPr>
      <w:bookmarkStart w:id="171" w:name="_Toc351203485"/>
      <w:bookmarkStart w:id="172" w:name="_Toc406522032"/>
      <w:bookmarkStart w:id="173" w:name="_Toc29758"/>
      <w:bookmarkStart w:id="174" w:name="_Toc522201563"/>
      <w:bookmarkStart w:id="175" w:name="_Toc10860"/>
      <w:bookmarkStart w:id="176" w:name="_Toc406419157"/>
      <w:r>
        <w:rPr>
          <w:rFonts w:hint="eastAsia" w:ascii="宋体" w:hAnsi="宋体" w:cs="宋体"/>
          <w:b/>
          <w:color w:val="auto"/>
          <w:highlight w:val="none"/>
        </w:rPr>
        <w:t>五、</w:t>
      </w:r>
      <w:bookmarkEnd w:id="171"/>
      <w:r>
        <w:rPr>
          <w:rFonts w:hint="eastAsia" w:ascii="宋体" w:hAnsi="宋体" w:cs="宋体"/>
          <w:b/>
          <w:color w:val="auto"/>
          <w:highlight w:val="none"/>
        </w:rPr>
        <w:t>项目经理</w:t>
      </w:r>
      <w:bookmarkEnd w:id="172"/>
      <w:bookmarkEnd w:id="173"/>
      <w:bookmarkEnd w:id="174"/>
      <w:bookmarkEnd w:id="175"/>
      <w:bookmarkEnd w:id="176"/>
    </w:p>
    <w:p w14:paraId="479E3CAE">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none"/>
          <w:lang w:val="en-US" w:eastAsia="zh-CN"/>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55C54578">
      <w:pPr>
        <w:pStyle w:val="39"/>
        <w:adjustRightInd w:val="0"/>
        <w:snapToGrid w:val="0"/>
        <w:spacing w:line="400" w:lineRule="exact"/>
        <w:ind w:firstLine="422"/>
        <w:outlineLvl w:val="0"/>
        <w:rPr>
          <w:rFonts w:ascii="宋体" w:hAnsi="宋体" w:cs="宋体"/>
          <w:b/>
          <w:color w:val="auto"/>
          <w:highlight w:val="none"/>
        </w:rPr>
      </w:pPr>
      <w:bookmarkStart w:id="177" w:name="_Toc28117"/>
      <w:bookmarkStart w:id="178" w:name="_Toc522201564"/>
      <w:bookmarkStart w:id="179" w:name="_Toc351203486"/>
      <w:bookmarkStart w:id="180" w:name="_Toc406419158"/>
      <w:bookmarkStart w:id="181" w:name="_Toc23735"/>
      <w:bookmarkStart w:id="182" w:name="_Toc406522033"/>
      <w:r>
        <w:rPr>
          <w:rFonts w:hint="eastAsia" w:ascii="宋体" w:hAnsi="宋体" w:cs="宋体"/>
          <w:b/>
          <w:color w:val="auto"/>
          <w:highlight w:val="none"/>
        </w:rPr>
        <w:t>六、合同文件构成</w:t>
      </w:r>
      <w:bookmarkEnd w:id="177"/>
      <w:bookmarkEnd w:id="178"/>
      <w:bookmarkEnd w:id="179"/>
      <w:bookmarkEnd w:id="180"/>
      <w:bookmarkEnd w:id="181"/>
      <w:bookmarkEnd w:id="182"/>
    </w:p>
    <w:p w14:paraId="7BC128B5">
      <w:pPr>
        <w:pStyle w:val="38"/>
        <w:adjustRightInd w:val="0"/>
        <w:snapToGrid w:val="0"/>
        <w:spacing w:line="400" w:lineRule="exact"/>
        <w:ind w:firstLine="420" w:firstLineChars="200"/>
        <w:rPr>
          <w:rFonts w:ascii="宋体" w:hAnsi="宋体" w:cs="宋体"/>
          <w:color w:val="auto"/>
          <w:szCs w:val="21"/>
          <w:highlight w:val="none"/>
        </w:rPr>
      </w:pPr>
      <w:bookmarkStart w:id="183" w:name="_Toc351203487"/>
      <w:bookmarkStart w:id="184" w:name="_Toc406419159"/>
      <w:bookmarkStart w:id="185" w:name="_Toc7021"/>
      <w:bookmarkStart w:id="186" w:name="_Toc406522034"/>
      <w:r>
        <w:rPr>
          <w:rFonts w:hint="eastAsia" w:ascii="宋体" w:hAnsi="宋体" w:cs="宋体"/>
          <w:color w:val="auto"/>
          <w:szCs w:val="21"/>
          <w:highlight w:val="none"/>
        </w:rPr>
        <w:t>本协议书与下列文件一起构成合同文件：</w:t>
      </w:r>
    </w:p>
    <w:p w14:paraId="7972D8C5">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791F4298">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1BB667E3">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0B3D4F0D">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51B9753B">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766CB0E9">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3557E90F">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698DA989">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6B4F0058">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72DE56CB">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1CC17964">
      <w:pPr>
        <w:pStyle w:val="39"/>
        <w:adjustRightInd w:val="0"/>
        <w:snapToGrid w:val="0"/>
        <w:spacing w:line="400" w:lineRule="exact"/>
        <w:ind w:firstLine="422"/>
        <w:outlineLvl w:val="0"/>
        <w:rPr>
          <w:rFonts w:ascii="宋体" w:hAnsi="宋体" w:cs="宋体"/>
          <w:b/>
          <w:color w:val="auto"/>
          <w:highlight w:val="none"/>
        </w:rPr>
      </w:pPr>
      <w:bookmarkStart w:id="187" w:name="_Toc23022"/>
      <w:bookmarkStart w:id="188" w:name="_Toc522201565"/>
      <w:r>
        <w:rPr>
          <w:rFonts w:hint="eastAsia" w:ascii="宋体" w:hAnsi="宋体" w:cs="宋体"/>
          <w:b/>
          <w:color w:val="auto"/>
          <w:highlight w:val="none"/>
        </w:rPr>
        <w:t>七、承诺</w:t>
      </w:r>
      <w:bookmarkEnd w:id="183"/>
      <w:bookmarkEnd w:id="184"/>
      <w:bookmarkEnd w:id="185"/>
      <w:bookmarkEnd w:id="186"/>
      <w:bookmarkEnd w:id="187"/>
      <w:bookmarkEnd w:id="188"/>
    </w:p>
    <w:p w14:paraId="50047C9F">
      <w:pPr>
        <w:pStyle w:val="38"/>
        <w:adjustRightInd w:val="0"/>
        <w:snapToGrid w:val="0"/>
        <w:spacing w:line="400" w:lineRule="exact"/>
        <w:ind w:firstLine="420" w:firstLineChars="200"/>
        <w:rPr>
          <w:rFonts w:ascii="宋体" w:hAnsi="宋体" w:cs="宋体"/>
          <w:color w:val="auto"/>
          <w:szCs w:val="21"/>
          <w:highlight w:val="none"/>
        </w:rPr>
      </w:pPr>
      <w:bookmarkStart w:id="189" w:name="_Toc351203488"/>
      <w:bookmarkStart w:id="190" w:name="_Toc406522035"/>
      <w:bookmarkStart w:id="191" w:name="_Toc406419160"/>
      <w:bookmarkStart w:id="192" w:name="_Toc11962"/>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6E53119D">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64919C57">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769AA409">
      <w:pPr>
        <w:pStyle w:val="39"/>
        <w:adjustRightInd w:val="0"/>
        <w:snapToGrid w:val="0"/>
        <w:spacing w:line="400" w:lineRule="exact"/>
        <w:ind w:firstLine="422"/>
        <w:outlineLvl w:val="0"/>
        <w:rPr>
          <w:rFonts w:ascii="宋体" w:hAnsi="宋体" w:cs="宋体"/>
          <w:b/>
          <w:color w:val="auto"/>
          <w:highlight w:val="none"/>
        </w:rPr>
      </w:pPr>
      <w:bookmarkStart w:id="193" w:name="_Toc9465"/>
      <w:bookmarkStart w:id="194" w:name="_Toc522201566"/>
      <w:r>
        <w:rPr>
          <w:rFonts w:hint="eastAsia" w:ascii="宋体" w:hAnsi="宋体" w:cs="宋体"/>
          <w:b/>
          <w:color w:val="auto"/>
          <w:highlight w:val="none"/>
        </w:rPr>
        <w:t>八、词语含义</w:t>
      </w:r>
      <w:bookmarkEnd w:id="189"/>
      <w:bookmarkEnd w:id="190"/>
      <w:bookmarkEnd w:id="191"/>
      <w:bookmarkEnd w:id="192"/>
      <w:bookmarkEnd w:id="193"/>
      <w:bookmarkEnd w:id="194"/>
    </w:p>
    <w:p w14:paraId="2BBF6597">
      <w:pPr>
        <w:pStyle w:val="3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70EC45F1">
      <w:pPr>
        <w:pStyle w:val="39"/>
        <w:adjustRightInd w:val="0"/>
        <w:snapToGrid w:val="0"/>
        <w:spacing w:line="400" w:lineRule="exact"/>
        <w:ind w:firstLine="422"/>
        <w:outlineLvl w:val="0"/>
        <w:rPr>
          <w:rFonts w:ascii="宋体" w:hAnsi="宋体" w:cs="宋体"/>
          <w:b/>
          <w:color w:val="auto"/>
          <w:highlight w:val="none"/>
        </w:rPr>
      </w:pPr>
      <w:bookmarkStart w:id="195" w:name="_Toc406522036"/>
      <w:bookmarkStart w:id="196" w:name="_Toc406419161"/>
      <w:bookmarkStart w:id="197" w:name="_Toc2053"/>
      <w:bookmarkStart w:id="198" w:name="_Toc22011"/>
      <w:bookmarkStart w:id="199" w:name="_Toc522201567"/>
      <w:bookmarkStart w:id="200" w:name="_Toc351203489"/>
      <w:r>
        <w:rPr>
          <w:rFonts w:hint="eastAsia" w:ascii="宋体" w:hAnsi="宋体" w:cs="宋体"/>
          <w:b/>
          <w:color w:val="auto"/>
          <w:highlight w:val="none"/>
        </w:rPr>
        <w:t>九、签订时间</w:t>
      </w:r>
      <w:bookmarkEnd w:id="195"/>
      <w:bookmarkEnd w:id="196"/>
      <w:bookmarkEnd w:id="197"/>
      <w:bookmarkEnd w:id="198"/>
      <w:bookmarkEnd w:id="199"/>
      <w:bookmarkEnd w:id="200"/>
    </w:p>
    <w:p w14:paraId="59CBF880">
      <w:pPr>
        <w:pStyle w:val="3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07B39A3D">
      <w:pPr>
        <w:pStyle w:val="39"/>
        <w:adjustRightInd w:val="0"/>
        <w:snapToGrid w:val="0"/>
        <w:spacing w:line="400" w:lineRule="exact"/>
        <w:ind w:firstLine="422"/>
        <w:outlineLvl w:val="0"/>
        <w:rPr>
          <w:rFonts w:ascii="宋体" w:hAnsi="宋体" w:cs="宋体"/>
          <w:b/>
          <w:color w:val="auto"/>
          <w:highlight w:val="none"/>
        </w:rPr>
      </w:pPr>
      <w:bookmarkStart w:id="201" w:name="_Toc3692"/>
      <w:bookmarkStart w:id="202" w:name="_Toc406419162"/>
      <w:bookmarkStart w:id="203" w:name="_Toc406522037"/>
      <w:bookmarkStart w:id="204" w:name="_Toc351203490"/>
      <w:bookmarkStart w:id="205" w:name="_Toc522201568"/>
      <w:bookmarkStart w:id="206" w:name="_Toc31694"/>
      <w:r>
        <w:rPr>
          <w:rFonts w:hint="eastAsia" w:ascii="宋体" w:hAnsi="宋体" w:cs="宋体"/>
          <w:b/>
          <w:color w:val="auto"/>
          <w:highlight w:val="none"/>
        </w:rPr>
        <w:t>十、签订地点</w:t>
      </w:r>
      <w:bookmarkEnd w:id="201"/>
      <w:bookmarkEnd w:id="202"/>
      <w:bookmarkEnd w:id="203"/>
      <w:bookmarkEnd w:id="204"/>
      <w:bookmarkEnd w:id="205"/>
      <w:bookmarkEnd w:id="206"/>
    </w:p>
    <w:p w14:paraId="0C84B7F0">
      <w:pPr>
        <w:pStyle w:val="3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689F5F94">
      <w:pPr>
        <w:pStyle w:val="39"/>
        <w:adjustRightInd w:val="0"/>
        <w:snapToGrid w:val="0"/>
        <w:spacing w:line="400" w:lineRule="exact"/>
        <w:ind w:firstLine="422"/>
        <w:outlineLvl w:val="0"/>
        <w:rPr>
          <w:rFonts w:ascii="宋体" w:hAnsi="宋体" w:cs="宋体"/>
          <w:b/>
          <w:color w:val="auto"/>
          <w:highlight w:val="none"/>
        </w:rPr>
      </w:pPr>
      <w:bookmarkStart w:id="207" w:name="_Toc9576"/>
      <w:bookmarkStart w:id="208" w:name="_Toc351203491"/>
      <w:bookmarkStart w:id="209" w:name="_Toc19804"/>
      <w:bookmarkStart w:id="210" w:name="_Toc406419163"/>
      <w:bookmarkStart w:id="211" w:name="_Toc406522038"/>
      <w:bookmarkStart w:id="212" w:name="_Toc522201569"/>
      <w:r>
        <w:rPr>
          <w:rFonts w:hint="eastAsia" w:ascii="宋体" w:hAnsi="宋体" w:cs="宋体"/>
          <w:b/>
          <w:color w:val="auto"/>
          <w:highlight w:val="none"/>
        </w:rPr>
        <w:t>十一、补充协议</w:t>
      </w:r>
      <w:bookmarkEnd w:id="207"/>
      <w:bookmarkEnd w:id="208"/>
      <w:bookmarkEnd w:id="209"/>
      <w:bookmarkEnd w:id="210"/>
      <w:bookmarkEnd w:id="211"/>
      <w:bookmarkEnd w:id="212"/>
    </w:p>
    <w:p w14:paraId="6C1232D9">
      <w:pPr>
        <w:pStyle w:val="3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33D28653">
      <w:pPr>
        <w:pStyle w:val="39"/>
        <w:adjustRightInd w:val="0"/>
        <w:snapToGrid w:val="0"/>
        <w:spacing w:line="400" w:lineRule="exact"/>
        <w:ind w:firstLine="422"/>
        <w:outlineLvl w:val="0"/>
        <w:rPr>
          <w:rFonts w:ascii="宋体" w:hAnsi="宋体" w:cs="宋体"/>
          <w:b/>
          <w:color w:val="auto"/>
          <w:highlight w:val="none"/>
        </w:rPr>
      </w:pPr>
      <w:bookmarkStart w:id="213" w:name="_Toc351203492"/>
      <w:bookmarkStart w:id="214" w:name="_Toc32443"/>
      <w:bookmarkStart w:id="215" w:name="_Toc522201570"/>
      <w:bookmarkStart w:id="216" w:name="_Toc406419164"/>
      <w:bookmarkStart w:id="217" w:name="_Toc406522039"/>
      <w:bookmarkStart w:id="218" w:name="_Toc1768"/>
      <w:r>
        <w:rPr>
          <w:rFonts w:hint="eastAsia" w:ascii="宋体" w:hAnsi="宋体" w:cs="宋体"/>
          <w:b/>
          <w:color w:val="auto"/>
          <w:highlight w:val="none"/>
        </w:rPr>
        <w:t>十二、合同生效</w:t>
      </w:r>
      <w:bookmarkEnd w:id="213"/>
      <w:bookmarkEnd w:id="214"/>
      <w:bookmarkEnd w:id="215"/>
      <w:bookmarkEnd w:id="216"/>
      <w:bookmarkEnd w:id="217"/>
      <w:bookmarkEnd w:id="218"/>
    </w:p>
    <w:p w14:paraId="455C6A37">
      <w:pPr>
        <w:pStyle w:val="3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w:t>
      </w:r>
      <w:r>
        <w:rPr>
          <w:rFonts w:hint="eastAsia" w:ascii="宋体" w:hAnsi="宋体" w:cs="宋体"/>
          <w:color w:val="auto"/>
          <w:szCs w:val="21"/>
          <w:highlight w:val="none"/>
          <w:u w:val="single"/>
          <w:lang w:eastAsia="zh-CN"/>
        </w:rPr>
        <w:t>公</w:t>
      </w:r>
      <w:r>
        <w:rPr>
          <w:rFonts w:hint="eastAsia" w:ascii="宋体" w:hAnsi="宋体" w:cs="宋体"/>
          <w:color w:val="auto"/>
          <w:szCs w:val="21"/>
          <w:highlight w:val="none"/>
          <w:u w:val="single"/>
        </w:rPr>
        <w:t>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4C62BCA9">
      <w:pPr>
        <w:pStyle w:val="39"/>
        <w:adjustRightInd w:val="0"/>
        <w:snapToGrid w:val="0"/>
        <w:spacing w:line="400" w:lineRule="exact"/>
        <w:ind w:firstLine="422"/>
        <w:outlineLvl w:val="0"/>
        <w:rPr>
          <w:rFonts w:ascii="宋体" w:hAnsi="宋体" w:cs="宋体"/>
          <w:b/>
          <w:color w:val="auto"/>
          <w:highlight w:val="none"/>
        </w:rPr>
      </w:pPr>
      <w:bookmarkStart w:id="219" w:name="_Toc522201571"/>
      <w:bookmarkStart w:id="220" w:name="_Toc406522040"/>
      <w:bookmarkStart w:id="221" w:name="_Toc351203493"/>
      <w:bookmarkStart w:id="222" w:name="_Toc28880"/>
      <w:bookmarkStart w:id="223" w:name="_Toc14945"/>
      <w:bookmarkStart w:id="224" w:name="_Toc406419165"/>
      <w:r>
        <w:rPr>
          <w:rFonts w:hint="eastAsia" w:ascii="宋体" w:hAnsi="宋体" w:cs="宋体"/>
          <w:b/>
          <w:color w:val="auto"/>
          <w:highlight w:val="none"/>
        </w:rPr>
        <w:t>十三、合同份数</w:t>
      </w:r>
      <w:bookmarkEnd w:id="219"/>
      <w:bookmarkEnd w:id="220"/>
      <w:bookmarkEnd w:id="221"/>
      <w:bookmarkEnd w:id="222"/>
      <w:bookmarkEnd w:id="223"/>
      <w:bookmarkEnd w:id="224"/>
    </w:p>
    <w:p w14:paraId="0A2B55CF">
      <w:pPr>
        <w:pStyle w:val="3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77813418">
      <w:pPr>
        <w:pStyle w:val="38"/>
        <w:adjustRightInd w:val="0"/>
        <w:snapToGrid w:val="0"/>
        <w:spacing w:line="400" w:lineRule="exact"/>
        <w:ind w:firstLine="420" w:firstLineChars="200"/>
        <w:rPr>
          <w:rFonts w:ascii="宋体" w:hAnsi="宋体" w:cs="宋体"/>
          <w:bCs/>
          <w:color w:val="auto"/>
          <w:szCs w:val="21"/>
          <w:highlight w:val="none"/>
        </w:rPr>
      </w:pPr>
    </w:p>
    <w:tbl>
      <w:tblPr>
        <w:tblStyle w:val="28"/>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142C5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35DBE5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2855C36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056AABBB">
            <w:pPr>
              <w:spacing w:line="360" w:lineRule="auto"/>
              <w:rPr>
                <w:rFonts w:hint="eastAsia"/>
                <w:color w:val="auto"/>
                <w:highlight w:val="none"/>
                <w:lang w:val="en-US" w:eastAsia="zh-CN"/>
              </w:rPr>
            </w:pPr>
            <w:r>
              <w:rPr>
                <w:rFonts w:hint="eastAsia"/>
                <w:color w:val="auto"/>
                <w:highlight w:val="none"/>
                <w:lang w:val="en-US" w:eastAsia="zh-CN"/>
              </w:rPr>
              <w:t>承包人：（公章）</w:t>
            </w:r>
          </w:p>
          <w:p w14:paraId="61E9EF25">
            <w:pPr>
              <w:pStyle w:val="9"/>
              <w:rPr>
                <w:rFonts w:hint="eastAsia"/>
                <w:color w:val="auto"/>
                <w:highlight w:val="none"/>
                <w:lang w:val="en-US" w:eastAsia="zh-CN"/>
              </w:rPr>
            </w:pPr>
          </w:p>
        </w:tc>
      </w:tr>
      <w:tr w14:paraId="7E509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7F7643C4">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14:paraId="6E3E1518">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06316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614988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5B3E2A1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55A8FFF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589FCEA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2985D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3EDB929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497E37F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47ED1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14B51F5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077E596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37AD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62860D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3C4C173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34307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498014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064BE70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03A0A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1F3D7D8">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2B80E94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2CAAF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507A0D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4D833D3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13E1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5F7423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3F4F5B5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2664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761353B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5153DB4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7C8B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94D9C1A">
            <w:pPr>
              <w:spacing w:line="360" w:lineRule="auto"/>
              <w:rPr>
                <w:rFonts w:hint="default"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433CADE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5A69C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198F5D9E">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10E04438">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0C8673EB">
      <w:pPr>
        <w:pStyle w:val="38"/>
        <w:adjustRightInd w:val="0"/>
        <w:snapToGrid w:val="0"/>
        <w:spacing w:line="400" w:lineRule="exact"/>
        <w:jc w:val="center"/>
        <w:rPr>
          <w:rFonts w:ascii="宋体" w:hAnsi="宋体" w:cs="宋体"/>
          <w:b/>
          <w:bCs/>
          <w:color w:val="auto"/>
          <w:szCs w:val="21"/>
          <w:highlight w:val="none"/>
        </w:rPr>
      </w:pPr>
    </w:p>
    <w:p w14:paraId="597BD934">
      <w:pPr>
        <w:pStyle w:val="36"/>
        <w:jc w:val="center"/>
        <w:rPr>
          <w:rFonts w:eastAsia="黑体"/>
          <w:b w:val="0"/>
          <w:bCs w:val="0"/>
          <w:color w:val="auto"/>
          <w:sz w:val="32"/>
          <w:szCs w:val="32"/>
          <w:highlight w:val="none"/>
        </w:rPr>
      </w:pPr>
      <w:r>
        <w:rPr>
          <w:b w:val="0"/>
          <w:bCs w:val="0"/>
          <w:color w:val="auto"/>
          <w:highlight w:val="none"/>
        </w:rPr>
        <w:br w:type="page"/>
      </w:r>
      <w:bookmarkStart w:id="225" w:name="_Toc19427"/>
      <w:bookmarkStart w:id="226" w:name="_Toc522201572"/>
      <w:bookmarkStart w:id="227" w:name="_Toc351203494"/>
      <w:bookmarkStart w:id="228" w:name="_Toc256000032"/>
      <w:bookmarkStart w:id="229" w:name="_Toc2370"/>
      <w:r>
        <w:rPr>
          <w:rFonts w:ascii="宋体"/>
          <w:color w:val="auto"/>
          <w:sz w:val="32"/>
          <w:highlight w:val="none"/>
        </w:rPr>
        <w:t>第二部分 通用合同条款</w:t>
      </w:r>
      <w:bookmarkEnd w:id="225"/>
      <w:bookmarkEnd w:id="226"/>
      <w:bookmarkEnd w:id="227"/>
      <w:bookmarkEnd w:id="228"/>
      <w:bookmarkEnd w:id="229"/>
      <w:bookmarkStart w:id="230" w:name="_Toc337558727"/>
    </w:p>
    <w:bookmarkEnd w:id="230"/>
    <w:p w14:paraId="63C7CEF5">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8"/>
          <w:szCs w:val="28"/>
          <w:highlight w:val="none"/>
        </w:rPr>
      </w:pPr>
      <w:bookmarkStart w:id="231" w:name="_Toc16978"/>
    </w:p>
    <w:p w14:paraId="2606D82C">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232" w:name="_Toc351203495"/>
      <w:r>
        <w:rPr>
          <w:rFonts w:hint="eastAsia" w:ascii="宋体" w:hAnsi="宋体" w:eastAsia="宋体" w:cs="宋体"/>
          <w:b w:val="0"/>
          <w:color w:val="auto"/>
          <w:sz w:val="21"/>
          <w:szCs w:val="21"/>
          <w:highlight w:val="none"/>
        </w:rPr>
        <w:t>1.</w:t>
      </w:r>
      <w:bookmarkStart w:id="233" w:name="_Toc303538972"/>
      <w:bookmarkEnd w:id="233"/>
      <w:bookmarkStart w:id="234" w:name="_Toc303538973"/>
      <w:bookmarkEnd w:id="234"/>
      <w:bookmarkStart w:id="235" w:name="_Toc303538975"/>
      <w:bookmarkEnd w:id="235"/>
      <w:bookmarkStart w:id="236" w:name="_Toc303538974"/>
      <w:bookmarkEnd w:id="236"/>
      <w:bookmarkStart w:id="237" w:name="_Toc303538976"/>
      <w:bookmarkEnd w:id="237"/>
      <w:bookmarkStart w:id="238" w:name="_Toc296503027"/>
      <w:bookmarkStart w:id="239" w:name="_Toc296346528"/>
      <w:r>
        <w:rPr>
          <w:rFonts w:hint="eastAsia" w:ascii="宋体" w:hAnsi="宋体" w:eastAsia="宋体" w:cs="宋体"/>
          <w:b w:val="0"/>
          <w:color w:val="auto"/>
          <w:sz w:val="21"/>
          <w:szCs w:val="21"/>
          <w:highlight w:val="none"/>
        </w:rPr>
        <w:t xml:space="preserve"> 一般约定</w:t>
      </w:r>
      <w:bookmarkEnd w:id="232"/>
      <w:bookmarkEnd w:id="238"/>
      <w:bookmarkEnd w:id="239"/>
    </w:p>
    <w:p w14:paraId="58A703A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40" w:name="_Toc337558728"/>
      <w:bookmarkStart w:id="241" w:name="_Toc296503028"/>
      <w:bookmarkStart w:id="242" w:name="_Toc296346529"/>
      <w:bookmarkStart w:id="243" w:name="_Toc351203496"/>
      <w:r>
        <w:rPr>
          <w:rFonts w:hint="eastAsia" w:ascii="宋体" w:hAnsi="宋体" w:eastAsia="宋体" w:cs="宋体"/>
          <w:b w:val="0"/>
          <w:color w:val="auto"/>
          <w:sz w:val="21"/>
          <w:szCs w:val="21"/>
          <w:highlight w:val="none"/>
        </w:rPr>
        <w:t>1.1词语定义</w:t>
      </w:r>
      <w:bookmarkEnd w:id="240"/>
      <w:bookmarkEnd w:id="241"/>
      <w:bookmarkEnd w:id="242"/>
      <w:r>
        <w:rPr>
          <w:rFonts w:hint="eastAsia" w:ascii="宋体" w:hAnsi="宋体" w:eastAsia="宋体" w:cs="宋体"/>
          <w:b w:val="0"/>
          <w:color w:val="auto"/>
          <w:sz w:val="21"/>
          <w:szCs w:val="21"/>
          <w:highlight w:val="none"/>
        </w:rPr>
        <w:t>与解释</w:t>
      </w:r>
      <w:bookmarkEnd w:id="243"/>
    </w:p>
    <w:p w14:paraId="22213DA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合同协议书、通用合同条款、专用合同条款中的下列词语具有本款所赋予的含义：</w:t>
      </w:r>
    </w:p>
    <w:p w14:paraId="09E4DE2B">
      <w:pPr>
        <w:pageBreakBefore w:val="0"/>
        <w:kinsoku/>
        <w:wordWrap/>
        <w:overflowPunct/>
        <w:topLinePunct w:val="0"/>
        <w:autoSpaceDE w:val="0"/>
        <w:autoSpaceDN w:val="0"/>
        <w:bidi w:val="0"/>
        <w:adjustRightInd w:val="0"/>
        <w:snapToGrid/>
        <w:spacing w:line="390" w:lineRule="exact"/>
        <w:ind w:lef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1.1.1 合同</w:t>
      </w:r>
    </w:p>
    <w:p w14:paraId="5AF0D2D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 合同：是指根据法律规定和合同当事人约定具有约束力的文件，构成合同的文件包括合同协议书、中标通知书（如果有）、投标函及其附录（如果有）、专用合同条款</w:t>
      </w:r>
      <w:r>
        <w:rPr>
          <w:rFonts w:hint="eastAsia" w:ascii="宋体" w:hAnsi="宋体" w:eastAsia="宋体" w:cs="宋体"/>
          <w:color w:val="auto"/>
          <w:sz w:val="21"/>
          <w:szCs w:val="21"/>
          <w:highlight w:val="none"/>
        </w:rPr>
        <w:t>及其附件</w:t>
      </w:r>
      <w:r>
        <w:rPr>
          <w:rFonts w:hint="eastAsia" w:ascii="宋体" w:hAnsi="宋体" w:eastAsia="宋体" w:cs="宋体"/>
          <w:color w:val="auto"/>
          <w:kern w:val="0"/>
          <w:sz w:val="21"/>
          <w:szCs w:val="21"/>
          <w:highlight w:val="none"/>
        </w:rPr>
        <w:t>、通用合同条款、技术标准和要求、图纸、已标价工程量清单或预算书以及其他合同文件。</w:t>
      </w:r>
    </w:p>
    <w:p w14:paraId="6882DB1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1.1.1.2 合同协议书：是指构成合同的由发包人和承包人共同签署的称为“合同协议书”的书面文件。</w:t>
      </w:r>
    </w:p>
    <w:p w14:paraId="7340AA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1.1.1.3 中标通知书：是指构成合同的由发包人通知承包人中标的书面文件。</w:t>
      </w:r>
    </w:p>
    <w:p w14:paraId="109890C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1.1.1.4 投标函：是指构成合同的由承包人填写并签署的用于投标的称为“投标函”的文件。</w:t>
      </w:r>
    </w:p>
    <w:p w14:paraId="581949B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1.1.1.5 投标函附录：是指构成合同的附在投标函后的称为“投标函附录”的文件。</w:t>
      </w:r>
    </w:p>
    <w:p w14:paraId="6AC7DDB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1.1.1.6 技术标准和要求：是指构成合同的施工应当遵守的或指导施工的国家、行业或地方的技术标准和要求，以及合同约定的技术标准和要求。</w:t>
      </w:r>
    </w:p>
    <w:p w14:paraId="7284AD3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056194F7">
      <w:pPr>
        <w:pageBreakBefore w:val="0"/>
        <w:kinsoku/>
        <w:wordWrap/>
        <w:overflowPunct/>
        <w:topLinePunct w:val="0"/>
        <w:autoSpaceDE w:val="0"/>
        <w:autoSpaceDN w:val="0"/>
        <w:bidi w:val="0"/>
        <w:adjustRightInd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1.1.1.8 已标价工程量清单：是指构成合同的由承包人按照规定的格式和要求填写并标明价格的工程量清单，包括说明和表格。</w:t>
      </w:r>
    </w:p>
    <w:p w14:paraId="22742819">
      <w:pPr>
        <w:pageBreakBefore w:val="0"/>
        <w:kinsoku/>
        <w:wordWrap/>
        <w:overflowPunct/>
        <w:topLinePunct w:val="0"/>
        <w:autoSpaceDE w:val="0"/>
        <w:autoSpaceDN w:val="0"/>
        <w:bidi w:val="0"/>
        <w:adjustRightInd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1.1.1.9 预算书：是指构成合同的由承包人按照发包人规定的格式和要求编制的工程预算文件。</w:t>
      </w:r>
    </w:p>
    <w:p w14:paraId="069989B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 其他合同文件：是指经合同当事人约定的与工程施工有关的具有合同约束力的文件或书面协议。合同当事人可以在专用合同条款中进行约定。</w:t>
      </w:r>
    </w:p>
    <w:p w14:paraId="44D8EF82">
      <w:pPr>
        <w:pageBreakBefore w:val="0"/>
        <w:kinsoku/>
        <w:wordWrap/>
        <w:overflowPunct/>
        <w:topLinePunct w:val="0"/>
        <w:autoSpaceDE w:val="0"/>
        <w:autoSpaceDN w:val="0"/>
        <w:bidi w:val="0"/>
        <w:adjustRightInd w:val="0"/>
        <w:snapToGrid/>
        <w:spacing w:line="390" w:lineRule="exact"/>
        <w:ind w:lef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1.1.2 合同当事人及其他相关方</w:t>
      </w:r>
    </w:p>
    <w:p w14:paraId="7A37972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1.1.2.1 合同当事人：是指发包人和（或）承包人。</w:t>
      </w:r>
    </w:p>
    <w:p w14:paraId="2C56F8A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1.1.2.2 发包人：是指与承包人签订合同协议书的当事人及取得该当事人资格的合法继承人。</w:t>
      </w:r>
    </w:p>
    <w:p w14:paraId="5F5FF92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1.1.2.3 承包人：是指与发包人签订合同协议书的，具有相应工程施工承包资质的当事人及取得该当事人资格的合法继承人。</w:t>
      </w:r>
    </w:p>
    <w:p w14:paraId="2892433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1.1.2.4 监理人：是指在专用合同条款中指明的，受发包人委托按照法律规定进行工程监督管理的法人或其他组织。</w:t>
      </w:r>
    </w:p>
    <w:p w14:paraId="6B380CC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1.1.2.5 设计人：是指在专用合同条款中指明的，受发包人委托负责工程设计并具备相应工程设计资质的法人或其他组织。</w:t>
      </w:r>
    </w:p>
    <w:p w14:paraId="3BF38735">
      <w:pPr>
        <w:pageBreakBefore w:val="0"/>
        <w:kinsoku/>
        <w:wordWrap/>
        <w:overflowPunct/>
        <w:topLinePunct w:val="0"/>
        <w:bidi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1.1.2.6 分包人：</w:t>
      </w:r>
      <w:bookmarkStart w:id="244" w:name="#go5"/>
      <w:bookmarkEnd w:id="244"/>
      <w:r>
        <w:rPr>
          <w:rFonts w:hint="eastAsia" w:ascii="宋体" w:hAnsi="宋体" w:eastAsia="宋体" w:cs="宋体"/>
          <w:color w:val="auto"/>
          <w:kern w:val="0"/>
          <w:sz w:val="21"/>
          <w:szCs w:val="21"/>
          <w:highlight w:val="none"/>
        </w:rPr>
        <w:t>是指按照法律规定和合同约定，分包部分工程或工作，并与承包人签订分包合同的具有相应资质的法人。</w:t>
      </w:r>
    </w:p>
    <w:p w14:paraId="214619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1.1.2.7 发包人代表：是指由发包人任命并派驻施工现场在发包人授权范围内行使发包人权利的人。</w:t>
      </w:r>
    </w:p>
    <w:p w14:paraId="6E5AE94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1.1.2.8 项目经理：是指由承包人任命并派驻施工现场，在承包人授权范围内负责合同履行，且按照法律规定具有相应资格的项目负责人。</w:t>
      </w:r>
    </w:p>
    <w:p w14:paraId="468633B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1.1.2.9 总监理工程师：是指由监理人任命并派驻施工现场进行工程监理的总负责人。</w:t>
      </w:r>
    </w:p>
    <w:p w14:paraId="044057C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 工程和设备</w:t>
      </w:r>
    </w:p>
    <w:p w14:paraId="5C834F0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1.1.3.1 工程：是指与合同协议书中工程承包范围对应的永久工程和（或）临时工程。</w:t>
      </w:r>
    </w:p>
    <w:p w14:paraId="5FBB48B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1.1.3.2 永久工程：是指按合同约定建造并移交给发包人的工程，包括工程设备。</w:t>
      </w:r>
    </w:p>
    <w:p w14:paraId="1F89B80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1.1.3.3 临时工程：是指为完成合同约定的永久工程所修建的各类临时性工程，不包括施工设备。</w:t>
      </w:r>
    </w:p>
    <w:p w14:paraId="3A290F7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1.1.3.4 单位工程：是指在合同协议书中指明的，具备独立施工条件并能形成独立使用功能的永久工程。</w:t>
      </w:r>
    </w:p>
    <w:p w14:paraId="4F4569A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1.1.3.5 工程设备：是指构成永久工程的机电设备、金属结构设备、仪器及其他类似的设备和装置。</w:t>
      </w:r>
    </w:p>
    <w:p w14:paraId="554F16B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1.1.3.6 施工设备：是指为完成合同约定的各项工作所需的设备、器具和其他物品，但不包括工程设备、临时工程和材料。</w:t>
      </w:r>
    </w:p>
    <w:p w14:paraId="6AA8AFE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1.1.3.7 施工现场：是指用于工程施工的场所，以及在专用合同条款中指明作为施工场所组成部分的其他场所，包括永久占地和临时占地。</w:t>
      </w:r>
    </w:p>
    <w:p w14:paraId="0F09173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1.1.3.8临时设施：是指为完成合同约定的各项工作所服务的临时性生产和生活设施。</w:t>
      </w:r>
    </w:p>
    <w:p w14:paraId="52E7D92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1.1.3.9 永久占地：是指专用合同条款中指明为实施工程需永久占用的土地。</w:t>
      </w:r>
    </w:p>
    <w:p w14:paraId="57C4440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1.1.3.10 临时占地：是指专用合同条款中指明为实施工程需要临时占用的土地。</w:t>
      </w:r>
    </w:p>
    <w:p w14:paraId="676D390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 日期和期限</w:t>
      </w:r>
    </w:p>
    <w:p w14:paraId="2410E69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3697FF8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1.1.4.2 竣工日期：包括计划竣工日期和实际竣工日期。计划竣工日期是指合同协议书约定的竣工日期；实际竣工日期按照第13.2.3项〔竣工日期〕的约定确定。 </w:t>
      </w:r>
    </w:p>
    <w:p w14:paraId="3F8C2DA3">
      <w:pPr>
        <w:pageBreakBefore w:val="0"/>
        <w:kinsoku/>
        <w:wordWrap/>
        <w:overflowPunct/>
        <w:topLinePunct w:val="0"/>
        <w:bidi w:val="0"/>
        <w:snapToGrid/>
        <w:spacing w:line="390" w:lineRule="exact"/>
        <w:ind w:left="0" w:firstLine="426" w:firstLineChars="203"/>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1.1.4.3 工期：是指在合同协议书约定的承包人完成工程所需的期限，包括按照合同约定所作的期限变更。</w:t>
      </w:r>
    </w:p>
    <w:p w14:paraId="3221E53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1.1.4.4 缺陷责任期：是指承包人按照合同约定承担缺陷修复义务，且发包人预留质量保证金（已缴纳履约保证金的除外）的期限，自工程实际竣工日期起计算。</w:t>
      </w:r>
    </w:p>
    <w:p w14:paraId="5DBB9D8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1.1.4.5 保修期：是指承包人按照合同约定对工程承担保修责任的期限，从工程竣工验收合格之日起计算。</w:t>
      </w:r>
    </w:p>
    <w:p w14:paraId="02AAB13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1.1.4.6 基准日期：招标发包的工程以投标截止日前28天的日期为基准日期，直接发包的工程以合同签订日前28天的日期为基准日期。</w:t>
      </w:r>
    </w:p>
    <w:p w14:paraId="216E030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1.1.4.7 天：除特别指明外，均指日历天。合同中按天计算时间的，开始当天不计入，从次日开始计算，期限最后一天的截止时间为当天24:00时。</w:t>
      </w:r>
    </w:p>
    <w:p w14:paraId="382A914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 合同价格和费用</w:t>
      </w:r>
    </w:p>
    <w:p w14:paraId="7F4794D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1.1.5.1 签约合同价：是指</w:t>
      </w:r>
      <w:r>
        <w:rPr>
          <w:rFonts w:hint="eastAsia" w:ascii="宋体" w:hAnsi="宋体" w:eastAsia="宋体" w:cs="宋体"/>
          <w:color w:val="auto"/>
          <w:sz w:val="21"/>
          <w:szCs w:val="21"/>
          <w:highlight w:val="none"/>
        </w:rPr>
        <w:t>发包人和承包人在合同协议书中确定的总金额，包括安全文明施工费、暂估价及暂列金额等。</w:t>
      </w:r>
    </w:p>
    <w:p w14:paraId="453B1F1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1.1.5.2 合同价格：是指发包人用于支付承包人按照合同约定完成承包范围内全部工作的金额，包括合同履行过程中按合同约定发生的价格变化。</w:t>
      </w:r>
    </w:p>
    <w:p w14:paraId="0FD8ADF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1.1.5.3 费用：是指为履行合同所发生的或将要发生的所有必需的开支，包括管理费和应分摊的其他费用，但不包括利润。</w:t>
      </w:r>
    </w:p>
    <w:p w14:paraId="3FBA003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1.1.5.4 暂估价：是指发包人在工程量清单或预算书中提供的用于支付必然发生但暂时不能确定价格的材料、工程设备的单价、专业工程以及服务工作的金额。</w:t>
      </w:r>
    </w:p>
    <w:p w14:paraId="5917274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1CC0BF6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1.1.5.6 计日工：是指合同履行过程中，承包人完成发包人提出的零星工作或需要采用计日工计价的变更工作时，按合同中约定的单价计价的一种方式。</w:t>
      </w:r>
    </w:p>
    <w:p w14:paraId="308E61C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1.1.5.7 质量保证金</w:t>
      </w:r>
      <w:bookmarkStart w:id="245" w:name="#go2"/>
      <w:bookmarkEnd w:id="245"/>
      <w:r>
        <w:rPr>
          <w:rFonts w:hint="eastAsia" w:ascii="宋体" w:hAnsi="宋体" w:eastAsia="宋体" w:cs="宋体"/>
          <w:color w:val="auto"/>
          <w:kern w:val="0"/>
          <w:sz w:val="21"/>
          <w:szCs w:val="21"/>
          <w:highlight w:val="none"/>
        </w:rPr>
        <w:t>：是指按照第15.3款〔质量保证金〕约定承包人用于保证其在缺陷责任期内履行缺陷修补义务的担保</w:t>
      </w:r>
      <w:r>
        <w:rPr>
          <w:rFonts w:hint="eastAsia" w:ascii="宋体" w:hAnsi="宋体" w:eastAsia="宋体" w:cs="宋体"/>
          <w:color w:val="auto"/>
          <w:sz w:val="21"/>
          <w:szCs w:val="21"/>
          <w:highlight w:val="none"/>
        </w:rPr>
        <w:t>。</w:t>
      </w:r>
    </w:p>
    <w:p w14:paraId="4D220CB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1.1.5.8 总价项目：是指在现行国家、行业以及地方的计量规则中无工程量计算规则，在已标价工程量清单或预算书中以总价或以费率形式计算的项目。</w:t>
      </w:r>
    </w:p>
    <w:p w14:paraId="5A88290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 其他</w:t>
      </w:r>
    </w:p>
    <w:p w14:paraId="0355973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1.1.6.1 书面形式：是指合同文件、信函、电报、传真等可以有形地表现所载内容的形式。</w:t>
      </w:r>
    </w:p>
    <w:p w14:paraId="74D81D35">
      <w:pPr>
        <w:pStyle w:val="6"/>
        <w:pageBreakBefore w:val="0"/>
        <w:kinsoku/>
        <w:wordWrap/>
        <w:overflowPunct/>
        <w:topLinePunct w:val="0"/>
        <w:bidi w:val="0"/>
        <w:snapToGrid/>
        <w:spacing w:before="0" w:after="0" w:line="390" w:lineRule="exact"/>
        <w:ind w:left="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    </w:t>
      </w:r>
      <w:bookmarkStart w:id="246" w:name="_Toc296346530"/>
      <w:bookmarkStart w:id="247" w:name="_Toc296503029"/>
      <w:bookmarkStart w:id="248" w:name="_Toc351203497"/>
      <w:bookmarkStart w:id="249" w:name="_Toc337558729"/>
      <w:r>
        <w:rPr>
          <w:rFonts w:hint="eastAsia" w:ascii="宋体" w:hAnsi="宋体" w:eastAsia="宋体" w:cs="宋体"/>
          <w:b w:val="0"/>
          <w:color w:val="auto"/>
          <w:sz w:val="21"/>
          <w:szCs w:val="21"/>
          <w:highlight w:val="none"/>
        </w:rPr>
        <w:t>1.2语言文字</w:t>
      </w:r>
      <w:bookmarkEnd w:id="246"/>
      <w:bookmarkEnd w:id="247"/>
      <w:bookmarkEnd w:id="248"/>
      <w:bookmarkEnd w:id="249"/>
    </w:p>
    <w:p w14:paraId="6B02573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4C152A6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50" w:name="_Toc296503030"/>
      <w:bookmarkStart w:id="251" w:name="_Toc337558730"/>
      <w:bookmarkStart w:id="252" w:name="_Toc296346531"/>
      <w:bookmarkStart w:id="253" w:name="_Toc351203498"/>
      <w:r>
        <w:rPr>
          <w:rFonts w:hint="eastAsia" w:ascii="宋体" w:hAnsi="宋体" w:eastAsia="宋体" w:cs="宋体"/>
          <w:b w:val="0"/>
          <w:color w:val="auto"/>
          <w:sz w:val="21"/>
          <w:szCs w:val="21"/>
          <w:highlight w:val="none"/>
        </w:rPr>
        <w:t>1.3法律</w:t>
      </w:r>
      <w:bookmarkEnd w:id="250"/>
      <w:bookmarkEnd w:id="251"/>
      <w:bookmarkEnd w:id="252"/>
      <w:bookmarkEnd w:id="253"/>
    </w:p>
    <w:p w14:paraId="796EF4B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合同所称法律是指中华人民共和国法律、行政法规、部门规章，以及工程所在地的地方性法规、自治条例、单行条例和地方政府规章等。</w:t>
      </w:r>
    </w:p>
    <w:p w14:paraId="6F529AE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合同当事人可以在专用合同条款中约定合同适用的其他规范性文件。</w:t>
      </w:r>
    </w:p>
    <w:p w14:paraId="19F3C29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54" w:name="_Toc351203499"/>
      <w:r>
        <w:rPr>
          <w:rFonts w:hint="eastAsia" w:ascii="宋体" w:hAnsi="宋体" w:eastAsia="宋体" w:cs="宋体"/>
          <w:b w:val="0"/>
          <w:color w:val="auto"/>
          <w:sz w:val="21"/>
          <w:szCs w:val="21"/>
          <w:highlight w:val="none"/>
        </w:rPr>
        <w:t>1.4 标准和规范</w:t>
      </w:r>
      <w:bookmarkEnd w:id="254"/>
    </w:p>
    <w:p w14:paraId="3DE0408E">
      <w:pPr>
        <w:pageBreakBefore w:val="0"/>
        <w:kinsoku/>
        <w:wordWrap/>
        <w:overflowPunct/>
        <w:topLinePunct w:val="0"/>
        <w:autoSpaceDE w:val="0"/>
        <w:autoSpaceDN w:val="0"/>
        <w:bidi w:val="0"/>
        <w:adjustRightInd w:val="0"/>
        <w:snapToGrid/>
        <w:spacing w:line="390" w:lineRule="exact"/>
        <w:ind w:left="0" w:firstLine="64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 适用于工程的国家标准、行业标准、工程所在地的地方性标准，以及相应的规范、规程等，合同当事人有特别要求的，应在专用合同条款中约定。</w:t>
      </w:r>
    </w:p>
    <w:p w14:paraId="312ADC23">
      <w:pPr>
        <w:pageBreakBefore w:val="0"/>
        <w:kinsoku/>
        <w:wordWrap/>
        <w:overflowPunct/>
        <w:topLinePunct w:val="0"/>
        <w:autoSpaceDE w:val="0"/>
        <w:autoSpaceDN w:val="0"/>
        <w:bidi w:val="0"/>
        <w:adjustRightInd w:val="0"/>
        <w:snapToGrid/>
        <w:spacing w:line="390" w:lineRule="exact"/>
        <w:ind w:left="0" w:firstLine="64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 发包人要求使用国外标准、规范的，发包人负责提供原文版本和中文译本，并在专用合同条款中约定提供标准规范的名称、份数和时间。</w:t>
      </w:r>
    </w:p>
    <w:p w14:paraId="39DA14D5">
      <w:pPr>
        <w:pageBreakBefore w:val="0"/>
        <w:kinsoku/>
        <w:wordWrap/>
        <w:overflowPunct/>
        <w:topLinePunct w:val="0"/>
        <w:autoSpaceDE w:val="0"/>
        <w:autoSpaceDN w:val="0"/>
        <w:bidi w:val="0"/>
        <w:adjustRightInd w:val="0"/>
        <w:snapToGrid/>
        <w:spacing w:line="390" w:lineRule="exact"/>
        <w:ind w:left="0" w:firstLine="64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AF2871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55" w:name="_Toc351203500"/>
      <w:r>
        <w:rPr>
          <w:rFonts w:hint="eastAsia" w:ascii="宋体" w:hAnsi="宋体" w:eastAsia="宋体" w:cs="宋体"/>
          <w:b w:val="0"/>
          <w:color w:val="auto"/>
          <w:sz w:val="21"/>
          <w:szCs w:val="21"/>
          <w:highlight w:val="none"/>
        </w:rPr>
        <w:t>1</w:t>
      </w:r>
      <w:bookmarkStart w:id="256" w:name="_Toc296503031"/>
      <w:bookmarkStart w:id="257" w:name="_Toc337558731"/>
      <w:bookmarkStart w:id="258" w:name="_Toc296346532"/>
      <w:r>
        <w:rPr>
          <w:rFonts w:hint="eastAsia" w:ascii="宋体" w:hAnsi="宋体" w:eastAsia="宋体" w:cs="宋体"/>
          <w:b w:val="0"/>
          <w:color w:val="auto"/>
          <w:sz w:val="21"/>
          <w:szCs w:val="21"/>
          <w:highlight w:val="none"/>
        </w:rPr>
        <w:t>.5 合同文件的优先顺序</w:t>
      </w:r>
      <w:bookmarkEnd w:id="255"/>
    </w:p>
    <w:bookmarkEnd w:id="256"/>
    <w:bookmarkEnd w:id="257"/>
    <w:bookmarkEnd w:id="258"/>
    <w:p w14:paraId="2D5C757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组成合同的各项文件应互相解释，互为说明。除专用合同条款另有约定外，解释合同文件的优先顺序如下：</w:t>
      </w:r>
    </w:p>
    <w:p w14:paraId="59950B3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（1）合同协议书；</w:t>
      </w:r>
    </w:p>
    <w:p w14:paraId="4A3D0D0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（2）中标通知书（如果有）；</w:t>
      </w:r>
    </w:p>
    <w:p w14:paraId="50D13EB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（3）投标函及其附录（如果有）；</w:t>
      </w:r>
    </w:p>
    <w:p w14:paraId="1763673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（4）专用合同条款</w:t>
      </w:r>
      <w:r>
        <w:rPr>
          <w:rFonts w:hint="eastAsia" w:ascii="宋体" w:hAnsi="宋体" w:eastAsia="宋体" w:cs="宋体"/>
          <w:color w:val="auto"/>
          <w:sz w:val="21"/>
          <w:szCs w:val="21"/>
          <w:highlight w:val="none"/>
        </w:rPr>
        <w:t>及其附件</w:t>
      </w:r>
      <w:r>
        <w:rPr>
          <w:rFonts w:hint="eastAsia" w:ascii="宋体" w:hAnsi="宋体" w:eastAsia="宋体" w:cs="宋体"/>
          <w:color w:val="auto"/>
          <w:kern w:val="0"/>
          <w:sz w:val="21"/>
          <w:szCs w:val="21"/>
          <w:highlight w:val="none"/>
        </w:rPr>
        <w:t>；</w:t>
      </w:r>
    </w:p>
    <w:p w14:paraId="7CEA209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（5）通用合同条款；</w:t>
      </w:r>
    </w:p>
    <w:p w14:paraId="6F962FB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（6）技术标准和要求；</w:t>
      </w:r>
    </w:p>
    <w:p w14:paraId="19B8E23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（7）图纸；</w:t>
      </w:r>
    </w:p>
    <w:p w14:paraId="5694EC9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（8）已标价工程量清单或预算书；</w:t>
      </w:r>
    </w:p>
    <w:p w14:paraId="695FA00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（9）其他合同文件。</w:t>
      </w:r>
    </w:p>
    <w:p w14:paraId="2D314C6A">
      <w:pPr>
        <w:pageBreakBefore w:val="0"/>
        <w:kinsoku/>
        <w:wordWrap/>
        <w:overflowPunct/>
        <w:topLinePunct w:val="0"/>
        <w:bidi w:val="0"/>
        <w:snapToGrid/>
        <w:spacing w:line="390" w:lineRule="exact"/>
        <w:ind w:left="0" w:firstLine="447" w:firstLineChars="21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w:t>
      </w:r>
    </w:p>
    <w:p w14:paraId="238D9E62">
      <w:pPr>
        <w:pageBreakBefore w:val="0"/>
        <w:kinsoku/>
        <w:wordWrap/>
        <w:overflowPunct/>
        <w:topLinePunct w:val="0"/>
        <w:bidi w:val="0"/>
        <w:snapToGrid/>
        <w:spacing w:line="390" w:lineRule="exact"/>
        <w:ind w:left="0" w:firstLine="447" w:firstLineChars="21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在合同订立及履行过程中形成的与合同有关的文件均构成合同文件组成部分，并根据其性质确定优先解释顺序。</w:t>
      </w:r>
    </w:p>
    <w:p w14:paraId="5CDAB3C5">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59" w:name="_Toc351203501"/>
      <w:r>
        <w:rPr>
          <w:rFonts w:hint="eastAsia" w:ascii="宋体" w:hAnsi="宋体" w:eastAsia="宋体" w:cs="宋体"/>
          <w:b w:val="0"/>
          <w:color w:val="auto"/>
          <w:sz w:val="21"/>
          <w:szCs w:val="21"/>
          <w:highlight w:val="none"/>
        </w:rPr>
        <w:t>1</w:t>
      </w:r>
      <w:bookmarkStart w:id="260" w:name="_Toc296346533"/>
      <w:bookmarkStart w:id="261" w:name="_Toc296503032"/>
      <w:bookmarkStart w:id="262" w:name="_Toc337558732"/>
      <w:r>
        <w:rPr>
          <w:rFonts w:hint="eastAsia" w:ascii="宋体" w:hAnsi="宋体" w:eastAsia="宋体" w:cs="宋体"/>
          <w:b w:val="0"/>
          <w:color w:val="auto"/>
          <w:sz w:val="21"/>
          <w:szCs w:val="21"/>
          <w:highlight w:val="none"/>
        </w:rPr>
        <w:t>.6图纸和承包人文件</w:t>
      </w:r>
      <w:bookmarkEnd w:id="259"/>
    </w:p>
    <w:bookmarkEnd w:id="260"/>
    <w:bookmarkEnd w:id="261"/>
    <w:bookmarkEnd w:id="262"/>
    <w:p w14:paraId="5E4B1BA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 图纸的提供和交底</w:t>
      </w:r>
    </w:p>
    <w:p w14:paraId="0A2E90B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14CDE16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因发包人未按合同约定提供图纸导致承包人费用增加和（或）工期延误的，按照第7.5.1项〔因发包人原因导致工期延误〕约定办理。</w:t>
      </w:r>
    </w:p>
    <w:p w14:paraId="1759758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 图纸的错误</w:t>
      </w:r>
    </w:p>
    <w:p w14:paraId="6CA03E3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B178AA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1.6.3 图纸的修改和补充</w:t>
      </w:r>
    </w:p>
    <w:p w14:paraId="53F798A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5799E63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1.6.4 承包人文件</w:t>
      </w:r>
    </w:p>
    <w:p w14:paraId="0F35677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14:paraId="6CC27AA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75142D3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1.6.5 图纸和承包人文件的保管</w:t>
      </w:r>
    </w:p>
    <w:p w14:paraId="5CC293D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除专用合同条款另有约定外，承包人应在施工现场另外保存一套完整的图纸和承包人文件，供发包人、监理人及有关人员进行工程检查时使用。</w:t>
      </w:r>
    </w:p>
    <w:p w14:paraId="084282C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63" w:name="_Toc351203502"/>
      <w:r>
        <w:rPr>
          <w:rFonts w:hint="eastAsia" w:ascii="宋体" w:hAnsi="宋体" w:eastAsia="宋体" w:cs="宋体"/>
          <w:b w:val="0"/>
          <w:color w:val="auto"/>
          <w:sz w:val="21"/>
          <w:szCs w:val="21"/>
          <w:highlight w:val="none"/>
        </w:rPr>
        <w:t>1</w:t>
      </w:r>
      <w:bookmarkStart w:id="264" w:name="_Toc337558733"/>
      <w:bookmarkStart w:id="265" w:name="_Toc296503033"/>
      <w:bookmarkStart w:id="266" w:name="_Toc296346534"/>
      <w:r>
        <w:rPr>
          <w:rFonts w:hint="eastAsia" w:ascii="宋体" w:hAnsi="宋体" w:eastAsia="宋体" w:cs="宋体"/>
          <w:b w:val="0"/>
          <w:color w:val="auto"/>
          <w:sz w:val="21"/>
          <w:szCs w:val="21"/>
          <w:highlight w:val="none"/>
        </w:rPr>
        <w:t>.7联络</w:t>
      </w:r>
      <w:bookmarkEnd w:id="263"/>
    </w:p>
    <w:bookmarkEnd w:id="264"/>
    <w:bookmarkEnd w:id="265"/>
    <w:bookmarkEnd w:id="266"/>
    <w:p w14:paraId="5CF8317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14:paraId="74752E3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14:paraId="0E9F187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 发包人和承包人应当及时签收另一方送达至送达地点和指定接收人的来往信函。拒不签收的，由此增加的费用和（或）延误的工期由拒绝接收一方承担。</w:t>
      </w:r>
    </w:p>
    <w:p w14:paraId="21E3AF0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67" w:name="_Toc351203503"/>
      <w:r>
        <w:rPr>
          <w:rFonts w:hint="eastAsia" w:ascii="宋体" w:hAnsi="宋体" w:eastAsia="宋体" w:cs="宋体"/>
          <w:b w:val="0"/>
          <w:color w:val="auto"/>
          <w:sz w:val="21"/>
          <w:szCs w:val="21"/>
          <w:highlight w:val="none"/>
        </w:rPr>
        <w:t>1</w:t>
      </w:r>
      <w:bookmarkStart w:id="268" w:name="_Toc296346536"/>
      <w:bookmarkStart w:id="269" w:name="_Toc337558734"/>
      <w:bookmarkStart w:id="270" w:name="_Toc296503035"/>
      <w:r>
        <w:rPr>
          <w:rFonts w:hint="eastAsia" w:ascii="宋体" w:hAnsi="宋体" w:eastAsia="宋体" w:cs="宋体"/>
          <w:b w:val="0"/>
          <w:color w:val="auto"/>
          <w:sz w:val="21"/>
          <w:szCs w:val="21"/>
          <w:highlight w:val="none"/>
        </w:rPr>
        <w:t>.8严禁贿赂</w:t>
      </w:r>
      <w:bookmarkEnd w:id="267"/>
    </w:p>
    <w:bookmarkEnd w:id="268"/>
    <w:bookmarkEnd w:id="269"/>
    <w:bookmarkEnd w:id="270"/>
    <w:p w14:paraId="1C1B316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合同当事人不得以贿赂或变相贿赂的方式，谋取非法利益或损害对方权益。因一方合同当事人的贿赂造成对方损失的，应赔偿损失，并承担相应的法律责任。</w:t>
      </w:r>
    </w:p>
    <w:p w14:paraId="67F7741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A2A1F1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71" w:name="_Toc351203504"/>
      <w:r>
        <w:rPr>
          <w:rFonts w:hint="eastAsia" w:ascii="宋体" w:hAnsi="宋体" w:eastAsia="宋体" w:cs="宋体"/>
          <w:b w:val="0"/>
          <w:color w:val="auto"/>
          <w:sz w:val="21"/>
          <w:szCs w:val="21"/>
          <w:highlight w:val="none"/>
        </w:rPr>
        <w:t>1</w:t>
      </w:r>
      <w:bookmarkStart w:id="272" w:name="_Toc337558735"/>
      <w:bookmarkStart w:id="273" w:name="_Toc296346537"/>
      <w:bookmarkStart w:id="274" w:name="_Toc296503036"/>
      <w:r>
        <w:rPr>
          <w:rFonts w:hint="eastAsia" w:ascii="宋体" w:hAnsi="宋体" w:eastAsia="宋体" w:cs="宋体"/>
          <w:b w:val="0"/>
          <w:color w:val="auto"/>
          <w:sz w:val="21"/>
          <w:szCs w:val="21"/>
          <w:highlight w:val="none"/>
        </w:rPr>
        <w:t>.9化石、文物</w:t>
      </w:r>
      <w:bookmarkEnd w:id="271"/>
    </w:p>
    <w:bookmarkEnd w:id="272"/>
    <w:bookmarkEnd w:id="273"/>
    <w:bookmarkEnd w:id="274"/>
    <w:p w14:paraId="4CD825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18ACA47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发包人、监理人和承包人应按有关政府行政管理部门要求采取妥善的保护措施，由此增加的费用和（或）延误的工期由发包人承担。</w:t>
      </w:r>
    </w:p>
    <w:p w14:paraId="67511F2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承包人发现文物后不及时报告或隐瞒不报，致使文物丢失或损坏的，应赔偿损失，并承担相应的法律责任。</w:t>
      </w:r>
    </w:p>
    <w:p w14:paraId="251C17F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75" w:name="_Toc351203505"/>
      <w:r>
        <w:rPr>
          <w:rFonts w:hint="eastAsia" w:ascii="宋体" w:hAnsi="宋体" w:eastAsia="宋体" w:cs="宋体"/>
          <w:b w:val="0"/>
          <w:color w:val="auto"/>
          <w:sz w:val="21"/>
          <w:szCs w:val="21"/>
          <w:highlight w:val="none"/>
        </w:rPr>
        <w:t>1</w:t>
      </w:r>
      <w:bookmarkStart w:id="276" w:name="_Toc337558736"/>
      <w:r>
        <w:rPr>
          <w:rFonts w:hint="eastAsia" w:ascii="宋体" w:hAnsi="宋体" w:eastAsia="宋体" w:cs="宋体"/>
          <w:b w:val="0"/>
          <w:color w:val="auto"/>
          <w:sz w:val="21"/>
          <w:szCs w:val="21"/>
          <w:highlight w:val="none"/>
        </w:rPr>
        <w:t>.10交通运输</w:t>
      </w:r>
      <w:bookmarkEnd w:id="275"/>
    </w:p>
    <w:bookmarkEnd w:id="276"/>
    <w:p w14:paraId="4BC4447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1.10.1 出入现场的权利</w:t>
      </w:r>
    </w:p>
    <w:p w14:paraId="68D472C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E74636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7B25DC4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1.10.2 场外交通</w:t>
      </w:r>
    </w:p>
    <w:p w14:paraId="74FF29A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9F0994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1.10.3场内交通</w:t>
      </w:r>
    </w:p>
    <w:p w14:paraId="0D7B593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000138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99690A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场外交通和场内交通的边界由合同当事人在专用合同条款中约定。</w:t>
      </w:r>
    </w:p>
    <w:p w14:paraId="38A09B3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1.10.4 超大件和超重件的运输</w:t>
      </w:r>
    </w:p>
    <w:p w14:paraId="70D9869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3D58E0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1.10.5 道路和桥梁的损坏责任</w:t>
      </w:r>
    </w:p>
    <w:p w14:paraId="120A1FB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因承包人运输造成施工场地内外公共道路和桥梁损坏的，由承包人承担修复损坏的全部费用和可能引起的赔偿。</w:t>
      </w:r>
    </w:p>
    <w:p w14:paraId="320A01D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1.10.6 水路和航空运输</w:t>
      </w:r>
    </w:p>
    <w:p w14:paraId="4B6DA13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本款前述各项的内容适用于水路运输和航空运输，其中“道路”一词的涵义包括河道、航线、船闸、机场、码头、堤防以及水路或航空运输中其他相似结构物；“车辆”一词的涵义包括船舶和飞机等。</w:t>
      </w:r>
    </w:p>
    <w:p w14:paraId="5A2524A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77" w:name="_Toc351203506"/>
      <w:r>
        <w:rPr>
          <w:rFonts w:hint="eastAsia" w:ascii="宋体" w:hAnsi="宋体" w:eastAsia="宋体" w:cs="宋体"/>
          <w:b w:val="0"/>
          <w:color w:val="auto"/>
          <w:sz w:val="21"/>
          <w:szCs w:val="21"/>
          <w:highlight w:val="none"/>
        </w:rPr>
        <w:t>1</w:t>
      </w:r>
      <w:bookmarkStart w:id="278" w:name="_Toc337558737"/>
      <w:bookmarkStart w:id="279" w:name="_Toc296503037"/>
      <w:bookmarkStart w:id="280" w:name="_Toc296346538"/>
      <w:r>
        <w:rPr>
          <w:rFonts w:hint="eastAsia" w:ascii="宋体" w:hAnsi="宋体" w:eastAsia="宋体" w:cs="宋体"/>
          <w:b w:val="0"/>
          <w:color w:val="auto"/>
          <w:sz w:val="21"/>
          <w:szCs w:val="21"/>
          <w:highlight w:val="none"/>
        </w:rPr>
        <w:t>.11知识产权</w:t>
      </w:r>
      <w:bookmarkEnd w:id="277"/>
      <w:r>
        <w:rPr>
          <w:rFonts w:hint="eastAsia" w:ascii="宋体" w:hAnsi="宋体" w:eastAsia="宋体" w:cs="宋体"/>
          <w:b w:val="0"/>
          <w:color w:val="auto"/>
          <w:sz w:val="21"/>
          <w:szCs w:val="21"/>
          <w:highlight w:val="none"/>
        </w:rPr>
        <w:t xml:space="preserve"> </w:t>
      </w:r>
      <w:bookmarkEnd w:id="278"/>
    </w:p>
    <w:bookmarkEnd w:id="279"/>
    <w:bookmarkEnd w:id="280"/>
    <w:p w14:paraId="2A74BE3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6A21A8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0298A2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14DCA33">
      <w:pPr>
        <w:pageBreakBefore w:val="0"/>
        <w:kinsoku/>
        <w:wordWrap/>
        <w:overflowPunct/>
        <w:topLinePunct w:val="0"/>
        <w:bidi w:val="0"/>
        <w:snapToGrid/>
        <w:spacing w:line="39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sz w:val="21"/>
          <w:szCs w:val="21"/>
          <w:highlight w:val="none"/>
        </w:rPr>
        <w:t>1.11.4 除专用合同条款另有约定外，承包人在合同签订前和签订时已确定采用的专利、专有技术、技术秘密的使用费已包含在签约合同价中。</w:t>
      </w:r>
    </w:p>
    <w:p w14:paraId="177B992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81" w:name="_Toc351203507"/>
      <w:r>
        <w:rPr>
          <w:rFonts w:hint="eastAsia" w:ascii="宋体" w:hAnsi="宋体" w:eastAsia="宋体" w:cs="宋体"/>
          <w:b w:val="0"/>
          <w:color w:val="auto"/>
          <w:sz w:val="21"/>
          <w:szCs w:val="21"/>
          <w:highlight w:val="none"/>
        </w:rPr>
        <w:t>1</w:t>
      </w:r>
      <w:bookmarkStart w:id="282" w:name="_Toc337558738"/>
      <w:r>
        <w:rPr>
          <w:rFonts w:hint="eastAsia" w:ascii="宋体" w:hAnsi="宋体" w:eastAsia="宋体" w:cs="宋体"/>
          <w:b w:val="0"/>
          <w:color w:val="auto"/>
          <w:sz w:val="21"/>
          <w:szCs w:val="21"/>
          <w:highlight w:val="none"/>
        </w:rPr>
        <w:t>.12保密</w:t>
      </w:r>
      <w:bookmarkEnd w:id="281"/>
    </w:p>
    <w:bookmarkEnd w:id="282"/>
    <w:p w14:paraId="12D4B7C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除法律规定或合同另有约定外，未经发包人同意，承包人不得将发包人提供的图纸、文件以及声明需要保密的资料信息等商业秘密泄露给第三方。</w:t>
      </w:r>
    </w:p>
    <w:p w14:paraId="2BDBE53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除法律规定或合同另有约定外，未经承包人同意，发包人不得将承包人提供的技术秘密及声明需要保密的资料信息等商业秘密泄露给第三方。</w:t>
      </w:r>
    </w:p>
    <w:p w14:paraId="02D8645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83" w:name="_Toc351203508"/>
      <w:r>
        <w:rPr>
          <w:rFonts w:hint="eastAsia" w:ascii="宋体" w:hAnsi="宋体" w:eastAsia="宋体" w:cs="宋体"/>
          <w:b w:val="0"/>
          <w:color w:val="auto"/>
          <w:sz w:val="21"/>
          <w:szCs w:val="21"/>
          <w:highlight w:val="none"/>
        </w:rPr>
        <w:t>1.13工程量清单错误的修正</w:t>
      </w:r>
      <w:bookmarkEnd w:id="283"/>
    </w:p>
    <w:p w14:paraId="2D7155E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除专用合同条款另有约定外，发包人提供的工程量清单，应被认为是准确的和完整的。出现下列情形之一时，发包人应予以修正，并相应调整合同价格：</w:t>
      </w:r>
    </w:p>
    <w:p w14:paraId="569C6F3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（1）工程量清单存在缺项、漏项的；</w:t>
      </w:r>
    </w:p>
    <w:p w14:paraId="525FE79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（2）工程量清单偏差超出专用合同条款约定的工程量偏差范围的；</w:t>
      </w:r>
    </w:p>
    <w:p w14:paraId="076D792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（3）未按照国家现行计量规范强制性规定计量的。</w:t>
      </w:r>
    </w:p>
    <w:p w14:paraId="30B775F9">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284" w:name="_Toc351203509"/>
      <w:r>
        <w:rPr>
          <w:rFonts w:hint="eastAsia" w:ascii="宋体" w:hAnsi="宋体" w:eastAsia="宋体" w:cs="宋体"/>
          <w:b w:val="0"/>
          <w:color w:val="auto"/>
          <w:sz w:val="21"/>
          <w:szCs w:val="21"/>
          <w:highlight w:val="none"/>
        </w:rPr>
        <w:t>2</w:t>
      </w:r>
      <w:bookmarkStart w:id="285" w:name="_Toc296346539"/>
      <w:bookmarkStart w:id="286" w:name="_Toc296503038"/>
      <w:bookmarkStart w:id="287" w:name="_Toc337558739"/>
      <w:bookmarkStart w:id="288" w:name="OLE_LINK2"/>
      <w:r>
        <w:rPr>
          <w:rFonts w:hint="eastAsia" w:ascii="宋体" w:hAnsi="宋体" w:eastAsia="宋体" w:cs="宋体"/>
          <w:b w:val="0"/>
          <w:color w:val="auto"/>
          <w:sz w:val="21"/>
          <w:szCs w:val="21"/>
          <w:highlight w:val="none"/>
        </w:rPr>
        <w:t>. 发包人</w:t>
      </w:r>
      <w:bookmarkEnd w:id="284"/>
    </w:p>
    <w:bookmarkEnd w:id="285"/>
    <w:bookmarkEnd w:id="286"/>
    <w:bookmarkEnd w:id="287"/>
    <w:p w14:paraId="332E328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89" w:name="_Toc351203510"/>
      <w:r>
        <w:rPr>
          <w:rFonts w:hint="eastAsia" w:ascii="宋体" w:hAnsi="宋体" w:eastAsia="宋体" w:cs="宋体"/>
          <w:b w:val="0"/>
          <w:color w:val="auto"/>
          <w:sz w:val="21"/>
          <w:szCs w:val="21"/>
          <w:highlight w:val="none"/>
        </w:rPr>
        <w:t>2</w:t>
      </w:r>
      <w:bookmarkStart w:id="290" w:name="_Toc296346540"/>
      <w:bookmarkStart w:id="291" w:name="_Toc296503039"/>
      <w:bookmarkStart w:id="292" w:name="_Toc337558740"/>
      <w:r>
        <w:rPr>
          <w:rFonts w:hint="eastAsia" w:ascii="宋体" w:hAnsi="宋体" w:eastAsia="宋体" w:cs="宋体"/>
          <w:b w:val="0"/>
          <w:color w:val="auto"/>
          <w:sz w:val="21"/>
          <w:szCs w:val="21"/>
          <w:highlight w:val="none"/>
        </w:rPr>
        <w:t>.1 许可或批准</w:t>
      </w:r>
      <w:bookmarkEnd w:id="289"/>
    </w:p>
    <w:p w14:paraId="5CAB06E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9A24AE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因发包人原因未能及时办理完毕前述许可、批准或备案，由发包人承担由此增加的费用和（或）延误的工期，并支付承包人合理的利润。</w:t>
      </w:r>
    </w:p>
    <w:p w14:paraId="20E76D7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93" w:name="_Toc351203511"/>
      <w:r>
        <w:rPr>
          <w:rFonts w:hint="eastAsia" w:ascii="宋体" w:hAnsi="宋体" w:eastAsia="宋体" w:cs="宋体"/>
          <w:b w:val="0"/>
          <w:color w:val="auto"/>
          <w:sz w:val="21"/>
          <w:szCs w:val="21"/>
          <w:highlight w:val="none"/>
        </w:rPr>
        <w:t>2.2 发包人代表</w:t>
      </w:r>
      <w:bookmarkEnd w:id="293"/>
    </w:p>
    <w:p w14:paraId="4283DA4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3CEE475F">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发包人代表不能按照合同约定履行其职责及义务，并导致合同无法继续正常履行的，承包人可以要求发包人撤换发包人代表。</w:t>
      </w:r>
    </w:p>
    <w:p w14:paraId="208B9D48">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不属于法定必须监理的工程，监理人的职权可以由发包人代表或发包人指定的其他人员行使。</w:t>
      </w:r>
    </w:p>
    <w:p w14:paraId="6EC74B1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94" w:name="_Toc351203512"/>
      <w:r>
        <w:rPr>
          <w:rFonts w:hint="eastAsia" w:ascii="宋体" w:hAnsi="宋体" w:eastAsia="宋体" w:cs="宋体"/>
          <w:b w:val="0"/>
          <w:color w:val="auto"/>
          <w:sz w:val="21"/>
          <w:szCs w:val="21"/>
          <w:highlight w:val="none"/>
        </w:rPr>
        <w:t>2.3 发包人人员</w:t>
      </w:r>
      <w:bookmarkEnd w:id="294"/>
    </w:p>
    <w:p w14:paraId="755F3CE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0E84B5B9">
      <w:pPr>
        <w:pageBreakBefore w:val="0"/>
        <w:kinsoku/>
        <w:wordWrap/>
        <w:overflowPunct/>
        <w:topLinePunct w:val="0"/>
        <w:bidi w:val="0"/>
        <w:snapToGrid/>
        <w:spacing w:line="390" w:lineRule="exact"/>
        <w:ind w:left="0" w:firstLine="64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发包人人员包括发包人代表及其他由发包人派驻施工现场的人员。</w:t>
      </w:r>
      <w:bookmarkEnd w:id="290"/>
      <w:bookmarkEnd w:id="291"/>
      <w:bookmarkEnd w:id="292"/>
    </w:p>
    <w:p w14:paraId="3A5E2099">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95" w:name="_Toc351203513"/>
      <w:r>
        <w:rPr>
          <w:rFonts w:hint="eastAsia" w:ascii="宋体" w:hAnsi="宋体" w:eastAsia="宋体" w:cs="宋体"/>
          <w:b w:val="0"/>
          <w:color w:val="auto"/>
          <w:sz w:val="21"/>
          <w:szCs w:val="21"/>
          <w:highlight w:val="none"/>
        </w:rPr>
        <w:t>2</w:t>
      </w:r>
      <w:bookmarkStart w:id="296" w:name="_Toc296503040"/>
      <w:bookmarkStart w:id="297" w:name="_Toc337558741"/>
      <w:bookmarkStart w:id="298" w:name="_Toc296346541"/>
      <w:r>
        <w:rPr>
          <w:rFonts w:hint="eastAsia" w:ascii="宋体" w:hAnsi="宋体" w:eastAsia="宋体" w:cs="宋体"/>
          <w:b w:val="0"/>
          <w:color w:val="auto"/>
          <w:sz w:val="21"/>
          <w:szCs w:val="21"/>
          <w:highlight w:val="none"/>
        </w:rPr>
        <w:t>.4 施工现场、施工条件和基础资料的提供</w:t>
      </w:r>
      <w:bookmarkEnd w:id="295"/>
      <w:r>
        <w:rPr>
          <w:rFonts w:hint="eastAsia" w:ascii="宋体" w:hAnsi="宋体" w:eastAsia="宋体" w:cs="宋体"/>
          <w:b w:val="0"/>
          <w:color w:val="auto"/>
          <w:sz w:val="21"/>
          <w:szCs w:val="21"/>
          <w:highlight w:val="none"/>
        </w:rPr>
        <w:t xml:space="preserve"> </w:t>
      </w:r>
      <w:bookmarkEnd w:id="296"/>
      <w:bookmarkEnd w:id="297"/>
      <w:bookmarkEnd w:id="298"/>
      <w:r>
        <w:rPr>
          <w:rFonts w:hint="eastAsia" w:ascii="宋体" w:hAnsi="宋体" w:eastAsia="宋体" w:cs="宋体"/>
          <w:b w:val="0"/>
          <w:color w:val="auto"/>
          <w:sz w:val="21"/>
          <w:szCs w:val="21"/>
          <w:highlight w:val="none"/>
        </w:rPr>
        <w:t xml:space="preserve"> </w:t>
      </w:r>
    </w:p>
    <w:p w14:paraId="468D394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2.4.1 提供施工现场</w:t>
      </w:r>
    </w:p>
    <w:p w14:paraId="5392704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w:t>
      </w:r>
      <w:bookmarkEnd w:id="288"/>
      <w:r>
        <w:rPr>
          <w:rFonts w:hint="eastAsia" w:ascii="宋体" w:hAnsi="宋体" w:eastAsia="宋体" w:cs="宋体"/>
          <w:color w:val="auto"/>
          <w:kern w:val="0"/>
          <w:sz w:val="21"/>
          <w:szCs w:val="21"/>
          <w:highlight w:val="none"/>
        </w:rPr>
        <w:t>专用合同条款另有约定外，发包人应最迟于开工日期7天前向承包人移交施工现场。</w:t>
      </w:r>
    </w:p>
    <w:p w14:paraId="1EEFC20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2.4.2 提供施工条件</w:t>
      </w:r>
    </w:p>
    <w:p w14:paraId="24CC6CC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除专用合同条款另有约定外，发包人应负责提供施工所需要的条件，包括：</w:t>
      </w:r>
    </w:p>
    <w:p w14:paraId="3D403A9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（1）将施工用水、电力、通讯线路等施工所必需的条件接至施工现场内；</w:t>
      </w:r>
    </w:p>
    <w:p w14:paraId="0C9FBB7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（2）保证向承包人提供正常施工所需要的进入施工现场的交通条件；</w:t>
      </w:r>
    </w:p>
    <w:p w14:paraId="5446EE6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（3）协调处理施工现场周围地下管线和邻近建筑物、构筑物、古树名木的保护工作，并承担相关费用；</w:t>
      </w:r>
    </w:p>
    <w:p w14:paraId="5CA1C25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（4）按照专用合同条款约定应提供的其他设施和条件。</w:t>
      </w:r>
    </w:p>
    <w:p w14:paraId="60764B2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2.4.3 提供基础资料</w:t>
      </w:r>
    </w:p>
    <w:p w14:paraId="353B44B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961B24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按照法律规定确需在开工后方能提供的基础资料，发包人应尽其努力及时地在相应工程施工前的合理期限内提供，合理期限应以不影响承包人的正常施工为限。</w:t>
      </w:r>
    </w:p>
    <w:p w14:paraId="467978B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2.4.4 逾期提供的责任</w:t>
      </w:r>
    </w:p>
    <w:p w14:paraId="3443483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因发包人原因未能按合同约定及时向承包人提供施工现场、施工条件、基础资料的，由发包人承担由此增加的费用和（或）延误的工期。</w:t>
      </w:r>
    </w:p>
    <w:p w14:paraId="76CC029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299" w:name="_Toc351203514"/>
      <w:r>
        <w:rPr>
          <w:rFonts w:hint="eastAsia" w:ascii="宋体" w:hAnsi="宋体" w:eastAsia="宋体" w:cs="宋体"/>
          <w:b w:val="0"/>
          <w:color w:val="auto"/>
          <w:sz w:val="21"/>
          <w:szCs w:val="21"/>
          <w:highlight w:val="none"/>
        </w:rPr>
        <w:t>2</w:t>
      </w:r>
      <w:bookmarkStart w:id="300" w:name="_Toc337558745"/>
      <w:bookmarkStart w:id="301" w:name="_Toc296503042"/>
      <w:bookmarkStart w:id="302" w:name="_Toc296346543"/>
      <w:r>
        <w:rPr>
          <w:rFonts w:hint="eastAsia" w:ascii="宋体" w:hAnsi="宋体" w:eastAsia="宋体" w:cs="宋体"/>
          <w:b w:val="0"/>
          <w:color w:val="auto"/>
          <w:sz w:val="21"/>
          <w:szCs w:val="21"/>
          <w:highlight w:val="none"/>
        </w:rPr>
        <w:t>.5 资</w:t>
      </w:r>
      <w:bookmarkEnd w:id="300"/>
      <w:bookmarkEnd w:id="301"/>
      <w:bookmarkEnd w:id="302"/>
      <w:r>
        <w:rPr>
          <w:rFonts w:hint="eastAsia" w:ascii="宋体" w:hAnsi="宋体" w:eastAsia="宋体" w:cs="宋体"/>
          <w:b w:val="0"/>
          <w:color w:val="auto"/>
          <w:sz w:val="21"/>
          <w:szCs w:val="21"/>
          <w:highlight w:val="none"/>
        </w:rPr>
        <w:t>金来源证明及支付担保</w:t>
      </w:r>
      <w:bookmarkEnd w:id="299"/>
    </w:p>
    <w:p w14:paraId="1816FA3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除专用合同条款另有约定外，发包人应在收到承包人要求提供资金来源证明的书面通知后28天内，向承包人提供能够按照合同约定支付合同价款的相应资金来源证明。</w:t>
      </w:r>
    </w:p>
    <w:p w14:paraId="37CA854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76F819A5">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03" w:name="_Toc351203515"/>
      <w:r>
        <w:rPr>
          <w:rFonts w:hint="eastAsia" w:ascii="宋体" w:hAnsi="宋体" w:eastAsia="宋体" w:cs="宋体"/>
          <w:b w:val="0"/>
          <w:color w:val="auto"/>
          <w:sz w:val="21"/>
          <w:szCs w:val="21"/>
          <w:highlight w:val="none"/>
        </w:rPr>
        <w:t>2.6 支付合同价款</w:t>
      </w:r>
      <w:bookmarkEnd w:id="303"/>
    </w:p>
    <w:p w14:paraId="0625F57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发包人应按合同约定向承包人及时支付合同价款。</w:t>
      </w:r>
    </w:p>
    <w:p w14:paraId="7ACC8819">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04" w:name="_Toc351203516"/>
      <w:r>
        <w:rPr>
          <w:rFonts w:hint="eastAsia" w:ascii="宋体" w:hAnsi="宋体" w:eastAsia="宋体" w:cs="宋体"/>
          <w:b w:val="0"/>
          <w:color w:val="auto"/>
          <w:sz w:val="21"/>
          <w:szCs w:val="21"/>
          <w:highlight w:val="none"/>
        </w:rPr>
        <w:t>2.7 组织竣工验收</w:t>
      </w:r>
      <w:bookmarkEnd w:id="304"/>
    </w:p>
    <w:p w14:paraId="2DCDBA4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发包人应按合同约定及时组织竣工验收。</w:t>
      </w:r>
    </w:p>
    <w:p w14:paraId="2857160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05" w:name="_Toc351203517"/>
      <w:r>
        <w:rPr>
          <w:rFonts w:hint="eastAsia" w:ascii="宋体" w:hAnsi="宋体" w:eastAsia="宋体" w:cs="宋体"/>
          <w:b w:val="0"/>
          <w:color w:val="auto"/>
          <w:sz w:val="21"/>
          <w:szCs w:val="21"/>
          <w:highlight w:val="none"/>
        </w:rPr>
        <w:t>2.8 现场统一管理协议</w:t>
      </w:r>
      <w:bookmarkEnd w:id="305"/>
    </w:p>
    <w:p w14:paraId="56AE0E2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发包人应与承包人、由发包人直接发包的专业工程的承包人签订施工现场统一管理协议，明确各方的权利义务。施工现场统一管理协议作为专用合同条款的附件。</w:t>
      </w:r>
    </w:p>
    <w:p w14:paraId="7C192725">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306" w:name="_Toc351203518"/>
      <w:r>
        <w:rPr>
          <w:rFonts w:hint="eastAsia" w:ascii="宋体" w:hAnsi="宋体" w:eastAsia="宋体" w:cs="宋体"/>
          <w:b w:val="0"/>
          <w:color w:val="auto"/>
          <w:sz w:val="21"/>
          <w:szCs w:val="21"/>
          <w:highlight w:val="none"/>
        </w:rPr>
        <w:t>3</w:t>
      </w:r>
      <w:bookmarkStart w:id="307" w:name="_Toc296346546"/>
      <w:bookmarkStart w:id="308" w:name="_Toc337558746"/>
      <w:bookmarkStart w:id="309" w:name="_Toc296503045"/>
      <w:r>
        <w:rPr>
          <w:rFonts w:hint="eastAsia" w:ascii="宋体" w:hAnsi="宋体" w:eastAsia="宋体" w:cs="宋体"/>
          <w:b w:val="0"/>
          <w:color w:val="auto"/>
          <w:sz w:val="21"/>
          <w:szCs w:val="21"/>
          <w:highlight w:val="none"/>
        </w:rPr>
        <w:t>. 承包人</w:t>
      </w:r>
      <w:bookmarkEnd w:id="306"/>
    </w:p>
    <w:bookmarkEnd w:id="307"/>
    <w:bookmarkEnd w:id="308"/>
    <w:bookmarkEnd w:id="309"/>
    <w:p w14:paraId="213973E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10" w:name="_Toc351203519"/>
      <w:r>
        <w:rPr>
          <w:rFonts w:hint="eastAsia" w:ascii="宋体" w:hAnsi="宋体" w:eastAsia="宋体" w:cs="宋体"/>
          <w:b w:val="0"/>
          <w:color w:val="auto"/>
          <w:sz w:val="21"/>
          <w:szCs w:val="21"/>
          <w:highlight w:val="none"/>
        </w:rPr>
        <w:t>3</w:t>
      </w:r>
      <w:bookmarkStart w:id="311" w:name="_Toc337558747"/>
      <w:bookmarkStart w:id="312" w:name="_Toc296503046"/>
      <w:bookmarkStart w:id="313" w:name="_Toc296346547"/>
      <w:r>
        <w:rPr>
          <w:rFonts w:hint="eastAsia" w:ascii="宋体" w:hAnsi="宋体" w:eastAsia="宋体" w:cs="宋体"/>
          <w:b w:val="0"/>
          <w:color w:val="auto"/>
          <w:sz w:val="21"/>
          <w:szCs w:val="21"/>
          <w:highlight w:val="none"/>
        </w:rPr>
        <w:t>.1 承包人的一般义务</w:t>
      </w:r>
      <w:bookmarkEnd w:id="310"/>
    </w:p>
    <w:bookmarkEnd w:id="311"/>
    <w:bookmarkEnd w:id="312"/>
    <w:bookmarkEnd w:id="313"/>
    <w:p w14:paraId="5652A42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承包人在履行合同过程中应遵守法律和工程建设标准规范，并履行以下义务：</w:t>
      </w:r>
    </w:p>
    <w:p w14:paraId="63B4AB65">
      <w:pPr>
        <w:pageBreakBefore w:val="0"/>
        <w:numPr>
          <w:ilvl w:val="0"/>
          <w:numId w:val="9"/>
        </w:numPr>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办理法律规定应由承包人办理的许可和批准，并将办理结果书面报送发包人留存；</w:t>
      </w:r>
    </w:p>
    <w:p w14:paraId="6DC8405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（2）按法律规定和合同约定完成工程，并在保修期内承担保修义务；</w:t>
      </w:r>
    </w:p>
    <w:p w14:paraId="39D765E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（3）按法律规定和合同约定采取施工安全和环境保护措施，办理工伤保险，确保工程及人员、材料、设备和设施的安全；</w:t>
      </w:r>
    </w:p>
    <w:p w14:paraId="0E6588A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（4）按合同约定的工作内容和施工进度要求，编制施工组织设计和施工措施计划，并对所有施工作业和施工方法的完备性和安全可靠性负责；</w:t>
      </w:r>
    </w:p>
    <w:p w14:paraId="0DD1BFA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2958D0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（6）按照第6.3款〔环境保护〕约定负责施工场地及其周边环境与生态的保护工作；</w:t>
      </w:r>
    </w:p>
    <w:p w14:paraId="089AA65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（7）按第6.1款〔安全文明施工〕约定采取施工安全措施，确保工程及其人员、材料、设备和设施的安全，防止因工程施工造成的人身伤害和财产损失；</w:t>
      </w:r>
    </w:p>
    <w:p w14:paraId="31F8C13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（8）将发包人按合同约定支付的各项价款专用于合同工程，且应及时支付其雇用人员工资，并及时向分包人支付合同价款；</w:t>
      </w:r>
    </w:p>
    <w:p w14:paraId="39190E0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（9）按照法律规定和合同约定编制竣工资料，完成竣工资料立卷及归档，并按专用合同条款约定的竣工资料的套数、内容、时间等要求移交发包人；</w:t>
      </w:r>
    </w:p>
    <w:p w14:paraId="3ABD4E3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（10）应履行的其他义务。</w:t>
      </w:r>
    </w:p>
    <w:p w14:paraId="271269D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14" w:name="_Toc351203520"/>
      <w:r>
        <w:rPr>
          <w:rFonts w:hint="eastAsia" w:ascii="宋体" w:hAnsi="宋体" w:eastAsia="宋体" w:cs="宋体"/>
          <w:b w:val="0"/>
          <w:color w:val="auto"/>
          <w:sz w:val="21"/>
          <w:szCs w:val="21"/>
          <w:highlight w:val="none"/>
        </w:rPr>
        <w:t>3</w:t>
      </w:r>
      <w:bookmarkStart w:id="315" w:name="_Toc337558748"/>
      <w:bookmarkStart w:id="316" w:name="_Toc296503047"/>
      <w:bookmarkStart w:id="317" w:name="_Toc296346548"/>
      <w:r>
        <w:rPr>
          <w:rFonts w:hint="eastAsia" w:ascii="宋体" w:hAnsi="宋体" w:eastAsia="宋体" w:cs="宋体"/>
          <w:b w:val="0"/>
          <w:color w:val="auto"/>
          <w:sz w:val="21"/>
          <w:szCs w:val="21"/>
          <w:highlight w:val="none"/>
        </w:rPr>
        <w:t xml:space="preserve">.2 </w:t>
      </w:r>
      <w:bookmarkEnd w:id="314"/>
      <w:r>
        <w:rPr>
          <w:rFonts w:hint="eastAsia" w:ascii="宋体" w:hAnsi="宋体" w:eastAsia="宋体" w:cs="宋体"/>
          <w:b w:val="0"/>
          <w:color w:val="auto"/>
          <w:sz w:val="21"/>
          <w:szCs w:val="21"/>
          <w:highlight w:val="none"/>
        </w:rPr>
        <w:t>项目经理</w:t>
      </w:r>
    </w:p>
    <w:bookmarkEnd w:id="315"/>
    <w:bookmarkEnd w:id="316"/>
    <w:bookmarkEnd w:id="317"/>
    <w:p w14:paraId="4C312DD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65D2A3F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B64EC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承包人违反上述约定的，应按照专用合同条款的约定，承担违约责任。</w:t>
      </w:r>
    </w:p>
    <w:p w14:paraId="7283DE7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4126ED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95FB67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29F884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571FF62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18" w:name="_Toc351203521"/>
      <w:r>
        <w:rPr>
          <w:rFonts w:hint="eastAsia" w:ascii="宋体" w:hAnsi="宋体" w:eastAsia="宋体" w:cs="宋体"/>
          <w:b w:val="0"/>
          <w:color w:val="auto"/>
          <w:sz w:val="21"/>
          <w:szCs w:val="21"/>
          <w:highlight w:val="none"/>
        </w:rPr>
        <w:t>3</w:t>
      </w:r>
      <w:bookmarkStart w:id="319" w:name="_Toc296503048"/>
      <w:bookmarkStart w:id="320" w:name="_Toc296346549"/>
      <w:bookmarkStart w:id="321" w:name="_Toc337558749"/>
      <w:r>
        <w:rPr>
          <w:rFonts w:hint="eastAsia" w:ascii="宋体" w:hAnsi="宋体" w:eastAsia="宋体" w:cs="宋体"/>
          <w:b w:val="0"/>
          <w:color w:val="auto"/>
          <w:sz w:val="21"/>
          <w:szCs w:val="21"/>
          <w:highlight w:val="none"/>
        </w:rPr>
        <w:t xml:space="preserve">.3 </w:t>
      </w:r>
      <w:bookmarkEnd w:id="319"/>
      <w:bookmarkEnd w:id="320"/>
      <w:r>
        <w:rPr>
          <w:rFonts w:hint="eastAsia" w:ascii="宋体" w:hAnsi="宋体" w:eastAsia="宋体" w:cs="宋体"/>
          <w:b w:val="0"/>
          <w:color w:val="auto"/>
          <w:sz w:val="21"/>
          <w:szCs w:val="21"/>
          <w:highlight w:val="none"/>
        </w:rPr>
        <w:t>承包人人员</w:t>
      </w:r>
      <w:bookmarkEnd w:id="318"/>
    </w:p>
    <w:bookmarkEnd w:id="321"/>
    <w:p w14:paraId="5AD82A0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959969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8D53D5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特殊工种作业人员均应持有相应的资格证明，监理人可以随时检查。</w:t>
      </w:r>
    </w:p>
    <w:p w14:paraId="0169FDA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5383DB6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A72314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3.3.5 承包人擅自更换主要施工管理人员，或前述人员未经监理人或发包人同意擅自离开施工现场的，应按照专用合同条款约定承担违约责任。</w:t>
      </w:r>
    </w:p>
    <w:p w14:paraId="12E1F0C8">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22" w:name="_Toc351203522"/>
      <w:r>
        <w:rPr>
          <w:rFonts w:hint="eastAsia" w:ascii="宋体" w:hAnsi="宋体" w:eastAsia="宋体" w:cs="宋体"/>
          <w:b w:val="0"/>
          <w:color w:val="auto"/>
          <w:sz w:val="21"/>
          <w:szCs w:val="21"/>
          <w:highlight w:val="none"/>
        </w:rPr>
        <w:t>3</w:t>
      </w:r>
      <w:bookmarkStart w:id="323" w:name="_Toc337558750"/>
      <w:bookmarkStart w:id="324" w:name="_Toc296503050"/>
      <w:bookmarkStart w:id="325" w:name="_Toc296346551"/>
      <w:r>
        <w:rPr>
          <w:rFonts w:hint="eastAsia" w:ascii="宋体" w:hAnsi="宋体" w:eastAsia="宋体" w:cs="宋体"/>
          <w:b w:val="0"/>
          <w:color w:val="auto"/>
          <w:sz w:val="21"/>
          <w:szCs w:val="21"/>
          <w:highlight w:val="none"/>
        </w:rPr>
        <w:t>.4 承包人现场查勘</w:t>
      </w:r>
      <w:bookmarkEnd w:id="322"/>
    </w:p>
    <w:bookmarkEnd w:id="323"/>
    <w:bookmarkEnd w:id="324"/>
    <w:bookmarkEnd w:id="325"/>
    <w:p w14:paraId="6E77CBA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承包人应对基于发包人按照第2.4.3项〔提供基础资料〕提交的基础资料所做出的解释和推断负责，但因基础资料存在错误、遗漏导致承包人解释或推断失实的，由发包人承担责任。</w:t>
      </w:r>
    </w:p>
    <w:p w14:paraId="4251813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0CA337E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26" w:name="_Toc351203523"/>
      <w:r>
        <w:rPr>
          <w:rFonts w:hint="eastAsia" w:ascii="宋体" w:hAnsi="宋体" w:eastAsia="宋体" w:cs="宋体"/>
          <w:b w:val="0"/>
          <w:color w:val="auto"/>
          <w:sz w:val="21"/>
          <w:szCs w:val="21"/>
          <w:highlight w:val="none"/>
        </w:rPr>
        <w:t>3</w:t>
      </w:r>
      <w:bookmarkStart w:id="327" w:name="_Toc296346552"/>
      <w:bookmarkStart w:id="328" w:name="_Toc337558751"/>
      <w:bookmarkStart w:id="329" w:name="_Toc296503051"/>
      <w:r>
        <w:rPr>
          <w:rFonts w:hint="eastAsia" w:ascii="宋体" w:hAnsi="宋体" w:eastAsia="宋体" w:cs="宋体"/>
          <w:b w:val="0"/>
          <w:color w:val="auto"/>
          <w:sz w:val="21"/>
          <w:szCs w:val="21"/>
          <w:highlight w:val="none"/>
        </w:rPr>
        <w:t>.5 分包</w:t>
      </w:r>
      <w:bookmarkEnd w:id="326"/>
    </w:p>
    <w:bookmarkEnd w:id="327"/>
    <w:bookmarkEnd w:id="328"/>
    <w:bookmarkEnd w:id="329"/>
    <w:p w14:paraId="03A3247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3.5.1 分包的一般约定</w:t>
      </w:r>
    </w:p>
    <w:p w14:paraId="0C89C47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15F277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承包人不得以劳务分包的名义转包或违法分包工程。</w:t>
      </w:r>
    </w:p>
    <w:p w14:paraId="1B2EB53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3.5.2 分包的确定</w:t>
      </w:r>
    </w:p>
    <w:p w14:paraId="56DC80E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2D8E2D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3.5.3 分包管理</w:t>
      </w:r>
    </w:p>
    <w:p w14:paraId="108B776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承包人应向监理人提交分包人的主要施工管理人员表，并对分包人的施工人员进行实名制管理，包括但不限于进出场管理、登记造册以及各种证照的办理。</w:t>
      </w:r>
    </w:p>
    <w:p w14:paraId="2677819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3.5.4 分包合同价款</w:t>
      </w:r>
    </w:p>
    <w:p w14:paraId="1E74415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（1）除本项第（2）目约定的情况或专用合同条款另有约定外，分包合同价款由承包人与分包人结算，未经承包人同意，发包人不得向分包人支付分包工程价款；</w:t>
      </w:r>
    </w:p>
    <w:p w14:paraId="798811E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（2）生效法律文书要求发包人向分包人支付分包合同价款的，发包人有权从应付承包人工程款中扣除该部分款项。</w:t>
      </w:r>
    </w:p>
    <w:p w14:paraId="6AC5456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3.5.5 分包合同权益的转让</w:t>
      </w:r>
    </w:p>
    <w:p w14:paraId="1326914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330" w:name="_Toc351203524"/>
    </w:p>
    <w:p w14:paraId="64CE3512">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3.6 工程照管与成品、半成品保护</w:t>
      </w:r>
      <w:bookmarkEnd w:id="330"/>
    </w:p>
    <w:p w14:paraId="1F36143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（1）除专用合同条款另有约定外，自发包人向承包人移交施工现场之日起，承包人应负责照管工程及工程相关的材料、工程设备，直到颁发工程接收证书之日止。</w:t>
      </w:r>
    </w:p>
    <w:p w14:paraId="2D48135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（2）在承包人负责照管期间，因承包人原因造成工程、材料、工程设备损坏的，由承包人负责修复或更换，并承担由此增加的费用和（或）延误的工期。</w:t>
      </w:r>
    </w:p>
    <w:p w14:paraId="310A0C6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61D79BB0">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31" w:name="_Toc351203525"/>
      <w:r>
        <w:rPr>
          <w:rFonts w:hint="eastAsia" w:ascii="宋体" w:hAnsi="宋体" w:eastAsia="宋体" w:cs="宋体"/>
          <w:b w:val="0"/>
          <w:color w:val="auto"/>
          <w:sz w:val="21"/>
          <w:szCs w:val="21"/>
          <w:highlight w:val="none"/>
        </w:rPr>
        <w:t>3</w:t>
      </w:r>
      <w:bookmarkStart w:id="332" w:name="_Toc296503052"/>
      <w:bookmarkStart w:id="333" w:name="_Toc296346553"/>
      <w:bookmarkStart w:id="334" w:name="_Toc337558752"/>
      <w:r>
        <w:rPr>
          <w:rFonts w:hint="eastAsia" w:ascii="宋体" w:hAnsi="宋体" w:eastAsia="宋体" w:cs="宋体"/>
          <w:b w:val="0"/>
          <w:color w:val="auto"/>
          <w:sz w:val="21"/>
          <w:szCs w:val="21"/>
          <w:highlight w:val="none"/>
        </w:rPr>
        <w:t>.7 履约担保</w:t>
      </w:r>
      <w:bookmarkEnd w:id="331"/>
    </w:p>
    <w:bookmarkEnd w:id="332"/>
    <w:bookmarkEnd w:id="333"/>
    <w:bookmarkEnd w:id="334"/>
    <w:p w14:paraId="3120602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E5A150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因承包人原因导致工期延长的，继续提供履约担保所增加的费用由承包人承担；非因承包人原因导致工期延长的，继续提供履约担保所增加的费用由发包人承担。</w:t>
      </w:r>
    </w:p>
    <w:p w14:paraId="44F2C2A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35" w:name="_Toc351203526"/>
      <w:r>
        <w:rPr>
          <w:rFonts w:hint="eastAsia" w:ascii="宋体" w:hAnsi="宋体" w:eastAsia="宋体" w:cs="宋体"/>
          <w:b w:val="0"/>
          <w:color w:val="auto"/>
          <w:sz w:val="21"/>
          <w:szCs w:val="21"/>
          <w:highlight w:val="none"/>
        </w:rPr>
        <w:t>3.8 联合体</w:t>
      </w:r>
      <w:bookmarkEnd w:id="335"/>
    </w:p>
    <w:p w14:paraId="3EEA0D5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3.8.1 联合体各方应共同与发包人签订合同协议书。联合体各方应为履行合同向发包人承担连带责任。</w:t>
      </w:r>
    </w:p>
    <w:p w14:paraId="0D33F8D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3.8.2 联合体协议经发包人确认后作为合同附件。在履行合同过程中，未经发包人同意，不得修改联合体协议。</w:t>
      </w:r>
    </w:p>
    <w:p w14:paraId="0040E10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3.8.3 联合体牵头人负责与发包人和监理人联系，并接受指示，负责组织联合体各成员全面履行合同。</w:t>
      </w:r>
    </w:p>
    <w:p w14:paraId="05197EAA">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336" w:name="_Toc351203527"/>
      <w:r>
        <w:rPr>
          <w:rFonts w:hint="eastAsia" w:ascii="宋体" w:hAnsi="宋体" w:eastAsia="宋体" w:cs="宋体"/>
          <w:b w:val="0"/>
          <w:color w:val="auto"/>
          <w:sz w:val="21"/>
          <w:szCs w:val="21"/>
          <w:highlight w:val="none"/>
        </w:rPr>
        <w:t>4</w:t>
      </w:r>
      <w:bookmarkStart w:id="337" w:name="_Toc296503053"/>
      <w:bookmarkStart w:id="338" w:name="_Toc296346554"/>
      <w:bookmarkStart w:id="339" w:name="_Toc337558753"/>
      <w:r>
        <w:rPr>
          <w:rFonts w:hint="eastAsia" w:ascii="宋体" w:hAnsi="宋体" w:eastAsia="宋体" w:cs="宋体"/>
          <w:b w:val="0"/>
          <w:color w:val="auto"/>
          <w:sz w:val="21"/>
          <w:szCs w:val="21"/>
          <w:highlight w:val="none"/>
        </w:rPr>
        <w:t>. 监</w:t>
      </w:r>
      <w:bookmarkEnd w:id="337"/>
      <w:bookmarkEnd w:id="338"/>
      <w:r>
        <w:rPr>
          <w:rFonts w:hint="eastAsia" w:ascii="宋体" w:hAnsi="宋体" w:eastAsia="宋体" w:cs="宋体"/>
          <w:b w:val="0"/>
          <w:color w:val="auto"/>
          <w:sz w:val="21"/>
          <w:szCs w:val="21"/>
          <w:highlight w:val="none"/>
        </w:rPr>
        <w:t>理人</w:t>
      </w:r>
      <w:bookmarkEnd w:id="336"/>
    </w:p>
    <w:bookmarkEnd w:id="339"/>
    <w:p w14:paraId="5C52A17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40" w:name="_Toc351203528"/>
      <w:r>
        <w:rPr>
          <w:rFonts w:hint="eastAsia" w:ascii="宋体" w:hAnsi="宋体" w:eastAsia="宋体" w:cs="宋体"/>
          <w:b w:val="0"/>
          <w:color w:val="auto"/>
          <w:sz w:val="21"/>
          <w:szCs w:val="21"/>
          <w:highlight w:val="none"/>
        </w:rPr>
        <w:t>4</w:t>
      </w:r>
      <w:bookmarkStart w:id="341" w:name="_Toc296346555"/>
      <w:bookmarkStart w:id="342" w:name="_Toc337558754"/>
      <w:bookmarkStart w:id="343" w:name="_Toc296503054"/>
      <w:r>
        <w:rPr>
          <w:rFonts w:hint="eastAsia" w:ascii="宋体" w:hAnsi="宋体" w:eastAsia="宋体" w:cs="宋体"/>
          <w:b w:val="0"/>
          <w:color w:val="auto"/>
          <w:sz w:val="21"/>
          <w:szCs w:val="21"/>
          <w:highlight w:val="none"/>
        </w:rPr>
        <w:t>.1监理人的一般规定</w:t>
      </w:r>
      <w:bookmarkEnd w:id="340"/>
    </w:p>
    <w:bookmarkEnd w:id="341"/>
    <w:bookmarkEnd w:id="342"/>
    <w:bookmarkEnd w:id="343"/>
    <w:p w14:paraId="4AC8C47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06B565B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除专用合同条款另有约定外，监理人在施工现场的办公场所、生活场所由承包人提供，所发生的费用由发包人承担。</w:t>
      </w:r>
    </w:p>
    <w:p w14:paraId="194660F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44" w:name="_Toc351203529"/>
      <w:r>
        <w:rPr>
          <w:rFonts w:hint="eastAsia" w:ascii="宋体" w:hAnsi="宋体" w:eastAsia="宋体" w:cs="宋体"/>
          <w:b w:val="0"/>
          <w:color w:val="auto"/>
          <w:sz w:val="21"/>
          <w:szCs w:val="21"/>
          <w:highlight w:val="none"/>
        </w:rPr>
        <w:t>4</w:t>
      </w:r>
      <w:bookmarkStart w:id="345" w:name="_Toc337558755"/>
      <w:r>
        <w:rPr>
          <w:rFonts w:hint="eastAsia" w:ascii="宋体" w:hAnsi="宋体" w:eastAsia="宋体" w:cs="宋体"/>
          <w:b w:val="0"/>
          <w:color w:val="auto"/>
          <w:sz w:val="21"/>
          <w:szCs w:val="21"/>
          <w:highlight w:val="none"/>
        </w:rPr>
        <w:t>.2监理人员</w:t>
      </w:r>
      <w:bookmarkEnd w:id="344"/>
    </w:p>
    <w:bookmarkEnd w:id="345"/>
    <w:p w14:paraId="60BD4B1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24784BE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46" w:name="_Toc351203530"/>
      <w:r>
        <w:rPr>
          <w:rFonts w:hint="eastAsia" w:ascii="宋体" w:hAnsi="宋体" w:eastAsia="宋体" w:cs="宋体"/>
          <w:b w:val="0"/>
          <w:color w:val="auto"/>
          <w:sz w:val="21"/>
          <w:szCs w:val="21"/>
          <w:highlight w:val="none"/>
        </w:rPr>
        <w:t>4</w:t>
      </w:r>
      <w:bookmarkStart w:id="347" w:name="_Toc296346556"/>
      <w:bookmarkStart w:id="348" w:name="_Toc296503055"/>
      <w:bookmarkStart w:id="349" w:name="_Toc337558756"/>
      <w:r>
        <w:rPr>
          <w:rFonts w:hint="eastAsia" w:ascii="宋体" w:hAnsi="宋体" w:eastAsia="宋体" w:cs="宋体"/>
          <w:b w:val="0"/>
          <w:color w:val="auto"/>
          <w:sz w:val="21"/>
          <w:szCs w:val="21"/>
          <w:highlight w:val="none"/>
        </w:rPr>
        <w:t>.3</w:t>
      </w:r>
      <w:bookmarkEnd w:id="347"/>
      <w:bookmarkEnd w:id="348"/>
      <w:r>
        <w:rPr>
          <w:rFonts w:hint="eastAsia" w:ascii="宋体" w:hAnsi="宋体" w:eastAsia="宋体" w:cs="宋体"/>
          <w:b w:val="0"/>
          <w:color w:val="auto"/>
          <w:sz w:val="21"/>
          <w:szCs w:val="21"/>
          <w:highlight w:val="none"/>
        </w:rPr>
        <w:t>监理人的指</w:t>
      </w:r>
      <w:bookmarkEnd w:id="349"/>
      <w:r>
        <w:rPr>
          <w:rFonts w:hint="eastAsia" w:ascii="宋体" w:hAnsi="宋体" w:eastAsia="宋体" w:cs="宋体"/>
          <w:b w:val="0"/>
          <w:color w:val="auto"/>
          <w:sz w:val="21"/>
          <w:szCs w:val="21"/>
          <w:highlight w:val="none"/>
        </w:rPr>
        <w:t>示</w:t>
      </w:r>
      <w:bookmarkEnd w:id="346"/>
    </w:p>
    <w:p w14:paraId="5535DE2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870F8B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36995AD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承包人对监理人发出的指示有疑问的，应向监理人提出书面异议，监理人应在48小时内对该指示予以确认、更改或撤销，监理人逾期未回复的，承包人有权拒绝执行上述指示。</w:t>
      </w:r>
    </w:p>
    <w:p w14:paraId="20BEDBC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17409AF">
      <w:pPr>
        <w:pStyle w:val="5"/>
        <w:pageBreakBefore w:val="0"/>
        <w:kinsoku/>
        <w:wordWrap/>
        <w:overflowPunct/>
        <w:topLinePunct w:val="0"/>
        <w:bidi w:val="0"/>
        <w:snapToGrid/>
        <w:spacing w:before="0" w:line="390" w:lineRule="exact"/>
        <w:ind w:left="0" w:firstLine="420" w:firstLineChars="200"/>
        <w:textAlignment w:val="auto"/>
        <w:rPr>
          <w:rFonts w:hint="eastAsia" w:ascii="宋体" w:hAnsi="宋体" w:eastAsia="宋体" w:cs="宋体"/>
          <w:b w:val="0"/>
          <w:color w:val="auto"/>
          <w:sz w:val="21"/>
          <w:szCs w:val="21"/>
          <w:highlight w:val="none"/>
        </w:rPr>
      </w:pPr>
      <w:bookmarkStart w:id="350" w:name="_Toc351203531"/>
      <w:r>
        <w:rPr>
          <w:rFonts w:hint="eastAsia" w:ascii="宋体" w:hAnsi="宋体" w:eastAsia="宋体" w:cs="宋体"/>
          <w:b w:val="0"/>
          <w:color w:val="auto"/>
          <w:sz w:val="21"/>
          <w:szCs w:val="21"/>
          <w:highlight w:val="none"/>
        </w:rPr>
        <w:t>4</w:t>
      </w:r>
      <w:bookmarkStart w:id="351" w:name="_Toc296346558"/>
      <w:bookmarkStart w:id="352" w:name="_Toc337558757"/>
      <w:bookmarkStart w:id="353" w:name="_Toc296503057"/>
      <w:r>
        <w:rPr>
          <w:rFonts w:hint="eastAsia" w:ascii="宋体" w:hAnsi="宋体" w:eastAsia="宋体" w:cs="宋体"/>
          <w:b w:val="0"/>
          <w:color w:val="auto"/>
          <w:sz w:val="21"/>
          <w:szCs w:val="21"/>
          <w:highlight w:val="none"/>
        </w:rPr>
        <w:t>.4 商定或确定</w:t>
      </w:r>
      <w:bookmarkEnd w:id="350"/>
    </w:p>
    <w:bookmarkEnd w:id="351"/>
    <w:bookmarkEnd w:id="352"/>
    <w:bookmarkEnd w:id="353"/>
    <w:p w14:paraId="69DEA38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合同当事人进行商定或确定时，总监理工程师应当会同合同当事人尽量通过协商达成一致，不能达成一致的，由总监理工程师按照合同约定审慎做出公正的确定。</w:t>
      </w:r>
    </w:p>
    <w:p w14:paraId="4422E17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65D12746">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354" w:name="_Toc351203532"/>
      <w:r>
        <w:rPr>
          <w:rFonts w:hint="eastAsia" w:ascii="宋体" w:hAnsi="宋体" w:eastAsia="宋体" w:cs="宋体"/>
          <w:b w:val="0"/>
          <w:color w:val="auto"/>
          <w:sz w:val="21"/>
          <w:szCs w:val="21"/>
          <w:highlight w:val="none"/>
        </w:rPr>
        <w:t>5</w:t>
      </w:r>
      <w:bookmarkStart w:id="355" w:name="_Toc337558758"/>
      <w:r>
        <w:rPr>
          <w:rFonts w:hint="eastAsia" w:ascii="宋体" w:hAnsi="宋体" w:eastAsia="宋体" w:cs="宋体"/>
          <w:b w:val="0"/>
          <w:color w:val="auto"/>
          <w:sz w:val="21"/>
          <w:szCs w:val="21"/>
          <w:highlight w:val="none"/>
        </w:rPr>
        <w:t>. 工程质量</w:t>
      </w:r>
      <w:bookmarkEnd w:id="354"/>
    </w:p>
    <w:bookmarkEnd w:id="355"/>
    <w:p w14:paraId="3B89852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56" w:name="_Toc351203533"/>
      <w:r>
        <w:rPr>
          <w:rFonts w:hint="eastAsia" w:ascii="宋体" w:hAnsi="宋体" w:eastAsia="宋体" w:cs="宋体"/>
          <w:b w:val="0"/>
          <w:color w:val="auto"/>
          <w:sz w:val="21"/>
          <w:szCs w:val="21"/>
          <w:highlight w:val="none"/>
        </w:rPr>
        <w:t>5</w:t>
      </w:r>
      <w:bookmarkStart w:id="357" w:name="_Toc337558759"/>
      <w:r>
        <w:rPr>
          <w:rFonts w:hint="eastAsia" w:ascii="宋体" w:hAnsi="宋体" w:eastAsia="宋体" w:cs="宋体"/>
          <w:b w:val="0"/>
          <w:color w:val="auto"/>
          <w:sz w:val="21"/>
          <w:szCs w:val="21"/>
          <w:highlight w:val="none"/>
        </w:rPr>
        <w:t>.1质量要求</w:t>
      </w:r>
      <w:bookmarkEnd w:id="356"/>
    </w:p>
    <w:bookmarkEnd w:id="357"/>
    <w:p w14:paraId="129B467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5.1.1 工程质量标准必须符合现行国家有关工程施工质量验收规范和标准的要求。有关工程质量的特殊标准或要求由合同当事人在专用合同条款中约定。</w:t>
      </w:r>
    </w:p>
    <w:p w14:paraId="3F96017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 因发包人原因造成工程质量未达到合同约定标准的，由发包人承担由此增加的费用和（或）延误的工期，并支付承包人合理的利润。</w:t>
      </w:r>
    </w:p>
    <w:p w14:paraId="456200C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5.1.3 因承包人原因造成工程质量未达到合同约定标准的，发包人有权要求承包人返工直至工程质量达到合同约定的标准为止，并由承包人承担由此增加的费用和（或）延误的工期。</w:t>
      </w:r>
    </w:p>
    <w:p w14:paraId="20DC193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58" w:name="_Toc351203534"/>
      <w:r>
        <w:rPr>
          <w:rFonts w:hint="eastAsia" w:ascii="宋体" w:hAnsi="宋体" w:eastAsia="宋体" w:cs="宋体"/>
          <w:b w:val="0"/>
          <w:color w:val="auto"/>
          <w:sz w:val="21"/>
          <w:szCs w:val="21"/>
          <w:highlight w:val="none"/>
        </w:rPr>
        <w:t>5</w:t>
      </w:r>
      <w:bookmarkStart w:id="359" w:name="_Toc337558760"/>
      <w:r>
        <w:rPr>
          <w:rFonts w:hint="eastAsia" w:ascii="宋体" w:hAnsi="宋体" w:eastAsia="宋体" w:cs="宋体"/>
          <w:b w:val="0"/>
          <w:color w:val="auto"/>
          <w:sz w:val="21"/>
          <w:szCs w:val="21"/>
          <w:highlight w:val="none"/>
        </w:rPr>
        <w:t>.2质量保证措施</w:t>
      </w:r>
      <w:bookmarkEnd w:id="358"/>
    </w:p>
    <w:bookmarkEnd w:id="359"/>
    <w:p w14:paraId="5E67C87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5.2.1 发包人的质量管理</w:t>
      </w:r>
    </w:p>
    <w:p w14:paraId="4E955EF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发包人应按照法律规定及合同约定完成与工程质量有关的各项工作。</w:t>
      </w:r>
    </w:p>
    <w:p w14:paraId="383603F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5.2.2 承包人的质量管理</w:t>
      </w:r>
    </w:p>
    <w:p w14:paraId="721B962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701FC0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承包人应对施工人员进行质量教育和技术培训，定期考核施工人员的劳动技能，严格执行施工规范和操作规程。</w:t>
      </w:r>
    </w:p>
    <w:p w14:paraId="4127DC4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12C48D5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5.2.3 监理人的质量检查和检验</w:t>
      </w:r>
    </w:p>
    <w:p w14:paraId="76128C0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8DCB85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70C09D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60" w:name="_Toc351203535"/>
      <w:r>
        <w:rPr>
          <w:rFonts w:hint="eastAsia" w:ascii="宋体" w:hAnsi="宋体" w:eastAsia="宋体" w:cs="宋体"/>
          <w:b w:val="0"/>
          <w:color w:val="auto"/>
          <w:sz w:val="21"/>
          <w:szCs w:val="21"/>
          <w:highlight w:val="none"/>
        </w:rPr>
        <w:t>5</w:t>
      </w:r>
      <w:bookmarkStart w:id="361" w:name="_Toc337558761"/>
      <w:r>
        <w:rPr>
          <w:rFonts w:hint="eastAsia" w:ascii="宋体" w:hAnsi="宋体" w:eastAsia="宋体" w:cs="宋体"/>
          <w:b w:val="0"/>
          <w:color w:val="auto"/>
          <w:sz w:val="21"/>
          <w:szCs w:val="21"/>
          <w:highlight w:val="none"/>
        </w:rPr>
        <w:t>.3 隐蔽工程检查</w:t>
      </w:r>
      <w:bookmarkEnd w:id="360"/>
    </w:p>
    <w:bookmarkEnd w:id="361"/>
    <w:p w14:paraId="5FA2C60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5.3.1承包人自检</w:t>
      </w:r>
    </w:p>
    <w:p w14:paraId="235DBA0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承包人应当对工程隐蔽部位进行自检，并经自检确认是否具备覆盖条件。</w:t>
      </w:r>
    </w:p>
    <w:p w14:paraId="25C27C3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5.3.2检查程序</w:t>
      </w:r>
    </w:p>
    <w:p w14:paraId="21E498C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617C935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169795F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3DB0E39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5.3.3 重新检查</w:t>
      </w:r>
    </w:p>
    <w:p w14:paraId="022B85F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D16ECF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5.3.4 承包人私自覆盖</w:t>
      </w:r>
    </w:p>
    <w:p w14:paraId="59704BD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6480445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62" w:name="_Toc351203536"/>
      <w:r>
        <w:rPr>
          <w:rFonts w:hint="eastAsia" w:ascii="宋体" w:hAnsi="宋体" w:eastAsia="宋体" w:cs="宋体"/>
          <w:b w:val="0"/>
          <w:color w:val="auto"/>
          <w:sz w:val="21"/>
          <w:szCs w:val="21"/>
          <w:highlight w:val="none"/>
        </w:rPr>
        <w:t>5</w:t>
      </w:r>
      <w:bookmarkStart w:id="363" w:name="_Toc337558762"/>
      <w:r>
        <w:rPr>
          <w:rFonts w:hint="eastAsia" w:ascii="宋体" w:hAnsi="宋体" w:eastAsia="宋体" w:cs="宋体"/>
          <w:b w:val="0"/>
          <w:color w:val="auto"/>
          <w:sz w:val="21"/>
          <w:szCs w:val="21"/>
          <w:highlight w:val="none"/>
        </w:rPr>
        <w:t>.4不合格工程的处理</w:t>
      </w:r>
      <w:bookmarkEnd w:id="362"/>
    </w:p>
    <w:bookmarkEnd w:id="363"/>
    <w:p w14:paraId="64CE5EE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430C0D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5.4.2 因发包人原因造成工程不合格的，由此增加的费用和（或）延误的工期由发包人承担，并支付承包人合理的利润。</w:t>
      </w:r>
    </w:p>
    <w:p w14:paraId="6762D5E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64" w:name="_Toc351203537"/>
      <w:r>
        <w:rPr>
          <w:rFonts w:hint="eastAsia" w:ascii="宋体" w:hAnsi="宋体" w:eastAsia="宋体" w:cs="宋体"/>
          <w:b w:val="0"/>
          <w:color w:val="auto"/>
          <w:sz w:val="21"/>
          <w:szCs w:val="21"/>
          <w:highlight w:val="none"/>
        </w:rPr>
        <w:t>5.5 质量争议检测</w:t>
      </w:r>
      <w:bookmarkEnd w:id="364"/>
    </w:p>
    <w:p w14:paraId="314FB20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合同当事人对工程质量有争议的，由双方协商确定的工程质量检测机构鉴定，由此产生的费用及因此造成的损失，由责任方承担。</w:t>
      </w:r>
    </w:p>
    <w:p w14:paraId="577E6CB8">
      <w:pPr>
        <w:pageBreakBefore w:val="0"/>
        <w:kinsoku/>
        <w:wordWrap/>
        <w:overflowPunct/>
        <w:topLinePunct w:val="0"/>
        <w:autoSpaceDE w:val="0"/>
        <w:autoSpaceDN w:val="0"/>
        <w:bidi w:val="0"/>
        <w:adjustRightInd w:val="0"/>
        <w:snapToGrid/>
        <w:spacing w:line="390" w:lineRule="exact"/>
        <w:ind w:lef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合同当事人均有责任的，由双方根据其责任分别承担。合同当事人无法达成一致的，按照第4.4款〔商定或确定〕执行。</w:t>
      </w:r>
    </w:p>
    <w:p w14:paraId="7DF0817D">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365" w:name="_Toc351203538"/>
      <w:r>
        <w:rPr>
          <w:rFonts w:hint="eastAsia" w:ascii="宋体" w:hAnsi="宋体" w:eastAsia="宋体" w:cs="宋体"/>
          <w:b w:val="0"/>
          <w:color w:val="auto"/>
          <w:sz w:val="21"/>
          <w:szCs w:val="21"/>
          <w:highlight w:val="none"/>
        </w:rPr>
        <w:t>6</w:t>
      </w:r>
      <w:bookmarkStart w:id="366" w:name="_Toc337558763"/>
      <w:r>
        <w:rPr>
          <w:rFonts w:hint="eastAsia" w:ascii="宋体" w:hAnsi="宋体" w:eastAsia="宋体" w:cs="宋体"/>
          <w:b w:val="0"/>
          <w:color w:val="auto"/>
          <w:sz w:val="21"/>
          <w:szCs w:val="21"/>
          <w:highlight w:val="none"/>
        </w:rPr>
        <w:t>. 安全文明施工与环境保护</w:t>
      </w:r>
      <w:bookmarkEnd w:id="365"/>
    </w:p>
    <w:bookmarkEnd w:id="366"/>
    <w:p w14:paraId="60FA817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67" w:name="_Toc351203539"/>
      <w:r>
        <w:rPr>
          <w:rFonts w:hint="eastAsia" w:ascii="宋体" w:hAnsi="宋体" w:eastAsia="宋体" w:cs="宋体"/>
          <w:b w:val="0"/>
          <w:color w:val="auto"/>
          <w:sz w:val="21"/>
          <w:szCs w:val="21"/>
          <w:highlight w:val="none"/>
        </w:rPr>
        <w:t>6</w:t>
      </w:r>
      <w:bookmarkStart w:id="368" w:name="_Toc337558764"/>
      <w:r>
        <w:rPr>
          <w:rFonts w:hint="eastAsia" w:ascii="宋体" w:hAnsi="宋体" w:eastAsia="宋体" w:cs="宋体"/>
          <w:b w:val="0"/>
          <w:color w:val="auto"/>
          <w:sz w:val="21"/>
          <w:szCs w:val="21"/>
          <w:highlight w:val="none"/>
        </w:rPr>
        <w:t>.1安全文明施工</w:t>
      </w:r>
      <w:bookmarkEnd w:id="367"/>
    </w:p>
    <w:bookmarkEnd w:id="368"/>
    <w:p w14:paraId="7C847F2E">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6.1.1安全生产要求</w:t>
      </w:r>
    </w:p>
    <w:p w14:paraId="50A4F063">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D6824CB">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宋体"/>
          <w:color w:val="auto"/>
          <w:kern w:val="0"/>
          <w:sz w:val="21"/>
          <w:szCs w:val="21"/>
          <w:highlight w:val="none"/>
        </w:rPr>
        <w:t>政府有关行政管理部门</w:t>
      </w:r>
      <w:r>
        <w:rPr>
          <w:rFonts w:hint="eastAsia" w:ascii="宋体" w:hAnsi="宋体" w:eastAsia="宋体" w:cs="宋体"/>
          <w:color w:val="auto"/>
          <w:sz w:val="21"/>
          <w:szCs w:val="21"/>
          <w:highlight w:val="none"/>
        </w:rPr>
        <w:t>采取应急措施。</w:t>
      </w:r>
    </w:p>
    <w:p w14:paraId="1544EB22">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因安全生产需要暂停施工的，按照第7.8款〔暂停施工〕的约定执行。</w:t>
      </w:r>
    </w:p>
    <w:p w14:paraId="08DEBE5F">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6.1.2 安全生产保证措施</w:t>
      </w:r>
    </w:p>
    <w:p w14:paraId="2F792FA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承包人应当按照有关</w:t>
      </w:r>
      <w:r>
        <w:rPr>
          <w:rFonts w:hint="eastAsia" w:ascii="宋体" w:hAnsi="宋体" w:eastAsia="宋体" w:cs="宋体"/>
          <w:color w:val="auto"/>
          <w:kern w:val="0"/>
          <w:sz w:val="21"/>
          <w:szCs w:val="21"/>
          <w:highlight w:val="none"/>
        </w:rPr>
        <w:t>规定编制安全技术措施或者专项施工方案，</w:t>
      </w:r>
      <w:r>
        <w:rPr>
          <w:rFonts w:hint="eastAsia" w:ascii="宋体" w:hAnsi="宋体" w:eastAsia="宋体" w:cs="宋体"/>
          <w:color w:val="auto"/>
          <w:sz w:val="21"/>
          <w:szCs w:val="21"/>
          <w:highlight w:val="none"/>
        </w:rPr>
        <w:t>建立安全生产责任制度、治安保卫制度及安全生产教育培训制度，并</w:t>
      </w:r>
      <w:r>
        <w:rPr>
          <w:rFonts w:hint="eastAsia" w:ascii="宋体" w:hAnsi="宋体" w:eastAsia="宋体" w:cs="宋体"/>
          <w:color w:val="auto"/>
          <w:kern w:val="0"/>
          <w:sz w:val="21"/>
          <w:szCs w:val="21"/>
          <w:highlight w:val="none"/>
        </w:rPr>
        <w:t>按安全生产法律规定及合同约定履行安全职责，如实</w:t>
      </w:r>
      <w:r>
        <w:rPr>
          <w:rFonts w:hint="eastAsia" w:ascii="宋体" w:hAnsi="宋体" w:eastAsia="宋体" w:cs="宋体"/>
          <w:color w:val="auto"/>
          <w:sz w:val="21"/>
          <w:szCs w:val="21"/>
          <w:highlight w:val="none"/>
        </w:rPr>
        <w:t>编制工程安全生产的有关记录，</w:t>
      </w:r>
      <w:r>
        <w:rPr>
          <w:rFonts w:hint="eastAsia" w:ascii="宋体" w:hAnsi="宋体" w:eastAsia="宋体" w:cs="宋体"/>
          <w:color w:val="auto"/>
          <w:kern w:val="0"/>
          <w:sz w:val="21"/>
          <w:szCs w:val="21"/>
          <w:highlight w:val="none"/>
        </w:rPr>
        <w:t>接受发包人、监理人及政府安全监督部门的检查与监督。</w:t>
      </w:r>
    </w:p>
    <w:p w14:paraId="0F87C56F">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6.1.3特别安全生产事项</w:t>
      </w:r>
    </w:p>
    <w:p w14:paraId="56C05403">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97607F2">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078421AA">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6B6A970">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需单独编制危险性较大分部分项专项工程施工方案的，及要求进行专家论证的超过一定规模的危险性较大的分部分项工程，承包人应及时编制和组织论证。</w:t>
      </w:r>
    </w:p>
    <w:p w14:paraId="7ACDD48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治安保卫</w:t>
      </w:r>
    </w:p>
    <w:p w14:paraId="4C85E67C">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14:paraId="34EAE18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发包人和承包人除应协助现场治安管理机构或联防组织维护施工场地的社会治安外，还应做好包括生活区在内的各自管辖区的治安保卫工作。</w:t>
      </w:r>
    </w:p>
    <w:p w14:paraId="4A5B062D">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D6228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6.1.5 文明施工</w:t>
      </w:r>
    </w:p>
    <w:p w14:paraId="1184EC8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69A641B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F5F7007">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6.1.6 安全文明施工费</w:t>
      </w:r>
    </w:p>
    <w:p w14:paraId="6BE9D8C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安全文明施工费由发包人承担，发包人不得以任何形式扣减该部分费用。因基准日期后合同所适用的法律或政府有关规定发生变化，增加的安全文明施工费由发包人承担。</w:t>
      </w:r>
    </w:p>
    <w:p w14:paraId="5DBAB42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3A2F225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7916858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3A9FC1D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6.1.7 紧急情况处理</w:t>
      </w:r>
    </w:p>
    <w:p w14:paraId="3391AC3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379BDEF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6.1.8 事故处理</w:t>
      </w:r>
    </w:p>
    <w:p w14:paraId="54FC911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4750042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6.1.9 安全生产责任</w:t>
      </w:r>
    </w:p>
    <w:p w14:paraId="143BA8E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6.1.9.1 发包人的安全责任</w:t>
      </w:r>
    </w:p>
    <w:p w14:paraId="473685F7">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发包人应负责赔偿以下各种情况造成的损失：</w:t>
      </w:r>
    </w:p>
    <w:p w14:paraId="6609BFD6">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（1）工程或工程的任何部分对土地的占用所造成的第三者财产损失；</w:t>
      </w:r>
    </w:p>
    <w:p w14:paraId="5DE415C5">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（2）由于发包人原因在施工场地及其毗邻地带造成的第三者人身伤亡和财产损失；</w:t>
      </w:r>
    </w:p>
    <w:p w14:paraId="7F4F5FE1">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（3）由于发包人原因对承包人、监理人造成的人员人身伤亡和财产损失；</w:t>
      </w:r>
    </w:p>
    <w:p w14:paraId="7A8C1C4B">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（4）由于发包人原因造成的发包人自身人员的人身伤害以及财产损失。</w:t>
      </w:r>
    </w:p>
    <w:p w14:paraId="0E64809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6.1.9.2 承包人的安全责任</w:t>
      </w:r>
    </w:p>
    <w:p w14:paraId="6FFD4D6C">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由于承包人原因在施工场地内及其毗邻地带造成的发包人、监理人以及第三者人员伤亡和财产损失，由承包人负责赔偿。</w:t>
      </w:r>
    </w:p>
    <w:p w14:paraId="42D49969">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69" w:name="_Toc351203540"/>
      <w:r>
        <w:rPr>
          <w:rFonts w:hint="eastAsia" w:ascii="宋体" w:hAnsi="宋体" w:eastAsia="宋体" w:cs="宋体"/>
          <w:b w:val="0"/>
          <w:color w:val="auto"/>
          <w:sz w:val="21"/>
          <w:szCs w:val="21"/>
          <w:highlight w:val="none"/>
        </w:rPr>
        <w:t>6</w:t>
      </w:r>
      <w:bookmarkStart w:id="370" w:name="_Toc337558765"/>
      <w:r>
        <w:rPr>
          <w:rFonts w:hint="eastAsia" w:ascii="宋体" w:hAnsi="宋体" w:eastAsia="宋体" w:cs="宋体"/>
          <w:b w:val="0"/>
          <w:color w:val="auto"/>
          <w:sz w:val="21"/>
          <w:szCs w:val="21"/>
          <w:highlight w:val="none"/>
        </w:rPr>
        <w:t>.2 职业健康</w:t>
      </w:r>
      <w:bookmarkEnd w:id="369"/>
    </w:p>
    <w:bookmarkEnd w:id="370"/>
    <w:p w14:paraId="3AB52B0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6.2.1 劳动保护</w:t>
      </w:r>
    </w:p>
    <w:p w14:paraId="7E490A1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D2F351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4EBC6F2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016288D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6.2.2 生活条件</w:t>
      </w:r>
    </w:p>
    <w:p w14:paraId="4965631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6B1A387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71" w:name="_Toc351203541"/>
      <w:r>
        <w:rPr>
          <w:rFonts w:hint="eastAsia" w:ascii="宋体" w:hAnsi="宋体" w:eastAsia="宋体" w:cs="宋体"/>
          <w:b w:val="0"/>
          <w:color w:val="auto"/>
          <w:sz w:val="21"/>
          <w:szCs w:val="21"/>
          <w:highlight w:val="none"/>
        </w:rPr>
        <w:t>6</w:t>
      </w:r>
      <w:bookmarkStart w:id="372" w:name="_Toc337558766"/>
      <w:r>
        <w:rPr>
          <w:rFonts w:hint="eastAsia" w:ascii="宋体" w:hAnsi="宋体" w:eastAsia="宋体" w:cs="宋体"/>
          <w:b w:val="0"/>
          <w:color w:val="auto"/>
          <w:sz w:val="21"/>
          <w:szCs w:val="21"/>
          <w:highlight w:val="none"/>
        </w:rPr>
        <w:t>.3 环境保护</w:t>
      </w:r>
      <w:bookmarkEnd w:id="371"/>
    </w:p>
    <w:bookmarkEnd w:id="372"/>
    <w:p w14:paraId="2C13743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AD50B3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承包人应当承担因其原因引起的环境污染侵权损害赔偿责任，因上述环境污染引起纠纷而导致暂停施工的，由此增加的费用和（或）延误的工期由承包人承担。</w:t>
      </w:r>
    </w:p>
    <w:p w14:paraId="0E610AD6">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373" w:name="_Toc351203542"/>
      <w:r>
        <w:rPr>
          <w:rFonts w:hint="eastAsia" w:ascii="宋体" w:hAnsi="宋体" w:eastAsia="宋体" w:cs="宋体"/>
          <w:b w:val="0"/>
          <w:color w:val="auto"/>
          <w:sz w:val="21"/>
          <w:szCs w:val="21"/>
          <w:highlight w:val="none"/>
        </w:rPr>
        <w:t>7</w:t>
      </w:r>
      <w:bookmarkStart w:id="374" w:name="_Toc337558767"/>
      <w:r>
        <w:rPr>
          <w:rFonts w:hint="eastAsia" w:ascii="宋体" w:hAnsi="宋体" w:eastAsia="宋体" w:cs="宋体"/>
          <w:b w:val="0"/>
          <w:color w:val="auto"/>
          <w:sz w:val="21"/>
          <w:szCs w:val="21"/>
          <w:highlight w:val="none"/>
        </w:rPr>
        <w:t>. 工期和进度</w:t>
      </w:r>
      <w:bookmarkEnd w:id="373"/>
    </w:p>
    <w:bookmarkEnd w:id="374"/>
    <w:p w14:paraId="11ACD53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75" w:name="_Toc351203543"/>
      <w:r>
        <w:rPr>
          <w:rFonts w:hint="eastAsia" w:ascii="宋体" w:hAnsi="宋体" w:eastAsia="宋体" w:cs="宋体"/>
          <w:b w:val="0"/>
          <w:color w:val="auto"/>
          <w:sz w:val="21"/>
          <w:szCs w:val="21"/>
          <w:highlight w:val="none"/>
        </w:rPr>
        <w:t>7</w:t>
      </w:r>
      <w:bookmarkStart w:id="376" w:name="_Toc337558768"/>
      <w:bookmarkStart w:id="377" w:name="_Toc296346567"/>
      <w:bookmarkStart w:id="378" w:name="_Toc296503066"/>
      <w:r>
        <w:rPr>
          <w:rFonts w:hint="eastAsia" w:ascii="宋体" w:hAnsi="宋体" w:eastAsia="宋体" w:cs="宋体"/>
          <w:b w:val="0"/>
          <w:color w:val="auto"/>
          <w:sz w:val="21"/>
          <w:szCs w:val="21"/>
          <w:highlight w:val="none"/>
        </w:rPr>
        <w:t>.1施工组织设计</w:t>
      </w:r>
      <w:bookmarkEnd w:id="375"/>
    </w:p>
    <w:bookmarkEnd w:id="376"/>
    <w:p w14:paraId="18157B4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7.1.1 </w:t>
      </w:r>
      <w:r>
        <w:rPr>
          <w:rFonts w:hint="eastAsia" w:ascii="宋体" w:hAnsi="宋体" w:eastAsia="宋体" w:cs="宋体"/>
          <w:color w:val="auto"/>
          <w:kern w:val="0"/>
          <w:sz w:val="21"/>
          <w:szCs w:val="21"/>
          <w:highlight w:val="none"/>
        </w:rPr>
        <w:t>施工组织设计的内容</w:t>
      </w:r>
    </w:p>
    <w:p w14:paraId="1946951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施工组织设计应包含以下内容：</w:t>
      </w:r>
    </w:p>
    <w:p w14:paraId="4C3DFC3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（1）施工方案； </w:t>
      </w:r>
    </w:p>
    <w:p w14:paraId="0CA4173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（2）施工现场平面布置图；</w:t>
      </w:r>
    </w:p>
    <w:p w14:paraId="164C802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（3）施工进度计划和保证措施； </w:t>
      </w:r>
    </w:p>
    <w:p w14:paraId="5FAB396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（4）劳动力及材料供应计划；</w:t>
      </w:r>
    </w:p>
    <w:p w14:paraId="09EA469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（5）施工机械设备的选用；</w:t>
      </w:r>
    </w:p>
    <w:p w14:paraId="661BC95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（6）质量保证体系及措施；</w:t>
      </w:r>
    </w:p>
    <w:p w14:paraId="2EF2B09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（7）安全生产、文明施工措施；</w:t>
      </w:r>
    </w:p>
    <w:p w14:paraId="0F33FBC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（8）环境保护、成本控制措施；</w:t>
      </w:r>
    </w:p>
    <w:p w14:paraId="109312D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（9）合同当事人约定的其他内容。</w:t>
      </w:r>
    </w:p>
    <w:p w14:paraId="3BB5655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14:paraId="389F529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7A78C07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施工进度计划的编制和修改按照第7.2款〔施工进度计划〕执行。</w:t>
      </w:r>
    </w:p>
    <w:p w14:paraId="1E609CD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79" w:name="_Toc351203544"/>
      <w:r>
        <w:rPr>
          <w:rFonts w:hint="eastAsia" w:ascii="宋体" w:hAnsi="宋体" w:eastAsia="宋体" w:cs="宋体"/>
          <w:b w:val="0"/>
          <w:color w:val="auto"/>
          <w:sz w:val="21"/>
          <w:szCs w:val="21"/>
          <w:highlight w:val="none"/>
        </w:rPr>
        <w:t>7</w:t>
      </w:r>
      <w:bookmarkStart w:id="380" w:name="_Toc337558769"/>
      <w:r>
        <w:rPr>
          <w:rFonts w:hint="eastAsia" w:ascii="宋体" w:hAnsi="宋体" w:eastAsia="宋体" w:cs="宋体"/>
          <w:b w:val="0"/>
          <w:color w:val="auto"/>
          <w:sz w:val="21"/>
          <w:szCs w:val="21"/>
          <w:highlight w:val="none"/>
        </w:rPr>
        <w:t>.2 施工进度计划</w:t>
      </w:r>
      <w:bookmarkEnd w:id="379"/>
    </w:p>
    <w:bookmarkEnd w:id="380"/>
    <w:p w14:paraId="202C4E9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7.2.1 施工进度计划的编制</w:t>
      </w:r>
    </w:p>
    <w:p w14:paraId="5EA7894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24F3B84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7.2.2 施工进度计划的修订</w:t>
      </w:r>
    </w:p>
    <w:p w14:paraId="2AC36DB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0375511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81" w:name="_Toc351203545"/>
      <w:r>
        <w:rPr>
          <w:rFonts w:hint="eastAsia" w:ascii="宋体" w:hAnsi="宋体" w:eastAsia="宋体" w:cs="宋体"/>
          <w:b w:val="0"/>
          <w:color w:val="auto"/>
          <w:sz w:val="21"/>
          <w:szCs w:val="21"/>
          <w:highlight w:val="none"/>
        </w:rPr>
        <w:t>7</w:t>
      </w:r>
      <w:bookmarkStart w:id="382" w:name="_Toc337558770"/>
      <w:r>
        <w:rPr>
          <w:rFonts w:hint="eastAsia" w:ascii="宋体" w:hAnsi="宋体" w:eastAsia="宋体" w:cs="宋体"/>
          <w:b w:val="0"/>
          <w:color w:val="auto"/>
          <w:sz w:val="21"/>
          <w:szCs w:val="21"/>
          <w:highlight w:val="none"/>
        </w:rPr>
        <w:t>.3 开工</w:t>
      </w:r>
      <w:bookmarkEnd w:id="381"/>
    </w:p>
    <w:p w14:paraId="474800E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7.3.1 开工准备</w:t>
      </w:r>
    </w:p>
    <w:p w14:paraId="162B1FB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16E2843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除专用合同条款另有约定外，合同当事人应按约定完成开工准备工作。</w:t>
      </w:r>
    </w:p>
    <w:p w14:paraId="7A4B27D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7.3.2 开工通知</w:t>
      </w:r>
    </w:p>
    <w:bookmarkEnd w:id="382"/>
    <w:p w14:paraId="41C0965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DAB243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356323B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83" w:name="_Toc351203546"/>
      <w:r>
        <w:rPr>
          <w:rFonts w:hint="eastAsia" w:ascii="宋体" w:hAnsi="宋体" w:eastAsia="宋体" w:cs="宋体"/>
          <w:b w:val="0"/>
          <w:color w:val="auto"/>
          <w:sz w:val="21"/>
          <w:szCs w:val="21"/>
          <w:highlight w:val="none"/>
        </w:rPr>
        <w:t>7.4测量放线</w:t>
      </w:r>
      <w:bookmarkEnd w:id="383"/>
    </w:p>
    <w:p w14:paraId="2FBD4B5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7238E0C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2436156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42CA90C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施工过程中对施工现场内水准点等测量标志物的保护工作由承包人负责。</w:t>
      </w:r>
      <w:bookmarkStart w:id="384" w:name="_Toc351203547"/>
    </w:p>
    <w:p w14:paraId="4BA4E06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7</w:t>
      </w:r>
      <w:bookmarkEnd w:id="377"/>
      <w:bookmarkEnd w:id="378"/>
      <w:bookmarkStart w:id="385" w:name="_Toc296503073"/>
      <w:bookmarkStart w:id="386" w:name="_Toc337558772"/>
      <w:bookmarkStart w:id="387" w:name="_Toc296346574"/>
      <w:r>
        <w:rPr>
          <w:rFonts w:hint="eastAsia" w:ascii="宋体" w:hAnsi="宋体" w:eastAsia="宋体" w:cs="宋体"/>
          <w:b w:val="0"/>
          <w:color w:val="auto"/>
          <w:sz w:val="21"/>
          <w:szCs w:val="21"/>
          <w:highlight w:val="none"/>
        </w:rPr>
        <w:t>.5 工期延误</w:t>
      </w:r>
      <w:bookmarkEnd w:id="384"/>
    </w:p>
    <w:bookmarkEnd w:id="385"/>
    <w:bookmarkEnd w:id="386"/>
    <w:bookmarkEnd w:id="387"/>
    <w:p w14:paraId="0A65893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7.5.1 因发包人原因导致工期延误</w:t>
      </w:r>
    </w:p>
    <w:p w14:paraId="217826D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在合同履行过程中，因下列情况导致工期延误和（或）费用增加的，由发包人承担由此延误的工期和（或）增加的费用，且发包人应支付承包人合理的利润： </w:t>
      </w:r>
    </w:p>
    <w:p w14:paraId="5EF08EE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（1）发包人未能按合同约定提供图纸或所提供图纸不符合合同约定的；</w:t>
      </w:r>
    </w:p>
    <w:p w14:paraId="65F8BFF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（2）发包人未能按合同约定提供施工现场、施工条件、基础资料、许可、批准等开工条件的；</w:t>
      </w:r>
    </w:p>
    <w:p w14:paraId="018226A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（3）发包人提供的测量基准点、基准线和水准点及其书面资料存在错误或疏漏的；</w:t>
      </w:r>
    </w:p>
    <w:p w14:paraId="4C4CB10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（4）发包人未能在计划开工日期之日起7天内同意下达开工通知的；</w:t>
      </w:r>
    </w:p>
    <w:p w14:paraId="4C1004A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（5）发包人未能按合同约定日期支付工程预付款、进度款或竣工结算款的；</w:t>
      </w:r>
    </w:p>
    <w:p w14:paraId="462E90A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（6）监理人未按合同约定发出指示、批准等文件的；</w:t>
      </w:r>
    </w:p>
    <w:p w14:paraId="66E9E77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（7）专用合同条款中约定的其他情形。</w:t>
      </w:r>
    </w:p>
    <w:p w14:paraId="1A8BDD9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654336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7.5.2 因承包人原因导致工期延误</w:t>
      </w:r>
    </w:p>
    <w:p w14:paraId="07BF82F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bookmarkStart w:id="388" w:name="_Toc296346577"/>
      <w:bookmarkStart w:id="389" w:name="_Toc296503076"/>
      <w:r>
        <w:rPr>
          <w:rFonts w:hint="eastAsia" w:ascii="宋体" w:hAnsi="宋体" w:eastAsia="宋体" w:cs="宋体"/>
          <w:color w:val="auto"/>
          <w:kern w:val="0"/>
          <w:sz w:val="21"/>
          <w:szCs w:val="21"/>
          <w:highlight w:val="none"/>
        </w:rPr>
        <w:t>因</w:t>
      </w:r>
      <w:bookmarkEnd w:id="388"/>
      <w:bookmarkEnd w:id="389"/>
      <w:r>
        <w:rPr>
          <w:rFonts w:hint="eastAsia" w:ascii="宋体" w:hAnsi="宋体" w:eastAsia="宋体" w:cs="宋体"/>
          <w:color w:val="auto"/>
          <w:kern w:val="0"/>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5777838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90" w:name="_Toc351203548"/>
      <w:r>
        <w:rPr>
          <w:rFonts w:hint="eastAsia" w:ascii="宋体" w:hAnsi="宋体" w:eastAsia="宋体" w:cs="宋体"/>
          <w:b w:val="0"/>
          <w:color w:val="auto"/>
          <w:sz w:val="21"/>
          <w:szCs w:val="21"/>
          <w:highlight w:val="none"/>
        </w:rPr>
        <w:t>7</w:t>
      </w:r>
      <w:bookmarkStart w:id="391" w:name="_Toc296503074"/>
      <w:bookmarkStart w:id="392" w:name="_Toc337558773"/>
      <w:bookmarkStart w:id="393" w:name="_Toc296346575"/>
      <w:bookmarkStart w:id="394" w:name="_Toc296503077"/>
      <w:bookmarkStart w:id="395" w:name="_Toc296346578"/>
      <w:r>
        <w:rPr>
          <w:rFonts w:hint="eastAsia" w:ascii="宋体" w:hAnsi="宋体" w:eastAsia="宋体" w:cs="宋体"/>
          <w:b w:val="0"/>
          <w:color w:val="auto"/>
          <w:sz w:val="21"/>
          <w:szCs w:val="21"/>
          <w:highlight w:val="none"/>
        </w:rPr>
        <w:t>.6 不利物质条件</w:t>
      </w:r>
      <w:bookmarkEnd w:id="390"/>
    </w:p>
    <w:bookmarkEnd w:id="391"/>
    <w:bookmarkEnd w:id="392"/>
    <w:bookmarkEnd w:id="393"/>
    <w:p w14:paraId="3A57640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0659B4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33E449B5">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396" w:name="_Toc351203549"/>
      <w:r>
        <w:rPr>
          <w:rFonts w:hint="eastAsia" w:ascii="宋体" w:hAnsi="宋体" w:eastAsia="宋体" w:cs="宋体"/>
          <w:b w:val="0"/>
          <w:color w:val="auto"/>
          <w:sz w:val="21"/>
          <w:szCs w:val="21"/>
          <w:highlight w:val="none"/>
        </w:rPr>
        <w:t>7</w:t>
      </w:r>
      <w:bookmarkStart w:id="397" w:name="_Toc296346576"/>
      <w:bookmarkStart w:id="398" w:name="_Toc337558774"/>
      <w:bookmarkStart w:id="399" w:name="_Toc296503075"/>
      <w:r>
        <w:rPr>
          <w:rFonts w:hint="eastAsia" w:ascii="宋体" w:hAnsi="宋体" w:eastAsia="宋体" w:cs="宋体"/>
          <w:b w:val="0"/>
          <w:color w:val="auto"/>
          <w:sz w:val="21"/>
          <w:szCs w:val="21"/>
          <w:highlight w:val="none"/>
        </w:rPr>
        <w:t>.7 异常恶劣的气候条件</w:t>
      </w:r>
      <w:bookmarkEnd w:id="396"/>
    </w:p>
    <w:bookmarkEnd w:id="397"/>
    <w:bookmarkEnd w:id="398"/>
    <w:bookmarkEnd w:id="399"/>
    <w:p w14:paraId="5E8E5CA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89620D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400" w:name="_Toc351203550"/>
    </w:p>
    <w:p w14:paraId="1AE8143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bookmarkStart w:id="401" w:name="_Toc337558775"/>
      <w:r>
        <w:rPr>
          <w:rFonts w:hint="eastAsia" w:ascii="宋体" w:hAnsi="宋体" w:eastAsia="宋体" w:cs="宋体"/>
          <w:bCs/>
          <w:color w:val="auto"/>
          <w:sz w:val="21"/>
          <w:szCs w:val="21"/>
          <w:highlight w:val="none"/>
        </w:rPr>
        <w:t>.8 暂停施工</w:t>
      </w:r>
      <w:bookmarkEnd w:id="400"/>
    </w:p>
    <w:bookmarkEnd w:id="394"/>
    <w:bookmarkEnd w:id="395"/>
    <w:bookmarkEnd w:id="401"/>
    <w:p w14:paraId="2C7D11C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7.8.1发包人原因引起的暂停施工</w:t>
      </w:r>
    </w:p>
    <w:p w14:paraId="4E61941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因发包人原因引起暂停施工的，监理人经发包人同意后，应及时下达暂停施工指示。情况紧急且监理人未及时下达暂停施工指示的，按照第7.8.4项〔紧急情况下的暂停施工〕执行。</w:t>
      </w:r>
    </w:p>
    <w:p w14:paraId="5C5A972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因发包人原因引起的暂停施工，发包人应承担由此增加的费用和（或）延误的工期，并支付承包人合理的利润。</w:t>
      </w:r>
    </w:p>
    <w:p w14:paraId="7351CC9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7.8.2 承包人原因引起的暂停施工</w:t>
      </w:r>
    </w:p>
    <w:p w14:paraId="7517F30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5439DD0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7.8.3 指示暂停施工</w:t>
      </w:r>
    </w:p>
    <w:p w14:paraId="39AC04A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监理人认为有必要时，并经发包人批准后，可向承包人作出暂停施工的指示，承包人应按监理人指示暂停施工。</w:t>
      </w:r>
    </w:p>
    <w:p w14:paraId="7E3D314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7.8.4 紧急情况下的暂停施工</w:t>
      </w:r>
    </w:p>
    <w:p w14:paraId="4DC0DF1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00D26D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7.8.5 暂停施工后的复工</w:t>
      </w:r>
    </w:p>
    <w:p w14:paraId="08A118B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FD6A29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承包人无故拖延和拒绝复工的，承包人承担由此增加的费用和（或）延误的工期；因发包人原因无法按时复工的，按照第7.5.1项〔因发包人原因导致工期延误〕约定办理。</w:t>
      </w:r>
    </w:p>
    <w:p w14:paraId="06A1146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7.8.6 暂停施工持续56天以上</w:t>
      </w:r>
    </w:p>
    <w:p w14:paraId="09F4FC76">
      <w:pPr>
        <w:pageBreakBefore w:val="0"/>
        <w:kinsoku/>
        <w:wordWrap/>
        <w:overflowPunct/>
        <w:topLinePunct w:val="0"/>
        <w:bidi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2570FE62">
      <w:pPr>
        <w:pageBreakBefore w:val="0"/>
        <w:kinsoku/>
        <w:wordWrap/>
        <w:overflowPunct/>
        <w:topLinePunct w:val="0"/>
        <w:bidi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FED387E">
      <w:pPr>
        <w:pageBreakBefore w:val="0"/>
        <w:kinsoku/>
        <w:wordWrap/>
        <w:overflowPunct/>
        <w:topLinePunct w:val="0"/>
        <w:bidi w:val="0"/>
        <w:snapToGrid/>
        <w:spacing w:line="390" w:lineRule="exact"/>
        <w:ind w:left="0"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7.8.7 暂停施工期间的工程照管</w:t>
      </w:r>
    </w:p>
    <w:p w14:paraId="12C3967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暂停施工期间，承包人应负责妥善照管工程并提供安全保障，由此增加的费用由责任方承担。</w:t>
      </w:r>
    </w:p>
    <w:p w14:paraId="07CEAC3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7.8.8 暂停施工的措施</w:t>
      </w:r>
    </w:p>
    <w:p w14:paraId="537B9EE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暂停施工期间，发包人和承包人均应采取必要的措施确保工程质量及安全，防止因暂停施工扩大损失。</w:t>
      </w:r>
    </w:p>
    <w:p w14:paraId="394D07F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02" w:name="_Toc351203551"/>
      <w:r>
        <w:rPr>
          <w:rFonts w:hint="eastAsia" w:ascii="宋体" w:hAnsi="宋体" w:eastAsia="宋体" w:cs="宋体"/>
          <w:b w:val="0"/>
          <w:color w:val="auto"/>
          <w:sz w:val="21"/>
          <w:szCs w:val="21"/>
          <w:highlight w:val="none"/>
        </w:rPr>
        <w:t>7.9提前竣工</w:t>
      </w:r>
      <w:bookmarkEnd w:id="402"/>
    </w:p>
    <w:p w14:paraId="7F3A57A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3DEF8CD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7.9.2 发包人要求承包人提前竣工，或承包人提出提前竣工的建议能够给发包人带来效益的，合同当事人可以在专用合同条款中约定提前竣工的奖励。</w:t>
      </w:r>
    </w:p>
    <w:p w14:paraId="2A58B32C">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403" w:name="_Toc351203552"/>
      <w:r>
        <w:rPr>
          <w:rFonts w:hint="eastAsia" w:ascii="宋体" w:hAnsi="宋体" w:eastAsia="宋体" w:cs="宋体"/>
          <w:b w:val="0"/>
          <w:color w:val="auto"/>
          <w:sz w:val="21"/>
          <w:szCs w:val="21"/>
          <w:highlight w:val="none"/>
        </w:rPr>
        <w:t>8</w:t>
      </w:r>
      <w:bookmarkStart w:id="404" w:name="_Toc337558776"/>
      <w:bookmarkStart w:id="405" w:name="_Toc296346559"/>
      <w:bookmarkStart w:id="406" w:name="_Toc296503058"/>
      <w:r>
        <w:rPr>
          <w:rFonts w:hint="eastAsia" w:ascii="宋体" w:hAnsi="宋体" w:eastAsia="宋体" w:cs="宋体"/>
          <w:b w:val="0"/>
          <w:color w:val="auto"/>
          <w:sz w:val="21"/>
          <w:szCs w:val="21"/>
          <w:highlight w:val="none"/>
        </w:rPr>
        <w:t>. 材料与设备</w:t>
      </w:r>
      <w:bookmarkEnd w:id="403"/>
    </w:p>
    <w:bookmarkEnd w:id="404"/>
    <w:bookmarkEnd w:id="405"/>
    <w:bookmarkEnd w:id="406"/>
    <w:p w14:paraId="10D0AFF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07" w:name="_Toc351203553"/>
      <w:r>
        <w:rPr>
          <w:rFonts w:hint="eastAsia" w:ascii="宋体" w:hAnsi="宋体" w:eastAsia="宋体" w:cs="宋体"/>
          <w:b w:val="0"/>
          <w:color w:val="auto"/>
          <w:sz w:val="21"/>
          <w:szCs w:val="21"/>
          <w:highlight w:val="none"/>
        </w:rPr>
        <w:t>8</w:t>
      </w:r>
      <w:bookmarkStart w:id="408" w:name="_Toc296503059"/>
      <w:bookmarkStart w:id="409" w:name="_Toc296346560"/>
      <w:bookmarkStart w:id="410" w:name="_Toc337558777"/>
      <w:bookmarkStart w:id="411" w:name="_Toc468936960"/>
      <w:r>
        <w:rPr>
          <w:rFonts w:hint="eastAsia" w:ascii="宋体" w:hAnsi="宋体" w:eastAsia="宋体" w:cs="宋体"/>
          <w:b w:val="0"/>
          <w:color w:val="auto"/>
          <w:sz w:val="21"/>
          <w:szCs w:val="21"/>
          <w:highlight w:val="none"/>
        </w:rPr>
        <w:t>.1发包人供应材料与工程设备</w:t>
      </w:r>
      <w:bookmarkEnd w:id="407"/>
    </w:p>
    <w:bookmarkEnd w:id="408"/>
    <w:bookmarkEnd w:id="409"/>
    <w:bookmarkEnd w:id="410"/>
    <w:p w14:paraId="4B8A845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14:paraId="6DED104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2CD6F3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color w:val="auto"/>
          <w:sz w:val="21"/>
          <w:szCs w:val="21"/>
          <w:highlight w:val="none"/>
        </w:rPr>
      </w:pPr>
      <w:bookmarkStart w:id="412" w:name="_Toc351203554"/>
      <w:r>
        <w:rPr>
          <w:rFonts w:hint="eastAsia" w:ascii="宋体" w:hAnsi="宋体" w:eastAsia="宋体" w:cs="宋体"/>
          <w:b w:val="0"/>
          <w:color w:val="auto"/>
          <w:sz w:val="21"/>
          <w:szCs w:val="21"/>
          <w:highlight w:val="none"/>
        </w:rPr>
        <w:t>8</w:t>
      </w:r>
      <w:bookmarkStart w:id="413" w:name="_Toc296503060"/>
      <w:bookmarkStart w:id="414" w:name="_Toc296346561"/>
      <w:bookmarkStart w:id="415" w:name="_Toc337558778"/>
      <w:r>
        <w:rPr>
          <w:rFonts w:hint="eastAsia" w:ascii="宋体" w:hAnsi="宋体" w:eastAsia="宋体" w:cs="宋体"/>
          <w:b w:val="0"/>
          <w:color w:val="auto"/>
          <w:sz w:val="21"/>
          <w:szCs w:val="21"/>
          <w:highlight w:val="none"/>
        </w:rPr>
        <w:t>.2承包人采购材料与工程设备</w:t>
      </w:r>
      <w:bookmarkEnd w:id="412"/>
    </w:p>
    <w:bookmarkEnd w:id="413"/>
    <w:bookmarkEnd w:id="414"/>
    <w:bookmarkEnd w:id="415"/>
    <w:p w14:paraId="10F171D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7BDD8A4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16" w:name="_Toc351203555"/>
      <w:r>
        <w:rPr>
          <w:rFonts w:hint="eastAsia" w:ascii="宋体" w:hAnsi="宋体" w:eastAsia="宋体" w:cs="宋体"/>
          <w:b w:val="0"/>
          <w:color w:val="auto"/>
          <w:sz w:val="21"/>
          <w:szCs w:val="21"/>
          <w:highlight w:val="none"/>
        </w:rPr>
        <w:t>8</w:t>
      </w:r>
      <w:bookmarkStart w:id="417" w:name="_Toc296346562"/>
      <w:bookmarkStart w:id="418" w:name="_Toc337558779"/>
      <w:bookmarkStart w:id="419" w:name="_Toc296503061"/>
      <w:r>
        <w:rPr>
          <w:rFonts w:hint="eastAsia" w:ascii="宋体" w:hAnsi="宋体" w:eastAsia="宋体" w:cs="宋体"/>
          <w:b w:val="0"/>
          <w:color w:val="auto"/>
          <w:sz w:val="21"/>
          <w:szCs w:val="21"/>
          <w:highlight w:val="none"/>
        </w:rPr>
        <w:t>.3材料与工程设备的接收与拒收</w:t>
      </w:r>
      <w:bookmarkEnd w:id="416"/>
    </w:p>
    <w:bookmarkEnd w:id="417"/>
    <w:bookmarkEnd w:id="418"/>
    <w:bookmarkEnd w:id="419"/>
    <w:p w14:paraId="294DC6B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019D58C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发包人提供的材料和工程设备的规格、数量或质量不符合合同约定的，或因发包人原因导致交货日期延误或交货地点变更等情况的，按照第16.1款〔发包人违约〕约定办理。</w:t>
      </w:r>
    </w:p>
    <w:p w14:paraId="3695933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8.3.2 承包人采购的材料和工程设备，应保证产品质量合格，承包人应在材料和工程设备到货前24小时通知监理人检验。承</w:t>
      </w:r>
      <w:bookmarkStart w:id="420" w:name="_Toc250655469"/>
      <w:r>
        <w:rPr>
          <w:rFonts w:hint="eastAsia" w:ascii="宋体" w:hAnsi="宋体" w:eastAsia="宋体" w:cs="宋体"/>
          <w:color w:val="auto"/>
          <w:kern w:val="0"/>
          <w:sz w:val="21"/>
          <w:szCs w:val="21"/>
          <w:highlight w:val="none"/>
        </w:rPr>
        <w:t>包人进行永久设备、材料的制造和生产的，应符合相关质量标准，并向监理人提交材料的样本以及有关资料，并应在使用该材料或工程设备之前获得监理人同意。</w:t>
      </w:r>
    </w:p>
    <w:bookmarkEnd w:id="420"/>
    <w:p w14:paraId="013414EA">
      <w:pPr>
        <w:pageBreakBefore w:val="0"/>
        <w:kinsoku/>
        <w:wordWrap/>
        <w:overflowPunct/>
        <w:topLinePunct w:val="0"/>
        <w:autoSpaceDE w:val="0"/>
        <w:autoSpaceDN w:val="0"/>
        <w:bidi w:val="0"/>
        <w:adjustRightInd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3B2541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1" w:name="_Toc351203556"/>
      <w:r>
        <w:rPr>
          <w:rFonts w:hint="eastAsia" w:ascii="宋体" w:hAnsi="宋体" w:eastAsia="宋体" w:cs="宋体"/>
          <w:b w:val="0"/>
          <w:color w:val="auto"/>
          <w:sz w:val="21"/>
          <w:szCs w:val="21"/>
          <w:highlight w:val="none"/>
        </w:rPr>
        <w:t>8</w:t>
      </w:r>
      <w:bookmarkStart w:id="422" w:name="_Toc296346563"/>
      <w:bookmarkStart w:id="423" w:name="_Toc296503062"/>
      <w:bookmarkStart w:id="424" w:name="_Toc337558780"/>
      <w:r>
        <w:rPr>
          <w:rFonts w:hint="eastAsia" w:ascii="宋体" w:hAnsi="宋体" w:eastAsia="宋体" w:cs="宋体"/>
          <w:b w:val="0"/>
          <w:color w:val="auto"/>
          <w:sz w:val="21"/>
          <w:szCs w:val="21"/>
          <w:highlight w:val="none"/>
        </w:rPr>
        <w:t>.4材料与工程设备的保管与使用</w:t>
      </w:r>
      <w:bookmarkEnd w:id="421"/>
    </w:p>
    <w:bookmarkEnd w:id="422"/>
    <w:bookmarkEnd w:id="423"/>
    <w:bookmarkEnd w:id="424"/>
    <w:p w14:paraId="3C65BFD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8.4.1 发包人供应</w:t>
      </w:r>
      <w:r>
        <w:rPr>
          <w:rFonts w:hint="eastAsia" w:ascii="宋体" w:hAnsi="宋体" w:eastAsia="宋体" w:cs="宋体"/>
          <w:color w:val="auto"/>
          <w:sz w:val="21"/>
          <w:szCs w:val="21"/>
          <w:highlight w:val="none"/>
        </w:rPr>
        <w:t>材料与</w:t>
      </w:r>
      <w:r>
        <w:rPr>
          <w:rFonts w:hint="eastAsia" w:ascii="宋体" w:hAnsi="宋体" w:eastAsia="宋体" w:cs="宋体"/>
          <w:color w:val="auto"/>
          <w:kern w:val="0"/>
          <w:sz w:val="21"/>
          <w:szCs w:val="21"/>
          <w:highlight w:val="none"/>
        </w:rPr>
        <w:t>工程</w:t>
      </w:r>
      <w:r>
        <w:rPr>
          <w:rFonts w:hint="eastAsia" w:ascii="宋体" w:hAnsi="宋体" w:eastAsia="宋体" w:cs="宋体"/>
          <w:color w:val="auto"/>
          <w:sz w:val="21"/>
          <w:szCs w:val="21"/>
          <w:highlight w:val="none"/>
        </w:rPr>
        <w:t>设备的保管与使用</w:t>
      </w:r>
    </w:p>
    <w:p w14:paraId="2E825D7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4CB9915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发包人供应的材料和工程设备使用前，由承包人负责检验，检验费用由发包人承担，不合格的不得使用。</w:t>
      </w:r>
    </w:p>
    <w:p w14:paraId="23F955F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8.4.2 承包人采购</w:t>
      </w:r>
      <w:r>
        <w:rPr>
          <w:rFonts w:hint="eastAsia" w:ascii="宋体" w:hAnsi="宋体" w:eastAsia="宋体" w:cs="宋体"/>
          <w:color w:val="auto"/>
          <w:sz w:val="21"/>
          <w:szCs w:val="21"/>
          <w:highlight w:val="none"/>
        </w:rPr>
        <w:t>材料与</w:t>
      </w:r>
      <w:r>
        <w:rPr>
          <w:rFonts w:hint="eastAsia" w:ascii="宋体" w:hAnsi="宋体" w:eastAsia="宋体" w:cs="宋体"/>
          <w:color w:val="auto"/>
          <w:kern w:val="0"/>
          <w:sz w:val="21"/>
          <w:szCs w:val="21"/>
          <w:highlight w:val="none"/>
        </w:rPr>
        <w:t>工程</w:t>
      </w:r>
      <w:r>
        <w:rPr>
          <w:rFonts w:hint="eastAsia" w:ascii="宋体" w:hAnsi="宋体" w:eastAsia="宋体" w:cs="宋体"/>
          <w:color w:val="auto"/>
          <w:sz w:val="21"/>
          <w:szCs w:val="21"/>
          <w:highlight w:val="none"/>
        </w:rPr>
        <w:t>设备的保管与使用</w:t>
      </w:r>
    </w:p>
    <w:p w14:paraId="563AF6C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7B6DD8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7AEBFA0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5" w:name="_Toc351203557"/>
      <w:r>
        <w:rPr>
          <w:rFonts w:hint="eastAsia" w:ascii="宋体" w:hAnsi="宋体" w:eastAsia="宋体" w:cs="宋体"/>
          <w:b w:val="0"/>
          <w:color w:val="auto"/>
          <w:sz w:val="21"/>
          <w:szCs w:val="21"/>
          <w:highlight w:val="none"/>
        </w:rPr>
        <w:t>8.5禁止使用不合格的材料和工程设备</w:t>
      </w:r>
      <w:bookmarkEnd w:id="425"/>
    </w:p>
    <w:p w14:paraId="7C26A45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8.5.1 监理人有权拒绝承包人提供的不合格材料或工程设备，并要求承包人立即进行更换。监理人应在更换后再次进行检查和检验，由此增加的费用和（或）延误的工期由承包人承担。</w:t>
      </w:r>
    </w:p>
    <w:p w14:paraId="25E4772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8.5.2 监理人发现承包人使用了不合格的材料和工程设备，承包人应按照监理人的指示立即改正，并禁止在工程中继续使用不合格的材料和工程设备。</w:t>
      </w:r>
    </w:p>
    <w:p w14:paraId="4DE7FA2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8.5.3 发包人提供的材料或工程设备不符合合同要求的，承包人有权拒绝，并可要求发包人更换，由此增加的费用和（或）延误的工期由发包人承担，并支付承包人合理的利润。</w:t>
      </w:r>
    </w:p>
    <w:p w14:paraId="0BCB3E5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6" w:name="_Toc351203558"/>
      <w:r>
        <w:rPr>
          <w:rFonts w:hint="eastAsia" w:ascii="宋体" w:hAnsi="宋体" w:eastAsia="宋体" w:cs="宋体"/>
          <w:b w:val="0"/>
          <w:color w:val="auto"/>
          <w:sz w:val="21"/>
          <w:szCs w:val="21"/>
          <w:highlight w:val="none"/>
        </w:rPr>
        <w:t>8.6 样品</w:t>
      </w:r>
      <w:bookmarkEnd w:id="426"/>
    </w:p>
    <w:p w14:paraId="0F8549D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14:paraId="6141BBF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需要承包人报送样品的材料或工程设备，样品的种类、名称、规格、数量等要求均应在专用合同条款中约定。样品的报送程序如下：</w:t>
      </w:r>
    </w:p>
    <w:p w14:paraId="230DB11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BA89DD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27E347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（3）经发包人和监理人审批确认的样品应按约定的方法封样，封存的样品作为检验工程相关部分的标准之一。承包人在施工过程中不得使用与样品不符的材料或工程设备。</w:t>
      </w:r>
    </w:p>
    <w:p w14:paraId="3D5055F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2761FCF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8.6.2 样品的保管</w:t>
      </w:r>
    </w:p>
    <w:p w14:paraId="385AD8F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经批准的样品应由监理人负责封存于现场，承包人应在现场为保存样品提供适当和固定的场所并保持适当和良好的存储环境条件。</w:t>
      </w:r>
    </w:p>
    <w:p w14:paraId="43D87FB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7" w:name="_Toc351203559"/>
      <w:r>
        <w:rPr>
          <w:rFonts w:hint="eastAsia" w:ascii="宋体" w:hAnsi="宋体" w:eastAsia="宋体" w:cs="宋体"/>
          <w:b w:val="0"/>
          <w:color w:val="auto"/>
          <w:sz w:val="21"/>
          <w:szCs w:val="21"/>
          <w:highlight w:val="none"/>
        </w:rPr>
        <w:t>8.7材料与工程设备的替代</w:t>
      </w:r>
      <w:bookmarkEnd w:id="427"/>
    </w:p>
    <w:p w14:paraId="4A53F51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8.7.1 出现下列情况需要使用替代材料和工程设备的，承包人应按照第8.7.2项约定的程序执行：</w:t>
      </w:r>
    </w:p>
    <w:p w14:paraId="5542E2B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（1）基准日期后生效的法律规定禁止使用的；</w:t>
      </w:r>
    </w:p>
    <w:p w14:paraId="449B485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（2）发包人要求使用替代品的；</w:t>
      </w:r>
    </w:p>
    <w:p w14:paraId="20D1A12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（3）因其他原因必须使用替代品的。</w:t>
      </w:r>
    </w:p>
    <w:p w14:paraId="420C1C3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8.7.2 承包人应在使用替代材料和工程设备28天前书面通知监理人，并附下列文件：</w:t>
      </w:r>
    </w:p>
    <w:p w14:paraId="7F37083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（1）被替代的材料和工程设备的名称、数量、规格、型号、品牌、性能、价格及其他相关资料；</w:t>
      </w:r>
    </w:p>
    <w:p w14:paraId="0BEF959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（2）替代品的名称、数量、规格、型号、品牌、性能、价格及其他相关资料；</w:t>
      </w:r>
    </w:p>
    <w:p w14:paraId="4215D97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（3）替代品与被替代产品之间的差异以及使用替代品可能对工程产生的影响；</w:t>
      </w:r>
    </w:p>
    <w:p w14:paraId="3A5817D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（4）替代品与被替代产品的价格差异；</w:t>
      </w:r>
    </w:p>
    <w:p w14:paraId="3F27F9B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（5）使用替代品的理由和原因说明；</w:t>
      </w:r>
    </w:p>
    <w:p w14:paraId="3238A7E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（6）监理人要求的其他文件。</w:t>
      </w:r>
    </w:p>
    <w:p w14:paraId="073A9FF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监理人应在收到通知后14天内向承包人发出经发包人签认的书面指示；监理人逾期发出书面指示的，视为发包人和监理人同意使用替代品。</w:t>
      </w:r>
    </w:p>
    <w:p w14:paraId="578F4C5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2AD7177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8" w:name="_Toc351203560"/>
      <w:r>
        <w:rPr>
          <w:rFonts w:hint="eastAsia" w:ascii="宋体" w:hAnsi="宋体" w:eastAsia="宋体" w:cs="宋体"/>
          <w:b w:val="0"/>
          <w:color w:val="auto"/>
          <w:sz w:val="21"/>
          <w:szCs w:val="21"/>
          <w:highlight w:val="none"/>
        </w:rPr>
        <w:t>8.8施工设备和临时设施</w:t>
      </w:r>
      <w:bookmarkEnd w:id="428"/>
    </w:p>
    <w:p w14:paraId="7CA2785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8.8.1 承包人提供的施工设备和临时设施</w:t>
      </w:r>
    </w:p>
    <w:p w14:paraId="5ABD8C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64A21F0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除专用合同条款另有约定外，承包人应自行承担修建临时设施的费用，需要临时占地的，应由发包人办理申请手续并承担相应费用。</w:t>
      </w:r>
    </w:p>
    <w:p w14:paraId="12C5073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8.8.2发包人提供的施工设备和临时设施</w:t>
      </w:r>
    </w:p>
    <w:p w14:paraId="7613DEF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发包人提供的施工设备或临时设施在专用合同条款中约定。</w:t>
      </w:r>
    </w:p>
    <w:p w14:paraId="25F8AEA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8.8.3要求承包人增加或更换施工设备</w:t>
      </w:r>
    </w:p>
    <w:p w14:paraId="0E6EBAE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A9AFC1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29" w:name="_Toc351203561"/>
      <w:r>
        <w:rPr>
          <w:rFonts w:hint="eastAsia" w:ascii="宋体" w:hAnsi="宋体" w:eastAsia="宋体" w:cs="宋体"/>
          <w:b w:val="0"/>
          <w:color w:val="auto"/>
          <w:sz w:val="21"/>
          <w:szCs w:val="21"/>
          <w:highlight w:val="none"/>
        </w:rPr>
        <w:t>8</w:t>
      </w:r>
      <w:bookmarkStart w:id="430" w:name="_Toc337558781"/>
      <w:bookmarkStart w:id="431" w:name="_Toc296346564"/>
      <w:bookmarkStart w:id="432" w:name="_Toc296503063"/>
      <w:r>
        <w:rPr>
          <w:rFonts w:hint="eastAsia" w:ascii="宋体" w:hAnsi="宋体" w:eastAsia="宋体" w:cs="宋体"/>
          <w:b w:val="0"/>
          <w:color w:val="auto"/>
          <w:sz w:val="21"/>
          <w:szCs w:val="21"/>
          <w:highlight w:val="none"/>
        </w:rPr>
        <w:t>.9材料与设备专用</w:t>
      </w:r>
      <w:bookmarkEnd w:id="429"/>
      <w:r>
        <w:rPr>
          <w:rFonts w:hint="eastAsia" w:ascii="宋体" w:hAnsi="宋体" w:eastAsia="宋体" w:cs="宋体"/>
          <w:b w:val="0"/>
          <w:color w:val="auto"/>
          <w:sz w:val="21"/>
          <w:szCs w:val="21"/>
          <w:highlight w:val="none"/>
        </w:rPr>
        <w:t>要求</w:t>
      </w:r>
    </w:p>
    <w:bookmarkEnd w:id="430"/>
    <w:bookmarkEnd w:id="431"/>
    <w:bookmarkEnd w:id="432"/>
    <w:p w14:paraId="3803B6C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411"/>
      <w:r>
        <w:rPr>
          <w:rFonts w:hint="eastAsia" w:ascii="宋体" w:hAnsi="宋体" w:eastAsia="宋体" w:cs="宋体"/>
          <w:color w:val="auto"/>
          <w:kern w:val="0"/>
          <w:sz w:val="21"/>
          <w:szCs w:val="21"/>
          <w:highlight w:val="none"/>
        </w:rPr>
        <w:t>经发包人批准，承包人可以根据施工进度计划撤走闲置的施工设备和其他物品。</w:t>
      </w:r>
    </w:p>
    <w:p w14:paraId="49AE9F56">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433" w:name="_Toc351203562"/>
      <w:r>
        <w:rPr>
          <w:rFonts w:hint="eastAsia" w:ascii="宋体" w:hAnsi="宋体" w:eastAsia="宋体" w:cs="宋体"/>
          <w:b w:val="0"/>
          <w:color w:val="auto"/>
          <w:sz w:val="21"/>
          <w:szCs w:val="21"/>
          <w:highlight w:val="none"/>
        </w:rPr>
        <w:t>9</w:t>
      </w:r>
      <w:bookmarkStart w:id="434" w:name="_Toc337558782"/>
      <w:bookmarkStart w:id="435" w:name="_Toc296503083"/>
      <w:bookmarkStart w:id="436" w:name="_Toc296346584"/>
      <w:r>
        <w:rPr>
          <w:rFonts w:hint="eastAsia" w:ascii="宋体" w:hAnsi="宋体" w:eastAsia="宋体" w:cs="宋体"/>
          <w:b w:val="0"/>
          <w:color w:val="auto"/>
          <w:sz w:val="21"/>
          <w:szCs w:val="21"/>
          <w:highlight w:val="none"/>
        </w:rPr>
        <w:t>. 试验与检验</w:t>
      </w:r>
      <w:bookmarkEnd w:id="433"/>
    </w:p>
    <w:bookmarkEnd w:id="434"/>
    <w:p w14:paraId="636808F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37" w:name="_Toc351203563"/>
      <w:r>
        <w:rPr>
          <w:rFonts w:hint="eastAsia" w:ascii="宋体" w:hAnsi="宋体" w:eastAsia="宋体" w:cs="宋体"/>
          <w:b w:val="0"/>
          <w:color w:val="auto"/>
          <w:sz w:val="21"/>
          <w:szCs w:val="21"/>
          <w:highlight w:val="none"/>
        </w:rPr>
        <w:t>9</w:t>
      </w:r>
      <w:bookmarkStart w:id="438" w:name="_Toc337558783"/>
      <w:r>
        <w:rPr>
          <w:rFonts w:hint="eastAsia" w:ascii="宋体" w:hAnsi="宋体" w:eastAsia="宋体" w:cs="宋体"/>
          <w:b w:val="0"/>
          <w:color w:val="auto"/>
          <w:sz w:val="21"/>
          <w:szCs w:val="21"/>
          <w:highlight w:val="none"/>
        </w:rPr>
        <w:t>.1试验设备与试验人员</w:t>
      </w:r>
      <w:bookmarkEnd w:id="437"/>
    </w:p>
    <w:bookmarkEnd w:id="438"/>
    <w:p w14:paraId="653EBA1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C22ABB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 承包人应按专用合同条款的约定提供试验设备、取样装置、试验场所和试验条件，并向监理人提交相应进场计划表。</w:t>
      </w:r>
    </w:p>
    <w:p w14:paraId="1B802C4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承包人配置的试验设备要符合相应试验规程的要求并经过具有资质的检测单位检测，且在正式使用该试验设备前，需要经过监理人与承包人共同校定。</w:t>
      </w:r>
    </w:p>
    <w:p w14:paraId="7871BD8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9.1.3 承包人应向监理人提交试验人员的名单及其岗位、资格等证明资料，试验人员必须能够熟练进行相应的检测试验，承包人对试验人员的试验程序和试验结果的正确性负责。</w:t>
      </w:r>
    </w:p>
    <w:p w14:paraId="7A95A840">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39" w:name="_Toc351203564"/>
      <w:r>
        <w:rPr>
          <w:rFonts w:hint="eastAsia" w:ascii="宋体" w:hAnsi="宋体" w:eastAsia="宋体" w:cs="宋体"/>
          <w:b w:val="0"/>
          <w:color w:val="auto"/>
          <w:sz w:val="21"/>
          <w:szCs w:val="21"/>
          <w:highlight w:val="none"/>
        </w:rPr>
        <w:t>9</w:t>
      </w:r>
      <w:bookmarkStart w:id="440" w:name="_Toc337558784"/>
      <w:r>
        <w:rPr>
          <w:rFonts w:hint="eastAsia" w:ascii="宋体" w:hAnsi="宋体" w:eastAsia="宋体" w:cs="宋体"/>
          <w:b w:val="0"/>
          <w:color w:val="auto"/>
          <w:sz w:val="21"/>
          <w:szCs w:val="21"/>
          <w:highlight w:val="none"/>
        </w:rPr>
        <w:t>.2取样</w:t>
      </w:r>
      <w:bookmarkEnd w:id="439"/>
    </w:p>
    <w:bookmarkEnd w:id="440"/>
    <w:p w14:paraId="1BD6759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试验属于自检性质的，承包人可以单独取样。试验属于监理人抽检性质的，可由监理人取样，也可由承包人的试验人员在监理人的监督下取样。</w:t>
      </w:r>
    </w:p>
    <w:p w14:paraId="3637E9A5">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41" w:name="_Toc351203565"/>
      <w:r>
        <w:rPr>
          <w:rFonts w:hint="eastAsia" w:ascii="宋体" w:hAnsi="宋体" w:eastAsia="宋体" w:cs="宋体"/>
          <w:b w:val="0"/>
          <w:color w:val="auto"/>
          <w:sz w:val="21"/>
          <w:szCs w:val="21"/>
          <w:highlight w:val="none"/>
        </w:rPr>
        <w:t>9</w:t>
      </w:r>
      <w:bookmarkStart w:id="442" w:name="_Toc337558785"/>
      <w:r>
        <w:rPr>
          <w:rFonts w:hint="eastAsia" w:ascii="宋体" w:hAnsi="宋体" w:eastAsia="宋体" w:cs="宋体"/>
          <w:b w:val="0"/>
          <w:color w:val="auto"/>
          <w:sz w:val="21"/>
          <w:szCs w:val="21"/>
          <w:highlight w:val="none"/>
        </w:rPr>
        <w:t>.3材料、工程设备和工程的试验和检验</w:t>
      </w:r>
      <w:bookmarkEnd w:id="441"/>
    </w:p>
    <w:bookmarkEnd w:id="442"/>
    <w:p w14:paraId="3528F76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7EB213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0DF7F9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6632CE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43" w:name="_Toc351203566"/>
      <w:r>
        <w:rPr>
          <w:rFonts w:hint="eastAsia" w:ascii="宋体" w:hAnsi="宋体" w:eastAsia="宋体" w:cs="宋体"/>
          <w:b w:val="0"/>
          <w:color w:val="auto"/>
          <w:sz w:val="21"/>
          <w:szCs w:val="21"/>
          <w:highlight w:val="none"/>
        </w:rPr>
        <w:t>9</w:t>
      </w:r>
      <w:bookmarkStart w:id="444" w:name="_Toc337558786"/>
      <w:r>
        <w:rPr>
          <w:rFonts w:hint="eastAsia" w:ascii="宋体" w:hAnsi="宋体" w:eastAsia="宋体" w:cs="宋体"/>
          <w:b w:val="0"/>
          <w:color w:val="auto"/>
          <w:sz w:val="21"/>
          <w:szCs w:val="21"/>
          <w:highlight w:val="none"/>
        </w:rPr>
        <w:t>.4现场工艺试验</w:t>
      </w:r>
      <w:bookmarkEnd w:id="443"/>
    </w:p>
    <w:bookmarkEnd w:id="444"/>
    <w:p w14:paraId="56D6FCA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0ACC500E">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445" w:name="_Toc351203567"/>
      <w:r>
        <w:rPr>
          <w:rFonts w:hint="eastAsia" w:ascii="宋体" w:hAnsi="宋体" w:eastAsia="宋体" w:cs="宋体"/>
          <w:b w:val="0"/>
          <w:color w:val="auto"/>
          <w:sz w:val="21"/>
          <w:szCs w:val="21"/>
          <w:highlight w:val="none"/>
        </w:rPr>
        <w:t>1</w:t>
      </w:r>
      <w:bookmarkStart w:id="446" w:name="_Toc337558787"/>
      <w:r>
        <w:rPr>
          <w:rFonts w:hint="eastAsia" w:ascii="宋体" w:hAnsi="宋体" w:eastAsia="宋体" w:cs="宋体"/>
          <w:b w:val="0"/>
          <w:color w:val="auto"/>
          <w:sz w:val="21"/>
          <w:szCs w:val="21"/>
          <w:highlight w:val="none"/>
        </w:rPr>
        <w:t>0. 变更</w:t>
      </w:r>
      <w:bookmarkEnd w:id="435"/>
      <w:bookmarkEnd w:id="436"/>
      <w:bookmarkEnd w:id="445"/>
    </w:p>
    <w:bookmarkEnd w:id="446"/>
    <w:p w14:paraId="3278361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47" w:name="_Toc351203568"/>
      <w:r>
        <w:rPr>
          <w:rFonts w:hint="eastAsia" w:ascii="宋体" w:hAnsi="宋体" w:eastAsia="宋体" w:cs="宋体"/>
          <w:b w:val="0"/>
          <w:color w:val="auto"/>
          <w:sz w:val="21"/>
          <w:szCs w:val="21"/>
          <w:highlight w:val="none"/>
        </w:rPr>
        <w:t>1</w:t>
      </w:r>
      <w:bookmarkStart w:id="448" w:name="_Toc296503084"/>
      <w:bookmarkStart w:id="449" w:name="_Toc337558788"/>
      <w:bookmarkStart w:id="450" w:name="_Toc296346585"/>
      <w:r>
        <w:rPr>
          <w:rFonts w:hint="eastAsia" w:ascii="宋体" w:hAnsi="宋体" w:eastAsia="宋体" w:cs="宋体"/>
          <w:b w:val="0"/>
          <w:color w:val="auto"/>
          <w:sz w:val="21"/>
          <w:szCs w:val="21"/>
          <w:highlight w:val="none"/>
        </w:rPr>
        <w:t>0.1变更的范围</w:t>
      </w:r>
      <w:bookmarkEnd w:id="447"/>
    </w:p>
    <w:bookmarkEnd w:id="448"/>
    <w:bookmarkEnd w:id="449"/>
    <w:bookmarkEnd w:id="450"/>
    <w:p w14:paraId="60E2CFF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除专用合同条款另有约定外，合同履行过程中发生以下情形的，应按照本条约定进行变更：</w:t>
      </w:r>
    </w:p>
    <w:p w14:paraId="5A3DA88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（1）增加或减少合同中任何工作，或追加额外的工作；</w:t>
      </w:r>
    </w:p>
    <w:p w14:paraId="043BD49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（2）取消合同中任何工作，但转由他人实施的工作除外；</w:t>
      </w:r>
    </w:p>
    <w:p w14:paraId="00633ED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（3）改变合同中任何工作的质量标准或其他特性；</w:t>
      </w:r>
    </w:p>
    <w:p w14:paraId="62B7B27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（4）改变工程的基线、标高、位置和尺寸；</w:t>
      </w:r>
    </w:p>
    <w:p w14:paraId="109A456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（5）改变工程的时间安排或实施顺序。</w:t>
      </w:r>
    </w:p>
    <w:p w14:paraId="222A0DA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51" w:name="_Toc351203569"/>
      <w:r>
        <w:rPr>
          <w:rFonts w:hint="eastAsia" w:ascii="宋体" w:hAnsi="宋体" w:eastAsia="宋体" w:cs="宋体"/>
          <w:b w:val="0"/>
          <w:color w:val="auto"/>
          <w:sz w:val="21"/>
          <w:szCs w:val="21"/>
          <w:highlight w:val="none"/>
        </w:rPr>
        <w:t>1</w:t>
      </w:r>
      <w:bookmarkStart w:id="452" w:name="_Toc337558789"/>
      <w:bookmarkStart w:id="453" w:name="_Toc296346586"/>
      <w:bookmarkStart w:id="454" w:name="_Toc296503085"/>
      <w:r>
        <w:rPr>
          <w:rFonts w:hint="eastAsia" w:ascii="宋体" w:hAnsi="宋体" w:eastAsia="宋体" w:cs="宋体"/>
          <w:b w:val="0"/>
          <w:color w:val="auto"/>
          <w:sz w:val="21"/>
          <w:szCs w:val="21"/>
          <w:highlight w:val="none"/>
        </w:rPr>
        <w:t>0.2变更权</w:t>
      </w:r>
      <w:bookmarkEnd w:id="451"/>
    </w:p>
    <w:bookmarkEnd w:id="452"/>
    <w:bookmarkEnd w:id="453"/>
    <w:bookmarkEnd w:id="454"/>
    <w:p w14:paraId="0633CB0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720CBA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涉及设计变更的，应由设计人提供变更后的图纸和说明。如变更超过原设计标准或批准的建设规模时，发包人应及时办理规划、设计变更等审批手续。</w:t>
      </w:r>
    </w:p>
    <w:p w14:paraId="22896F8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55" w:name="_Toc351203570"/>
      <w:r>
        <w:rPr>
          <w:rFonts w:hint="eastAsia" w:ascii="宋体" w:hAnsi="宋体" w:eastAsia="宋体" w:cs="宋体"/>
          <w:b w:val="0"/>
          <w:color w:val="auto"/>
          <w:sz w:val="21"/>
          <w:szCs w:val="21"/>
          <w:highlight w:val="none"/>
        </w:rPr>
        <w:t>1</w:t>
      </w:r>
      <w:bookmarkStart w:id="456" w:name="_Toc296346587"/>
      <w:bookmarkStart w:id="457" w:name="_Toc337558790"/>
      <w:bookmarkStart w:id="458" w:name="_Toc296503086"/>
      <w:r>
        <w:rPr>
          <w:rFonts w:hint="eastAsia" w:ascii="宋体" w:hAnsi="宋体" w:eastAsia="宋体" w:cs="宋体"/>
          <w:b w:val="0"/>
          <w:color w:val="auto"/>
          <w:sz w:val="21"/>
          <w:szCs w:val="21"/>
          <w:highlight w:val="none"/>
        </w:rPr>
        <w:t>0.3变更程序</w:t>
      </w:r>
      <w:bookmarkEnd w:id="455"/>
    </w:p>
    <w:bookmarkEnd w:id="456"/>
    <w:bookmarkEnd w:id="457"/>
    <w:bookmarkEnd w:id="458"/>
    <w:p w14:paraId="598B872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kern w:val="0"/>
          <w:sz w:val="21"/>
          <w:szCs w:val="21"/>
          <w:highlight w:val="none"/>
        </w:rPr>
        <w:t>.3.1 发包人提出变更</w:t>
      </w:r>
    </w:p>
    <w:p w14:paraId="71B96AC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发包人提出变更的，应通过监理人向承包人发出变更指示，变更指示应说明计划变更的工程范围和变更的内容。</w:t>
      </w:r>
    </w:p>
    <w:p w14:paraId="7DC3442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kern w:val="0"/>
          <w:sz w:val="21"/>
          <w:szCs w:val="21"/>
          <w:highlight w:val="none"/>
        </w:rPr>
        <w:t>.3.2 监理人提出变更建议</w:t>
      </w:r>
    </w:p>
    <w:p w14:paraId="3667A3B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7ABACBE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10.3.3 变更执行</w:t>
      </w:r>
    </w:p>
    <w:p w14:paraId="42FABB2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58096D2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59" w:name="_Toc351203571"/>
      <w:r>
        <w:rPr>
          <w:rFonts w:hint="eastAsia" w:ascii="宋体" w:hAnsi="宋体" w:eastAsia="宋体" w:cs="宋体"/>
          <w:b w:val="0"/>
          <w:color w:val="auto"/>
          <w:sz w:val="21"/>
          <w:szCs w:val="21"/>
          <w:highlight w:val="none"/>
        </w:rPr>
        <w:t>1</w:t>
      </w:r>
      <w:bookmarkStart w:id="460" w:name="_Toc296503087"/>
      <w:bookmarkStart w:id="461" w:name="_Toc296346588"/>
      <w:bookmarkStart w:id="462" w:name="_Toc337558791"/>
      <w:r>
        <w:rPr>
          <w:rFonts w:hint="eastAsia" w:ascii="宋体" w:hAnsi="宋体" w:eastAsia="宋体" w:cs="宋体"/>
          <w:b w:val="0"/>
          <w:color w:val="auto"/>
          <w:sz w:val="21"/>
          <w:szCs w:val="21"/>
          <w:highlight w:val="none"/>
        </w:rPr>
        <w:t>0.4变更估价</w:t>
      </w:r>
      <w:bookmarkEnd w:id="459"/>
    </w:p>
    <w:bookmarkEnd w:id="460"/>
    <w:bookmarkEnd w:id="461"/>
    <w:bookmarkEnd w:id="462"/>
    <w:p w14:paraId="1C29EE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10.4.1 变更估价原则</w:t>
      </w:r>
    </w:p>
    <w:p w14:paraId="2A1088C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除专用合同条款另有约定外，变更估价按照本款约定处理：</w:t>
      </w:r>
    </w:p>
    <w:p w14:paraId="7D7A75E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（1）已标价工程量清单或预算书有相同项目的，按照相同项目单价认定；</w:t>
      </w:r>
    </w:p>
    <w:p w14:paraId="069720E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（2）已标价工程量清单或预算书中无相同项目，但有类似项目的，参照类似项目的单价认定；</w:t>
      </w:r>
    </w:p>
    <w:p w14:paraId="1A77E77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A7665D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10.4.2 变更估价程序</w:t>
      </w:r>
    </w:p>
    <w:p w14:paraId="5DA789D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48476A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因变更引起的价格调整应计入最近一期的进度款中支付。</w:t>
      </w:r>
    </w:p>
    <w:p w14:paraId="531BE512">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63" w:name="_Toc351203572"/>
      <w:r>
        <w:rPr>
          <w:rFonts w:hint="eastAsia" w:ascii="宋体" w:hAnsi="宋体" w:eastAsia="宋体" w:cs="宋体"/>
          <w:b w:val="0"/>
          <w:color w:val="auto"/>
          <w:sz w:val="21"/>
          <w:szCs w:val="21"/>
          <w:highlight w:val="none"/>
        </w:rPr>
        <w:t>1</w:t>
      </w:r>
      <w:bookmarkStart w:id="464" w:name="_Toc296503094"/>
      <w:bookmarkStart w:id="465" w:name="_Toc296346595"/>
      <w:bookmarkStart w:id="466" w:name="_Toc337558792"/>
      <w:r>
        <w:rPr>
          <w:rFonts w:hint="eastAsia" w:ascii="宋体" w:hAnsi="宋体" w:eastAsia="宋体" w:cs="宋体"/>
          <w:b w:val="0"/>
          <w:color w:val="auto"/>
          <w:sz w:val="21"/>
          <w:szCs w:val="21"/>
          <w:highlight w:val="none"/>
        </w:rPr>
        <w:t>0.5承包人的合理化建议</w:t>
      </w:r>
      <w:bookmarkEnd w:id="463"/>
    </w:p>
    <w:bookmarkEnd w:id="464"/>
    <w:bookmarkEnd w:id="465"/>
    <w:bookmarkEnd w:id="466"/>
    <w:p w14:paraId="3DEB473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承包人提出合理化建议的，应向监理人提交合理化建议说明，说明建议的内容和理由，以及实施该建议对合同价格和工期的影响。</w:t>
      </w:r>
    </w:p>
    <w:p w14:paraId="160B943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0199793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合理化建议降低了合同价格或者提高了工程经济效益的，发包人可对承包人给予奖励，奖励的方法和金额在专用合同条款中约定。</w:t>
      </w:r>
    </w:p>
    <w:p w14:paraId="0FC1C5F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color w:val="auto"/>
          <w:sz w:val="21"/>
          <w:szCs w:val="21"/>
          <w:highlight w:val="none"/>
        </w:rPr>
      </w:pPr>
      <w:bookmarkStart w:id="467" w:name="_Toc351203573"/>
      <w:r>
        <w:rPr>
          <w:rFonts w:hint="eastAsia" w:ascii="宋体" w:hAnsi="宋体" w:eastAsia="宋体" w:cs="宋体"/>
          <w:b w:val="0"/>
          <w:color w:val="auto"/>
          <w:sz w:val="21"/>
          <w:szCs w:val="21"/>
          <w:highlight w:val="none"/>
        </w:rPr>
        <w:t>1</w:t>
      </w:r>
      <w:bookmarkStart w:id="468" w:name="_Toc337558793"/>
      <w:r>
        <w:rPr>
          <w:rFonts w:hint="eastAsia" w:ascii="宋体" w:hAnsi="宋体" w:eastAsia="宋体" w:cs="宋体"/>
          <w:b w:val="0"/>
          <w:color w:val="auto"/>
          <w:sz w:val="21"/>
          <w:szCs w:val="21"/>
          <w:highlight w:val="none"/>
        </w:rPr>
        <w:t>0.6变更引起的工期调整</w:t>
      </w:r>
      <w:bookmarkEnd w:id="467"/>
      <w:r>
        <w:rPr>
          <w:rFonts w:hint="eastAsia" w:ascii="宋体" w:hAnsi="宋体" w:eastAsia="宋体" w:cs="宋体"/>
          <w:b w:val="0"/>
          <w:color w:val="auto"/>
          <w:sz w:val="21"/>
          <w:szCs w:val="21"/>
          <w:highlight w:val="none"/>
        </w:rPr>
        <w:t xml:space="preserve"> </w:t>
      </w:r>
      <w:bookmarkEnd w:id="468"/>
      <w:r>
        <w:rPr>
          <w:rFonts w:hint="eastAsia" w:ascii="宋体" w:hAnsi="宋体" w:eastAsia="宋体" w:cs="宋体"/>
          <w:b w:val="0"/>
          <w:color w:val="auto"/>
          <w:sz w:val="21"/>
          <w:szCs w:val="21"/>
          <w:highlight w:val="none"/>
        </w:rPr>
        <w:t xml:space="preserve"> </w:t>
      </w:r>
      <w:r>
        <w:rPr>
          <w:rFonts w:hint="eastAsia" w:ascii="宋体" w:hAnsi="宋体" w:eastAsia="宋体" w:cs="宋体"/>
          <w:color w:val="auto"/>
          <w:sz w:val="21"/>
          <w:szCs w:val="21"/>
          <w:highlight w:val="none"/>
        </w:rPr>
        <w:t xml:space="preserve"> </w:t>
      </w:r>
    </w:p>
    <w:p w14:paraId="7E95F0A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因变更引起工期变化的，合同当事人均可要求调整合同工期，由合同当事人按照第4.4款〔商定或确定〕并参考工程所在地的工期定额标准确定增减工期天数。</w:t>
      </w:r>
    </w:p>
    <w:p w14:paraId="76807AF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69" w:name="_Toc351203574"/>
      <w:r>
        <w:rPr>
          <w:rFonts w:hint="eastAsia" w:ascii="宋体" w:hAnsi="宋体" w:eastAsia="宋体" w:cs="宋体"/>
          <w:b w:val="0"/>
          <w:color w:val="auto"/>
          <w:sz w:val="21"/>
          <w:szCs w:val="21"/>
          <w:highlight w:val="none"/>
        </w:rPr>
        <w:t>10.7暂估价</w:t>
      </w:r>
      <w:bookmarkEnd w:id="469"/>
    </w:p>
    <w:p w14:paraId="565F50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暂估价专业分包工程、服务、材料和工程设备的明细由合同当事人在专用合同条款中约定。</w:t>
      </w:r>
    </w:p>
    <w:p w14:paraId="60D2E02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10.7.1</w:t>
      </w:r>
      <w:r>
        <w:rPr>
          <w:rFonts w:hint="eastAsia" w:ascii="宋体" w:hAnsi="宋体" w:eastAsia="宋体" w:cs="宋体"/>
          <w:color w:val="auto"/>
          <w:kern w:val="0"/>
          <w:sz w:val="21"/>
          <w:szCs w:val="21"/>
          <w:highlight w:val="none"/>
        </w:rPr>
        <w:t xml:space="preserve"> 依法必须招标的暂估价项目</w:t>
      </w:r>
    </w:p>
    <w:p w14:paraId="5423261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对于依法必须招标的暂估价项目，采取以下第1种方式确定。合同当事人也可以在专用合同条款中选择其他招标方式。</w:t>
      </w:r>
    </w:p>
    <w:p w14:paraId="39281F5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第1种方式：对于依法必须招标的暂估价项目，由承包人招标，对该暂估价项目的确认和批准按照以下约定执行：</w:t>
      </w:r>
    </w:p>
    <w:p w14:paraId="5E173A4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96B170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783F07F2">
      <w:pPr>
        <w:pageBreakBefore w:val="0"/>
        <w:kinsoku/>
        <w:wordWrap/>
        <w:overflowPunct/>
        <w:topLinePunct w:val="0"/>
        <w:bidi w:val="0"/>
        <w:snapToGrid/>
        <w:spacing w:line="390" w:lineRule="exact"/>
        <w:ind w:lef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AF48A9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1182D70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10.7.2</w:t>
      </w:r>
      <w:r>
        <w:rPr>
          <w:rFonts w:hint="eastAsia" w:ascii="宋体" w:hAnsi="宋体" w:eastAsia="宋体" w:cs="宋体"/>
          <w:color w:val="auto"/>
          <w:kern w:val="0"/>
          <w:sz w:val="21"/>
          <w:szCs w:val="21"/>
          <w:highlight w:val="none"/>
        </w:rPr>
        <w:t>不属于依法必须招标的暂估价项目</w:t>
      </w:r>
    </w:p>
    <w:p w14:paraId="46FA84D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除专用合同条款另有约定外，对于不属于依法必须招标的暂估价项目，采取以下第1种方式确定： </w:t>
      </w:r>
    </w:p>
    <w:p w14:paraId="69BBE25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第1种方式：对于不属于依法必须招标的暂估价项目，按本项约定确认和批准：</w:t>
      </w:r>
    </w:p>
    <w:p w14:paraId="44FF0A5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7EFBA8F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（2）发包人认为承包人确定的供应商、分包人无法满足工程质量或合同要求的，发包人可以要求承包人重新确定暂估价项目的供应商、分包人;</w:t>
      </w:r>
    </w:p>
    <w:p w14:paraId="16FA314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（3）承包人应当在签订暂估价合同后7天内，将暂估价合同副本报送发包人留存。</w:t>
      </w:r>
    </w:p>
    <w:p w14:paraId="66DCE8A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第2种方式：承包人按照第10.7.1项〔依法必须招标的暂估价项目〕约定的第1种方式确定暂估价项目。</w:t>
      </w:r>
    </w:p>
    <w:p w14:paraId="3E037DA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第3种方式：</w:t>
      </w:r>
      <w:r>
        <w:rPr>
          <w:rFonts w:hint="eastAsia" w:ascii="宋体" w:hAnsi="宋体" w:eastAsia="宋体" w:cs="宋体"/>
          <w:color w:val="auto"/>
          <w:kern w:val="0"/>
          <w:sz w:val="21"/>
          <w:szCs w:val="21"/>
          <w:highlight w:val="none"/>
        </w:rPr>
        <w:t>承包人直接实施的暂估价项目</w:t>
      </w:r>
    </w:p>
    <w:p w14:paraId="3B09022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承包人具备实施暂估价项目的资格和条件的，经发包人和承包人协商一致后，可由承包人自行实施暂估价项目，合同当事人可以在专用合同条款约定具体事项。</w:t>
      </w:r>
    </w:p>
    <w:p w14:paraId="7CE69CE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CBE45A8">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70" w:name="_Toc351203575"/>
      <w:r>
        <w:rPr>
          <w:rFonts w:hint="eastAsia" w:ascii="宋体" w:hAnsi="宋体" w:eastAsia="宋体" w:cs="宋体"/>
          <w:b w:val="0"/>
          <w:color w:val="auto"/>
          <w:sz w:val="21"/>
          <w:szCs w:val="21"/>
          <w:highlight w:val="none"/>
        </w:rPr>
        <w:t>1</w:t>
      </w:r>
      <w:bookmarkStart w:id="471" w:name="_Toc337558794"/>
      <w:bookmarkStart w:id="472" w:name="_Toc322522561"/>
      <w:bookmarkStart w:id="473" w:name="_Toc296503090"/>
      <w:bookmarkStart w:id="474" w:name="_Toc296346591"/>
      <w:r>
        <w:rPr>
          <w:rFonts w:hint="eastAsia" w:ascii="宋体" w:hAnsi="宋体" w:eastAsia="宋体" w:cs="宋体"/>
          <w:b w:val="0"/>
          <w:color w:val="auto"/>
          <w:sz w:val="21"/>
          <w:szCs w:val="21"/>
          <w:highlight w:val="none"/>
        </w:rPr>
        <w:t>0.8暂列金额</w:t>
      </w:r>
      <w:bookmarkEnd w:id="470"/>
    </w:p>
    <w:bookmarkEnd w:id="471"/>
    <w:p w14:paraId="294B949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暂列金额应按照发包人的要求使用，发包人的要求应通过监理人发出。合同当事人可以在专用合同条款中协商确定有关事项。</w:t>
      </w:r>
    </w:p>
    <w:bookmarkEnd w:id="472"/>
    <w:bookmarkEnd w:id="473"/>
    <w:bookmarkEnd w:id="474"/>
    <w:p w14:paraId="24F2753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75" w:name="_Toc351203576"/>
      <w:r>
        <w:rPr>
          <w:rFonts w:hint="eastAsia" w:ascii="宋体" w:hAnsi="宋体" w:eastAsia="宋体" w:cs="宋体"/>
          <w:b w:val="0"/>
          <w:color w:val="auto"/>
          <w:sz w:val="21"/>
          <w:szCs w:val="21"/>
          <w:highlight w:val="none"/>
        </w:rPr>
        <w:t>1</w:t>
      </w:r>
      <w:bookmarkStart w:id="476" w:name="_Toc296503091"/>
      <w:bookmarkStart w:id="477" w:name="_Toc296346592"/>
      <w:bookmarkStart w:id="478" w:name="_Toc337558796"/>
      <w:r>
        <w:rPr>
          <w:rFonts w:hint="eastAsia" w:ascii="宋体" w:hAnsi="宋体" w:eastAsia="宋体" w:cs="宋体"/>
          <w:b w:val="0"/>
          <w:color w:val="auto"/>
          <w:sz w:val="21"/>
          <w:szCs w:val="21"/>
          <w:highlight w:val="none"/>
        </w:rPr>
        <w:t>0.9计日工</w:t>
      </w:r>
      <w:bookmarkEnd w:id="475"/>
      <w:r>
        <w:rPr>
          <w:rFonts w:hint="eastAsia" w:ascii="宋体" w:hAnsi="宋体" w:eastAsia="宋体" w:cs="宋体"/>
          <w:b w:val="0"/>
          <w:color w:val="auto"/>
          <w:sz w:val="21"/>
          <w:szCs w:val="21"/>
          <w:highlight w:val="none"/>
        </w:rPr>
        <w:t xml:space="preserve"> </w:t>
      </w:r>
      <w:bookmarkEnd w:id="476"/>
      <w:bookmarkEnd w:id="477"/>
      <w:bookmarkEnd w:id="478"/>
    </w:p>
    <w:p w14:paraId="55B9736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41543F8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采用计日工计价的任何一项工作，承包人应在该项工作实施过程中，每天提交以下报表和有关凭证报送监理人审查：</w:t>
      </w:r>
    </w:p>
    <w:p w14:paraId="6D7A4FB3">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（1）工作名称、内容和数量；</w:t>
      </w:r>
    </w:p>
    <w:p w14:paraId="27C4DA74">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（2）投入该工作的所有人员的姓名、专业、工种、级别和耗用工时；</w:t>
      </w:r>
    </w:p>
    <w:p w14:paraId="5FCD33B3">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（3）投入该工作的材料类别和数量；</w:t>
      </w:r>
    </w:p>
    <w:p w14:paraId="31B551F9">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（4）投入该工作的施工设备型号、台数和耗用台时；</w:t>
      </w:r>
    </w:p>
    <w:p w14:paraId="7821153E">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（5）其他有关资料和凭证。</w:t>
      </w:r>
    </w:p>
    <w:p w14:paraId="791F8689">
      <w:pPr>
        <w:pageBreakBefore w:val="0"/>
        <w:kinsoku/>
        <w:wordWrap/>
        <w:overflowPunct/>
        <w:topLinePunct w:val="0"/>
        <w:bidi w:val="0"/>
        <w:snapToGrid/>
        <w:spacing w:line="390" w:lineRule="exact"/>
        <w:ind w:left="0" w:firstLine="315" w:firstLineChars="1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计日工由承包人汇总后，列入最近一期进度付款申请单，由监理人审查并经发包人批准后列入进度付款。</w:t>
      </w:r>
    </w:p>
    <w:p w14:paraId="49CA3FCE">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479" w:name="_Toc351203577"/>
      <w:r>
        <w:rPr>
          <w:rFonts w:hint="eastAsia" w:ascii="宋体" w:hAnsi="宋体" w:eastAsia="宋体" w:cs="宋体"/>
          <w:b w:val="0"/>
          <w:color w:val="auto"/>
          <w:sz w:val="21"/>
          <w:szCs w:val="21"/>
          <w:highlight w:val="none"/>
        </w:rPr>
        <w:t>11. 价格调整</w:t>
      </w:r>
      <w:bookmarkEnd w:id="479"/>
    </w:p>
    <w:p w14:paraId="3C76AEF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80" w:name="_Toc351203578"/>
      <w:bookmarkStart w:id="481" w:name="_Toc296346593"/>
      <w:bookmarkStart w:id="482" w:name="_Toc337558797"/>
      <w:bookmarkStart w:id="483" w:name="_Toc296503092"/>
      <w:r>
        <w:rPr>
          <w:rFonts w:hint="eastAsia" w:ascii="宋体" w:hAnsi="宋体" w:eastAsia="宋体" w:cs="宋体"/>
          <w:b w:val="0"/>
          <w:color w:val="auto"/>
          <w:sz w:val="21"/>
          <w:szCs w:val="21"/>
          <w:highlight w:val="none"/>
        </w:rPr>
        <w:t>11.1市场价格波动引起的调整</w:t>
      </w:r>
      <w:bookmarkEnd w:id="480"/>
    </w:p>
    <w:bookmarkEnd w:id="481"/>
    <w:bookmarkEnd w:id="482"/>
    <w:bookmarkEnd w:id="483"/>
    <w:p w14:paraId="05CEC9F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14:paraId="2CD9C085">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14:paraId="053F73A5">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（1）价格调整公式</w:t>
      </w:r>
    </w:p>
    <w:p w14:paraId="16E082C5">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因人工、材料和设备等价格波动影响合同价格时，根据专用合同条款中约定的数据，按以下公式计算差额并调整合同价格：</w:t>
      </w:r>
    </w:p>
    <w:p w14:paraId="72FBBE27">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30"/>
          <w:sz w:val="21"/>
          <w:szCs w:val="21"/>
          <w:highlight w:val="none"/>
        </w:rPr>
        <w:object>
          <v:shape id="_x0000_i1025" o:spt="75" type="#_x0000_t75" style="height:43.9pt;width:359.85pt;" o:ole="t" filled="f" stroked="f" coordsize="21600,21600">
            <v:path/>
            <v:fill on="f" focussize="0,0"/>
            <v:stroke on="f"/>
            <v:imagedata r:id="rId12" o:title=""/>
            <o:lock v:ext="edit" grouping="f" rotation="f" text="f" aspectratio="t"/>
            <w10:wrap type="none"/>
            <w10:anchorlock/>
          </v:shape>
          <o:OLEObject Type="Embed" ProgID="Equation.KSEE3" ShapeID="_x0000_i1025" DrawAspect="Content" ObjectID="_1468075725" r:id="rId11">
            <o:LockedField>false</o:LockedField>
          </o:OLEObject>
        </w:object>
      </w:r>
    </w:p>
    <w:p w14:paraId="08277B7A">
      <w:pPr>
        <w:pageBreakBefore w:val="0"/>
        <w:tabs>
          <w:tab w:val="left" w:pos="0"/>
          <w:tab w:val="left" w:pos="360"/>
          <w:tab w:val="left" w:pos="540"/>
        </w:tabs>
        <w:kinsoku/>
        <w:wordWrap/>
        <w:overflowPunct/>
        <w:topLinePunct w:val="0"/>
        <w:bidi w:val="0"/>
        <w:snapToGrid/>
        <w:spacing w:line="390" w:lineRule="exact"/>
        <w:ind w:left="0" w:firstLine="6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公式中：ΔP——需调整的价格差额；</w:t>
      </w:r>
    </w:p>
    <w:p w14:paraId="7BA332F2">
      <w:pPr>
        <w:pageBreakBefore w:val="0"/>
        <w:tabs>
          <w:tab w:val="left" w:pos="0"/>
          <w:tab w:val="left" w:pos="360"/>
          <w:tab w:val="left" w:pos="540"/>
        </w:tabs>
        <w:kinsoku/>
        <w:wordWrap/>
        <w:overflowPunct/>
        <w:topLinePunct w:val="0"/>
        <w:bidi w:val="0"/>
        <w:snapToGrid/>
        <w:spacing w:line="390" w:lineRule="exact"/>
        <w:ind w:left="0" w:firstLine="1260" w:firstLineChars="600"/>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6"/>
          <w:sz w:val="21"/>
          <w:szCs w:val="21"/>
          <w:highlight w:val="none"/>
        </w:rPr>
        <w:object>
          <v:shape id="_x0000_i1026" o:spt="75" type="#_x0000_t75" style="height:17.95pt;width:17.95pt;" o:ole="t" filled="f" stroked="f" coordsize="21600,21600">
            <v:path/>
            <v:fill on="f" focussize="0,0"/>
            <v:stroke on="f"/>
            <v:imagedata r:id="rId14" o:title=""/>
            <o:lock v:ext="edit" grouping="f" rotation="f" text="f" aspectratio="t"/>
            <w10:wrap type="none"/>
            <w10:anchorlock/>
          </v:shape>
          <o:OLEObject Type="Embed" ProgID="Equation.KSEE3" ShapeID="_x0000_i1026" DrawAspect="Content" ObjectID="_1468075726" r:id="rId13">
            <o:LockedField>false</o:LockedField>
          </o:OLEObject>
        </w:object>
      </w:r>
      <w:r>
        <w:rPr>
          <w:rFonts w:hint="eastAsia" w:ascii="宋体" w:hAnsi="宋体" w:eastAsia="宋体" w:cs="宋体"/>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193ADA4F">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A——定值权重（即不调部分的权重）；</w:t>
      </w:r>
    </w:p>
    <w:p w14:paraId="5E14F591">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10"/>
          <w:sz w:val="21"/>
          <w:szCs w:val="21"/>
          <w:highlight w:val="none"/>
        </w:rPr>
        <w:object>
          <v:shape id="_x0000_i1027" o:spt="75" type="#_x0000_t75" style="height:21.05pt;width:101pt;" o:ole="t" filled="f" stroked="f" coordsize="21600,21600">
            <v:path/>
            <v:fill on="f" focussize="0,0"/>
            <v:stroke on="f"/>
            <v:imagedata r:id="rId16" o:title=""/>
            <o:lock v:ext="edit" grouping="f" rotation="f" text="f" aspectratio="t"/>
            <w10:wrap type="none"/>
            <w10:anchorlock/>
          </v:shape>
          <o:OLEObject Type="Embed" ProgID="Equation.KSEE3" ShapeID="_x0000_i1027" DrawAspect="Content" ObjectID="_1468075727" r:id="rId15">
            <o:LockedField>false</o:LockedField>
          </o:OLEObject>
        </w:object>
      </w:r>
      <w:r>
        <w:rPr>
          <w:rFonts w:hint="eastAsia" w:ascii="宋体" w:hAnsi="宋体" w:eastAsia="宋体" w:cs="宋体"/>
          <w:color w:val="auto"/>
          <w:sz w:val="21"/>
          <w:szCs w:val="21"/>
          <w:highlight w:val="none"/>
        </w:rPr>
        <w:t>——各可调因子的变值权重（即可调部分的权重），为各可调因子在签约合同价中所占的比例；</w:t>
      </w:r>
    </w:p>
    <w:p w14:paraId="30E10BE7">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10"/>
          <w:sz w:val="21"/>
          <w:szCs w:val="21"/>
          <w:highlight w:val="none"/>
        </w:rPr>
        <w:object>
          <v:shape id="_x0000_i1028" o:spt="75" type="#_x0000_t75" style="height:20.6pt;width:102.05pt;" o:ole="t" filled="f" stroked="f" coordsize="21600,21600">
            <v:path/>
            <v:fill on="f" focussize="0,0"/>
            <v:stroke on="f"/>
            <v:imagedata r:id="rId18" o:title=""/>
            <o:lock v:ext="edit" grouping="f" rotation="f" text="f" aspectratio="t"/>
            <w10:wrap type="none"/>
            <w10:anchorlock/>
          </v:shape>
          <o:OLEObject Type="Embed" ProgID="Equation.KSEE3" ShapeID="_x0000_i1028" DrawAspect="Content" ObjectID="_1468075728" r:id="rId17">
            <o:LockedField>false</o:LockedField>
          </o:OLEObject>
        </w:object>
      </w:r>
      <w:r>
        <w:rPr>
          <w:rFonts w:hint="eastAsia" w:ascii="宋体" w:hAnsi="宋体" w:eastAsia="宋体" w:cs="宋体"/>
          <w:color w:val="auto"/>
          <w:sz w:val="21"/>
          <w:szCs w:val="21"/>
          <w:highlight w:val="none"/>
        </w:rPr>
        <w:t>——各可调因子的现行价格指数，指约定的付款证书相关周期最后一天的前42天的各可调因子的价格指数；</w:t>
      </w:r>
    </w:p>
    <w:p w14:paraId="26FB5B49">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10"/>
          <w:sz w:val="21"/>
          <w:szCs w:val="21"/>
          <w:highlight w:val="none"/>
        </w:rPr>
        <w:object>
          <v:shape id="_x0000_i1029" o:spt="75" type="#_x0000_t75" style="height:20.2pt;width:107.95pt;" o:ole="t" filled="f" stroked="f" coordsize="21600,21600">
            <v:path/>
            <v:fill on="f" focussize="0,0"/>
            <v:stroke on="f"/>
            <v:imagedata r:id="rId20" o:title=""/>
            <o:lock v:ext="edit" grouping="f" rotation="f" text="f" aspectratio="t"/>
            <w10:wrap type="none"/>
            <w10:anchorlock/>
          </v:shape>
          <o:OLEObject Type="Embed" ProgID="Equation.KSEE3" ShapeID="_x0000_i1029" DrawAspect="Content" ObjectID="_1468075729" r:id="rId19">
            <o:LockedField>false</o:LockedField>
          </o:OLEObject>
        </w:object>
      </w:r>
      <w:r>
        <w:rPr>
          <w:rFonts w:hint="eastAsia" w:ascii="宋体" w:hAnsi="宋体" w:eastAsia="宋体" w:cs="宋体"/>
          <w:color w:val="auto"/>
          <w:sz w:val="21"/>
          <w:szCs w:val="21"/>
          <w:highlight w:val="none"/>
        </w:rPr>
        <w:t>——各可调因子的基本价格指数，指基准日期的各可调因子的价格指数。</w:t>
      </w:r>
    </w:p>
    <w:p w14:paraId="1491DF57">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2DDBB74C">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（2）暂时确定调整差额</w:t>
      </w:r>
    </w:p>
    <w:p w14:paraId="54D8E232">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在计算调整差额时无现行价格指数的，合同当事人同意暂用前次价格指数计算。实际价格指数有调整的，合同当事人进行相应调整。</w:t>
      </w:r>
    </w:p>
    <w:p w14:paraId="73B937DF">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（3）权重的调整</w:t>
      </w:r>
    </w:p>
    <w:p w14:paraId="2643F0C5">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因变更导致合同约定的权重不合理时，按照第4.4款〔商定或确定〕执行。</w:t>
      </w:r>
    </w:p>
    <w:p w14:paraId="079191DA">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（4）因承包人原因工期延误后的价格调整</w:t>
      </w:r>
    </w:p>
    <w:p w14:paraId="56469CDC">
      <w:pPr>
        <w:pageBreakBefore w:val="0"/>
        <w:tabs>
          <w:tab w:val="left" w:pos="0"/>
          <w:tab w:val="left" w:pos="360"/>
          <w:tab w:val="left" w:pos="540"/>
        </w:tabs>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1D94788A">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14:paraId="6859C8C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78EDEAD3">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E6A67B6">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（2）材料、工程设备价格变化的价款调整按照发包人提供的基准价格，按以下风险范围规定执行:</w:t>
      </w:r>
    </w:p>
    <w:p w14:paraId="31858AA1">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F38C081">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6A57EE53">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5FF05D8">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38C8E63A">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bookmarkStart w:id="484" w:name="OLE_LINK3"/>
      <w:r>
        <w:rPr>
          <w:rFonts w:hint="eastAsia" w:ascii="宋体" w:hAnsi="宋体" w:eastAsia="宋体" w:cs="宋体"/>
          <w:color w:val="auto"/>
          <w:sz w:val="21"/>
          <w:szCs w:val="21"/>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28EDC93">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（3）施工机械台班单价或施工机械使用费发生变化超过省级或行业建设主管部门或其授权的工程造价管理机构规定的范围时，按规定调整合同价格。</w:t>
      </w:r>
    </w:p>
    <w:p w14:paraId="6FDC230D">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第3种方式：专用合同条款约定的其他方式。</w:t>
      </w:r>
    </w:p>
    <w:p w14:paraId="60ADD38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85" w:name="_Toc351203579"/>
      <w:bookmarkStart w:id="486" w:name="_Toc296503093"/>
      <w:bookmarkStart w:id="487" w:name="_Toc337558798"/>
      <w:bookmarkStart w:id="488" w:name="_Toc296346594"/>
      <w:r>
        <w:rPr>
          <w:rFonts w:hint="eastAsia" w:ascii="宋体" w:hAnsi="宋体" w:eastAsia="宋体" w:cs="宋体"/>
          <w:b w:val="0"/>
          <w:color w:val="auto"/>
          <w:sz w:val="21"/>
          <w:szCs w:val="21"/>
          <w:highlight w:val="none"/>
        </w:rPr>
        <w:t>11.2法律变化引起的调整</w:t>
      </w:r>
      <w:bookmarkEnd w:id="485"/>
    </w:p>
    <w:bookmarkEnd w:id="486"/>
    <w:bookmarkEnd w:id="487"/>
    <w:bookmarkEnd w:id="488"/>
    <w:p w14:paraId="21554EB5">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CDF2165">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因法律变化引起的合同价格和工期调整，合同当事人无法达成一致的，由总监理工程师按第4.4款〔商定或确定〕的约定处理。</w:t>
      </w:r>
    </w:p>
    <w:p w14:paraId="6F11F5D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因承包人原因造成工期延误，在工期延误期间出现法律变化的，由此增加的费用和（或）延误的工期由承包人承担。</w:t>
      </w:r>
    </w:p>
    <w:p w14:paraId="18FB298A">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489" w:name="_Toc351203580"/>
      <w:bookmarkStart w:id="490" w:name="_Toc337558799"/>
      <w:bookmarkStart w:id="491" w:name="_Toc296503096"/>
      <w:bookmarkStart w:id="492" w:name="_Toc296346597"/>
      <w:r>
        <w:rPr>
          <w:rFonts w:hint="eastAsia" w:ascii="宋体" w:hAnsi="宋体" w:eastAsia="宋体" w:cs="宋体"/>
          <w:b w:val="0"/>
          <w:color w:val="auto"/>
          <w:sz w:val="21"/>
          <w:szCs w:val="21"/>
          <w:highlight w:val="none"/>
        </w:rPr>
        <w:t>12. 合同价格、计量与支付</w:t>
      </w:r>
      <w:bookmarkEnd w:id="489"/>
    </w:p>
    <w:bookmarkEnd w:id="490"/>
    <w:p w14:paraId="00378EE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93" w:name="_Toc351203581"/>
      <w:bookmarkStart w:id="494" w:name="_Toc337558800"/>
      <w:r>
        <w:rPr>
          <w:rFonts w:hint="eastAsia" w:ascii="宋体" w:hAnsi="宋体" w:eastAsia="宋体" w:cs="宋体"/>
          <w:b w:val="0"/>
          <w:color w:val="auto"/>
          <w:sz w:val="21"/>
          <w:szCs w:val="21"/>
          <w:highlight w:val="none"/>
        </w:rPr>
        <w:t>12.1 合同价</w:t>
      </w:r>
      <w:bookmarkEnd w:id="491"/>
      <w:bookmarkEnd w:id="492"/>
      <w:r>
        <w:rPr>
          <w:rFonts w:hint="eastAsia" w:ascii="宋体" w:hAnsi="宋体" w:eastAsia="宋体" w:cs="宋体"/>
          <w:b w:val="0"/>
          <w:color w:val="auto"/>
          <w:sz w:val="21"/>
          <w:szCs w:val="21"/>
          <w:highlight w:val="none"/>
        </w:rPr>
        <w:t>格形式</w:t>
      </w:r>
      <w:bookmarkEnd w:id="493"/>
    </w:p>
    <w:bookmarkEnd w:id="494"/>
    <w:p w14:paraId="31D534E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发包人和承包人应在合同协议书中选择下列一种合同价格形式： </w:t>
      </w:r>
    </w:p>
    <w:p w14:paraId="1C768FC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1.单价合同</w:t>
      </w:r>
    </w:p>
    <w:p w14:paraId="5E912DD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单价合同是指合同当事人约定以工程量清单及其综合单价进行合同价格计算、调整和确认的建设工程施工合同，</w:t>
      </w:r>
      <w:r>
        <w:rPr>
          <w:rFonts w:hint="eastAsia" w:ascii="宋体" w:hAnsi="宋体" w:eastAsia="宋体" w:cs="宋体"/>
          <w:color w:val="auto"/>
          <w:sz w:val="21"/>
          <w:szCs w:val="21"/>
          <w:highlight w:val="none"/>
        </w:rPr>
        <w:t>在约定的范围内合同单价不作调整</w:t>
      </w:r>
      <w:r>
        <w:rPr>
          <w:rFonts w:hint="eastAsia" w:ascii="宋体" w:hAnsi="宋体" w:eastAsia="宋体" w:cs="宋体"/>
          <w:color w:val="auto"/>
          <w:kern w:val="0"/>
          <w:sz w:val="21"/>
          <w:szCs w:val="21"/>
          <w:highlight w:val="none"/>
        </w:rPr>
        <w:t>。合同当事人应在专用合同条款中约定综合单价包含的风险范围和风险费用的计算方法</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并约定风险范围以外的合同价格的调整方法，其中因市场价格波动引起的调整按第11.1款〔市场价格波动引起的调整〕约定执行。</w:t>
      </w:r>
    </w:p>
    <w:p w14:paraId="1A24791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2.总价合同</w:t>
      </w:r>
    </w:p>
    <w:p w14:paraId="5C5061B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总价合同是指合同当事人约定以施工图、已标价工程量清单或预算书及有关条件进行合同价格计算、调整和确认的建设工程施工合同，</w:t>
      </w:r>
      <w:r>
        <w:rPr>
          <w:rFonts w:hint="eastAsia" w:ascii="宋体" w:hAnsi="宋体" w:eastAsia="宋体" w:cs="宋体"/>
          <w:color w:val="auto"/>
          <w:sz w:val="21"/>
          <w:szCs w:val="21"/>
          <w:highlight w:val="none"/>
        </w:rPr>
        <w:t>在约定的范围内合同总价不作调整</w:t>
      </w:r>
      <w:r>
        <w:rPr>
          <w:rFonts w:hint="eastAsia" w:ascii="宋体" w:hAnsi="宋体" w:eastAsia="宋体" w:cs="宋体"/>
          <w:color w:val="auto"/>
          <w:kern w:val="0"/>
          <w:sz w:val="21"/>
          <w:szCs w:val="21"/>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6F732A0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3.其它价格形式</w:t>
      </w:r>
    </w:p>
    <w:p w14:paraId="4A2C1C0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合同当事人可在专用合同条款中约定其他合同价格形式。</w:t>
      </w:r>
    </w:p>
    <w:p w14:paraId="4F69F27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495" w:name="_Toc296346598"/>
      <w:bookmarkStart w:id="496" w:name="_Toc296503097"/>
      <w:bookmarkStart w:id="497" w:name="_Toc351203582"/>
      <w:bookmarkStart w:id="498" w:name="_Toc337558801"/>
      <w:r>
        <w:rPr>
          <w:rFonts w:hint="eastAsia" w:ascii="宋体" w:hAnsi="宋体" w:eastAsia="宋体" w:cs="宋体"/>
          <w:b w:val="0"/>
          <w:color w:val="auto"/>
          <w:sz w:val="21"/>
          <w:szCs w:val="21"/>
          <w:highlight w:val="none"/>
        </w:rPr>
        <w:t>12.2预</w:t>
      </w:r>
      <w:bookmarkEnd w:id="495"/>
      <w:bookmarkEnd w:id="496"/>
      <w:bookmarkStart w:id="499" w:name="_Toc296346601"/>
      <w:bookmarkStart w:id="500" w:name="_Toc296503100"/>
      <w:r>
        <w:rPr>
          <w:rFonts w:hint="eastAsia" w:ascii="宋体" w:hAnsi="宋体" w:eastAsia="宋体" w:cs="宋体"/>
          <w:b w:val="0"/>
          <w:color w:val="auto"/>
          <w:sz w:val="21"/>
          <w:szCs w:val="21"/>
          <w:highlight w:val="none"/>
        </w:rPr>
        <w:t>付款</w:t>
      </w:r>
      <w:bookmarkEnd w:id="497"/>
    </w:p>
    <w:bookmarkEnd w:id="498"/>
    <w:bookmarkEnd w:id="499"/>
    <w:bookmarkEnd w:id="500"/>
    <w:p w14:paraId="317CE74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12.2.</w:t>
      </w:r>
      <w:r>
        <w:rPr>
          <w:rFonts w:hint="eastAsia" w:ascii="宋体" w:hAnsi="宋体" w:eastAsia="宋体" w:cs="宋体"/>
          <w:color w:val="auto"/>
          <w:kern w:val="0"/>
          <w:sz w:val="21"/>
          <w:szCs w:val="21"/>
          <w:highlight w:val="none"/>
        </w:rPr>
        <w:t>1预付款的支付</w:t>
      </w:r>
    </w:p>
    <w:p w14:paraId="52E46B6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14:paraId="16C518C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除专用合同条款另有约定外，预付款在进度付款中同比例扣回。</w:t>
      </w:r>
      <w:bookmarkEnd w:id="484"/>
      <w:r>
        <w:rPr>
          <w:rFonts w:hint="eastAsia" w:ascii="宋体" w:hAnsi="宋体" w:eastAsia="宋体" w:cs="宋体"/>
          <w:color w:val="auto"/>
          <w:kern w:val="0"/>
          <w:sz w:val="21"/>
          <w:szCs w:val="21"/>
          <w:highlight w:val="none"/>
        </w:rPr>
        <w:t>在颁发工程接收证书前，提前解除合同的，尚未扣完的预付款应与合同价款一并结算。</w:t>
      </w:r>
    </w:p>
    <w:p w14:paraId="1DD2D6D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发包人逾期支付预付款超过7天的，承包人有权向发包人发出要求预付的催告通知，发包人收到通知后7天内仍未支付的，承包人有权暂停施工，并按第16.1.1项〔发包人违约的情形〕执行。</w:t>
      </w:r>
    </w:p>
    <w:p w14:paraId="08D6AD8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14:paraId="2EF4372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518FF29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发包人在工程款中逐期扣回预付款后，预付款担保额度应相应减少，但剩余的预付款担保金额不得低于未被扣回的预付款金额。</w:t>
      </w:r>
    </w:p>
    <w:p w14:paraId="4E4A73C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01" w:name="_Toc351203583"/>
      <w:bookmarkStart w:id="502" w:name="_Toc337558802"/>
      <w:r>
        <w:rPr>
          <w:rFonts w:hint="eastAsia" w:ascii="宋体" w:hAnsi="宋体" w:eastAsia="宋体" w:cs="宋体"/>
          <w:b w:val="0"/>
          <w:color w:val="auto"/>
          <w:sz w:val="21"/>
          <w:szCs w:val="21"/>
          <w:highlight w:val="none"/>
        </w:rPr>
        <w:t>12.3计量</w:t>
      </w:r>
      <w:bookmarkEnd w:id="501"/>
    </w:p>
    <w:bookmarkEnd w:id="502"/>
    <w:p w14:paraId="02FB5E7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12.3.1 计量原则</w:t>
      </w:r>
    </w:p>
    <w:p w14:paraId="775C5E0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工程量计量按照合同约定的工程量计算规则、图纸及变更指示等进行计量。工程量计算规则应以相关的国家标准、行业标准等为依据，由合同当事人在专用合同条款中约定。</w:t>
      </w:r>
    </w:p>
    <w:p w14:paraId="018E9B1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12.3.2 计量周期</w:t>
      </w:r>
    </w:p>
    <w:p w14:paraId="41B70C6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除专用合同条款另有约定外，工程量的计量按月进行。</w:t>
      </w:r>
    </w:p>
    <w:p w14:paraId="7980BE3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12.3.3 单价合同的计量</w:t>
      </w:r>
    </w:p>
    <w:p w14:paraId="1E926A8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除专用合同条款另有约定外，单价合同的计量按照本项约定执行：</w:t>
      </w:r>
    </w:p>
    <w:p w14:paraId="7FF2EB4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（1）承包人应于每月25日向监理人报送上月20日至当月19日已完成的工程量报告，并附具进度付款申请单、已完成工程量报表和有关资料。</w:t>
      </w:r>
    </w:p>
    <w:p w14:paraId="3B384BB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8D7EB8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（3）监理人未在收到承包人提交的工程量报表后的7天内完成审核的，承包人报送的工程量报告中的工程量视为承包人实际完成的工程量，据此计算工程价款。</w:t>
      </w:r>
    </w:p>
    <w:p w14:paraId="102C81A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12.3.4 总价合同的计量</w:t>
      </w:r>
    </w:p>
    <w:p w14:paraId="7D5839F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除专用合同条款另有约定外，按月计量支付的总价合同，按照本项约定执行：</w:t>
      </w:r>
    </w:p>
    <w:p w14:paraId="09DE513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（1）承包人应于每月25日向监理人报送上月20日至当月19日已完成的工程量报告，并附具进度付款申请单、已完成工程量报表和有关资料。</w:t>
      </w:r>
    </w:p>
    <w:p w14:paraId="684A4A0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34528B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（3）监理人未在收到承包人提交的工程量报表后的7天内完成复核的，承包人提交的工程量报告中的工程量视为承包人实际完成的工程量。</w:t>
      </w:r>
    </w:p>
    <w:p w14:paraId="4E7940A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12.3.5 总价合同采用支付分解表计量支付的，可以按照第12.3.4项〔总价合同的计量〕约定进行计量，但合同价款按照支付分解表进行支付。</w:t>
      </w:r>
    </w:p>
    <w:p w14:paraId="3F9FA02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12.3.6 其他价格形式合同的计量</w:t>
      </w:r>
    </w:p>
    <w:p w14:paraId="6F34D87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合同当事人可在专用合同条款中约定其他价格形式合同的计量方式和程序。</w:t>
      </w:r>
    </w:p>
    <w:p w14:paraId="7C896AF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03" w:name="_Toc296346602"/>
      <w:bookmarkStart w:id="504" w:name="_Toc296503101"/>
      <w:bookmarkStart w:id="505" w:name="_Toc351203584"/>
      <w:bookmarkStart w:id="506" w:name="_Toc337558803"/>
      <w:r>
        <w:rPr>
          <w:rFonts w:hint="eastAsia" w:ascii="宋体" w:hAnsi="宋体" w:eastAsia="宋体" w:cs="宋体"/>
          <w:b w:val="0"/>
          <w:color w:val="auto"/>
          <w:sz w:val="21"/>
          <w:szCs w:val="21"/>
          <w:highlight w:val="none"/>
        </w:rPr>
        <w:t>12.4工程进度款支</w:t>
      </w:r>
      <w:bookmarkEnd w:id="503"/>
      <w:bookmarkEnd w:id="504"/>
      <w:r>
        <w:rPr>
          <w:rFonts w:hint="eastAsia" w:ascii="宋体" w:hAnsi="宋体" w:eastAsia="宋体" w:cs="宋体"/>
          <w:b w:val="0"/>
          <w:color w:val="auto"/>
          <w:sz w:val="21"/>
          <w:szCs w:val="21"/>
          <w:highlight w:val="none"/>
        </w:rPr>
        <w:t>付</w:t>
      </w:r>
      <w:bookmarkEnd w:id="505"/>
    </w:p>
    <w:bookmarkEnd w:id="506"/>
    <w:p w14:paraId="77D1501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12.4</w:t>
      </w:r>
      <w:r>
        <w:rPr>
          <w:rFonts w:hint="eastAsia" w:ascii="宋体" w:hAnsi="宋体" w:eastAsia="宋体" w:cs="宋体"/>
          <w:color w:val="auto"/>
          <w:kern w:val="0"/>
          <w:sz w:val="21"/>
          <w:szCs w:val="21"/>
          <w:highlight w:val="none"/>
        </w:rPr>
        <w:t>.1 付款周期</w:t>
      </w:r>
    </w:p>
    <w:p w14:paraId="206F84E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除专用合同条款另有约定外，付款周期应按照第12.3.2项〔计量周期〕的约定与计量周期保持一致。</w:t>
      </w:r>
    </w:p>
    <w:p w14:paraId="02E7D20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12.4</w:t>
      </w:r>
      <w:r>
        <w:rPr>
          <w:rFonts w:hint="eastAsia" w:ascii="宋体" w:hAnsi="宋体" w:eastAsia="宋体" w:cs="宋体"/>
          <w:color w:val="auto"/>
          <w:kern w:val="0"/>
          <w:sz w:val="21"/>
          <w:szCs w:val="21"/>
          <w:highlight w:val="none"/>
        </w:rPr>
        <w:t>.2 进度付款申请单的编制</w:t>
      </w:r>
    </w:p>
    <w:p w14:paraId="60E9428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除专用合同条款另有约定外，进度付款申请单应包括下列内容：</w:t>
      </w:r>
    </w:p>
    <w:p w14:paraId="505EE1B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（1）截至本次付款周期已完成工作对应的金额；</w:t>
      </w:r>
    </w:p>
    <w:p w14:paraId="3478C3C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（2）根据第10条〔变更〕应增加和扣减的变更金额；</w:t>
      </w:r>
    </w:p>
    <w:p w14:paraId="1500662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（3）根据第12.2款〔预付款〕约定应支付的预付款和扣减的返还预付款；</w:t>
      </w:r>
    </w:p>
    <w:p w14:paraId="4409BBF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（4）根据第15.3款〔质量保证金〕约定应扣减的质量保证金；</w:t>
      </w:r>
    </w:p>
    <w:p w14:paraId="3FFD87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（5）根据第19条〔索赔〕应增加和扣减的索赔金额；</w:t>
      </w:r>
    </w:p>
    <w:p w14:paraId="260D030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（6）对已签发的进度款支付证书中出现错误的修正，应在本次进度付款中支付或扣除的金额；</w:t>
      </w:r>
    </w:p>
    <w:p w14:paraId="225EEC4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（7）根据合同约定应增加和扣减的其他金额。</w:t>
      </w:r>
    </w:p>
    <w:p w14:paraId="124BD3F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12.4.3 进度付款申请单的提交</w:t>
      </w:r>
    </w:p>
    <w:p w14:paraId="51969E9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（1）单价合同进度付款申请单的提交</w:t>
      </w:r>
    </w:p>
    <w:p w14:paraId="55CF74D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7F0E73B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（2）总价合同进度付款申请单的提交</w:t>
      </w:r>
    </w:p>
    <w:p w14:paraId="06CEE84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总价合同按月计量支付的，承包人按照第12.3.4项〔总价合同的计量〕约定的时间按月向监理人提交进度付款申请单，并附上已完成工程量报表和有关资料。</w:t>
      </w:r>
    </w:p>
    <w:p w14:paraId="082A71B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总价合同按支付分解表支付的，承包人应按照第12.4.6项〔支付分解表〕及第12.4.2项〔进度付款申请单的编制〕的约定向监理人提交进度付款申请单。</w:t>
      </w:r>
    </w:p>
    <w:p w14:paraId="5E47A71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（3）其他价格形式合同的进度付款申请单的提交</w:t>
      </w:r>
    </w:p>
    <w:p w14:paraId="1493420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合同当事人可在专用合同条款中约定其他价格形式合同的进度付款申请单的编制和提交程序。</w:t>
      </w:r>
    </w:p>
    <w:p w14:paraId="6606591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12.4</w:t>
      </w:r>
      <w:r>
        <w:rPr>
          <w:rFonts w:hint="eastAsia" w:ascii="宋体" w:hAnsi="宋体" w:eastAsia="宋体" w:cs="宋体"/>
          <w:color w:val="auto"/>
          <w:kern w:val="0"/>
          <w:sz w:val="21"/>
          <w:szCs w:val="21"/>
          <w:highlight w:val="none"/>
        </w:rPr>
        <w:t>.4 进度款审核和支付</w:t>
      </w:r>
    </w:p>
    <w:p w14:paraId="18CA316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BC89A6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26E867C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64A4BE0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（3）发包人签发进度款支付证书或临时进度款支付证书，不表明发包人已同意、批准或接受了承包人完成的相应部分的工作。</w:t>
      </w:r>
    </w:p>
    <w:p w14:paraId="46FF296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12.4.5 进度付款的修正</w:t>
      </w:r>
    </w:p>
    <w:p w14:paraId="2CE729D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2AA77FA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12.4.6 支付分解表</w:t>
      </w:r>
    </w:p>
    <w:p w14:paraId="43026DE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1.支付分解表的编制要求</w:t>
      </w:r>
    </w:p>
    <w:p w14:paraId="50A33EF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（1）支付分解表中所列的每期付款金额，应为第12.4.2项〔进度付款申请单的编制〕第（1）目的估算金额；</w:t>
      </w:r>
    </w:p>
    <w:p w14:paraId="21EA4FF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（2）实际进度与施工进度计划不一致的，合同当事人可按照第4.4款〔商定或确定〕修改支付分解表；</w:t>
      </w:r>
    </w:p>
    <w:p w14:paraId="05522C0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（3）不采用支付分解表的，承包人应向发包人和监理人提交按季度编制的支付估算分解表，用于支付参考。</w:t>
      </w:r>
    </w:p>
    <w:p w14:paraId="6C20882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2.总价合同支付分解表的编制与审批</w:t>
      </w:r>
    </w:p>
    <w:p w14:paraId="401129F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490089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7935B25F">
      <w:pPr>
        <w:pageBreakBefore w:val="0"/>
        <w:kinsoku/>
        <w:wordWrap/>
        <w:overflowPunct/>
        <w:topLinePunct w:val="0"/>
        <w:bidi w:val="0"/>
        <w:snapToGrid/>
        <w:spacing w:line="390" w:lineRule="exact"/>
        <w:ind w:lef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（3）发包人逾期未完成支付分解表审批的，也未及时要求承包人进行修正和提供补充资料的，则承包人提交的支付分解表视为已经获得发包人批准。</w:t>
      </w:r>
    </w:p>
    <w:p w14:paraId="58263EE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3.单价合同的总价项目支付分解表的编制与审批</w:t>
      </w:r>
    </w:p>
    <w:p w14:paraId="483A0DC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9109B4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07" w:name="_Toc351203585"/>
      <w:r>
        <w:rPr>
          <w:rFonts w:hint="eastAsia" w:ascii="宋体" w:hAnsi="宋体" w:eastAsia="宋体" w:cs="宋体"/>
          <w:b w:val="0"/>
          <w:color w:val="auto"/>
          <w:sz w:val="21"/>
          <w:szCs w:val="21"/>
          <w:highlight w:val="none"/>
        </w:rPr>
        <w:t>12.5支付账户</w:t>
      </w:r>
      <w:bookmarkEnd w:id="507"/>
    </w:p>
    <w:p w14:paraId="5F0A1F3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发包人应将合同价款支付至合同协议书中约定的承包人账户。</w:t>
      </w:r>
    </w:p>
    <w:p w14:paraId="0DBFDAB4">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08" w:name="_Toc351203586"/>
      <w:bookmarkStart w:id="509" w:name="_Toc322522574"/>
      <w:bookmarkStart w:id="510" w:name="_Toc296503106"/>
      <w:bookmarkStart w:id="511" w:name="_Toc296346607"/>
      <w:bookmarkStart w:id="512" w:name="_Toc337558804"/>
      <w:r>
        <w:rPr>
          <w:rFonts w:hint="eastAsia" w:ascii="宋体" w:hAnsi="宋体" w:eastAsia="宋体" w:cs="宋体"/>
          <w:b w:val="0"/>
          <w:color w:val="auto"/>
          <w:sz w:val="21"/>
          <w:szCs w:val="21"/>
          <w:highlight w:val="none"/>
        </w:rPr>
        <w:t>13. 验收和工程试车</w:t>
      </w:r>
      <w:bookmarkEnd w:id="508"/>
    </w:p>
    <w:bookmarkEnd w:id="509"/>
    <w:bookmarkEnd w:id="510"/>
    <w:bookmarkEnd w:id="511"/>
    <w:bookmarkEnd w:id="512"/>
    <w:p w14:paraId="75A8B70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13" w:name="_Toc351203587"/>
      <w:bookmarkStart w:id="514" w:name="_Toc337558805"/>
      <w:bookmarkStart w:id="515" w:name="_Toc296503110"/>
      <w:bookmarkStart w:id="516" w:name="_Toc296346611"/>
      <w:r>
        <w:rPr>
          <w:rFonts w:hint="eastAsia" w:ascii="宋体" w:hAnsi="宋体" w:eastAsia="宋体" w:cs="宋体"/>
          <w:b w:val="0"/>
          <w:color w:val="auto"/>
          <w:sz w:val="21"/>
          <w:szCs w:val="21"/>
          <w:highlight w:val="none"/>
        </w:rPr>
        <w:t>13.1分部分项工程验收</w:t>
      </w:r>
      <w:bookmarkEnd w:id="513"/>
    </w:p>
    <w:bookmarkEnd w:id="514"/>
    <w:p w14:paraId="72F0AE79">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13.1.1 分部分项工程质量应符合国家有关工程施工验收规范、标准及合同约定，承包人应按照施工组织设计的要求完成分部分项工程施工。</w:t>
      </w:r>
    </w:p>
    <w:p w14:paraId="6FA9C2A0">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 除专用合同条款另有约定外，分部分项工程经承包人自检合格并具备验收条件的，承包人应提前48小时通知监理人进行验收。</w:t>
      </w:r>
      <w:r>
        <w:rPr>
          <w:rFonts w:hint="eastAsia" w:ascii="宋体" w:hAnsi="宋体" w:eastAsia="宋体" w:cs="宋体"/>
          <w:color w:val="auto"/>
          <w:kern w:val="0"/>
          <w:sz w:val="21"/>
          <w:szCs w:val="21"/>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eastAsia="宋体" w:cs="宋体"/>
          <w:color w:val="auto"/>
          <w:sz w:val="21"/>
          <w:szCs w:val="21"/>
          <w:highlight w:val="none"/>
        </w:rPr>
        <w:t>分部分项工程未经验收的，不得进入下一道工序施工。</w:t>
      </w:r>
    </w:p>
    <w:p w14:paraId="28AEBA5B">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分部分项工程的验收资料应当作为竣工资料的组成部分。</w:t>
      </w:r>
    </w:p>
    <w:p w14:paraId="17E5AFC0">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17" w:name="_Toc351203588"/>
      <w:bookmarkStart w:id="518" w:name="_Toc337558806"/>
      <w:r>
        <w:rPr>
          <w:rFonts w:hint="eastAsia" w:ascii="宋体" w:hAnsi="宋体" w:eastAsia="宋体" w:cs="宋体"/>
          <w:b w:val="0"/>
          <w:color w:val="auto"/>
          <w:sz w:val="21"/>
          <w:szCs w:val="21"/>
          <w:highlight w:val="none"/>
        </w:rPr>
        <w:t>13.2竣工验收</w:t>
      </w:r>
      <w:bookmarkEnd w:id="517"/>
    </w:p>
    <w:bookmarkEnd w:id="515"/>
    <w:bookmarkEnd w:id="516"/>
    <w:bookmarkEnd w:id="518"/>
    <w:p w14:paraId="60E0FDB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13.2.1竣工验收条件</w:t>
      </w:r>
    </w:p>
    <w:p w14:paraId="1C399E6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工程具备以下条件的，承包人可以申请竣工验收：</w:t>
      </w:r>
    </w:p>
    <w:p w14:paraId="1170C9C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（1）除发包人同意的甩项工作和缺陷修补工作外，合同范围内的全部工程以及有关工作，包括合同要求的试验、试运行以及检验均已完成，并符合合同要求；</w:t>
      </w:r>
    </w:p>
    <w:p w14:paraId="283706A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（2）已按合同约定编制了甩项工作和缺陷修补工作清单以及相应的施工计划；</w:t>
      </w:r>
    </w:p>
    <w:p w14:paraId="4D1D08C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（3）已按合同约定的内容和份数备齐竣工资料。</w:t>
      </w:r>
    </w:p>
    <w:p w14:paraId="2FE6601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13.2.2竣工验收程序</w:t>
      </w:r>
    </w:p>
    <w:p w14:paraId="0D8357A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除专用合同条款另有约定外，承包人申请竣工验收的，应当按照以下程序进行：</w:t>
      </w:r>
    </w:p>
    <w:p w14:paraId="76327BE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35C768E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4C4C8ED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14:paraId="33B58A6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D31006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F4705B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2018F09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13.2.3竣工日期</w:t>
      </w:r>
    </w:p>
    <w:p w14:paraId="54FE06C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19" w:name="#go14"/>
      <w:bookmarkEnd w:id="519"/>
      <w:r>
        <w:rPr>
          <w:rFonts w:hint="eastAsia" w:ascii="宋体" w:hAnsi="宋体" w:eastAsia="宋体" w:cs="宋体"/>
          <w:color w:val="auto"/>
          <w:kern w:val="0"/>
          <w:sz w:val="21"/>
          <w:szCs w:val="21"/>
          <w:highlight w:val="none"/>
        </w:rPr>
        <w:t>收申请报告的日期为实际竣工日期；工程未经竣工验收，发包人擅自使用的，以转移占有工程之日为实际竣工日期。</w:t>
      </w:r>
    </w:p>
    <w:p w14:paraId="48580BE8">
      <w:pPr>
        <w:pageBreakBefore w:val="0"/>
        <w:kinsoku/>
        <w:wordWrap/>
        <w:overflowPunct/>
        <w:topLinePunct w:val="0"/>
        <w:bidi w:val="0"/>
        <w:snapToGrid/>
        <w:spacing w:line="390" w:lineRule="exact"/>
        <w:ind w:left="0" w:firstLine="420" w:firstLineChars="200"/>
        <w:jc w:val="left"/>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13.2.4 拒绝接收全部或部分工程</w:t>
      </w:r>
    </w:p>
    <w:p w14:paraId="49D762C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711E66D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13.2.5 移交、接收全部与部分工程</w:t>
      </w:r>
    </w:p>
    <w:p w14:paraId="6DFCE28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除专用合同条款另有约定外，合同当事人应当在颁发工程接收证书后7天内完成工程的移交。</w:t>
      </w:r>
    </w:p>
    <w:p w14:paraId="45199B3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187A24E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58507F70">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20" w:name="_Toc351203589"/>
      <w:bookmarkStart w:id="521" w:name="_Toc296346612"/>
      <w:bookmarkStart w:id="522" w:name="_Toc337558807"/>
      <w:bookmarkStart w:id="523" w:name="_Toc296503111"/>
      <w:r>
        <w:rPr>
          <w:rFonts w:hint="eastAsia" w:ascii="宋体" w:hAnsi="宋体" w:eastAsia="宋体" w:cs="宋体"/>
          <w:b w:val="0"/>
          <w:color w:val="auto"/>
          <w:sz w:val="21"/>
          <w:szCs w:val="21"/>
          <w:highlight w:val="none"/>
        </w:rPr>
        <w:t>13.3工程试车</w:t>
      </w:r>
      <w:bookmarkEnd w:id="520"/>
    </w:p>
    <w:bookmarkEnd w:id="521"/>
    <w:bookmarkEnd w:id="522"/>
    <w:bookmarkEnd w:id="523"/>
    <w:p w14:paraId="3B4E7EC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13.3.1试车程序</w:t>
      </w:r>
    </w:p>
    <w:p w14:paraId="5CEC36E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工程需要试车的，除专用合同条款另有约定外，试车内容应与承包人承包范围相一致，试车费用由承包人承担。工程试车应按如下程序进行：</w:t>
      </w:r>
    </w:p>
    <w:p w14:paraId="4D83872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26C2684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36AFE62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CC3909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13.3.2 试车中的责任</w:t>
      </w:r>
    </w:p>
    <w:p w14:paraId="0684B38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2A3711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1587865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14:paraId="5849A24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14A5F8C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10423CB0">
      <w:pPr>
        <w:pStyle w:val="6"/>
        <w:pageBreakBefore w:val="0"/>
        <w:kinsoku/>
        <w:wordWrap/>
        <w:overflowPunct/>
        <w:topLinePunct w:val="0"/>
        <w:bidi w:val="0"/>
        <w:snapToGrid/>
        <w:spacing w:before="0" w:after="0" w:line="390" w:lineRule="exact"/>
        <w:ind w:left="0"/>
        <w:textAlignment w:val="auto"/>
        <w:rPr>
          <w:rFonts w:hint="eastAsia" w:ascii="宋体" w:hAnsi="宋体" w:eastAsia="宋体" w:cs="宋体"/>
          <w:b w:val="0"/>
          <w:color w:val="auto"/>
          <w:sz w:val="21"/>
          <w:szCs w:val="21"/>
          <w:highlight w:val="none"/>
        </w:rPr>
      </w:pPr>
      <w:bookmarkStart w:id="524" w:name="_Toc337558808"/>
      <w:r>
        <w:rPr>
          <w:rFonts w:hint="eastAsia" w:ascii="宋体" w:hAnsi="宋体" w:eastAsia="宋体" w:cs="宋体"/>
          <w:b w:val="0"/>
          <w:color w:val="auto"/>
          <w:sz w:val="21"/>
          <w:szCs w:val="21"/>
          <w:highlight w:val="none"/>
        </w:rPr>
        <w:t xml:space="preserve">    </w:t>
      </w:r>
      <w:bookmarkStart w:id="525" w:name="_Toc351203590"/>
      <w:r>
        <w:rPr>
          <w:rFonts w:hint="eastAsia" w:ascii="宋体" w:hAnsi="宋体" w:eastAsia="宋体" w:cs="宋体"/>
          <w:b w:val="0"/>
          <w:color w:val="auto"/>
          <w:sz w:val="21"/>
          <w:szCs w:val="21"/>
          <w:highlight w:val="none"/>
        </w:rPr>
        <w:t>13.4提前交付单位工程的验收</w:t>
      </w:r>
      <w:bookmarkEnd w:id="525"/>
    </w:p>
    <w:bookmarkEnd w:id="524"/>
    <w:p w14:paraId="2C783DA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21A1961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2A5466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13.4.2 发包人要求在工程竣工前交付单位工程，由此导致承包人费用增加和（或）工期延误的，由发包人承担由此增加的费用和（或）延误的工期，并支付承包人合理的利润。</w:t>
      </w:r>
    </w:p>
    <w:p w14:paraId="0B99831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26" w:name="_Toc351203591"/>
      <w:r>
        <w:rPr>
          <w:rFonts w:hint="eastAsia" w:ascii="宋体" w:hAnsi="宋体" w:eastAsia="宋体" w:cs="宋体"/>
          <w:b w:val="0"/>
          <w:color w:val="auto"/>
          <w:sz w:val="21"/>
          <w:szCs w:val="21"/>
          <w:highlight w:val="none"/>
        </w:rPr>
        <w:t>13.5 施工期运行</w:t>
      </w:r>
      <w:bookmarkEnd w:id="526"/>
    </w:p>
    <w:p w14:paraId="7E07E43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B748288">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13.5.2 在施工期运行中发现工程或工程设备损坏或存在缺陷的，由承包人按第15.2款〔缺陷责任期〕约定进行修复。</w:t>
      </w:r>
    </w:p>
    <w:p w14:paraId="6B04D420">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27" w:name="_Toc296346613"/>
      <w:bookmarkStart w:id="528" w:name="_Toc296503112"/>
      <w:bookmarkStart w:id="529" w:name="_Toc351203592"/>
      <w:bookmarkStart w:id="530" w:name="_Toc337558809"/>
      <w:r>
        <w:rPr>
          <w:rFonts w:hint="eastAsia" w:ascii="宋体" w:hAnsi="宋体" w:eastAsia="宋体" w:cs="宋体"/>
          <w:b w:val="0"/>
          <w:color w:val="auto"/>
          <w:sz w:val="21"/>
          <w:szCs w:val="21"/>
          <w:highlight w:val="none"/>
        </w:rPr>
        <w:t>13.6 竣工退</w:t>
      </w:r>
      <w:bookmarkEnd w:id="527"/>
      <w:bookmarkEnd w:id="528"/>
      <w:r>
        <w:rPr>
          <w:rFonts w:hint="eastAsia" w:ascii="宋体" w:hAnsi="宋体" w:eastAsia="宋体" w:cs="宋体"/>
          <w:b w:val="0"/>
          <w:color w:val="auto"/>
          <w:sz w:val="21"/>
          <w:szCs w:val="21"/>
          <w:highlight w:val="none"/>
        </w:rPr>
        <w:t>场</w:t>
      </w:r>
      <w:bookmarkEnd w:id="529"/>
    </w:p>
    <w:bookmarkEnd w:id="530"/>
    <w:p w14:paraId="4010CCF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14:paraId="0C5605F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颁发工程接收证书后，承包人应按以下要求对施工现场进行清理：</w:t>
      </w:r>
    </w:p>
    <w:p w14:paraId="3433655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（1）施工现场内残留的垃圾已全部清除出场；</w:t>
      </w:r>
    </w:p>
    <w:p w14:paraId="2C92BED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（2）临时工程已拆除，场地已进行清理、平整或复原；</w:t>
      </w:r>
    </w:p>
    <w:p w14:paraId="27762C8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（3）按合同约定应撤离的人员、承包人施工设备和剩余的材料，包括废弃的施工设备和材料，已按计划撤离施工现场；</w:t>
      </w:r>
    </w:p>
    <w:p w14:paraId="74E1A50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（4）施工现场周边及其附近道路、河道的施工堆积物，已全部清理；</w:t>
      </w:r>
    </w:p>
    <w:p w14:paraId="69D896D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（5）施工现场其他场地清理工作已全部完成。</w:t>
      </w:r>
    </w:p>
    <w:p w14:paraId="5CB24B9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DD114A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13.6.2 地表还原</w:t>
      </w:r>
    </w:p>
    <w:p w14:paraId="65FC8A3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634AAC3D">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31" w:name="_Toc351203593"/>
      <w:bookmarkStart w:id="532" w:name="_Toc337558810"/>
      <w:bookmarkStart w:id="533" w:name="_Toc296346614"/>
      <w:bookmarkStart w:id="534" w:name="_Toc296503113"/>
      <w:r>
        <w:rPr>
          <w:rFonts w:hint="eastAsia" w:ascii="宋体" w:hAnsi="宋体" w:eastAsia="宋体" w:cs="宋体"/>
          <w:b w:val="0"/>
          <w:color w:val="auto"/>
          <w:sz w:val="21"/>
          <w:szCs w:val="21"/>
          <w:highlight w:val="none"/>
        </w:rPr>
        <w:t>14. 竣工结算</w:t>
      </w:r>
      <w:bookmarkEnd w:id="531"/>
    </w:p>
    <w:bookmarkEnd w:id="532"/>
    <w:p w14:paraId="22AC524F">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35" w:name="_Toc351203594"/>
      <w:bookmarkStart w:id="536" w:name="_Toc337558811"/>
      <w:r>
        <w:rPr>
          <w:rFonts w:hint="eastAsia" w:ascii="宋体" w:hAnsi="宋体" w:eastAsia="宋体" w:cs="宋体"/>
          <w:b w:val="0"/>
          <w:color w:val="auto"/>
          <w:sz w:val="21"/>
          <w:szCs w:val="21"/>
          <w:highlight w:val="none"/>
        </w:rPr>
        <w:t>14.1 竣工结算申请</w:t>
      </w:r>
      <w:bookmarkEnd w:id="535"/>
    </w:p>
    <w:bookmarkEnd w:id="536"/>
    <w:p w14:paraId="474608F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除专用合同条款另有约定外，</w:t>
      </w:r>
      <w:r>
        <w:rPr>
          <w:rFonts w:hint="eastAsia" w:ascii="宋体" w:hAnsi="宋体" w:eastAsia="宋体" w:cs="宋体"/>
          <w:color w:val="auto"/>
          <w:sz w:val="21"/>
          <w:szCs w:val="21"/>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12A414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除专用合同条款另有约定外，竣工结算申请单应包括以下内容：</w:t>
      </w:r>
    </w:p>
    <w:p w14:paraId="391495A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（1）竣工结算合同价格；</w:t>
      </w:r>
    </w:p>
    <w:p w14:paraId="132C56A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（2）发包人已支付承包人的款项；</w:t>
      </w:r>
    </w:p>
    <w:p w14:paraId="67712FB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（3）应扣留的质量保证金。已缴纳履约保证金的或提供其他工程质量担保方式的除外； </w:t>
      </w:r>
    </w:p>
    <w:p w14:paraId="7DBA8C8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（4）发包人应支付承包人的合同价款。</w:t>
      </w:r>
    </w:p>
    <w:p w14:paraId="265E44F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37" w:name="_Toc351203595"/>
      <w:bookmarkStart w:id="538" w:name="_Toc337558812"/>
      <w:r>
        <w:rPr>
          <w:rFonts w:hint="eastAsia" w:ascii="宋体" w:hAnsi="宋体" w:eastAsia="宋体" w:cs="宋体"/>
          <w:b w:val="0"/>
          <w:color w:val="auto"/>
          <w:sz w:val="21"/>
          <w:szCs w:val="21"/>
          <w:highlight w:val="none"/>
        </w:rPr>
        <w:t>14.2 竣工结算审核</w:t>
      </w:r>
      <w:bookmarkEnd w:id="537"/>
    </w:p>
    <w:bookmarkEnd w:id="538"/>
    <w:p w14:paraId="1A10999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eastAsia="宋体" w:cs="宋体"/>
          <w:color w:val="auto"/>
          <w:sz w:val="21"/>
          <w:szCs w:val="21"/>
          <w:highlight w:val="none"/>
        </w:rPr>
        <w:t>发包人对竣工</w:t>
      </w:r>
      <w:r>
        <w:rPr>
          <w:rFonts w:hint="eastAsia" w:ascii="宋体" w:hAnsi="宋体" w:eastAsia="宋体" w:cs="宋体"/>
          <w:color w:val="auto"/>
          <w:kern w:val="0"/>
          <w:sz w:val="21"/>
          <w:szCs w:val="21"/>
          <w:highlight w:val="none"/>
        </w:rPr>
        <w:t>结算</w:t>
      </w:r>
      <w:r>
        <w:rPr>
          <w:rFonts w:hint="eastAsia" w:ascii="宋体" w:hAnsi="宋体" w:eastAsia="宋体" w:cs="宋体"/>
          <w:color w:val="auto"/>
          <w:sz w:val="21"/>
          <w:szCs w:val="21"/>
          <w:highlight w:val="none"/>
        </w:rPr>
        <w:t>申请单有异议的，有权要求承包人进行修正和提供补充资料，承包人应提交修正后的竣工</w:t>
      </w:r>
      <w:r>
        <w:rPr>
          <w:rFonts w:hint="eastAsia" w:ascii="宋体" w:hAnsi="宋体" w:eastAsia="宋体" w:cs="宋体"/>
          <w:color w:val="auto"/>
          <w:kern w:val="0"/>
          <w:sz w:val="21"/>
          <w:szCs w:val="21"/>
          <w:highlight w:val="none"/>
        </w:rPr>
        <w:t>结算</w:t>
      </w:r>
      <w:r>
        <w:rPr>
          <w:rFonts w:hint="eastAsia" w:ascii="宋体" w:hAnsi="宋体" w:eastAsia="宋体" w:cs="宋体"/>
          <w:color w:val="auto"/>
          <w:sz w:val="21"/>
          <w:szCs w:val="21"/>
          <w:highlight w:val="none"/>
        </w:rPr>
        <w:t>申请单。</w:t>
      </w:r>
    </w:p>
    <w:p w14:paraId="22BF6CF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6F057B5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728651C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2704633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39" w:name="_Toc351203596"/>
      <w:bookmarkStart w:id="540" w:name="_Toc337558813"/>
      <w:r>
        <w:rPr>
          <w:rFonts w:hint="eastAsia" w:ascii="宋体" w:hAnsi="宋体" w:eastAsia="宋体" w:cs="宋体"/>
          <w:b w:val="0"/>
          <w:color w:val="auto"/>
          <w:sz w:val="21"/>
          <w:szCs w:val="21"/>
          <w:highlight w:val="none"/>
        </w:rPr>
        <w:t>14.3 甩项竣工协议</w:t>
      </w:r>
      <w:bookmarkEnd w:id="539"/>
    </w:p>
    <w:bookmarkEnd w:id="540"/>
    <w:p w14:paraId="3D9D0FC7">
      <w:pPr>
        <w:pageBreakBefore w:val="0"/>
        <w:kinsoku/>
        <w:wordWrap/>
        <w:overflowPunct/>
        <w:topLinePunct w:val="0"/>
        <w:autoSpaceDE w:val="0"/>
        <w:autoSpaceDN w:val="0"/>
        <w:bidi w:val="0"/>
        <w:adjustRightInd w:val="0"/>
        <w:snapToGrid/>
        <w:spacing w:line="390" w:lineRule="exact"/>
        <w:ind w:left="0" w:firstLine="411" w:firstLineChars="196"/>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1585499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41" w:name="_Toc351203597"/>
      <w:bookmarkStart w:id="542" w:name="_Toc337558814"/>
      <w:r>
        <w:rPr>
          <w:rFonts w:hint="eastAsia" w:ascii="宋体" w:hAnsi="宋体" w:eastAsia="宋体" w:cs="宋体"/>
          <w:b w:val="0"/>
          <w:color w:val="auto"/>
          <w:sz w:val="21"/>
          <w:szCs w:val="21"/>
          <w:highlight w:val="none"/>
        </w:rPr>
        <w:t>14.4 最终结清</w:t>
      </w:r>
      <w:bookmarkEnd w:id="541"/>
    </w:p>
    <w:bookmarkEnd w:id="542"/>
    <w:p w14:paraId="1A2A3D5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7C9B972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（1）除专用合同条款另有约定外，承包人应在缺陷责任期终止证书颁发后7天内，按专用合同条款约定的份数向发包人提交最终结清申请单，并提供相关证明材料。</w:t>
      </w:r>
    </w:p>
    <w:p w14:paraId="46DC976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w:t>
      </w:r>
      <w:r>
        <w:rPr>
          <w:rFonts w:hint="eastAsia" w:ascii="宋体" w:hAnsi="宋体" w:eastAsia="宋体" w:cs="宋体"/>
          <w:color w:val="auto"/>
          <w:kern w:val="0"/>
          <w:sz w:val="21"/>
          <w:szCs w:val="21"/>
          <w:highlight w:val="none"/>
        </w:rPr>
        <w:t>最终结清申请单</w:t>
      </w:r>
      <w:r>
        <w:rPr>
          <w:rFonts w:hint="eastAsia" w:ascii="宋体" w:hAnsi="宋体" w:eastAsia="宋体" w:cs="宋体"/>
          <w:color w:val="auto"/>
          <w:sz w:val="21"/>
          <w:szCs w:val="21"/>
          <w:highlight w:val="none"/>
        </w:rPr>
        <w:t>应列明质量保证金、应扣除的质量保证金、缺陷责任期内发生的增减费用。</w:t>
      </w:r>
    </w:p>
    <w:p w14:paraId="0826410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（2）发包人对最终结清申请单内容有异议的，有权要求承包人进行修正和提供补充资料，承包人应向发包人提交修正后的最终结清申请单。</w:t>
      </w:r>
    </w:p>
    <w:p w14:paraId="550F61D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14.4.2 最终结清证书和支付</w:t>
      </w:r>
    </w:p>
    <w:p w14:paraId="321ED16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0D619FF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6C95500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（3）承包人对发包人颁发的最终结清证书有异议的，按第20条〔争议解决〕的约定办理。</w:t>
      </w:r>
    </w:p>
    <w:p w14:paraId="3BFAD8E6">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43" w:name="_Toc351203598"/>
      <w:bookmarkStart w:id="544" w:name="_Toc337558815"/>
      <w:r>
        <w:rPr>
          <w:rFonts w:hint="eastAsia" w:ascii="宋体" w:hAnsi="宋体" w:eastAsia="宋体" w:cs="宋体"/>
          <w:b w:val="0"/>
          <w:color w:val="auto"/>
          <w:sz w:val="21"/>
          <w:szCs w:val="21"/>
          <w:highlight w:val="none"/>
        </w:rPr>
        <w:t>15. 缺陷责任与保修</w:t>
      </w:r>
      <w:bookmarkEnd w:id="543"/>
    </w:p>
    <w:bookmarkEnd w:id="533"/>
    <w:bookmarkEnd w:id="534"/>
    <w:bookmarkEnd w:id="544"/>
    <w:p w14:paraId="4700734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45" w:name="_Toc351203599"/>
      <w:bookmarkStart w:id="546" w:name="_Toc337558816"/>
      <w:bookmarkStart w:id="547" w:name="_Toc296503114"/>
      <w:bookmarkStart w:id="548" w:name="_Toc296346615"/>
      <w:r>
        <w:rPr>
          <w:rFonts w:hint="eastAsia" w:ascii="宋体" w:hAnsi="宋体" w:eastAsia="宋体" w:cs="宋体"/>
          <w:b w:val="0"/>
          <w:color w:val="auto"/>
          <w:sz w:val="21"/>
          <w:szCs w:val="21"/>
          <w:highlight w:val="none"/>
        </w:rPr>
        <w:t>15.1 工程保修的原则</w:t>
      </w:r>
      <w:bookmarkEnd w:id="545"/>
    </w:p>
    <w:bookmarkEnd w:id="546"/>
    <w:p w14:paraId="6015C31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14:paraId="02D68D62">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49" w:name="_Toc351203600"/>
      <w:bookmarkStart w:id="550" w:name="_Toc337558817"/>
      <w:r>
        <w:rPr>
          <w:rFonts w:hint="eastAsia" w:ascii="宋体" w:hAnsi="宋体" w:eastAsia="宋体" w:cs="宋体"/>
          <w:b w:val="0"/>
          <w:color w:val="auto"/>
          <w:sz w:val="21"/>
          <w:szCs w:val="21"/>
          <w:highlight w:val="none"/>
        </w:rPr>
        <w:t>15.2 缺陷责任期</w:t>
      </w:r>
      <w:bookmarkEnd w:id="547"/>
      <w:bookmarkEnd w:id="548"/>
      <w:bookmarkEnd w:id="549"/>
    </w:p>
    <w:bookmarkEnd w:id="550"/>
    <w:p w14:paraId="165B4E7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15.2.1 缺陷责任期从工程通过竣工验收之日起计算，合同当事人应在专用合同条款约定缺陷责任期的具体期限，但该期限最长不超过24个月。</w:t>
      </w:r>
    </w:p>
    <w:p w14:paraId="2CF5D9C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2E8EFD3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eastAsia="宋体" w:cs="宋体"/>
          <w:bCs/>
          <w:color w:val="auto"/>
          <w:sz w:val="21"/>
          <w:szCs w:val="21"/>
          <w:highlight w:val="none"/>
        </w:rPr>
        <w:t>包人延长缺陷责任期，</w:t>
      </w:r>
      <w:r>
        <w:rPr>
          <w:rFonts w:hint="eastAsia" w:ascii="宋体" w:hAnsi="宋体" w:eastAsia="宋体" w:cs="宋体"/>
          <w:color w:val="auto"/>
          <w:kern w:val="0"/>
          <w:sz w:val="21"/>
          <w:szCs w:val="21"/>
          <w:highlight w:val="none"/>
        </w:rPr>
        <w:t>并应在原缺陷责任期届满前发出延长通知。</w:t>
      </w:r>
      <w:r>
        <w:rPr>
          <w:rFonts w:hint="eastAsia" w:ascii="宋体" w:hAnsi="宋体" w:eastAsia="宋体" w:cs="宋体"/>
          <w:bCs/>
          <w:color w:val="auto"/>
          <w:sz w:val="21"/>
          <w:szCs w:val="21"/>
          <w:highlight w:val="none"/>
        </w:rPr>
        <w:t>但缺陷责任期（含延长部分）最长</w:t>
      </w:r>
      <w:r>
        <w:rPr>
          <w:rFonts w:hint="eastAsia" w:ascii="宋体" w:hAnsi="宋体" w:eastAsia="宋体" w:cs="宋体"/>
          <w:color w:val="auto"/>
          <w:kern w:val="0"/>
          <w:sz w:val="21"/>
          <w:szCs w:val="21"/>
          <w:highlight w:val="none"/>
        </w:rPr>
        <w:t>不能超过24个月。</w:t>
      </w:r>
    </w:p>
    <w:p w14:paraId="649A1DC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由他人原因造成的缺陷，发包人负责组织维修，承包人不承担费用，且发包人不得从保证金中扣除费用。</w:t>
      </w:r>
    </w:p>
    <w:p w14:paraId="48A97A7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15.2.3 任何一项缺陷或损坏修复后，经检查证明其影响了工程或工程设备的使用性能，承包人应重新进行合同约定的试验和试运行，试验和试运行的全部费用应由责任方承担。</w:t>
      </w:r>
    </w:p>
    <w:p w14:paraId="1481118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26082453">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51" w:name="_Toc351203601"/>
      <w:bookmarkStart w:id="552" w:name="_Toc337558818"/>
      <w:bookmarkStart w:id="553" w:name="_Toc296346616"/>
      <w:bookmarkStart w:id="554" w:name="_Toc296503115"/>
      <w:r>
        <w:rPr>
          <w:rFonts w:hint="eastAsia" w:ascii="宋体" w:hAnsi="宋体" w:eastAsia="宋体" w:cs="宋体"/>
          <w:b w:val="0"/>
          <w:color w:val="auto"/>
          <w:sz w:val="21"/>
          <w:szCs w:val="21"/>
          <w:highlight w:val="none"/>
        </w:rPr>
        <w:t>15.3 质量保证金</w:t>
      </w:r>
      <w:bookmarkEnd w:id="551"/>
    </w:p>
    <w:bookmarkEnd w:id="552"/>
    <w:p w14:paraId="38BB631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经合同当事人协商一致扣留质量保证金的，应在专用合同条款中予以明确。</w:t>
      </w:r>
    </w:p>
    <w:p w14:paraId="5AADAC1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在工程项目竣工前，承包人已经提供履约担保的，发包人不得同时预留工程质量保证金。</w:t>
      </w:r>
    </w:p>
    <w:p w14:paraId="30C6E78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p>
    <w:p w14:paraId="74C8219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15.3.1 承包人提供质量保证金的方式</w:t>
      </w:r>
    </w:p>
    <w:p w14:paraId="202374F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承包人提供质量保证金有以下三种方式：</w:t>
      </w:r>
    </w:p>
    <w:p w14:paraId="771946C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（1）质量保证金保函； </w:t>
      </w:r>
    </w:p>
    <w:p w14:paraId="23A16E7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（2）相应比例的工程款；</w:t>
      </w:r>
    </w:p>
    <w:p w14:paraId="1C0B5E5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（3）双方约定的其他方式。</w:t>
      </w:r>
    </w:p>
    <w:p w14:paraId="71A634B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除专用合同条款另有约定外，质量保证金原则上采用上述第（1）种方式。</w:t>
      </w:r>
    </w:p>
    <w:p w14:paraId="16F39E0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15.3.2 质量保证金的扣留</w:t>
      </w:r>
    </w:p>
    <w:p w14:paraId="494BBDB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质量保证金的扣留有以下三种方式：</w:t>
      </w:r>
    </w:p>
    <w:p w14:paraId="4BC2C2C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14:paraId="479D035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w:t>
      </w:r>
      <w:bookmarkStart w:id="555" w:name="#go6"/>
      <w:bookmarkEnd w:id="555"/>
      <w:r>
        <w:rPr>
          <w:rFonts w:hint="eastAsia" w:ascii="宋体" w:hAnsi="宋体" w:eastAsia="宋体" w:cs="宋体"/>
          <w:color w:val="auto"/>
          <w:kern w:val="0"/>
          <w:sz w:val="21"/>
          <w:szCs w:val="21"/>
          <w:highlight w:val="none"/>
        </w:rPr>
        <w:t>程竣工结算时一次性扣留质量保证金；</w:t>
      </w:r>
    </w:p>
    <w:p w14:paraId="2A85091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（3）双方约定的其他扣留方式。</w:t>
      </w:r>
    </w:p>
    <w:p w14:paraId="7518C83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除专用合同条款另有约定外，质量保证金的扣留原则上采用上述第（1）种方式。</w:t>
      </w:r>
    </w:p>
    <w:p w14:paraId="6EA88CA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w:t>
      </w:r>
      <w:bookmarkStart w:id="556" w:name="#go4"/>
      <w:bookmarkEnd w:id="556"/>
      <w:r>
        <w:rPr>
          <w:rFonts w:hint="eastAsia" w:ascii="宋体" w:hAnsi="宋体" w:eastAsia="宋体" w:cs="宋体"/>
          <w:color w:val="auto"/>
          <w:kern w:val="0"/>
          <w:sz w:val="21"/>
          <w:szCs w:val="21"/>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24F42CA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发包人在退还质量保证金的同时按照中国人民银行发布的同期同类贷款基准利率支付利息。</w:t>
      </w:r>
    </w:p>
    <w:p w14:paraId="2DF6DD4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15.3.3 </w:t>
      </w:r>
      <w:r>
        <w:rPr>
          <w:rFonts w:hint="eastAsia" w:ascii="宋体" w:hAnsi="宋体" w:eastAsia="宋体" w:cs="宋体"/>
          <w:color w:val="auto"/>
          <w:sz w:val="21"/>
          <w:szCs w:val="21"/>
          <w:highlight w:val="none"/>
        </w:rPr>
        <w:t>质量保证金</w:t>
      </w:r>
      <w:r>
        <w:rPr>
          <w:rFonts w:hint="eastAsia" w:ascii="宋体" w:hAnsi="宋体" w:eastAsia="宋体" w:cs="宋体"/>
          <w:color w:val="auto"/>
          <w:kern w:val="0"/>
          <w:sz w:val="21"/>
          <w:szCs w:val="21"/>
          <w:highlight w:val="none"/>
        </w:rPr>
        <w:t>的退还</w:t>
      </w:r>
    </w:p>
    <w:p w14:paraId="6B30FBA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缺陷责任期内，承包人认真履行合同约定的责任，到期后，承包人可向发包人申请返还保证金。</w:t>
      </w:r>
    </w:p>
    <w:p w14:paraId="7CCE8D0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42FFA7B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发包人和承包人对保证金预留、返还以及工程维修质量、费用有争议的，按本合同第20条约定的争议和纠纷解决程序处理。</w:t>
      </w:r>
    </w:p>
    <w:p w14:paraId="31F5757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57" w:name="_Toc351203602"/>
      <w:bookmarkStart w:id="558" w:name="_Toc337558819"/>
      <w:r>
        <w:rPr>
          <w:rFonts w:hint="eastAsia" w:ascii="宋体" w:hAnsi="宋体" w:eastAsia="宋体" w:cs="宋体"/>
          <w:b w:val="0"/>
          <w:color w:val="auto"/>
          <w:sz w:val="21"/>
          <w:szCs w:val="21"/>
          <w:highlight w:val="none"/>
        </w:rPr>
        <w:t>15.4 保修</w:t>
      </w:r>
      <w:bookmarkEnd w:id="557"/>
    </w:p>
    <w:bookmarkEnd w:id="553"/>
    <w:bookmarkEnd w:id="554"/>
    <w:bookmarkEnd w:id="558"/>
    <w:p w14:paraId="6A1153E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15.4.1保修责任</w:t>
      </w:r>
    </w:p>
    <w:p w14:paraId="73FCED9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6031147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发包人未经竣工验收擅自使用工程的，保修期自</w:t>
      </w:r>
      <w:r>
        <w:rPr>
          <w:rFonts w:hint="eastAsia" w:ascii="宋体" w:hAnsi="宋体" w:eastAsia="宋体" w:cs="宋体"/>
          <w:color w:val="auto"/>
          <w:kern w:val="0"/>
          <w:sz w:val="21"/>
          <w:szCs w:val="21"/>
          <w:highlight w:val="none"/>
        </w:rPr>
        <w:t>转移占有之日起算</w:t>
      </w:r>
      <w:r>
        <w:rPr>
          <w:rFonts w:hint="eastAsia" w:ascii="宋体" w:hAnsi="宋体" w:eastAsia="宋体" w:cs="宋体"/>
          <w:color w:val="auto"/>
          <w:sz w:val="21"/>
          <w:szCs w:val="21"/>
          <w:highlight w:val="none"/>
        </w:rPr>
        <w:t>。</w:t>
      </w:r>
    </w:p>
    <w:p w14:paraId="3A159A7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15.4.2 修复费用</w:t>
      </w:r>
    </w:p>
    <w:p w14:paraId="15B38F6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保修期内，修复的费用按照以下约定处理：</w:t>
      </w:r>
    </w:p>
    <w:p w14:paraId="0731456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（1）保修期内，因承包人原因造成工程的缺陷、损坏，承包人应负责修复，并承担修复的费用以及因工程的缺陷、损坏造成的人身伤害和财产损失；</w:t>
      </w:r>
    </w:p>
    <w:p w14:paraId="5DD169D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（2）保修期内，因发包人使用不当造成工程的缺陷、损坏，可以委托承包人修复，但发包人应承担修复的费用，并支付承包人合理利润；</w:t>
      </w:r>
    </w:p>
    <w:p w14:paraId="3AB9383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（3）因其他原因造成工程的缺陷、损坏，可以委托承包人修复，发包人应承担修复的费用，并支付承包人合理的利润，因工程的缺陷、损坏造成的人身伤害和财产损失由责任方承担。</w:t>
      </w:r>
    </w:p>
    <w:p w14:paraId="65A84EA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15.4.3 修复通知</w:t>
      </w:r>
    </w:p>
    <w:p w14:paraId="5FC405C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F55110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15.4.4 未能修复</w:t>
      </w:r>
    </w:p>
    <w:p w14:paraId="2E540CE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6F3A0F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15.4.5 承包人出入权</w:t>
      </w:r>
    </w:p>
    <w:p w14:paraId="76D94F1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9E1B3E">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59" w:name="_Toc351203603"/>
      <w:bookmarkStart w:id="560" w:name="_Toc337558820"/>
      <w:r>
        <w:rPr>
          <w:rFonts w:hint="eastAsia" w:ascii="宋体" w:hAnsi="宋体" w:eastAsia="宋体" w:cs="宋体"/>
          <w:b w:val="0"/>
          <w:color w:val="auto"/>
          <w:sz w:val="21"/>
          <w:szCs w:val="21"/>
          <w:highlight w:val="none"/>
        </w:rPr>
        <w:t>16. 违约</w:t>
      </w:r>
      <w:bookmarkEnd w:id="559"/>
    </w:p>
    <w:bookmarkEnd w:id="560"/>
    <w:p w14:paraId="4B9BD5C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61" w:name="_Toc296503129"/>
      <w:bookmarkStart w:id="562" w:name="_Toc296346630"/>
      <w:bookmarkStart w:id="563" w:name="_Toc351203604"/>
      <w:bookmarkStart w:id="564" w:name="_Toc337558821"/>
      <w:r>
        <w:rPr>
          <w:rFonts w:hint="eastAsia" w:ascii="宋体" w:hAnsi="宋体" w:eastAsia="宋体" w:cs="宋体"/>
          <w:b w:val="0"/>
          <w:color w:val="auto"/>
          <w:sz w:val="21"/>
          <w:szCs w:val="21"/>
          <w:highlight w:val="none"/>
        </w:rPr>
        <w:t>16.1 发</w:t>
      </w:r>
      <w:bookmarkEnd w:id="561"/>
      <w:bookmarkEnd w:id="562"/>
      <w:r>
        <w:rPr>
          <w:rFonts w:hint="eastAsia" w:ascii="宋体" w:hAnsi="宋体" w:eastAsia="宋体" w:cs="宋体"/>
          <w:b w:val="0"/>
          <w:color w:val="auto"/>
          <w:sz w:val="21"/>
          <w:szCs w:val="21"/>
          <w:highlight w:val="none"/>
        </w:rPr>
        <w:t>包人违约</w:t>
      </w:r>
      <w:bookmarkEnd w:id="563"/>
    </w:p>
    <w:bookmarkEnd w:id="564"/>
    <w:p w14:paraId="5634626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16.1.1 发包人违约的情形</w:t>
      </w:r>
    </w:p>
    <w:p w14:paraId="1082582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在合同履行过程中发生的下列情形，属于发包人违约：</w:t>
      </w:r>
    </w:p>
    <w:p w14:paraId="570659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（1）因发包人原因未能在计划开工日期前7天内下达开工通知的；</w:t>
      </w:r>
    </w:p>
    <w:p w14:paraId="2AC18EE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w:t>
      </w:r>
    </w:p>
    <w:p w14:paraId="4CE7A90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w:t>
      </w:r>
    </w:p>
    <w:p w14:paraId="2CA6CB3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w:t>
      </w:r>
    </w:p>
    <w:p w14:paraId="362C0B3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（5）因发包人违反合同约定造成暂停施工的；</w:t>
      </w:r>
    </w:p>
    <w:p w14:paraId="3B5A536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w:t>
      </w:r>
    </w:p>
    <w:p w14:paraId="44C1B2B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（7）发包人明确表示或者以其行为表明不履行合同主要义务的；</w:t>
      </w:r>
    </w:p>
    <w:p w14:paraId="198680F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（8）发包人未能按照合同约定履行其他义务的。</w:t>
      </w:r>
    </w:p>
    <w:p w14:paraId="50E638B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6F1887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14:paraId="1CDC807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0BD3125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16.1.3 因发包人违约解除合同</w:t>
      </w:r>
    </w:p>
    <w:p w14:paraId="12831AE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034DC08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16.1.4 因发包人违约解除合同后的付款</w:t>
      </w:r>
    </w:p>
    <w:p w14:paraId="491567B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承包人按照本款约定解除合同的，发包人应在解除合同后28天内支付下列款项，并解除履约担保：</w:t>
      </w:r>
    </w:p>
    <w:p w14:paraId="1398F6D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（1）合同解除前所完成工作的价款；</w:t>
      </w:r>
    </w:p>
    <w:p w14:paraId="7FC2FB4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（2）承包人为工程施工订购并已付款的材料、工程设备和其他物品的价款；</w:t>
      </w:r>
    </w:p>
    <w:p w14:paraId="136A504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（3）承包人撤离施工现场以及遣散承包人人员的款项；</w:t>
      </w:r>
    </w:p>
    <w:p w14:paraId="2BBFCB3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（4）按照合同约定在合同解除前应支付的违约金；</w:t>
      </w:r>
    </w:p>
    <w:p w14:paraId="44D07E8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（5）按照合同约定应当支付给承包人的其他款项；</w:t>
      </w:r>
    </w:p>
    <w:p w14:paraId="35E8A06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（6）按照合同约定应退还的质量保证金；</w:t>
      </w:r>
    </w:p>
    <w:p w14:paraId="0034F25C">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（7）因解除合同给承包人造成的损失。</w:t>
      </w:r>
    </w:p>
    <w:p w14:paraId="67ADE79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合同当事人未能就解除合同后的结清达成一致的，按照第20条〔争议解决〕的约定处理。</w:t>
      </w:r>
    </w:p>
    <w:p w14:paraId="7B9E9DD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承包人应妥善做好已完工程和与工程有关的已购材料、工程设备的保护和移交工作，并将施工设备和人员撤出施工现场，发包人应为承包人撤出提供必要条件。</w:t>
      </w:r>
    </w:p>
    <w:p w14:paraId="76A2838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65" w:name="_Toc351203605"/>
      <w:bookmarkStart w:id="566" w:name="_Toc296503131"/>
      <w:bookmarkStart w:id="567" w:name="_Toc296346632"/>
      <w:bookmarkStart w:id="568" w:name="_Toc337558822"/>
      <w:r>
        <w:rPr>
          <w:rFonts w:hint="eastAsia" w:ascii="宋体" w:hAnsi="宋体" w:eastAsia="宋体" w:cs="宋体"/>
          <w:b w:val="0"/>
          <w:color w:val="auto"/>
          <w:sz w:val="21"/>
          <w:szCs w:val="21"/>
          <w:highlight w:val="none"/>
        </w:rPr>
        <w:t>16.2 承包人违约</w:t>
      </w:r>
      <w:bookmarkEnd w:id="565"/>
    </w:p>
    <w:bookmarkEnd w:id="566"/>
    <w:bookmarkEnd w:id="567"/>
    <w:bookmarkEnd w:id="568"/>
    <w:p w14:paraId="7BDD628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14:paraId="792E8B1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在合同履行过程中发生的下列情形，属于承包人违约：</w:t>
      </w:r>
    </w:p>
    <w:p w14:paraId="67C9C3F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（1）承包人违反合同约定进行转包或违法分包的；</w:t>
      </w:r>
    </w:p>
    <w:p w14:paraId="2D63E4F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（2）承包人违反合同约定采购和使用不合格的材料和工程设备的；</w:t>
      </w:r>
    </w:p>
    <w:p w14:paraId="00C4D04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（3）因承包人原因导致工程质量不符合合同要求的； </w:t>
      </w:r>
    </w:p>
    <w:p w14:paraId="449C0F7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（4）承包人违反第8.9款〔材料与设备专用要求〕的约定，未经批准，私自将已按照合同约定进入施工现场的材料或设备撤离施工现场的；</w:t>
      </w:r>
    </w:p>
    <w:p w14:paraId="6151395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（5）承包人未能按施工进度计划及时完成合同约定的工作，造成工期延误的；</w:t>
      </w:r>
    </w:p>
    <w:p w14:paraId="2852621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（6）承包人在缺陷责任期及保修期内，未能在合理期限对工程缺陷进行修复，或拒绝按发包人要求进行修复的；</w:t>
      </w:r>
    </w:p>
    <w:p w14:paraId="7B4942C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（7）承包人明确表示或者以其行为表明不履行合同主要义务的；</w:t>
      </w:r>
    </w:p>
    <w:p w14:paraId="17A1F56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（8）承包人未能按照合同约定履行其他义务的。</w:t>
      </w:r>
    </w:p>
    <w:p w14:paraId="7602D76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承包人发生除本项第（7）目约定以外的其他违约情况时，监理人可向承包人发出整改通知，要求其在指定的期限内改正。</w:t>
      </w:r>
    </w:p>
    <w:p w14:paraId="1578E4F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 承包人违约的责任</w:t>
      </w:r>
    </w:p>
    <w:p w14:paraId="055F8BB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承包人应承担因其违约行为而增加的费用和（或）延误的工期。此外，合同当事人可在专用合同条款中另行约定承包人违约责任的承担方式和计算方法。</w:t>
      </w:r>
    </w:p>
    <w:p w14:paraId="73C438A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16.2.3 因承包人违约解除合同</w:t>
      </w:r>
    </w:p>
    <w:p w14:paraId="439BD0A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14C45C0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16.2.4因承包人违约解除合同后的处理</w:t>
      </w:r>
    </w:p>
    <w:p w14:paraId="4911252E">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因承包人原因导致合同解除的，则合同当事人应在合同解除后28天内完成估价、付款和清算，并按以下约定执行：</w:t>
      </w:r>
    </w:p>
    <w:p w14:paraId="022784F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（1）合同解除后，按第4.4款〔商定或确定〕商定或确定承包人实际完成工作对应的合同价款，以及承包人已提供的材料、工程设备、施工设备和临时工程等的价值；</w:t>
      </w:r>
    </w:p>
    <w:p w14:paraId="37D3C35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（2）合同解除后，承包人应支付的违约金；</w:t>
      </w:r>
    </w:p>
    <w:p w14:paraId="2BBB497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（3）合同解除后，因解除合同给发包人造成的损失；</w:t>
      </w:r>
    </w:p>
    <w:p w14:paraId="3DC51F04">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（4）合同解除后，承包人应按照发包人要求和监理人的指示完成现场的清理和撤离；</w:t>
      </w:r>
    </w:p>
    <w:p w14:paraId="633B4B9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（5）发包人和承包人应在合同解除后进行清算，出具最终结清付款证书，结清全部款项。</w:t>
      </w:r>
    </w:p>
    <w:p w14:paraId="026903D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367C64D">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16.2.5采购合同权益转让</w:t>
      </w:r>
    </w:p>
    <w:p w14:paraId="61F91D5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717D630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69" w:name="_Toc351203606"/>
      <w:r>
        <w:rPr>
          <w:rFonts w:hint="eastAsia" w:ascii="宋体" w:hAnsi="宋体" w:eastAsia="宋体" w:cs="宋体"/>
          <w:b w:val="0"/>
          <w:color w:val="auto"/>
          <w:sz w:val="21"/>
          <w:szCs w:val="21"/>
          <w:highlight w:val="none"/>
        </w:rPr>
        <w:t>16.3 第三人造成的违约</w:t>
      </w:r>
      <w:bookmarkEnd w:id="569"/>
    </w:p>
    <w:p w14:paraId="2B49CE5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在履行合同过程中，一方当事人因第三人的原因造成违约的，应当向对方当事人承担违约责任。一方当事人和第三人之间的纠纷，依照法律规定或者按照约定解决。</w:t>
      </w:r>
    </w:p>
    <w:p w14:paraId="1B1AA603">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70" w:name="_Toc351203607"/>
      <w:bookmarkStart w:id="571" w:name="_Toc337558823"/>
      <w:bookmarkStart w:id="572" w:name="_Toc296346617"/>
      <w:bookmarkStart w:id="573" w:name="_Toc296503116"/>
      <w:r>
        <w:rPr>
          <w:rFonts w:hint="eastAsia" w:ascii="宋体" w:hAnsi="宋体" w:eastAsia="宋体" w:cs="宋体"/>
          <w:b w:val="0"/>
          <w:color w:val="auto"/>
          <w:sz w:val="21"/>
          <w:szCs w:val="21"/>
          <w:highlight w:val="none"/>
        </w:rPr>
        <w:t>17. 不可抗力</w:t>
      </w:r>
      <w:bookmarkEnd w:id="570"/>
      <w:r>
        <w:rPr>
          <w:rFonts w:hint="eastAsia" w:ascii="宋体" w:hAnsi="宋体" w:eastAsia="宋体" w:cs="宋体"/>
          <w:b w:val="0"/>
          <w:color w:val="auto"/>
          <w:sz w:val="21"/>
          <w:szCs w:val="21"/>
          <w:highlight w:val="none"/>
        </w:rPr>
        <w:t xml:space="preserve"> </w:t>
      </w:r>
      <w:bookmarkEnd w:id="571"/>
      <w:bookmarkEnd w:id="572"/>
      <w:bookmarkEnd w:id="573"/>
    </w:p>
    <w:p w14:paraId="63C6263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74" w:name="_Toc351203608"/>
      <w:bookmarkStart w:id="575" w:name="_Toc296346618"/>
      <w:bookmarkStart w:id="576" w:name="_Toc337558824"/>
      <w:bookmarkStart w:id="577" w:name="_Toc296503117"/>
      <w:r>
        <w:rPr>
          <w:rFonts w:hint="eastAsia" w:ascii="宋体" w:hAnsi="宋体" w:eastAsia="宋体" w:cs="宋体"/>
          <w:b w:val="0"/>
          <w:color w:val="auto"/>
          <w:sz w:val="21"/>
          <w:szCs w:val="21"/>
          <w:highlight w:val="none"/>
        </w:rPr>
        <w:t>17.1 不可抗力的确认</w:t>
      </w:r>
      <w:bookmarkEnd w:id="574"/>
    </w:p>
    <w:bookmarkEnd w:id="575"/>
    <w:bookmarkEnd w:id="576"/>
    <w:bookmarkEnd w:id="577"/>
    <w:p w14:paraId="79F5EDF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6905BAC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723D4FA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78" w:name="_Toc351203609"/>
      <w:bookmarkStart w:id="579" w:name="_Toc337558825"/>
      <w:bookmarkStart w:id="580" w:name="_Toc296346619"/>
      <w:bookmarkStart w:id="581" w:name="_Toc296503118"/>
      <w:r>
        <w:rPr>
          <w:rFonts w:hint="eastAsia" w:ascii="宋体" w:hAnsi="宋体" w:eastAsia="宋体" w:cs="宋体"/>
          <w:b w:val="0"/>
          <w:color w:val="auto"/>
          <w:sz w:val="21"/>
          <w:szCs w:val="21"/>
          <w:highlight w:val="none"/>
        </w:rPr>
        <w:t>17.2 不可抗力的通知</w:t>
      </w:r>
      <w:bookmarkEnd w:id="578"/>
    </w:p>
    <w:bookmarkEnd w:id="579"/>
    <w:bookmarkEnd w:id="580"/>
    <w:bookmarkEnd w:id="581"/>
    <w:p w14:paraId="06170AA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合同一方当事人遇到不可抗力事件，使其履行合同义务受到阻碍时，应立即通知合同另一方当事人和监理人，书面说明不可抗力和受阻碍的详细情况，并提供必要的证明。</w:t>
      </w:r>
    </w:p>
    <w:p w14:paraId="72CA856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51870F2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82" w:name="_Toc351203610"/>
      <w:bookmarkStart w:id="583" w:name="_Toc296346620"/>
      <w:bookmarkStart w:id="584" w:name="_Toc337558826"/>
      <w:bookmarkStart w:id="585" w:name="_Toc296503119"/>
      <w:r>
        <w:rPr>
          <w:rFonts w:hint="eastAsia" w:ascii="宋体" w:hAnsi="宋体" w:eastAsia="宋体" w:cs="宋体"/>
          <w:b w:val="0"/>
          <w:color w:val="auto"/>
          <w:sz w:val="21"/>
          <w:szCs w:val="21"/>
          <w:highlight w:val="none"/>
        </w:rPr>
        <w:t>17.3 不可抗力后果的承担</w:t>
      </w:r>
      <w:bookmarkEnd w:id="582"/>
    </w:p>
    <w:bookmarkEnd w:id="583"/>
    <w:bookmarkEnd w:id="584"/>
    <w:bookmarkEnd w:id="585"/>
    <w:p w14:paraId="2C89838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17.3.1 不可抗力引起的后果及造成的损失由合同当事人按照法律规定及合同约定各自承担。不可抗力发生前已完成的工程应当按照合同约定进行计量支付。</w:t>
      </w:r>
    </w:p>
    <w:p w14:paraId="526CC5E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17.3.2 不可抗力导致的人员伤亡、财产损失、费用增加和（或）工期延误等后果，由合同当事人按以下原则承担：</w:t>
      </w:r>
    </w:p>
    <w:p w14:paraId="3E2E9AD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（1）永久工程、已运至施工现场的材料和工程设备的损坏，以及因工程损坏造成的第三人人员伤亡和财产损失由发包人承担；</w:t>
      </w:r>
    </w:p>
    <w:p w14:paraId="4E8B1554">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（2）承包人施工设备的损坏由承包人承担；</w:t>
      </w:r>
    </w:p>
    <w:p w14:paraId="7FDB598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（3）发包人和承包人承担各自人员伤亡和财产的损失；</w:t>
      </w:r>
    </w:p>
    <w:p w14:paraId="30CE311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7BB5C7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（5）因不可抗力引起或将引起工期延误，发包人要求赶工的，由此增加的赶工费用由发包人承担；</w:t>
      </w:r>
    </w:p>
    <w:p w14:paraId="1CDE405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（6）承包人在停工期间按照发包人要求照管、清理和修复工程的费用由发包人承担。</w:t>
      </w:r>
    </w:p>
    <w:p w14:paraId="21E89D1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不可抗力发生后，合同当事人均应采取措施尽量避免和减少损失的扩大，任何一方当事人没有采取有效措施导致损失扩大的，应对扩大的损失承担责任。</w:t>
      </w:r>
    </w:p>
    <w:p w14:paraId="27A33C2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因合同一方迟延履行合同义务，在迟延履行期间遭遇不可抗力的，不免除其违约责任。</w:t>
      </w:r>
    </w:p>
    <w:p w14:paraId="18E4667C">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86" w:name="_Toc351203611"/>
      <w:bookmarkStart w:id="587" w:name="_Toc337558827"/>
      <w:r>
        <w:rPr>
          <w:rFonts w:hint="eastAsia" w:ascii="宋体" w:hAnsi="宋体" w:eastAsia="宋体" w:cs="宋体"/>
          <w:b w:val="0"/>
          <w:color w:val="auto"/>
          <w:sz w:val="21"/>
          <w:szCs w:val="21"/>
          <w:highlight w:val="none"/>
        </w:rPr>
        <w:t>17.4 因不可抗力解除合同</w:t>
      </w:r>
      <w:bookmarkEnd w:id="586"/>
    </w:p>
    <w:bookmarkEnd w:id="587"/>
    <w:p w14:paraId="0F6AD54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33E2A2B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（1）合同解除前承包人已完成工作的价款；</w:t>
      </w:r>
    </w:p>
    <w:p w14:paraId="7BD95279">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（2）承包人为工程订购的并已交付给承包人，或承包人有责任接受交付的材料、工程设备和其他物品的价款；</w:t>
      </w:r>
    </w:p>
    <w:p w14:paraId="101B1E93">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（3）发包人要求承包人退货或解除订货合同而产生的费用，或因不能退货或解除合同而产生的损失；</w:t>
      </w:r>
    </w:p>
    <w:p w14:paraId="0AE37A5B">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（4）承包人撤离施工现场以及遣散承包人人员的费用；</w:t>
      </w:r>
    </w:p>
    <w:p w14:paraId="2D5C691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（5）按照合同约定在合同解除前应支付给承包人的其他款项；</w:t>
      </w:r>
    </w:p>
    <w:p w14:paraId="7A0F584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（6）扣减承包人按照合同约定应向发包人支付的款项；</w:t>
      </w:r>
    </w:p>
    <w:p w14:paraId="7AE0CE21">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（7）双方商定或确定的其他款项。</w:t>
      </w:r>
    </w:p>
    <w:p w14:paraId="7E2D768F">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除专用合同条款另有约定外，合同解除后，发包人应在商定或确定上述款项后28天内完成上述款项的支付。</w:t>
      </w:r>
    </w:p>
    <w:p w14:paraId="5C0D65D2">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588" w:name="_Toc351203612"/>
      <w:bookmarkStart w:id="589" w:name="_Toc296503120"/>
      <w:bookmarkStart w:id="590" w:name="_Toc296346621"/>
      <w:bookmarkStart w:id="591" w:name="_Toc337558828"/>
      <w:r>
        <w:rPr>
          <w:rFonts w:hint="eastAsia" w:ascii="宋体" w:hAnsi="宋体" w:eastAsia="宋体" w:cs="宋体"/>
          <w:b w:val="0"/>
          <w:color w:val="auto"/>
          <w:sz w:val="21"/>
          <w:szCs w:val="21"/>
          <w:highlight w:val="none"/>
        </w:rPr>
        <w:t>18. 保险</w:t>
      </w:r>
      <w:bookmarkEnd w:id="588"/>
    </w:p>
    <w:bookmarkEnd w:id="589"/>
    <w:bookmarkEnd w:id="590"/>
    <w:bookmarkEnd w:id="591"/>
    <w:p w14:paraId="74C4821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92" w:name="_Toc351203613"/>
      <w:bookmarkStart w:id="593" w:name="_Toc337558829"/>
      <w:bookmarkStart w:id="594" w:name="_Toc296503121"/>
      <w:bookmarkStart w:id="595" w:name="_Toc296346622"/>
      <w:r>
        <w:rPr>
          <w:rFonts w:hint="eastAsia" w:ascii="宋体" w:hAnsi="宋体" w:eastAsia="宋体" w:cs="宋体"/>
          <w:b w:val="0"/>
          <w:color w:val="auto"/>
          <w:sz w:val="21"/>
          <w:szCs w:val="21"/>
          <w:highlight w:val="none"/>
        </w:rPr>
        <w:t>18.1 工程保险</w:t>
      </w:r>
      <w:bookmarkEnd w:id="592"/>
    </w:p>
    <w:bookmarkEnd w:id="593"/>
    <w:bookmarkEnd w:id="594"/>
    <w:bookmarkEnd w:id="595"/>
    <w:p w14:paraId="69AB62D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除专用合同条款另有约定外，发包人应投保建筑工程一切险或安装工程一切险；发包人委托承包人投保的，因投保产生的保险费和其他相关费用由发包人承担。</w:t>
      </w:r>
    </w:p>
    <w:p w14:paraId="5572CDE2">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596" w:name="_Toc351203614"/>
      <w:bookmarkStart w:id="597" w:name="_Toc337558830"/>
      <w:bookmarkStart w:id="598" w:name="_Toc296346623"/>
      <w:bookmarkStart w:id="599" w:name="_Toc296503122"/>
      <w:r>
        <w:rPr>
          <w:rFonts w:hint="eastAsia" w:ascii="宋体" w:hAnsi="宋体" w:eastAsia="宋体" w:cs="宋体"/>
          <w:b w:val="0"/>
          <w:color w:val="auto"/>
          <w:sz w:val="21"/>
          <w:szCs w:val="21"/>
          <w:highlight w:val="none"/>
        </w:rPr>
        <w:t>18.2 工伤保险</w:t>
      </w:r>
      <w:bookmarkEnd w:id="596"/>
    </w:p>
    <w:bookmarkEnd w:id="597"/>
    <w:bookmarkEnd w:id="598"/>
    <w:bookmarkEnd w:id="599"/>
    <w:p w14:paraId="0B65BD5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18.2.1 发包人应依照法律规定参加工伤保险，并为在施工现场的全部员工办理工伤保险，缴纳工伤保险费，并要求监理人及由发包人为履行合同聘请的第三方依法参加工伤保险。</w:t>
      </w:r>
    </w:p>
    <w:p w14:paraId="72267D3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18.2.2 承包人应依照法律规定参加工伤保险，并为其履行合同的全部员工办理工伤保险，缴纳工伤保险费，并要求分包人及由承包人为履行合同聘请的第三方依法参加工伤保险。</w:t>
      </w:r>
    </w:p>
    <w:p w14:paraId="332628E1">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00" w:name="_Toc351203615"/>
      <w:bookmarkStart w:id="601" w:name="_Toc296346626"/>
      <w:bookmarkStart w:id="602" w:name="_Toc296503125"/>
      <w:bookmarkStart w:id="603" w:name="_Toc337558831"/>
      <w:r>
        <w:rPr>
          <w:rFonts w:hint="eastAsia" w:ascii="宋体" w:hAnsi="宋体" w:eastAsia="宋体" w:cs="宋体"/>
          <w:b w:val="0"/>
          <w:color w:val="auto"/>
          <w:sz w:val="21"/>
          <w:szCs w:val="21"/>
          <w:highlight w:val="none"/>
        </w:rPr>
        <w:t>18.3其他保险</w:t>
      </w:r>
      <w:bookmarkEnd w:id="600"/>
    </w:p>
    <w:bookmarkEnd w:id="601"/>
    <w:bookmarkEnd w:id="602"/>
    <w:bookmarkEnd w:id="603"/>
    <w:p w14:paraId="7B240BC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2FAE1D56">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除专用合同条款另有约定外，承包人应为其施工设备等办理财产保险。</w:t>
      </w:r>
    </w:p>
    <w:p w14:paraId="7A6B8F9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04" w:name="_Toc351203616"/>
      <w:r>
        <w:rPr>
          <w:rFonts w:hint="eastAsia" w:ascii="宋体" w:hAnsi="宋体" w:eastAsia="宋体" w:cs="宋体"/>
          <w:b w:val="0"/>
          <w:color w:val="auto"/>
          <w:sz w:val="21"/>
          <w:szCs w:val="21"/>
          <w:highlight w:val="none"/>
        </w:rPr>
        <w:t>18.4持续保险</w:t>
      </w:r>
      <w:bookmarkEnd w:id="604"/>
    </w:p>
    <w:p w14:paraId="5FA6E3A0">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合同当事人应与保险人保持联系，使保险人能够随时了解工程实施中的变动，并确保按保险合同条款要求持续保险。</w:t>
      </w:r>
    </w:p>
    <w:p w14:paraId="597C8D8D">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05" w:name="_Toc351203617"/>
      <w:bookmarkStart w:id="606" w:name="_Toc296346627"/>
      <w:bookmarkStart w:id="607" w:name="_Toc296503126"/>
      <w:bookmarkStart w:id="608" w:name="_Toc337558832"/>
      <w:r>
        <w:rPr>
          <w:rFonts w:hint="eastAsia" w:ascii="宋体" w:hAnsi="宋体" w:eastAsia="宋体" w:cs="宋体"/>
          <w:b w:val="0"/>
          <w:color w:val="auto"/>
          <w:sz w:val="21"/>
          <w:szCs w:val="21"/>
          <w:highlight w:val="none"/>
        </w:rPr>
        <w:t>18.5 保险凭证</w:t>
      </w:r>
      <w:bookmarkEnd w:id="605"/>
    </w:p>
    <w:bookmarkEnd w:id="606"/>
    <w:bookmarkEnd w:id="607"/>
    <w:bookmarkEnd w:id="608"/>
    <w:p w14:paraId="25A20A0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合同当事人应及时向另一方当事人提交其已投保的各项保险的凭证和保险单复印件。</w:t>
      </w:r>
    </w:p>
    <w:p w14:paraId="0F32E89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09" w:name="_Toc351203618"/>
      <w:bookmarkStart w:id="610" w:name="_Toc337558833"/>
      <w:bookmarkStart w:id="611" w:name="_Toc296503127"/>
      <w:bookmarkStart w:id="612" w:name="_Toc296346628"/>
      <w:r>
        <w:rPr>
          <w:rFonts w:hint="eastAsia" w:ascii="宋体" w:hAnsi="宋体" w:eastAsia="宋体" w:cs="宋体"/>
          <w:b w:val="0"/>
          <w:color w:val="auto"/>
          <w:sz w:val="21"/>
          <w:szCs w:val="21"/>
          <w:highlight w:val="none"/>
        </w:rPr>
        <w:t>18.6 未按约定投保的补救</w:t>
      </w:r>
      <w:bookmarkEnd w:id="609"/>
    </w:p>
    <w:bookmarkEnd w:id="610"/>
    <w:bookmarkEnd w:id="611"/>
    <w:bookmarkEnd w:id="612"/>
    <w:p w14:paraId="0C6B5697">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3F21489A">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7F8E8855">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13" w:name="_Toc351203619"/>
      <w:bookmarkStart w:id="614" w:name="_Toc337558834"/>
      <w:r>
        <w:rPr>
          <w:rFonts w:hint="eastAsia" w:ascii="宋体" w:hAnsi="宋体" w:eastAsia="宋体" w:cs="宋体"/>
          <w:b w:val="0"/>
          <w:color w:val="auto"/>
          <w:sz w:val="21"/>
          <w:szCs w:val="21"/>
          <w:highlight w:val="none"/>
        </w:rPr>
        <w:t>18.7 通知义务</w:t>
      </w:r>
      <w:bookmarkEnd w:id="613"/>
    </w:p>
    <w:bookmarkEnd w:id="614"/>
    <w:p w14:paraId="3F067405">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2B002AF2">
      <w:pPr>
        <w:pageBreakBefore w:val="0"/>
        <w:kinsoku/>
        <w:wordWrap/>
        <w:overflowPunct/>
        <w:topLinePunct w:val="0"/>
        <w:bidi w:val="0"/>
        <w:snapToGrid/>
        <w:spacing w:line="39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保险事故发生时，投保人应按照保险合同规定的条件和期限及时向保险人报告。发包人和承包人应当在知道保险事故发生后及时通知对方。</w:t>
      </w:r>
    </w:p>
    <w:p w14:paraId="0B7C37C4">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615" w:name="_Toc351203620"/>
      <w:bookmarkStart w:id="616" w:name="_Toc296346641"/>
      <w:bookmarkStart w:id="617" w:name="_Toc337558835"/>
      <w:bookmarkStart w:id="618" w:name="_Toc296503140"/>
      <w:r>
        <w:rPr>
          <w:rFonts w:hint="eastAsia" w:ascii="宋体" w:hAnsi="宋体" w:eastAsia="宋体" w:cs="宋体"/>
          <w:b w:val="0"/>
          <w:color w:val="auto"/>
          <w:sz w:val="21"/>
          <w:szCs w:val="21"/>
          <w:highlight w:val="none"/>
        </w:rPr>
        <w:t>19. 索赔</w:t>
      </w:r>
      <w:bookmarkEnd w:id="615"/>
    </w:p>
    <w:bookmarkEnd w:id="616"/>
    <w:bookmarkEnd w:id="617"/>
    <w:bookmarkEnd w:id="618"/>
    <w:p w14:paraId="209E31E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19" w:name="_Toc351203621"/>
      <w:bookmarkStart w:id="620" w:name="_Toc296346642"/>
      <w:bookmarkStart w:id="621" w:name="_Toc296503141"/>
      <w:bookmarkStart w:id="622" w:name="_Toc337558836"/>
      <w:r>
        <w:rPr>
          <w:rFonts w:hint="eastAsia" w:ascii="宋体" w:hAnsi="宋体" w:eastAsia="宋体" w:cs="宋体"/>
          <w:b w:val="0"/>
          <w:color w:val="auto"/>
          <w:sz w:val="21"/>
          <w:szCs w:val="21"/>
          <w:highlight w:val="none"/>
        </w:rPr>
        <w:t>19.1承包人的索赔</w:t>
      </w:r>
      <w:bookmarkEnd w:id="619"/>
    </w:p>
    <w:bookmarkEnd w:id="620"/>
    <w:bookmarkEnd w:id="621"/>
    <w:bookmarkEnd w:id="622"/>
    <w:p w14:paraId="6C726FA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根据合同约定，承包人认为有权得到追加付款和（或）延长工期的，应按以下程序向发包人提出索赔：</w:t>
      </w:r>
    </w:p>
    <w:p w14:paraId="3E08D3CE">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4EAEBF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14:paraId="5D3843F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（3）索赔事件具有持续影响的，承包人应按合理时间间隔继续递交延续索赔通知，说明持续影响的实际情况和记录，列出累计的追加付款金额和（或）工期延长天数；</w:t>
      </w:r>
    </w:p>
    <w:p w14:paraId="08A2B81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（4）在索赔事件影响结束后28天内，承包人应向监理人递交最终索赔报告，说明最终要求索赔的追加付款金额和（或）延长的工期，并附必要的记录和证明材料。</w:t>
      </w:r>
    </w:p>
    <w:p w14:paraId="0B38D387">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23" w:name="_Toc351203622"/>
      <w:bookmarkStart w:id="624" w:name="_Toc296346643"/>
      <w:bookmarkStart w:id="625" w:name="_Toc296503142"/>
      <w:bookmarkStart w:id="626" w:name="_Toc337558837"/>
      <w:r>
        <w:rPr>
          <w:rFonts w:hint="eastAsia" w:ascii="宋体" w:hAnsi="宋体" w:eastAsia="宋体" w:cs="宋体"/>
          <w:b w:val="0"/>
          <w:color w:val="auto"/>
          <w:sz w:val="21"/>
          <w:szCs w:val="21"/>
          <w:highlight w:val="none"/>
        </w:rPr>
        <w:t>19.2 对承包人索赔的处理</w:t>
      </w:r>
      <w:bookmarkEnd w:id="623"/>
    </w:p>
    <w:bookmarkEnd w:id="624"/>
    <w:bookmarkEnd w:id="625"/>
    <w:bookmarkEnd w:id="626"/>
    <w:p w14:paraId="1C87E370">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对承包人索赔的处理如下：</w:t>
      </w:r>
    </w:p>
    <w:p w14:paraId="761E98A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（1）监理人应在收到索赔报告后14天内完成审查并报送发包人。监理人对索赔报告存在异议的，有权要求承包人提交全部原始记录副本；</w:t>
      </w:r>
    </w:p>
    <w:p w14:paraId="515B18D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66D0FD6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（3）承包人接受索赔处理结果的，索赔款项在当期进度款中进行支付；承包人不接受索赔处理结果的，按照第20条〔争议解决〕约定处理。</w:t>
      </w:r>
    </w:p>
    <w:p w14:paraId="7F87CAA4">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27" w:name="_Toc351203623"/>
      <w:bookmarkStart w:id="628" w:name="_Toc296346644"/>
      <w:bookmarkStart w:id="629" w:name="_Toc337558838"/>
      <w:bookmarkStart w:id="630" w:name="_Toc296503143"/>
      <w:r>
        <w:rPr>
          <w:rFonts w:hint="eastAsia" w:ascii="宋体" w:hAnsi="宋体" w:eastAsia="宋体" w:cs="宋体"/>
          <w:b w:val="0"/>
          <w:color w:val="auto"/>
          <w:sz w:val="21"/>
          <w:szCs w:val="21"/>
          <w:highlight w:val="none"/>
        </w:rPr>
        <w:t>19.3发包人的索赔</w:t>
      </w:r>
      <w:bookmarkEnd w:id="627"/>
    </w:p>
    <w:bookmarkEnd w:id="628"/>
    <w:bookmarkEnd w:id="629"/>
    <w:bookmarkEnd w:id="630"/>
    <w:p w14:paraId="2D714CA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根据合同约定，发包人认为有权得到赔付金额和（或）延长缺陷责任期的，监理人应向承包人发出通知并附有详细的证明。</w:t>
      </w:r>
    </w:p>
    <w:p w14:paraId="589CD59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1E83B9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31" w:name="_Toc351203624"/>
      <w:bookmarkStart w:id="632" w:name="_Toc296346645"/>
      <w:bookmarkStart w:id="633" w:name="_Toc296503144"/>
      <w:bookmarkStart w:id="634" w:name="_Toc337558839"/>
      <w:r>
        <w:rPr>
          <w:rFonts w:hint="eastAsia" w:ascii="宋体" w:hAnsi="宋体" w:eastAsia="宋体" w:cs="宋体"/>
          <w:b w:val="0"/>
          <w:color w:val="auto"/>
          <w:sz w:val="21"/>
          <w:szCs w:val="21"/>
          <w:highlight w:val="none"/>
        </w:rPr>
        <w:t>19.4 对发包人索赔的处理</w:t>
      </w:r>
      <w:bookmarkEnd w:id="631"/>
    </w:p>
    <w:bookmarkEnd w:id="632"/>
    <w:bookmarkEnd w:id="633"/>
    <w:bookmarkEnd w:id="634"/>
    <w:p w14:paraId="710823B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对发包人索赔的处理如下：</w:t>
      </w:r>
    </w:p>
    <w:p w14:paraId="02B86869">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（1）承包人收到发包人提交的索赔报告后，应及时审查索赔报告的内容、查验发包人证明材料；</w:t>
      </w:r>
    </w:p>
    <w:p w14:paraId="77600FCB">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（2）承包人应在收到索赔报告或有关索赔的进一步证明材料后28天内，将索赔处理结果答复发包人。如果承包人未在上述期限内作出答复的，则视为对发包人索赔要求的认可；</w:t>
      </w:r>
    </w:p>
    <w:p w14:paraId="55AFA14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（3）承包人接受索赔处理结果的，发包人可从应支付给承包人的合同价款中扣除赔付的金额或延长缺陷责任期；发包人不接受索赔处理结果的，按第20条〔争议解决〕约定处理。</w:t>
      </w:r>
    </w:p>
    <w:p w14:paraId="4050EFEB">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35" w:name="_Toc351203625"/>
      <w:r>
        <w:rPr>
          <w:rFonts w:hint="eastAsia" w:ascii="宋体" w:hAnsi="宋体" w:eastAsia="宋体" w:cs="宋体"/>
          <w:b w:val="0"/>
          <w:color w:val="auto"/>
          <w:sz w:val="21"/>
          <w:szCs w:val="21"/>
          <w:highlight w:val="none"/>
        </w:rPr>
        <w:t>19.5 提出索赔的期限</w:t>
      </w:r>
      <w:bookmarkEnd w:id="635"/>
    </w:p>
    <w:p w14:paraId="3F3CE33F">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（1）承包人按第14.2款〔竣工结算审核〕约定接收竣工付款证书后，应被视为已无权再提出在工程接收证书颁发前所发生的任何索赔。</w:t>
      </w:r>
    </w:p>
    <w:p w14:paraId="071D6E6A">
      <w:pPr>
        <w:pageBreakBefore w:val="0"/>
        <w:kinsoku/>
        <w:wordWrap/>
        <w:overflowPunct/>
        <w:topLinePunct w:val="0"/>
        <w:bidi w:val="0"/>
        <w:snapToGrid/>
        <w:spacing w:line="39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（2）承包人按第14.4款〔最终结清〕提交的最终结清申请单中，只限于提出工程接收证书颁发后发生的索赔。提出索赔的期限自接受最终结清证书时终止。</w:t>
      </w:r>
    </w:p>
    <w:p w14:paraId="1E69EC57">
      <w:pPr>
        <w:pStyle w:val="5"/>
        <w:pageBreakBefore w:val="0"/>
        <w:kinsoku/>
        <w:wordWrap/>
        <w:overflowPunct/>
        <w:topLinePunct w:val="0"/>
        <w:bidi w:val="0"/>
        <w:snapToGrid/>
        <w:spacing w:before="0" w:line="390" w:lineRule="exact"/>
        <w:ind w:left="0"/>
        <w:textAlignment w:val="auto"/>
        <w:rPr>
          <w:rFonts w:hint="eastAsia" w:ascii="宋体" w:hAnsi="宋体" w:eastAsia="宋体" w:cs="宋体"/>
          <w:b w:val="0"/>
          <w:color w:val="auto"/>
          <w:sz w:val="21"/>
          <w:szCs w:val="21"/>
          <w:highlight w:val="none"/>
        </w:rPr>
      </w:pPr>
      <w:bookmarkStart w:id="636" w:name="_Toc351203626"/>
      <w:r>
        <w:rPr>
          <w:rFonts w:hint="eastAsia" w:ascii="宋体" w:hAnsi="宋体" w:eastAsia="宋体" w:cs="宋体"/>
          <w:b w:val="0"/>
          <w:color w:val="auto"/>
          <w:sz w:val="21"/>
          <w:szCs w:val="21"/>
          <w:highlight w:val="none"/>
        </w:rPr>
        <w:t>20</w:t>
      </w:r>
      <w:bookmarkStart w:id="637" w:name="_Toc337558840"/>
      <w:bookmarkStart w:id="638" w:name="_Toc296503146"/>
      <w:bookmarkStart w:id="639" w:name="_Toc296346647"/>
      <w:r>
        <w:rPr>
          <w:rFonts w:hint="eastAsia" w:ascii="宋体" w:hAnsi="宋体" w:eastAsia="宋体" w:cs="宋体"/>
          <w:b w:val="0"/>
          <w:color w:val="auto"/>
          <w:sz w:val="21"/>
          <w:szCs w:val="21"/>
          <w:highlight w:val="none"/>
        </w:rPr>
        <w:t>. 争议解决</w:t>
      </w:r>
      <w:bookmarkEnd w:id="636"/>
    </w:p>
    <w:bookmarkEnd w:id="637"/>
    <w:bookmarkEnd w:id="638"/>
    <w:bookmarkEnd w:id="639"/>
    <w:p w14:paraId="44A2337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40" w:name="_Toc351203627"/>
      <w:bookmarkStart w:id="641" w:name="_Toc296346648"/>
      <w:bookmarkStart w:id="642" w:name="_Toc296503147"/>
      <w:bookmarkStart w:id="643" w:name="_Toc337558841"/>
      <w:r>
        <w:rPr>
          <w:rFonts w:hint="eastAsia" w:ascii="宋体" w:hAnsi="宋体" w:eastAsia="宋体" w:cs="宋体"/>
          <w:b w:val="0"/>
          <w:color w:val="auto"/>
          <w:sz w:val="21"/>
          <w:szCs w:val="21"/>
          <w:highlight w:val="none"/>
        </w:rPr>
        <w:t>20.1和解</w:t>
      </w:r>
      <w:bookmarkEnd w:id="640"/>
    </w:p>
    <w:bookmarkEnd w:id="641"/>
    <w:bookmarkEnd w:id="642"/>
    <w:bookmarkEnd w:id="643"/>
    <w:p w14:paraId="223CC67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合同当事人可以就争议自行和解，自行和解达成协议的经双方签字并盖章后作为合同补充文件，双方均应遵照执行。</w:t>
      </w:r>
    </w:p>
    <w:p w14:paraId="6AFF72B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44" w:name="_Toc351203628"/>
      <w:r>
        <w:rPr>
          <w:rFonts w:hint="eastAsia" w:ascii="宋体" w:hAnsi="宋体" w:eastAsia="宋体" w:cs="宋体"/>
          <w:b w:val="0"/>
          <w:color w:val="auto"/>
          <w:sz w:val="21"/>
          <w:szCs w:val="21"/>
          <w:highlight w:val="none"/>
        </w:rPr>
        <w:t>20</w:t>
      </w:r>
      <w:bookmarkStart w:id="645" w:name="_Toc296503148"/>
      <w:bookmarkStart w:id="646" w:name="_Toc337558842"/>
      <w:bookmarkStart w:id="647" w:name="_Toc296346649"/>
      <w:r>
        <w:rPr>
          <w:rFonts w:hint="eastAsia" w:ascii="宋体" w:hAnsi="宋体" w:eastAsia="宋体" w:cs="宋体"/>
          <w:b w:val="0"/>
          <w:color w:val="auto"/>
          <w:sz w:val="21"/>
          <w:szCs w:val="21"/>
          <w:highlight w:val="none"/>
        </w:rPr>
        <w:t>.2调解</w:t>
      </w:r>
      <w:bookmarkEnd w:id="644"/>
    </w:p>
    <w:bookmarkEnd w:id="645"/>
    <w:bookmarkEnd w:id="646"/>
    <w:bookmarkEnd w:id="647"/>
    <w:p w14:paraId="49002CE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合同当事人可以就争议请求建设行政主管部门、行业协会或其他第三方进行调解，调解达成协议的，经双方签字并盖章后作为合同补充文件，双方均应遵照执行。</w:t>
      </w:r>
    </w:p>
    <w:p w14:paraId="7C673A1A">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48" w:name="_Toc351203629"/>
      <w:bookmarkStart w:id="649" w:name="_Toc296346650"/>
      <w:bookmarkStart w:id="650" w:name="_Toc296503149"/>
      <w:bookmarkStart w:id="651" w:name="_Toc337558843"/>
      <w:r>
        <w:rPr>
          <w:rFonts w:hint="eastAsia" w:ascii="宋体" w:hAnsi="宋体" w:eastAsia="宋体" w:cs="宋体"/>
          <w:b w:val="0"/>
          <w:color w:val="auto"/>
          <w:sz w:val="21"/>
          <w:szCs w:val="21"/>
          <w:highlight w:val="none"/>
        </w:rPr>
        <w:t>20.3争议评审</w:t>
      </w:r>
      <w:bookmarkEnd w:id="648"/>
    </w:p>
    <w:bookmarkEnd w:id="649"/>
    <w:bookmarkEnd w:id="650"/>
    <w:bookmarkEnd w:id="651"/>
    <w:p w14:paraId="4F309A7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合同当事人在专用合同条款中约定采取争议评审方式解决争议以及评审规则，并按下列约定执行： </w:t>
      </w:r>
    </w:p>
    <w:p w14:paraId="39FB761D">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20.3.1 争议评审小组的确定</w:t>
      </w:r>
    </w:p>
    <w:p w14:paraId="0351208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42703286">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3E081065">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除专用合同条款另有约定外，评审员报酬由发包人和承包人各承担一半。</w:t>
      </w:r>
    </w:p>
    <w:p w14:paraId="22DD79E8">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14:paraId="6C3DBDF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347919CC">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20.3.3 争议评审小组决定的效力</w:t>
      </w:r>
    </w:p>
    <w:p w14:paraId="455F959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争议评审小组作出的书面决定经合同当事人签字确认后，对双方具有约束力，双方应遵照执行。</w:t>
      </w:r>
    </w:p>
    <w:p w14:paraId="01789E43">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任何一方当事人不接受争议评审小组决定或不履行争议评审小组决定的，双方可选择采用其他争议解决方式。</w:t>
      </w:r>
    </w:p>
    <w:p w14:paraId="445378DE">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52" w:name="_Toc351203630"/>
      <w:bookmarkStart w:id="653" w:name="_Toc296346651"/>
      <w:bookmarkStart w:id="654" w:name="_Toc296503150"/>
      <w:bookmarkStart w:id="655" w:name="_Toc337558844"/>
      <w:r>
        <w:rPr>
          <w:rFonts w:hint="eastAsia" w:ascii="宋体" w:hAnsi="宋体" w:eastAsia="宋体" w:cs="宋体"/>
          <w:b w:val="0"/>
          <w:color w:val="auto"/>
          <w:sz w:val="21"/>
          <w:szCs w:val="21"/>
          <w:highlight w:val="none"/>
        </w:rPr>
        <w:t>20.4仲裁或诉讼</w:t>
      </w:r>
      <w:bookmarkEnd w:id="652"/>
    </w:p>
    <w:bookmarkEnd w:id="653"/>
    <w:bookmarkEnd w:id="654"/>
    <w:bookmarkEnd w:id="655"/>
    <w:p w14:paraId="1D762232">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因合同及合同有关事项产生的争议，合同当事人可以在专用合同条款中约定以下一种方式解决争议：</w:t>
      </w:r>
    </w:p>
    <w:p w14:paraId="66243BA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（1）向约定的仲裁委员会申请仲裁；</w:t>
      </w:r>
    </w:p>
    <w:p w14:paraId="7383A61F">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（2）向有管辖权的人民法院起诉。</w:t>
      </w:r>
    </w:p>
    <w:p w14:paraId="7C8F8196">
      <w:pPr>
        <w:pStyle w:val="6"/>
        <w:pageBreakBefore w:val="0"/>
        <w:kinsoku/>
        <w:wordWrap/>
        <w:overflowPunct/>
        <w:topLinePunct w:val="0"/>
        <w:bidi w:val="0"/>
        <w:snapToGrid/>
        <w:spacing w:before="0" w:after="0" w:line="390" w:lineRule="exact"/>
        <w:ind w:left="0" w:firstLine="420" w:firstLineChars="200"/>
        <w:textAlignment w:val="auto"/>
        <w:rPr>
          <w:rFonts w:hint="eastAsia" w:ascii="宋体" w:hAnsi="宋体" w:eastAsia="宋体" w:cs="宋体"/>
          <w:b w:val="0"/>
          <w:color w:val="auto"/>
          <w:sz w:val="21"/>
          <w:szCs w:val="21"/>
          <w:highlight w:val="none"/>
        </w:rPr>
      </w:pPr>
      <w:bookmarkStart w:id="656" w:name="_Toc351203631"/>
      <w:bookmarkStart w:id="657" w:name="_Toc337558845"/>
      <w:bookmarkStart w:id="658" w:name="_Toc296346653"/>
      <w:bookmarkStart w:id="659" w:name="_Toc296503152"/>
      <w:r>
        <w:rPr>
          <w:rFonts w:hint="eastAsia" w:ascii="宋体" w:hAnsi="宋体" w:eastAsia="宋体" w:cs="宋体"/>
          <w:b w:val="0"/>
          <w:color w:val="auto"/>
          <w:sz w:val="21"/>
          <w:szCs w:val="21"/>
          <w:highlight w:val="none"/>
        </w:rPr>
        <w:t>20.5争议解决条款效力</w:t>
      </w:r>
      <w:bookmarkEnd w:id="656"/>
    </w:p>
    <w:bookmarkEnd w:id="657"/>
    <w:bookmarkEnd w:id="658"/>
    <w:bookmarkEnd w:id="659"/>
    <w:p w14:paraId="2ED1D617">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合同有关争议解决的条款独立存在，合同的变更、解除、终止、无效或者被撤销均不影响其效力。 </w:t>
      </w:r>
    </w:p>
    <w:p w14:paraId="12127231">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p>
    <w:p w14:paraId="4F59637A">
      <w:pPr>
        <w:pageBreakBefore w:val="0"/>
        <w:kinsoku/>
        <w:wordWrap/>
        <w:overflowPunct/>
        <w:topLinePunct w:val="0"/>
        <w:autoSpaceDE w:val="0"/>
        <w:autoSpaceDN w:val="0"/>
        <w:bidi w:val="0"/>
        <w:adjustRightInd w:val="0"/>
        <w:snapToGrid/>
        <w:spacing w:line="390" w:lineRule="exact"/>
        <w:ind w:left="0" w:firstLine="420" w:firstLineChars="200"/>
        <w:jc w:val="left"/>
        <w:textAlignment w:val="auto"/>
        <w:rPr>
          <w:rFonts w:hint="eastAsia" w:ascii="宋体" w:hAnsi="宋体" w:eastAsia="宋体" w:cs="宋体"/>
          <w:color w:val="auto"/>
          <w:kern w:val="0"/>
          <w:sz w:val="21"/>
          <w:szCs w:val="21"/>
          <w:highlight w:val="none"/>
        </w:rPr>
      </w:pPr>
    </w:p>
    <w:bookmarkEnd w:id="231"/>
    <w:p w14:paraId="15AD76DF">
      <w:pPr>
        <w:pStyle w:val="20"/>
        <w:ind w:left="63" w:right="63"/>
        <w:rPr>
          <w:color w:val="auto"/>
          <w:highlight w:val="none"/>
        </w:rPr>
        <w:sectPr>
          <w:footerReference r:id="rId7" w:type="default"/>
          <w:pgSz w:w="11906" w:h="16838"/>
          <w:pgMar w:top="1134" w:right="1134" w:bottom="1134" w:left="1418" w:header="851" w:footer="992" w:gutter="0"/>
          <w:pgNumType w:fmt="decimal"/>
          <w:cols w:space="720" w:num="1"/>
          <w:docGrid w:type="lines" w:linePitch="312" w:charSpace="0"/>
        </w:sectPr>
      </w:pPr>
    </w:p>
    <w:p w14:paraId="09034B92">
      <w:pPr>
        <w:pStyle w:val="36"/>
        <w:spacing w:line="400" w:lineRule="atLeast"/>
        <w:jc w:val="center"/>
        <w:rPr>
          <w:color w:val="auto"/>
          <w:highlight w:val="none"/>
        </w:rPr>
      </w:pPr>
      <w:bookmarkStart w:id="660" w:name="_Toc256000171"/>
      <w:bookmarkStart w:id="661" w:name="_Toc6905"/>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660"/>
      <w:bookmarkEnd w:id="661"/>
    </w:p>
    <w:p w14:paraId="68215A0E">
      <w:pPr>
        <w:pStyle w:val="36"/>
        <w:spacing w:line="380" w:lineRule="exact"/>
        <w:rPr>
          <w:rFonts w:ascii="宋体" w:cs="宋体"/>
          <w:color w:val="auto"/>
          <w:highlight w:val="none"/>
        </w:rPr>
      </w:pPr>
      <w:bookmarkStart w:id="662" w:name="_Toc406522213"/>
      <w:bookmarkStart w:id="663" w:name="_Toc256000172"/>
      <w:bookmarkStart w:id="664" w:name="_Toc522201723"/>
      <w:bookmarkStart w:id="665" w:name="_Toc351203633"/>
      <w:bookmarkStart w:id="666" w:name="_Toc19640"/>
      <w:bookmarkStart w:id="667" w:name="_Toc418751789"/>
      <w:bookmarkStart w:id="668" w:name="_Toc497746774"/>
      <w:bookmarkStart w:id="669" w:name="_Toc418752235"/>
      <w:bookmarkStart w:id="670" w:name="_Toc497747171"/>
      <w:bookmarkStart w:id="671" w:name="_Toc484024116"/>
      <w:r>
        <w:rPr>
          <w:rFonts w:hint="eastAsia" w:ascii="宋体" w:cs="宋体"/>
          <w:color w:val="auto"/>
          <w:highlight w:val="none"/>
        </w:rPr>
        <w:t>1</w:t>
      </w:r>
      <w:bookmarkStart w:id="672" w:name="_Toc297120456"/>
      <w:bookmarkStart w:id="673" w:name="_Toc296503156"/>
      <w:bookmarkStart w:id="674" w:name="_Toc292559866"/>
      <w:bookmarkStart w:id="675" w:name="_Toc292559361"/>
      <w:bookmarkStart w:id="676" w:name="_Toc296890984"/>
      <w:bookmarkStart w:id="677" w:name="_Toc297048342"/>
      <w:bookmarkStart w:id="678" w:name="_Toc296944495"/>
      <w:bookmarkStart w:id="679" w:name="_Toc296891196"/>
      <w:bookmarkStart w:id="680" w:name="_Toc296346657"/>
      <w:bookmarkStart w:id="681" w:name="_Toc296347155"/>
      <w:r>
        <w:rPr>
          <w:rFonts w:hint="eastAsia" w:ascii="宋体" w:cs="宋体"/>
          <w:color w:val="auto"/>
          <w:highlight w:val="none"/>
        </w:rPr>
        <w:t>. 一般约定</w:t>
      </w:r>
      <w:bookmarkEnd w:id="662"/>
      <w:bookmarkEnd w:id="663"/>
      <w:bookmarkEnd w:id="664"/>
      <w:bookmarkEnd w:id="665"/>
      <w:bookmarkEnd w:id="666"/>
      <w:bookmarkEnd w:id="667"/>
      <w:bookmarkEnd w:id="668"/>
      <w:bookmarkEnd w:id="669"/>
      <w:bookmarkEnd w:id="670"/>
    </w:p>
    <w:bookmarkEnd w:id="672"/>
    <w:bookmarkEnd w:id="673"/>
    <w:bookmarkEnd w:id="674"/>
    <w:bookmarkEnd w:id="675"/>
    <w:bookmarkEnd w:id="676"/>
    <w:bookmarkEnd w:id="677"/>
    <w:bookmarkEnd w:id="678"/>
    <w:bookmarkEnd w:id="679"/>
    <w:bookmarkEnd w:id="680"/>
    <w:bookmarkEnd w:id="681"/>
    <w:p w14:paraId="583A5FD8">
      <w:pPr>
        <w:pStyle w:val="36"/>
        <w:spacing w:line="380" w:lineRule="exact"/>
        <w:ind w:firstLine="422" w:firstLineChars="200"/>
        <w:rPr>
          <w:rFonts w:ascii="宋体" w:cs="宋体"/>
          <w:color w:val="auto"/>
          <w:highlight w:val="none"/>
        </w:rPr>
      </w:pPr>
      <w:bookmarkStart w:id="682" w:name="_Toc406522214"/>
      <w:bookmarkStart w:id="683" w:name="_Toc418751790"/>
      <w:bookmarkStart w:id="684" w:name="_Toc256000173"/>
      <w:bookmarkStart w:id="685" w:name="_Toc418752236"/>
      <w:bookmarkStart w:id="686" w:name="_Toc497746775"/>
      <w:bookmarkStart w:id="687" w:name="_Toc23204"/>
      <w:bookmarkStart w:id="688" w:name="_Toc497747172"/>
      <w:bookmarkStart w:id="689" w:name="_Toc522201724"/>
      <w:r>
        <w:rPr>
          <w:rFonts w:hint="eastAsia" w:ascii="宋体" w:cs="宋体"/>
          <w:color w:val="auto"/>
          <w:highlight w:val="none"/>
        </w:rPr>
        <w:t>1.1 词语定义</w:t>
      </w:r>
      <w:bookmarkEnd w:id="682"/>
      <w:bookmarkEnd w:id="683"/>
      <w:bookmarkEnd w:id="684"/>
      <w:bookmarkEnd w:id="685"/>
      <w:bookmarkEnd w:id="686"/>
      <w:bookmarkEnd w:id="687"/>
      <w:bookmarkEnd w:id="688"/>
      <w:bookmarkEnd w:id="689"/>
    </w:p>
    <w:p w14:paraId="54055600">
      <w:pPr>
        <w:pStyle w:val="41"/>
        <w:spacing w:line="380" w:lineRule="exact"/>
        <w:rPr>
          <w:rFonts w:ascii="宋体" w:hAnsi="宋体" w:cs="宋体"/>
          <w:color w:val="auto"/>
          <w:highlight w:val="none"/>
        </w:rPr>
      </w:pPr>
      <w:r>
        <w:rPr>
          <w:rFonts w:hint="eastAsia" w:ascii="宋体" w:hAnsi="宋体" w:cs="宋体"/>
          <w:color w:val="auto"/>
          <w:highlight w:val="none"/>
        </w:rPr>
        <w:t>1.1.1合同</w:t>
      </w:r>
    </w:p>
    <w:p w14:paraId="48153A28">
      <w:pPr>
        <w:pStyle w:val="41"/>
        <w:spacing w:line="380" w:lineRule="exact"/>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478C024F">
      <w:pPr>
        <w:pStyle w:val="41"/>
        <w:spacing w:line="380" w:lineRule="exact"/>
        <w:rPr>
          <w:rFonts w:ascii="宋体" w:hAnsi="宋体" w:cs="宋体"/>
          <w:color w:val="auto"/>
          <w:highlight w:val="none"/>
        </w:rPr>
      </w:pPr>
      <w:r>
        <w:rPr>
          <w:rFonts w:hint="eastAsia" w:ascii="宋体" w:hAnsi="宋体" w:cs="宋体"/>
          <w:color w:val="auto"/>
          <w:highlight w:val="none"/>
        </w:rPr>
        <w:t>1.1.2 合同当事人及其他相关方</w:t>
      </w:r>
    </w:p>
    <w:p w14:paraId="0A2856CA">
      <w:pPr>
        <w:pStyle w:val="41"/>
        <w:spacing w:line="380" w:lineRule="exact"/>
        <w:rPr>
          <w:rFonts w:ascii="宋体" w:hAnsi="宋体" w:cs="宋体"/>
          <w:color w:val="auto"/>
          <w:highlight w:val="none"/>
        </w:rPr>
      </w:pPr>
      <w:r>
        <w:rPr>
          <w:rFonts w:hint="eastAsia" w:ascii="宋体" w:hAnsi="宋体" w:cs="宋体"/>
          <w:color w:val="auto"/>
          <w:highlight w:val="none"/>
        </w:rPr>
        <w:t>1.1.2.4监理人：</w:t>
      </w:r>
    </w:p>
    <w:p w14:paraId="29B15685">
      <w:pPr>
        <w:pStyle w:val="41"/>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431A3C2">
      <w:pPr>
        <w:pStyle w:val="41"/>
        <w:spacing w:line="380" w:lineRule="exact"/>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FF855F6">
      <w:pPr>
        <w:pStyle w:val="41"/>
        <w:spacing w:line="380" w:lineRule="exact"/>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EA9F46">
      <w:pPr>
        <w:pStyle w:val="41"/>
        <w:spacing w:line="380" w:lineRule="exact"/>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p>
    <w:p w14:paraId="7910FE70">
      <w:pPr>
        <w:pStyle w:val="41"/>
        <w:spacing w:line="380" w:lineRule="exact"/>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p>
    <w:p w14:paraId="7908668E">
      <w:pPr>
        <w:pStyle w:val="41"/>
        <w:spacing w:line="380" w:lineRule="exact"/>
        <w:rPr>
          <w:rFonts w:ascii="宋体" w:hAnsi="宋体" w:cs="宋体"/>
          <w:color w:val="auto"/>
          <w:highlight w:val="none"/>
        </w:rPr>
      </w:pPr>
      <w:r>
        <w:rPr>
          <w:rFonts w:hint="eastAsia" w:ascii="宋体" w:hAnsi="宋体" w:cs="宋体"/>
          <w:color w:val="auto"/>
          <w:highlight w:val="none"/>
        </w:rPr>
        <w:t>1.1.2.5 设计人：</w:t>
      </w:r>
    </w:p>
    <w:p w14:paraId="67C70101">
      <w:pPr>
        <w:pStyle w:val="41"/>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B2D5137">
      <w:pPr>
        <w:pStyle w:val="41"/>
        <w:spacing w:line="380" w:lineRule="exact"/>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F7BC85B">
      <w:pPr>
        <w:pStyle w:val="41"/>
        <w:spacing w:line="380" w:lineRule="exact"/>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F2EDB2C">
      <w:pPr>
        <w:pStyle w:val="41"/>
        <w:spacing w:line="380" w:lineRule="exact"/>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B449F1F">
      <w:pPr>
        <w:pStyle w:val="41"/>
        <w:spacing w:line="380" w:lineRule="exact"/>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F4E8B8F">
      <w:pPr>
        <w:pStyle w:val="41"/>
        <w:spacing w:line="380" w:lineRule="exact"/>
        <w:rPr>
          <w:rFonts w:ascii="宋体" w:hAnsi="宋体" w:cs="宋体"/>
          <w:color w:val="auto"/>
          <w:highlight w:val="none"/>
        </w:rPr>
      </w:pPr>
      <w:r>
        <w:rPr>
          <w:rFonts w:hint="eastAsia" w:ascii="宋体" w:hAnsi="宋体" w:cs="宋体"/>
          <w:color w:val="auto"/>
          <w:highlight w:val="none"/>
        </w:rPr>
        <w:t>1.1.3 工程和设备</w:t>
      </w:r>
    </w:p>
    <w:p w14:paraId="3F67F740">
      <w:pPr>
        <w:pStyle w:val="41"/>
        <w:spacing w:line="380" w:lineRule="exact"/>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131D5651">
      <w:pPr>
        <w:pStyle w:val="41"/>
        <w:spacing w:line="380" w:lineRule="exact"/>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为实施工程需永久占用的土地</w:t>
      </w:r>
      <w:r>
        <w:rPr>
          <w:rFonts w:ascii="宋体" w:hAnsi="宋体" w:cs="宋体"/>
          <w:color w:val="auto"/>
          <w:highlight w:val="none"/>
          <w:u w:val="single"/>
        </w:rPr>
        <w:t></w:t>
      </w:r>
      <w:r>
        <w:rPr>
          <w:rFonts w:hint="eastAsia" w:ascii="宋体" w:hAnsi="宋体" w:cs="宋体"/>
          <w:color w:val="auto"/>
          <w:highlight w:val="none"/>
        </w:rPr>
        <w:t>。</w:t>
      </w:r>
    </w:p>
    <w:p w14:paraId="18AD6970">
      <w:pPr>
        <w:pStyle w:val="41"/>
        <w:spacing w:line="380" w:lineRule="exact"/>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为实施工程需临时占用的土地 </w:t>
      </w:r>
      <w:r>
        <w:rPr>
          <w:rFonts w:hint="eastAsia" w:ascii="宋体" w:hAnsi="宋体" w:cs="宋体"/>
          <w:color w:val="auto"/>
          <w:highlight w:val="none"/>
        </w:rPr>
        <w:t>。</w:t>
      </w:r>
    </w:p>
    <w:p w14:paraId="0F0998A8">
      <w:pPr>
        <w:pStyle w:val="36"/>
        <w:spacing w:line="380" w:lineRule="exact"/>
        <w:ind w:firstLine="422" w:firstLineChars="200"/>
        <w:rPr>
          <w:rFonts w:ascii="宋体" w:cs="宋体"/>
          <w:color w:val="auto"/>
          <w:highlight w:val="none"/>
        </w:rPr>
      </w:pPr>
      <w:bookmarkStart w:id="690" w:name="_Toc497746776"/>
      <w:bookmarkStart w:id="691" w:name="_Toc406522215"/>
      <w:bookmarkStart w:id="692" w:name="_Toc522201725"/>
      <w:bookmarkStart w:id="693" w:name="_Toc418752237"/>
      <w:bookmarkStart w:id="694" w:name="_Toc418751791"/>
      <w:bookmarkStart w:id="695" w:name="_Toc497747173"/>
      <w:bookmarkStart w:id="696" w:name="_Toc256000174"/>
      <w:bookmarkStart w:id="697" w:name="_Toc1749"/>
      <w:r>
        <w:rPr>
          <w:rFonts w:hint="eastAsia" w:ascii="宋体" w:cs="宋体"/>
          <w:color w:val="auto"/>
          <w:highlight w:val="none"/>
        </w:rPr>
        <w:t>1.3法律</w:t>
      </w:r>
      <w:bookmarkEnd w:id="690"/>
      <w:bookmarkEnd w:id="691"/>
      <w:bookmarkEnd w:id="692"/>
      <w:bookmarkEnd w:id="693"/>
      <w:bookmarkEnd w:id="694"/>
      <w:bookmarkEnd w:id="695"/>
      <w:bookmarkEnd w:id="696"/>
      <w:bookmarkEnd w:id="697"/>
      <w:r>
        <w:rPr>
          <w:rFonts w:hint="eastAsia" w:ascii="宋体" w:cs="宋体"/>
          <w:color w:val="auto"/>
          <w:highlight w:val="none"/>
        </w:rPr>
        <w:t xml:space="preserve"> </w:t>
      </w:r>
    </w:p>
    <w:p w14:paraId="7CCAB2AF">
      <w:pPr>
        <w:pStyle w:val="41"/>
        <w:spacing w:line="380" w:lineRule="exact"/>
        <w:rPr>
          <w:rFonts w:ascii="宋体" w:hAnsi="宋体" w:cs="宋体"/>
          <w:color w:val="auto"/>
          <w:highlight w:val="none"/>
        </w:rPr>
      </w:pPr>
      <w:r>
        <w:rPr>
          <w:rFonts w:hint="eastAsia" w:ascii="宋体" w:hAnsi="宋体" w:cs="宋体"/>
          <w:color w:val="auto"/>
          <w:highlight w:val="none"/>
        </w:rPr>
        <w:t>适用于合同的其他规范性文件：</w:t>
      </w:r>
      <w:r>
        <w:rPr>
          <w:rFonts w:hint="eastAsia" w:ascii="宋体" w:hAnsi="宋体" w:cs="宋体"/>
          <w:color w:val="auto"/>
          <w:highlight w:val="none"/>
          <w:u w:val="single"/>
        </w:rPr>
        <w:t>同通用条款</w:t>
      </w:r>
      <w:r>
        <w:rPr>
          <w:rFonts w:hint="eastAsia" w:ascii="宋体" w:hAnsi="宋体" w:cs="宋体"/>
          <w:color w:val="auto"/>
          <w:highlight w:val="none"/>
        </w:rPr>
        <w:t>。</w:t>
      </w:r>
    </w:p>
    <w:p w14:paraId="627D7297">
      <w:pPr>
        <w:pStyle w:val="36"/>
        <w:spacing w:line="380" w:lineRule="exact"/>
        <w:ind w:firstLine="422" w:firstLineChars="200"/>
        <w:rPr>
          <w:rFonts w:ascii="宋体" w:cs="宋体"/>
          <w:color w:val="auto"/>
          <w:highlight w:val="none"/>
        </w:rPr>
      </w:pPr>
      <w:bookmarkStart w:id="698" w:name="_Toc497747174"/>
      <w:bookmarkStart w:id="699" w:name="_Toc418751792"/>
      <w:bookmarkStart w:id="700" w:name="_Toc256000175"/>
      <w:bookmarkStart w:id="701" w:name="_Toc497746777"/>
      <w:bookmarkStart w:id="702" w:name="_Toc418752238"/>
      <w:bookmarkStart w:id="703" w:name="_Toc522201726"/>
      <w:bookmarkStart w:id="704" w:name="_Toc531"/>
      <w:bookmarkStart w:id="705" w:name="_Toc406522216"/>
      <w:r>
        <w:rPr>
          <w:rFonts w:hint="eastAsia" w:ascii="宋体" w:cs="宋体"/>
          <w:color w:val="auto"/>
          <w:highlight w:val="none"/>
        </w:rPr>
        <w:t>1.4 标准和规范</w:t>
      </w:r>
      <w:bookmarkEnd w:id="698"/>
      <w:bookmarkEnd w:id="699"/>
      <w:bookmarkEnd w:id="700"/>
      <w:bookmarkEnd w:id="701"/>
      <w:bookmarkEnd w:id="702"/>
      <w:bookmarkEnd w:id="703"/>
      <w:bookmarkEnd w:id="704"/>
      <w:bookmarkEnd w:id="705"/>
    </w:p>
    <w:p w14:paraId="35BBEB82">
      <w:pPr>
        <w:pStyle w:val="41"/>
        <w:spacing w:line="380" w:lineRule="exact"/>
        <w:rPr>
          <w:rFonts w:ascii="宋体" w:hAnsi="宋体" w:cs="宋体"/>
          <w:color w:val="auto"/>
          <w:highlight w:val="none"/>
        </w:rPr>
      </w:pPr>
      <w:r>
        <w:rPr>
          <w:rFonts w:hint="eastAsia" w:ascii="宋体" w:hAnsi="宋体" w:cs="宋体"/>
          <w:color w:val="auto"/>
          <w:highlight w:val="none"/>
        </w:rPr>
        <w:t>1.4.1适用于工程的标准规范包括：</w:t>
      </w:r>
      <w:r>
        <w:rPr>
          <w:rFonts w:hint="eastAsia" w:ascii="宋体" w:hAnsi="宋体" w:cs="宋体"/>
          <w:color w:val="auto"/>
          <w:highlight w:val="none"/>
          <w:u w:val="single"/>
        </w:rPr>
        <w:t>现行国家、地方、部门有关标准规范</w:t>
      </w:r>
      <w:r>
        <w:rPr>
          <w:rFonts w:hint="eastAsia" w:ascii="宋体" w:hAnsi="宋体" w:cs="宋体"/>
          <w:color w:val="auto"/>
          <w:highlight w:val="none"/>
        </w:rPr>
        <w:t>。</w:t>
      </w:r>
    </w:p>
    <w:p w14:paraId="4D5BF19F">
      <w:pPr>
        <w:pStyle w:val="41"/>
        <w:spacing w:line="380" w:lineRule="exact"/>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7AC9D957">
      <w:pPr>
        <w:pStyle w:val="41"/>
        <w:spacing w:line="380" w:lineRule="exact"/>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6093497A">
      <w:pPr>
        <w:pStyle w:val="41"/>
        <w:spacing w:line="380" w:lineRule="exact"/>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10CD125D">
      <w:pPr>
        <w:pStyle w:val="41"/>
        <w:spacing w:line="380" w:lineRule="exact"/>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05481A24">
      <w:pPr>
        <w:pStyle w:val="36"/>
        <w:spacing w:line="380" w:lineRule="exact"/>
        <w:ind w:firstLine="422" w:firstLineChars="200"/>
        <w:rPr>
          <w:rFonts w:ascii="宋体" w:cs="宋体"/>
          <w:color w:val="auto"/>
          <w:highlight w:val="none"/>
        </w:rPr>
      </w:pPr>
      <w:bookmarkStart w:id="706" w:name="_Toc256000176"/>
      <w:bookmarkStart w:id="707" w:name="_Toc418752239"/>
      <w:bookmarkStart w:id="708" w:name="_Toc406522217"/>
      <w:bookmarkStart w:id="709" w:name="_Toc522201727"/>
      <w:bookmarkStart w:id="710" w:name="_Toc497747175"/>
      <w:bookmarkStart w:id="711" w:name="_Toc19412"/>
      <w:bookmarkStart w:id="712" w:name="_Toc497746778"/>
      <w:bookmarkStart w:id="713" w:name="_Toc418751793"/>
      <w:r>
        <w:rPr>
          <w:rFonts w:hint="eastAsia" w:ascii="宋体" w:cs="宋体"/>
          <w:color w:val="auto"/>
          <w:highlight w:val="none"/>
        </w:rPr>
        <w:t>1.5 合同文件的优先顺序</w:t>
      </w:r>
      <w:bookmarkEnd w:id="706"/>
      <w:bookmarkEnd w:id="707"/>
      <w:bookmarkEnd w:id="708"/>
      <w:bookmarkEnd w:id="709"/>
      <w:bookmarkEnd w:id="710"/>
      <w:bookmarkEnd w:id="711"/>
      <w:bookmarkEnd w:id="712"/>
      <w:bookmarkEnd w:id="713"/>
    </w:p>
    <w:p w14:paraId="1D4570A6">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6EB1385C">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6FCFB6C4">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355FA9D4">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1B4B0B61">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758C82C6">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76293107">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33EF061F">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470CD0C2">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71A8D802">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3110C21C">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w:t>
      </w:r>
      <w:r>
        <w:rPr>
          <w:rFonts w:hint="eastAsia" w:ascii="宋体" w:hAnsi="宋体" w:cs="宋体"/>
          <w:color w:val="auto"/>
          <w:kern w:val="0"/>
          <w:szCs w:val="21"/>
          <w:highlight w:val="none"/>
          <w:lang w:eastAsia="zh-CN"/>
        </w:rPr>
        <w:t>GB50854</w:t>
      </w:r>
      <w:r>
        <w:rPr>
          <w:rFonts w:hint="eastAsia" w:ascii="宋体" w:hAnsi="宋体" w:cs="宋体"/>
          <w:color w:val="auto"/>
          <w:kern w:val="0"/>
          <w:szCs w:val="21"/>
          <w:highlight w:val="none"/>
        </w:rPr>
        <w:t>～50862-2013）》及其广西实施细则（修订本）。</w:t>
      </w:r>
    </w:p>
    <w:p w14:paraId="3E6C8A6A">
      <w:pPr>
        <w:pStyle w:val="36"/>
        <w:spacing w:line="380" w:lineRule="exact"/>
        <w:ind w:firstLine="422" w:firstLineChars="200"/>
        <w:rPr>
          <w:rFonts w:ascii="宋体" w:cs="宋体"/>
          <w:color w:val="auto"/>
          <w:kern w:val="0"/>
          <w:highlight w:val="none"/>
        </w:rPr>
      </w:pPr>
      <w:bookmarkStart w:id="714" w:name="_Toc256000177"/>
      <w:bookmarkStart w:id="715" w:name="_Toc19283"/>
      <w:bookmarkStart w:id="716" w:name="_Toc418752240"/>
      <w:bookmarkStart w:id="717" w:name="_Toc522201728"/>
      <w:bookmarkStart w:id="718" w:name="_Toc497746779"/>
      <w:bookmarkStart w:id="719" w:name="_Toc418751794"/>
      <w:bookmarkStart w:id="720" w:name="_Toc406522218"/>
      <w:bookmarkStart w:id="721" w:name="_Toc497747176"/>
      <w:r>
        <w:rPr>
          <w:rFonts w:hint="eastAsia" w:ascii="宋体" w:cs="宋体"/>
          <w:color w:val="auto"/>
          <w:kern w:val="0"/>
          <w:highlight w:val="none"/>
        </w:rPr>
        <w:t>说明：（6）、（7）、（8）、（9）填空内容分别限于技术标准和要求、图纸、已标价工程量清单或预算书、其他合同文件四者之一，其优先顺序可根据采取的不同合同方式由双方约定。</w:t>
      </w:r>
      <w:bookmarkEnd w:id="714"/>
      <w:bookmarkEnd w:id="715"/>
    </w:p>
    <w:p w14:paraId="2BF2671F">
      <w:pPr>
        <w:pStyle w:val="36"/>
        <w:spacing w:line="380" w:lineRule="exact"/>
        <w:ind w:firstLine="422" w:firstLineChars="200"/>
        <w:rPr>
          <w:rFonts w:ascii="宋体" w:cs="宋体"/>
          <w:color w:val="auto"/>
          <w:highlight w:val="none"/>
        </w:rPr>
      </w:pPr>
      <w:bookmarkStart w:id="722" w:name="_Toc18690"/>
      <w:bookmarkStart w:id="723" w:name="_Toc256000178"/>
      <w:r>
        <w:rPr>
          <w:rFonts w:hint="eastAsia" w:ascii="宋体" w:cs="宋体"/>
          <w:color w:val="auto"/>
          <w:highlight w:val="none"/>
        </w:rPr>
        <w:t>1.6 图纸和承包人文件</w:t>
      </w:r>
      <w:bookmarkEnd w:id="716"/>
      <w:bookmarkEnd w:id="717"/>
      <w:bookmarkEnd w:id="718"/>
      <w:bookmarkEnd w:id="719"/>
      <w:bookmarkEnd w:id="720"/>
      <w:bookmarkEnd w:id="721"/>
      <w:bookmarkEnd w:id="722"/>
      <w:bookmarkEnd w:id="723"/>
      <w:r>
        <w:rPr>
          <w:rFonts w:hint="eastAsia" w:ascii="宋体" w:cs="宋体"/>
          <w:color w:val="auto"/>
          <w:highlight w:val="none"/>
        </w:rPr>
        <w:tab/>
      </w:r>
    </w:p>
    <w:p w14:paraId="0578077A">
      <w:pPr>
        <w:pStyle w:val="41"/>
        <w:spacing w:line="380" w:lineRule="exact"/>
        <w:rPr>
          <w:rFonts w:ascii="宋体" w:hAnsi="宋体" w:cs="宋体"/>
          <w:color w:val="auto"/>
          <w:highlight w:val="none"/>
        </w:rPr>
      </w:pPr>
      <w:r>
        <w:rPr>
          <w:rFonts w:hint="eastAsia" w:ascii="宋体" w:hAnsi="宋体" w:cs="宋体"/>
          <w:color w:val="auto"/>
          <w:highlight w:val="none"/>
        </w:rPr>
        <w:t>1.6.1 图纸的提供</w:t>
      </w:r>
    </w:p>
    <w:p w14:paraId="0A621646">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255E5263">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贰份，上述图纸及技术资料，未经监理工程师和发包人同意，承包人不得提供给与本工程无关的第三方。承包人需要增加图纸套数的，承包人自行复制，复制费用由承包人承担。</w:t>
      </w:r>
    </w:p>
    <w:p w14:paraId="6A8784ED">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kern w:val="0"/>
          <w:szCs w:val="21"/>
          <w:highlight w:val="none"/>
          <w:u w:val="single"/>
        </w:rPr>
        <w:t>经备案的全套施工图纸和其他技术资料</w:t>
      </w:r>
      <w:r>
        <w:rPr>
          <w:rFonts w:hint="eastAsia" w:ascii="宋体" w:hAnsi="宋体" w:cs="宋体"/>
          <w:color w:val="auto"/>
          <w:szCs w:val="21"/>
          <w:highlight w:val="none"/>
        </w:rPr>
        <w:t>。</w:t>
      </w:r>
    </w:p>
    <w:p w14:paraId="5CB31525">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1.6.4 承包人文件</w:t>
      </w:r>
    </w:p>
    <w:p w14:paraId="0875524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1、施工组织设计；2、工程进度计划；3、管理人员名单、职称、职务、上岗证等；4、安全文明施工措施；5、质量保证体系；6、每月25日前提供当月施工统计报表和下月进度计划各一份交监理工程师及发包人；7</w:t>
      </w:r>
      <w:r>
        <w:rPr>
          <w:rFonts w:hint="eastAsia" w:ascii="宋体" w:hAnsi="宋体" w:cs="宋体"/>
          <w:color w:val="auto"/>
          <w:szCs w:val="21"/>
          <w:highlight w:val="none"/>
          <w:u w:val="single"/>
          <w:lang w:val="zh-CN"/>
        </w:rPr>
        <w:t>、</w:t>
      </w:r>
      <w:r>
        <w:rPr>
          <w:rFonts w:hint="eastAsia" w:ascii="宋体" w:hAnsi="宋体" w:cs="宋体"/>
          <w:color w:val="auto"/>
          <w:szCs w:val="21"/>
          <w:highlight w:val="none"/>
          <w:u w:val="single"/>
        </w:rPr>
        <w:t>施工图以外的大样图、加工图、标准图、以及建筑装饰深化设计图纸设计优化建议等。但设计成果文件需经原设计单位审核及认可。最终设计成果归发包人所有。</w:t>
      </w:r>
    </w:p>
    <w:p w14:paraId="7C09F3D0">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开始施工前7天内  </w:t>
      </w:r>
      <w:r>
        <w:rPr>
          <w:rFonts w:hint="eastAsia" w:ascii="宋体" w:hAnsi="宋体" w:cs="宋体"/>
          <w:color w:val="auto"/>
          <w:szCs w:val="21"/>
          <w:highlight w:val="none"/>
        </w:rPr>
        <w:t>；</w:t>
      </w:r>
    </w:p>
    <w:p w14:paraId="7AEDF661">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6</w:t>
      </w:r>
      <w:r>
        <w:rPr>
          <w:rFonts w:hint="eastAsia" w:ascii="宋体" w:hAnsi="宋体" w:cs="宋体"/>
          <w:color w:val="auto"/>
          <w:kern w:val="0"/>
          <w:szCs w:val="21"/>
          <w:highlight w:val="none"/>
          <w:u w:val="single"/>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82746A">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纸质版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08E29">
      <w:pPr>
        <w:pStyle w:val="41"/>
        <w:spacing w:line="380" w:lineRule="exact"/>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收到承包人提供的文件后七天内 </w:t>
      </w:r>
      <w:r>
        <w:rPr>
          <w:rFonts w:hint="eastAsia" w:ascii="宋体" w:hAnsi="宋体" w:cs="宋体"/>
          <w:color w:val="auto"/>
          <w:highlight w:val="none"/>
        </w:rPr>
        <w:t>。</w:t>
      </w:r>
    </w:p>
    <w:p w14:paraId="127C70D5">
      <w:pPr>
        <w:pStyle w:val="41"/>
        <w:spacing w:line="380" w:lineRule="exact"/>
        <w:rPr>
          <w:rFonts w:ascii="宋体" w:hAnsi="宋体" w:cs="宋体"/>
          <w:color w:val="auto"/>
          <w:highlight w:val="none"/>
        </w:rPr>
      </w:pPr>
      <w:r>
        <w:rPr>
          <w:rFonts w:hint="eastAsia" w:ascii="宋体" w:hAnsi="宋体" w:cs="宋体"/>
          <w:color w:val="auto"/>
          <w:highlight w:val="none"/>
        </w:rPr>
        <w:t>1.6.5 现场图纸准备</w:t>
      </w:r>
    </w:p>
    <w:p w14:paraId="5EA8B433">
      <w:pPr>
        <w:pStyle w:val="41"/>
        <w:spacing w:line="380" w:lineRule="exact"/>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10992676">
      <w:pPr>
        <w:pStyle w:val="36"/>
        <w:spacing w:line="380" w:lineRule="exact"/>
        <w:ind w:firstLine="422" w:firstLineChars="200"/>
        <w:rPr>
          <w:rFonts w:ascii="宋体" w:cs="宋体"/>
          <w:color w:val="auto"/>
          <w:highlight w:val="none"/>
        </w:rPr>
      </w:pPr>
      <w:bookmarkStart w:id="724" w:name="_Toc418752241"/>
      <w:bookmarkStart w:id="725" w:name="_Toc497746780"/>
      <w:bookmarkStart w:id="726" w:name="_Toc522201729"/>
      <w:bookmarkStart w:id="727" w:name="_Toc256000179"/>
      <w:bookmarkStart w:id="728" w:name="_Toc25636"/>
      <w:bookmarkStart w:id="729" w:name="_Toc497747177"/>
      <w:bookmarkStart w:id="730" w:name="_Toc418751795"/>
      <w:bookmarkStart w:id="731" w:name="_Toc406522219"/>
      <w:r>
        <w:rPr>
          <w:rFonts w:hint="eastAsia" w:ascii="宋体" w:cs="宋体"/>
          <w:color w:val="auto"/>
          <w:highlight w:val="none"/>
        </w:rPr>
        <w:t>1.7 联络</w:t>
      </w:r>
      <w:bookmarkEnd w:id="724"/>
      <w:bookmarkEnd w:id="725"/>
      <w:bookmarkEnd w:id="726"/>
      <w:bookmarkEnd w:id="727"/>
      <w:bookmarkEnd w:id="728"/>
      <w:bookmarkEnd w:id="729"/>
      <w:bookmarkEnd w:id="730"/>
      <w:bookmarkEnd w:id="731"/>
    </w:p>
    <w:p w14:paraId="6CCF1D01">
      <w:pPr>
        <w:pStyle w:val="41"/>
        <w:spacing w:line="380" w:lineRule="exact"/>
        <w:rPr>
          <w:rFonts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7 </w:t>
      </w:r>
      <w:r>
        <w:rPr>
          <w:rFonts w:hint="eastAsia" w:ascii="宋体" w:hAnsi="宋体" w:cs="宋体"/>
          <w:color w:val="auto"/>
          <w:highlight w:val="none"/>
        </w:rPr>
        <w:t>天内将与合同有关的通知、批准、证明、证书、指示、指令、要求、请求、同意、意见、确定和决定等书面函件送达对方当事人。</w:t>
      </w:r>
    </w:p>
    <w:p w14:paraId="43983FE7">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0CA1B54">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398F0AC">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施工现场项目部</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5A35862C">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7C3F57B2">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F7CB959">
      <w:pPr>
        <w:pStyle w:val="41"/>
        <w:spacing w:line="380" w:lineRule="exact"/>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6936228">
      <w:pPr>
        <w:pStyle w:val="36"/>
        <w:spacing w:line="380" w:lineRule="exact"/>
        <w:ind w:firstLine="422" w:firstLineChars="200"/>
        <w:rPr>
          <w:rFonts w:ascii="宋体" w:cs="宋体"/>
          <w:color w:val="auto"/>
          <w:highlight w:val="none"/>
        </w:rPr>
      </w:pPr>
      <w:bookmarkStart w:id="732" w:name="_Toc497746781"/>
      <w:bookmarkStart w:id="733" w:name="_Toc31771"/>
      <w:bookmarkStart w:id="734" w:name="_Toc406522220"/>
      <w:bookmarkStart w:id="735" w:name="_Toc418752242"/>
      <w:bookmarkStart w:id="736" w:name="_Toc418751796"/>
      <w:bookmarkStart w:id="737" w:name="_Toc256000180"/>
      <w:bookmarkStart w:id="738" w:name="_Toc522201730"/>
      <w:bookmarkStart w:id="739" w:name="_Toc497747178"/>
      <w:r>
        <w:rPr>
          <w:rFonts w:hint="eastAsia" w:ascii="宋体" w:cs="宋体"/>
          <w:color w:val="auto"/>
          <w:highlight w:val="none"/>
        </w:rPr>
        <w:t>1.10 交通运输</w:t>
      </w:r>
      <w:bookmarkEnd w:id="732"/>
      <w:bookmarkEnd w:id="733"/>
      <w:bookmarkEnd w:id="734"/>
      <w:bookmarkEnd w:id="735"/>
      <w:bookmarkEnd w:id="736"/>
      <w:bookmarkEnd w:id="737"/>
      <w:bookmarkEnd w:id="738"/>
      <w:bookmarkEnd w:id="739"/>
    </w:p>
    <w:p w14:paraId="48159F80">
      <w:pPr>
        <w:pStyle w:val="41"/>
        <w:spacing w:line="380" w:lineRule="exact"/>
        <w:rPr>
          <w:rFonts w:ascii="宋体" w:hAnsi="宋体" w:cs="宋体"/>
          <w:color w:val="auto"/>
          <w:highlight w:val="none"/>
        </w:rPr>
      </w:pPr>
      <w:r>
        <w:rPr>
          <w:rFonts w:hint="eastAsia" w:ascii="宋体" w:hAnsi="宋体" w:cs="宋体"/>
          <w:color w:val="auto"/>
          <w:highlight w:val="none"/>
        </w:rPr>
        <w:t>1</w:t>
      </w:r>
      <w:bookmarkStart w:id="740" w:name="_Toc304295521"/>
      <w:bookmarkStart w:id="741" w:name="_Toc303539100"/>
      <w:bookmarkStart w:id="742" w:name="_Toc318581155"/>
      <w:bookmarkStart w:id="743" w:name="_Toc312677986"/>
      <w:bookmarkStart w:id="744" w:name="_Toc300934943"/>
      <w:r>
        <w:rPr>
          <w:rFonts w:hint="eastAsia" w:ascii="宋体" w:hAnsi="宋体" w:cs="宋体"/>
          <w:color w:val="auto"/>
          <w:highlight w:val="none"/>
        </w:rPr>
        <w:t>.10.1 出入现场的权利</w:t>
      </w:r>
    </w:p>
    <w:p w14:paraId="70249C5D">
      <w:pPr>
        <w:pStyle w:val="41"/>
        <w:spacing w:line="380" w:lineRule="exact"/>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 xml:space="preserve"> 除正常施工涉及的人员及车辆外，其他人员及车辆进出场内须经过发包人同意，且由承包人进行管理登记 </w:t>
      </w:r>
      <w:r>
        <w:rPr>
          <w:rFonts w:hint="eastAsia" w:ascii="宋体" w:hAnsi="宋体" w:cs="宋体"/>
          <w:color w:val="auto"/>
          <w:highlight w:val="none"/>
        </w:rPr>
        <w:t>。</w:t>
      </w:r>
    </w:p>
    <w:bookmarkEnd w:id="740"/>
    <w:bookmarkEnd w:id="741"/>
    <w:bookmarkEnd w:id="742"/>
    <w:bookmarkEnd w:id="743"/>
    <w:bookmarkEnd w:id="744"/>
    <w:p w14:paraId="4007D8BF">
      <w:pPr>
        <w:pStyle w:val="41"/>
        <w:spacing w:line="380" w:lineRule="exact"/>
        <w:rPr>
          <w:rFonts w:ascii="宋体" w:hAnsi="宋体" w:cs="宋体"/>
          <w:color w:val="auto"/>
          <w:highlight w:val="none"/>
        </w:rPr>
      </w:pPr>
      <w:r>
        <w:rPr>
          <w:rFonts w:hint="eastAsia" w:ascii="宋体" w:hAnsi="宋体" w:cs="宋体"/>
          <w:color w:val="auto"/>
          <w:highlight w:val="none"/>
        </w:rPr>
        <w:t>1</w:t>
      </w:r>
      <w:bookmarkStart w:id="745" w:name="_Toc312677987"/>
      <w:bookmarkStart w:id="746" w:name="_Toc304295522"/>
      <w:bookmarkStart w:id="747" w:name="_Toc300934944"/>
      <w:bookmarkStart w:id="748" w:name="_Toc318581156"/>
      <w:bookmarkStart w:id="749" w:name="_Toc303539101"/>
      <w:r>
        <w:rPr>
          <w:rFonts w:hint="eastAsia" w:ascii="宋体" w:hAnsi="宋体" w:cs="宋体"/>
          <w:color w:val="auto"/>
          <w:highlight w:val="none"/>
        </w:rPr>
        <w:t>.10.3 场内交通</w:t>
      </w:r>
    </w:p>
    <w:p w14:paraId="44CD998D">
      <w:pPr>
        <w:pStyle w:val="41"/>
        <w:spacing w:line="380" w:lineRule="exact"/>
        <w:rPr>
          <w:rFonts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规划批复总平用地红线  </w:t>
      </w:r>
      <w:r>
        <w:rPr>
          <w:rFonts w:hint="eastAsia" w:ascii="宋体" w:hAnsi="宋体" w:cs="宋体"/>
          <w:color w:val="auto"/>
          <w:highlight w:val="none"/>
        </w:rPr>
        <w:t>。</w:t>
      </w:r>
    </w:p>
    <w:p w14:paraId="0514F620">
      <w:pPr>
        <w:pStyle w:val="41"/>
        <w:spacing w:line="380" w:lineRule="exact"/>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cs="宋体"/>
          <w:color w:val="auto"/>
          <w:highlight w:val="none"/>
          <w:u w:val="single"/>
        </w:rPr>
        <w:t>承包人负责场内道路和交通设施的修建并承担相应费用</w:t>
      </w:r>
      <w:r>
        <w:rPr>
          <w:rFonts w:hint="eastAsia" w:ascii="宋体" w:hAnsi="宋体" w:cs="宋体"/>
          <w:color w:val="auto"/>
          <w:highlight w:val="none"/>
        </w:rPr>
        <w:t>。</w:t>
      </w:r>
      <w:bookmarkEnd w:id="745"/>
      <w:bookmarkEnd w:id="746"/>
      <w:bookmarkEnd w:id="747"/>
      <w:bookmarkEnd w:id="748"/>
      <w:bookmarkEnd w:id="749"/>
      <w:r>
        <w:rPr>
          <w:rFonts w:hint="eastAsia" w:ascii="宋体" w:hAnsi="宋体" w:cs="宋体"/>
          <w:color w:val="auto"/>
          <w:highlight w:val="none"/>
        </w:rPr>
        <w:t xml:space="preserve">  </w:t>
      </w:r>
      <w:bookmarkStart w:id="750" w:name="_Toc318581157"/>
    </w:p>
    <w:p w14:paraId="66B5FA05">
      <w:pPr>
        <w:pStyle w:val="41"/>
        <w:spacing w:line="380" w:lineRule="exact"/>
        <w:rPr>
          <w:rFonts w:ascii="宋体" w:hAnsi="宋体" w:cs="宋体"/>
          <w:color w:val="auto"/>
          <w:highlight w:val="none"/>
        </w:rPr>
      </w:pPr>
      <w:r>
        <w:rPr>
          <w:rFonts w:hint="eastAsia" w:ascii="宋体" w:hAnsi="宋体" w:cs="宋体"/>
          <w:color w:val="auto"/>
          <w:highlight w:val="none"/>
        </w:rPr>
        <w:t>1.10.4超大件和超重件的运输</w:t>
      </w:r>
    </w:p>
    <w:p w14:paraId="561D22A6">
      <w:pPr>
        <w:pStyle w:val="41"/>
        <w:spacing w:line="380" w:lineRule="exact"/>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bookmarkEnd w:id="750"/>
    <w:p w14:paraId="2D56BEB9">
      <w:pPr>
        <w:pStyle w:val="36"/>
        <w:spacing w:line="380" w:lineRule="exact"/>
        <w:ind w:firstLine="422" w:firstLineChars="200"/>
        <w:rPr>
          <w:rFonts w:ascii="宋体" w:cs="宋体"/>
          <w:color w:val="auto"/>
          <w:highlight w:val="none"/>
        </w:rPr>
      </w:pPr>
      <w:bookmarkStart w:id="751" w:name="_Toc497747179"/>
      <w:bookmarkStart w:id="752" w:name="_Toc256000181"/>
      <w:bookmarkStart w:id="753" w:name="_Toc418752243"/>
      <w:bookmarkStart w:id="754" w:name="_Toc406522221"/>
      <w:bookmarkStart w:id="755" w:name="_Toc497746782"/>
      <w:bookmarkStart w:id="756" w:name="_Toc418751797"/>
      <w:bookmarkStart w:id="757" w:name="_Toc522201731"/>
      <w:bookmarkStart w:id="758" w:name="_Toc17997"/>
      <w:r>
        <w:rPr>
          <w:rFonts w:hint="eastAsia" w:ascii="宋体" w:cs="宋体"/>
          <w:color w:val="auto"/>
          <w:highlight w:val="none"/>
        </w:rPr>
        <w:t>1.11 知识产权</w:t>
      </w:r>
      <w:bookmarkEnd w:id="751"/>
      <w:bookmarkEnd w:id="752"/>
      <w:bookmarkEnd w:id="753"/>
      <w:bookmarkEnd w:id="754"/>
      <w:bookmarkEnd w:id="755"/>
      <w:bookmarkEnd w:id="756"/>
      <w:bookmarkEnd w:id="757"/>
      <w:bookmarkEnd w:id="758"/>
    </w:p>
    <w:p w14:paraId="45200C42">
      <w:pPr>
        <w:pStyle w:val="41"/>
        <w:spacing w:line="380" w:lineRule="exact"/>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著作权属于发包人</w:t>
      </w:r>
      <w:r>
        <w:rPr>
          <w:rFonts w:hint="eastAsia" w:ascii="宋体" w:hAnsi="宋体" w:cs="宋体"/>
          <w:color w:val="auto"/>
          <w:highlight w:val="none"/>
        </w:rPr>
        <w:t>。</w:t>
      </w:r>
    </w:p>
    <w:p w14:paraId="1F18C6D6">
      <w:pPr>
        <w:pStyle w:val="41"/>
        <w:spacing w:line="380" w:lineRule="exact"/>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color w:val="auto"/>
          <w:highlight w:val="none"/>
          <w:u w:val="single"/>
        </w:rPr>
        <w:t>未经发包人同意，承包人不得为了合同以外的目的而复制、使用上述文件或将之提供给任何第三方</w:t>
      </w:r>
      <w:r>
        <w:rPr>
          <w:rFonts w:hint="eastAsia" w:ascii="宋体" w:hAnsi="宋体" w:cs="宋体"/>
          <w:color w:val="auto"/>
          <w:highlight w:val="none"/>
        </w:rPr>
        <w:t>。</w:t>
      </w:r>
    </w:p>
    <w:p w14:paraId="698A9934">
      <w:pPr>
        <w:pStyle w:val="41"/>
        <w:spacing w:line="380" w:lineRule="exact"/>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除署名以外著作权属于发包人</w:t>
      </w:r>
      <w:r>
        <w:rPr>
          <w:rFonts w:hint="eastAsia" w:ascii="宋体" w:hAnsi="宋体" w:cs="宋体"/>
          <w:color w:val="auto"/>
          <w:highlight w:val="none"/>
        </w:rPr>
        <w:t>。</w:t>
      </w:r>
    </w:p>
    <w:p w14:paraId="0F9E6BEE">
      <w:pPr>
        <w:pStyle w:val="41"/>
        <w:spacing w:line="380" w:lineRule="exact"/>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highlight w:val="none"/>
          <w:u w:val="single"/>
        </w:rPr>
        <w:t>未经发包人同意，承包人不得为了合同以外的目的而复制、使用上述文件或将之提供给任何第三方</w:t>
      </w:r>
      <w:r>
        <w:rPr>
          <w:rFonts w:hint="eastAsia" w:ascii="宋体" w:hAnsi="宋体" w:cs="宋体"/>
          <w:color w:val="auto"/>
          <w:highlight w:val="none"/>
        </w:rPr>
        <w:t>。</w:t>
      </w:r>
    </w:p>
    <w:p w14:paraId="7BB7E415">
      <w:pPr>
        <w:pStyle w:val="41"/>
        <w:spacing w:line="380" w:lineRule="exact"/>
        <w:rPr>
          <w:rFonts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r>
        <w:rPr>
          <w:rFonts w:hint="eastAsia" w:ascii="宋体" w:hAnsi="宋体" w:cs="宋体"/>
          <w:color w:val="auto"/>
          <w:highlight w:val="none"/>
        </w:rPr>
        <w:t>。</w:t>
      </w:r>
    </w:p>
    <w:p w14:paraId="6C70231E">
      <w:pPr>
        <w:pStyle w:val="41"/>
        <w:spacing w:line="380" w:lineRule="exact"/>
        <w:rPr>
          <w:rFonts w:ascii="宋体" w:hAnsi="宋体" w:cs="宋体"/>
          <w:color w:val="auto"/>
          <w:highlight w:val="none"/>
        </w:rPr>
      </w:pPr>
      <w:r>
        <w:rPr>
          <w:rFonts w:hint="eastAsia" w:ascii="宋体" w:hAnsi="宋体" w:cs="宋体"/>
          <w:color w:val="auto"/>
          <w:highlight w:val="none"/>
        </w:rPr>
        <w:t>1.13工程量清单错误的修正</w:t>
      </w:r>
    </w:p>
    <w:p w14:paraId="5B4699CD">
      <w:pPr>
        <w:pStyle w:val="41"/>
        <w:spacing w:line="380" w:lineRule="exact"/>
        <w:rPr>
          <w:rFonts w:ascii="宋体" w:hAnsi="宋体" w:cs="宋体"/>
          <w:color w:val="auto"/>
          <w:highlight w:val="none"/>
          <w:u w:val="single"/>
        </w:rPr>
      </w:pPr>
      <w:r>
        <w:rPr>
          <w:rFonts w:hint="eastAsia" w:ascii="宋体" w:hAnsi="宋体" w:cs="宋体"/>
          <w:color w:val="auto"/>
          <w:highlight w:val="none"/>
        </w:rPr>
        <w:t>出现工程量清单错误时，是否调整合同价格：</w:t>
      </w:r>
      <w:r>
        <w:rPr>
          <w:rFonts w:hint="eastAsia" w:ascii="宋体" w:hAnsi="宋体" w:cs="宋体"/>
          <w:color w:val="auto"/>
          <w:highlight w:val="none"/>
          <w:u w:val="single"/>
        </w:rPr>
        <w:t>按《建设工程工程量清单计价规范（GB5050-2013）》及其广西实施细则、《建设工程工程量清单计算规范（</w:t>
      </w:r>
      <w:r>
        <w:rPr>
          <w:rFonts w:hint="eastAsia" w:ascii="宋体" w:hAnsi="宋体" w:cs="宋体"/>
          <w:color w:val="auto"/>
          <w:highlight w:val="none"/>
          <w:u w:val="single"/>
          <w:lang w:eastAsia="zh-CN"/>
        </w:rPr>
        <w:t>GB50854</w:t>
      </w:r>
      <w:r>
        <w:rPr>
          <w:rFonts w:hint="eastAsia" w:ascii="宋体" w:hAnsi="宋体" w:cs="宋体"/>
          <w:color w:val="auto"/>
          <w:highlight w:val="none"/>
          <w:u w:val="single"/>
        </w:rPr>
        <w:t>～50862-2013）》及其广西实施细则（修订本）等规定。</w:t>
      </w:r>
    </w:p>
    <w:p w14:paraId="4A93CA7F">
      <w:pPr>
        <w:pStyle w:val="41"/>
        <w:spacing w:line="380" w:lineRule="exact"/>
        <w:rPr>
          <w:rFonts w:ascii="宋体" w:hAnsi="宋体" w:cs="宋体"/>
          <w:color w:val="auto"/>
          <w:highlight w:val="none"/>
        </w:rPr>
      </w:pPr>
      <w:r>
        <w:rPr>
          <w:rFonts w:hint="eastAsia" w:ascii="宋体" w:hAnsi="宋体" w:cs="宋体"/>
          <w:color w:val="auto"/>
          <w:highlight w:val="none"/>
        </w:rPr>
        <w:t xml:space="preserve">允许调整合同价格的工程量偏差范围： </w:t>
      </w:r>
      <w:r>
        <w:rPr>
          <w:rFonts w:hint="eastAsia" w:ascii="宋体" w:hAnsi="宋体" w:cs="宋体"/>
          <w:color w:val="auto"/>
          <w:highlight w:val="none"/>
          <w:u w:val="single"/>
        </w:rPr>
        <w:t>按《建设工程工程量清单计价规范（GB5050-2013）》及其广西实施细则、《建设工程工程量清单计算规范（</w:t>
      </w:r>
      <w:r>
        <w:rPr>
          <w:rFonts w:hint="eastAsia" w:ascii="宋体" w:hAnsi="宋体" w:cs="宋体"/>
          <w:color w:val="auto"/>
          <w:highlight w:val="none"/>
          <w:u w:val="single"/>
          <w:lang w:eastAsia="zh-CN"/>
        </w:rPr>
        <w:t>GB50854</w:t>
      </w:r>
      <w:r>
        <w:rPr>
          <w:rFonts w:hint="eastAsia" w:ascii="宋体" w:hAnsi="宋体" w:cs="宋体"/>
          <w:color w:val="auto"/>
          <w:highlight w:val="none"/>
          <w:u w:val="single"/>
        </w:rPr>
        <w:t>～50862-2013）》及其广西实施细则（修订本）等规定</w:t>
      </w:r>
      <w:r>
        <w:rPr>
          <w:rFonts w:hint="eastAsia" w:ascii="宋体" w:hAnsi="宋体" w:cs="宋体"/>
          <w:color w:val="auto"/>
          <w:highlight w:val="none"/>
        </w:rPr>
        <w:t>。</w:t>
      </w:r>
    </w:p>
    <w:p w14:paraId="67230F3F">
      <w:pPr>
        <w:pStyle w:val="36"/>
        <w:spacing w:line="380" w:lineRule="exact"/>
        <w:rPr>
          <w:rFonts w:ascii="宋体" w:cs="宋体"/>
          <w:color w:val="auto"/>
          <w:highlight w:val="none"/>
        </w:rPr>
      </w:pPr>
      <w:bookmarkStart w:id="759" w:name="_Toc522201732"/>
      <w:bookmarkStart w:id="760" w:name="_Toc406522222"/>
      <w:bookmarkStart w:id="761" w:name="_Toc497746783"/>
      <w:bookmarkStart w:id="762" w:name="_Toc351203634"/>
      <w:bookmarkStart w:id="763" w:name="_Toc497747180"/>
      <w:bookmarkStart w:id="764" w:name="_Toc418751798"/>
      <w:bookmarkStart w:id="765" w:name="_Toc256000182"/>
      <w:bookmarkStart w:id="766" w:name="_Toc418752244"/>
      <w:bookmarkStart w:id="767" w:name="_Toc1764"/>
      <w:r>
        <w:rPr>
          <w:rFonts w:hint="eastAsia" w:ascii="宋体" w:cs="宋体"/>
          <w:color w:val="auto"/>
          <w:highlight w:val="none"/>
        </w:rPr>
        <w:t>2</w:t>
      </w:r>
      <w:bookmarkStart w:id="768" w:name="_Toc297120457"/>
      <w:bookmarkStart w:id="769" w:name="_Toc296891197"/>
      <w:bookmarkStart w:id="770" w:name="_Toc296944496"/>
      <w:bookmarkStart w:id="771" w:name="_Toc297048343"/>
      <w:bookmarkStart w:id="772" w:name="_Toc292559362"/>
      <w:bookmarkStart w:id="773" w:name="_Toc296347156"/>
      <w:bookmarkStart w:id="774" w:name="_Toc296346658"/>
      <w:bookmarkStart w:id="775" w:name="_Toc296890985"/>
      <w:bookmarkStart w:id="776" w:name="_Toc292559867"/>
      <w:bookmarkStart w:id="777" w:name="_Toc296503157"/>
      <w:r>
        <w:rPr>
          <w:rFonts w:hint="eastAsia" w:ascii="宋体" w:cs="宋体"/>
          <w:color w:val="auto"/>
          <w:highlight w:val="none"/>
        </w:rPr>
        <w:t>. 发包人</w:t>
      </w:r>
      <w:bookmarkEnd w:id="759"/>
      <w:bookmarkEnd w:id="760"/>
      <w:bookmarkEnd w:id="761"/>
      <w:bookmarkEnd w:id="762"/>
      <w:bookmarkEnd w:id="763"/>
      <w:bookmarkEnd w:id="764"/>
      <w:bookmarkEnd w:id="765"/>
      <w:bookmarkEnd w:id="766"/>
      <w:bookmarkEnd w:id="767"/>
    </w:p>
    <w:bookmarkEnd w:id="768"/>
    <w:bookmarkEnd w:id="769"/>
    <w:bookmarkEnd w:id="770"/>
    <w:bookmarkEnd w:id="771"/>
    <w:bookmarkEnd w:id="772"/>
    <w:bookmarkEnd w:id="773"/>
    <w:bookmarkEnd w:id="774"/>
    <w:bookmarkEnd w:id="775"/>
    <w:bookmarkEnd w:id="776"/>
    <w:bookmarkEnd w:id="777"/>
    <w:p w14:paraId="21A9C78F">
      <w:pPr>
        <w:pStyle w:val="36"/>
        <w:spacing w:line="380" w:lineRule="exact"/>
        <w:ind w:firstLine="422" w:firstLineChars="200"/>
        <w:rPr>
          <w:rFonts w:ascii="宋体" w:cs="宋体"/>
          <w:color w:val="auto"/>
          <w:highlight w:val="none"/>
        </w:rPr>
      </w:pPr>
      <w:bookmarkStart w:id="778" w:name="_Toc497747181"/>
      <w:bookmarkStart w:id="779" w:name="_Toc522201733"/>
      <w:bookmarkStart w:id="780" w:name="_Toc256000183"/>
      <w:bookmarkStart w:id="781" w:name="_Toc10058"/>
      <w:bookmarkStart w:id="782" w:name="_Toc418752245"/>
      <w:bookmarkStart w:id="783" w:name="_Toc497746784"/>
      <w:bookmarkStart w:id="784" w:name="_Toc418751799"/>
      <w:bookmarkStart w:id="785" w:name="_Toc406522223"/>
      <w:r>
        <w:rPr>
          <w:rFonts w:hint="eastAsia" w:ascii="宋体" w:cs="宋体"/>
          <w:color w:val="auto"/>
          <w:highlight w:val="none"/>
        </w:rPr>
        <w:t>2.2 发包人代表</w:t>
      </w:r>
      <w:bookmarkEnd w:id="778"/>
      <w:bookmarkEnd w:id="779"/>
      <w:bookmarkEnd w:id="780"/>
      <w:bookmarkEnd w:id="781"/>
      <w:bookmarkEnd w:id="782"/>
      <w:bookmarkEnd w:id="783"/>
      <w:bookmarkEnd w:id="784"/>
      <w:bookmarkEnd w:id="785"/>
    </w:p>
    <w:p w14:paraId="48D742A6">
      <w:pPr>
        <w:pStyle w:val="41"/>
        <w:spacing w:line="380" w:lineRule="exact"/>
        <w:rPr>
          <w:rFonts w:ascii="宋体" w:hAnsi="宋体" w:cs="宋体"/>
          <w:color w:val="auto"/>
          <w:highlight w:val="none"/>
        </w:rPr>
      </w:pPr>
      <w:r>
        <w:rPr>
          <w:rFonts w:hint="eastAsia" w:ascii="宋体" w:hAnsi="宋体" w:cs="宋体"/>
          <w:color w:val="auto"/>
          <w:highlight w:val="none"/>
        </w:rPr>
        <w:t>发包人代表：</w:t>
      </w:r>
    </w:p>
    <w:p w14:paraId="2F2F5B77">
      <w:pPr>
        <w:pStyle w:val="41"/>
        <w:spacing w:line="380" w:lineRule="exact"/>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D026773">
      <w:pPr>
        <w:pStyle w:val="41"/>
        <w:spacing w:line="380" w:lineRule="exact"/>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D6FCD16">
      <w:pPr>
        <w:pStyle w:val="41"/>
        <w:spacing w:line="380" w:lineRule="exact"/>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EE3F8A1">
      <w:pPr>
        <w:pStyle w:val="41"/>
        <w:spacing w:line="380" w:lineRule="exact"/>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0315EFB">
      <w:pPr>
        <w:pStyle w:val="41"/>
        <w:spacing w:line="380" w:lineRule="exact"/>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p>
    <w:p w14:paraId="79C2CBCF">
      <w:pPr>
        <w:pStyle w:val="41"/>
        <w:spacing w:line="380" w:lineRule="exact"/>
        <w:rPr>
          <w:rFonts w:ascii="宋体" w:hAnsi="宋体" w:cs="宋体"/>
          <w:b/>
          <w:color w:val="auto"/>
          <w:highlight w:val="none"/>
        </w:rPr>
      </w:pPr>
      <w:r>
        <w:rPr>
          <w:rFonts w:hint="eastAsia" w:ascii="宋体" w:hAnsi="宋体" w:cs="宋体"/>
          <w:color w:val="auto"/>
          <w:highlight w:val="none"/>
        </w:rPr>
        <w:t>发包人对发包人代表的授权范围如下：</w:t>
      </w:r>
      <w:r>
        <w:rPr>
          <w:rFonts w:hint="eastAsia" w:ascii="宋体" w:hAnsi="宋体" w:cs="宋体"/>
          <w:color w:val="auto"/>
          <w:highlight w:val="none"/>
          <w:u w:val="single"/>
        </w:rPr>
        <w:t>对工程进度、质量进行监督、办理中间交工工程验收手续，负责现场签证，解决由发包人授权处理的事宜</w:t>
      </w:r>
      <w:r>
        <w:rPr>
          <w:rFonts w:hint="eastAsia" w:ascii="宋体" w:hAnsi="宋体" w:cs="宋体"/>
          <w:color w:val="auto"/>
          <w:highlight w:val="none"/>
        </w:rPr>
        <w:t>。</w:t>
      </w:r>
    </w:p>
    <w:p w14:paraId="225F1295">
      <w:pPr>
        <w:pStyle w:val="36"/>
        <w:spacing w:line="380" w:lineRule="exact"/>
        <w:ind w:firstLine="422" w:firstLineChars="200"/>
        <w:rPr>
          <w:rFonts w:ascii="宋体" w:cs="宋体"/>
          <w:color w:val="auto"/>
          <w:highlight w:val="none"/>
        </w:rPr>
      </w:pPr>
      <w:bookmarkStart w:id="786" w:name="_Toc418752246"/>
      <w:bookmarkStart w:id="787" w:name="_Toc497747182"/>
      <w:bookmarkStart w:id="788" w:name="_Toc522201734"/>
      <w:bookmarkStart w:id="789" w:name="_Toc8326"/>
      <w:bookmarkStart w:id="790" w:name="_Toc497746785"/>
      <w:bookmarkStart w:id="791" w:name="_Toc406522224"/>
      <w:bookmarkStart w:id="792" w:name="_Toc256000184"/>
      <w:bookmarkStart w:id="793" w:name="_Toc418751800"/>
      <w:r>
        <w:rPr>
          <w:rFonts w:hint="eastAsia" w:ascii="宋体" w:cs="宋体"/>
          <w:color w:val="auto"/>
          <w:highlight w:val="none"/>
        </w:rPr>
        <w:t>2.4 施工现场、施工条件和基础资料的提供</w:t>
      </w:r>
      <w:bookmarkEnd w:id="786"/>
      <w:bookmarkEnd w:id="787"/>
      <w:bookmarkEnd w:id="788"/>
      <w:bookmarkEnd w:id="789"/>
      <w:bookmarkEnd w:id="790"/>
      <w:bookmarkEnd w:id="791"/>
      <w:bookmarkEnd w:id="792"/>
      <w:bookmarkEnd w:id="793"/>
    </w:p>
    <w:p w14:paraId="7A6C409B">
      <w:pPr>
        <w:pStyle w:val="41"/>
        <w:spacing w:line="380" w:lineRule="exact"/>
        <w:rPr>
          <w:rFonts w:ascii="宋体" w:hAnsi="宋体" w:cs="宋体"/>
          <w:color w:val="auto"/>
          <w:highlight w:val="none"/>
        </w:rPr>
      </w:pPr>
      <w:r>
        <w:rPr>
          <w:rFonts w:hint="eastAsia" w:ascii="宋体" w:hAnsi="宋体" w:cs="宋体"/>
          <w:color w:val="auto"/>
          <w:highlight w:val="none"/>
        </w:rPr>
        <w:t>2.4.1 提供施工现场</w:t>
      </w:r>
    </w:p>
    <w:p w14:paraId="1D3C2045">
      <w:pPr>
        <w:pStyle w:val="41"/>
        <w:spacing w:line="380" w:lineRule="exact"/>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施工场地应当在监理人发出的开工通知中载明的开工日期前七天具备施工条件并移交给承包人，具体施工条件在施工合同中约定。发包人最迟应当在移交施工场地的同时向承包人提供施工场地内地下管线和地下设施等有关资料，并保证资料的真实、准确和完整</w:t>
      </w:r>
      <w:r>
        <w:rPr>
          <w:rFonts w:hint="eastAsia" w:ascii="宋体" w:hAnsi="宋体" w:cs="宋体"/>
          <w:color w:val="auto"/>
          <w:highlight w:val="none"/>
        </w:rPr>
        <w:t>。</w:t>
      </w:r>
    </w:p>
    <w:p w14:paraId="1B78BC04">
      <w:pPr>
        <w:pStyle w:val="41"/>
        <w:spacing w:line="380" w:lineRule="exact"/>
        <w:rPr>
          <w:rFonts w:ascii="宋体" w:hAnsi="宋体" w:cs="宋体"/>
          <w:color w:val="auto"/>
          <w:highlight w:val="none"/>
        </w:rPr>
      </w:pPr>
      <w:r>
        <w:rPr>
          <w:rFonts w:hint="eastAsia" w:ascii="宋体" w:hAnsi="宋体" w:cs="宋体"/>
          <w:color w:val="auto"/>
          <w:highlight w:val="none"/>
        </w:rPr>
        <w:t>2.4.2 提供施工条件</w:t>
      </w:r>
    </w:p>
    <w:p w14:paraId="3D2E9B1D">
      <w:pPr>
        <w:pStyle w:val="41"/>
        <w:spacing w:line="380" w:lineRule="exact"/>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hint="eastAsia" w:ascii="宋体" w:hAnsi="宋体" w:cs="宋体"/>
          <w:color w:val="auto"/>
          <w:highlight w:val="none"/>
          <w:u w:val="single"/>
        </w:rPr>
        <w:t>发包人可配合承包人办理开工所需手续及相关申请，费用由承包人自行解决，施工场地与公共道路的通道，由承包人负责实施，费用已包含在合同价中</w:t>
      </w:r>
      <w:r>
        <w:rPr>
          <w:rFonts w:hint="eastAsia" w:ascii="宋体" w:hAnsi="宋体" w:cs="宋体"/>
          <w:color w:val="auto"/>
          <w:highlight w:val="none"/>
        </w:rPr>
        <w:t>。</w:t>
      </w:r>
    </w:p>
    <w:p w14:paraId="78F63AC7">
      <w:pPr>
        <w:pStyle w:val="36"/>
        <w:spacing w:line="380" w:lineRule="exact"/>
        <w:ind w:firstLine="422" w:firstLineChars="200"/>
        <w:rPr>
          <w:rFonts w:ascii="宋体" w:cs="宋体"/>
          <w:color w:val="auto"/>
          <w:highlight w:val="none"/>
        </w:rPr>
      </w:pPr>
      <w:bookmarkStart w:id="794" w:name="_Toc418752247"/>
      <w:bookmarkStart w:id="795" w:name="_Toc25273"/>
      <w:bookmarkStart w:id="796" w:name="_Toc256000185"/>
      <w:bookmarkStart w:id="797" w:name="_Toc522201735"/>
      <w:bookmarkStart w:id="798" w:name="_Toc497746786"/>
      <w:bookmarkStart w:id="799" w:name="_Toc418751801"/>
      <w:bookmarkStart w:id="800" w:name="_Toc497747183"/>
      <w:bookmarkStart w:id="801" w:name="_Toc406522225"/>
      <w:r>
        <w:rPr>
          <w:rFonts w:hint="eastAsia" w:ascii="宋体" w:cs="宋体"/>
          <w:color w:val="auto"/>
          <w:highlight w:val="none"/>
        </w:rPr>
        <w:t>2.5 资金来源证明及支付担保</w:t>
      </w:r>
      <w:bookmarkEnd w:id="794"/>
      <w:bookmarkEnd w:id="795"/>
      <w:bookmarkEnd w:id="796"/>
      <w:bookmarkEnd w:id="797"/>
      <w:bookmarkEnd w:id="798"/>
      <w:bookmarkEnd w:id="799"/>
      <w:bookmarkEnd w:id="800"/>
      <w:bookmarkEnd w:id="801"/>
    </w:p>
    <w:p w14:paraId="5944A076">
      <w:pPr>
        <w:pStyle w:val="41"/>
        <w:spacing w:line="380" w:lineRule="exact"/>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E982D46">
      <w:pPr>
        <w:pStyle w:val="41"/>
        <w:spacing w:line="380" w:lineRule="exact"/>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0F05E82A">
      <w:pPr>
        <w:pStyle w:val="41"/>
        <w:spacing w:line="380" w:lineRule="exact"/>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36E1C11">
      <w:pPr>
        <w:pStyle w:val="36"/>
        <w:spacing w:line="380" w:lineRule="exact"/>
        <w:rPr>
          <w:rFonts w:ascii="宋体" w:cs="宋体"/>
          <w:color w:val="auto"/>
          <w:highlight w:val="none"/>
        </w:rPr>
      </w:pPr>
      <w:bookmarkStart w:id="802" w:name="_Toc522201736"/>
      <w:bookmarkStart w:id="803" w:name="_Toc256000186"/>
      <w:bookmarkStart w:id="804" w:name="_Toc497746787"/>
      <w:bookmarkStart w:id="805" w:name="_Toc418752248"/>
      <w:bookmarkStart w:id="806" w:name="_Toc418751802"/>
      <w:bookmarkStart w:id="807" w:name="_Toc351203635"/>
      <w:bookmarkStart w:id="808" w:name="_Toc497747184"/>
      <w:bookmarkStart w:id="809" w:name="_Toc406522226"/>
      <w:bookmarkStart w:id="810" w:name="_Toc6875"/>
      <w:r>
        <w:rPr>
          <w:rFonts w:hint="eastAsia" w:ascii="宋体" w:cs="宋体"/>
          <w:color w:val="auto"/>
          <w:highlight w:val="none"/>
        </w:rPr>
        <w:t>3</w:t>
      </w:r>
      <w:bookmarkStart w:id="811" w:name="_Toc296890986"/>
      <w:bookmarkStart w:id="812" w:name="_Toc296347157"/>
      <w:bookmarkStart w:id="813" w:name="_Toc296891198"/>
      <w:bookmarkStart w:id="814" w:name="_Toc292559363"/>
      <w:bookmarkStart w:id="815" w:name="_Toc297048344"/>
      <w:bookmarkStart w:id="816" w:name="_Toc292559868"/>
      <w:bookmarkStart w:id="817" w:name="_Toc296346659"/>
      <w:bookmarkStart w:id="818" w:name="_Toc297120458"/>
      <w:bookmarkStart w:id="819" w:name="_Toc296503158"/>
      <w:bookmarkStart w:id="820" w:name="_Toc296944497"/>
      <w:r>
        <w:rPr>
          <w:rFonts w:hint="eastAsia" w:ascii="宋体" w:cs="宋体"/>
          <w:color w:val="auto"/>
          <w:highlight w:val="none"/>
        </w:rPr>
        <w:t>. 承包人</w:t>
      </w:r>
      <w:bookmarkEnd w:id="802"/>
      <w:bookmarkEnd w:id="803"/>
      <w:bookmarkEnd w:id="804"/>
      <w:bookmarkEnd w:id="805"/>
      <w:bookmarkEnd w:id="806"/>
      <w:bookmarkEnd w:id="807"/>
      <w:bookmarkEnd w:id="808"/>
      <w:bookmarkEnd w:id="809"/>
      <w:bookmarkEnd w:id="810"/>
    </w:p>
    <w:bookmarkEnd w:id="811"/>
    <w:bookmarkEnd w:id="812"/>
    <w:bookmarkEnd w:id="813"/>
    <w:bookmarkEnd w:id="814"/>
    <w:bookmarkEnd w:id="815"/>
    <w:bookmarkEnd w:id="816"/>
    <w:bookmarkEnd w:id="817"/>
    <w:bookmarkEnd w:id="818"/>
    <w:bookmarkEnd w:id="819"/>
    <w:bookmarkEnd w:id="820"/>
    <w:p w14:paraId="6A5E67FD">
      <w:pPr>
        <w:pStyle w:val="36"/>
        <w:spacing w:line="380" w:lineRule="exact"/>
        <w:ind w:firstLine="422" w:firstLineChars="200"/>
        <w:rPr>
          <w:rFonts w:ascii="宋体" w:cs="宋体"/>
          <w:color w:val="auto"/>
          <w:highlight w:val="none"/>
        </w:rPr>
      </w:pPr>
      <w:bookmarkStart w:id="821" w:name="_Toc497747185"/>
      <w:bookmarkStart w:id="822" w:name="_Toc406522227"/>
      <w:bookmarkStart w:id="823" w:name="_Toc497746788"/>
      <w:bookmarkStart w:id="824" w:name="_Toc418751803"/>
      <w:bookmarkStart w:id="825" w:name="_Toc7415"/>
      <w:bookmarkStart w:id="826" w:name="_Toc256000187"/>
      <w:bookmarkStart w:id="827" w:name="_Toc418752249"/>
      <w:bookmarkStart w:id="828" w:name="_Toc522201737"/>
      <w:r>
        <w:rPr>
          <w:rFonts w:hint="eastAsia" w:ascii="宋体" w:cs="宋体"/>
          <w:color w:val="auto"/>
          <w:highlight w:val="none"/>
        </w:rPr>
        <w:t>3.1 承包人的一般义务</w:t>
      </w:r>
      <w:bookmarkEnd w:id="821"/>
      <w:bookmarkEnd w:id="822"/>
      <w:bookmarkEnd w:id="823"/>
      <w:bookmarkEnd w:id="824"/>
      <w:bookmarkEnd w:id="825"/>
      <w:bookmarkEnd w:id="826"/>
      <w:bookmarkEnd w:id="827"/>
      <w:bookmarkEnd w:id="828"/>
    </w:p>
    <w:p w14:paraId="1D95A1CC">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工程具备竣工验收条件，承包人按工程竣工验收有关规定，向发包人提交符合《建设工程文件归档整理规范》内容装订成册的完整竣工资料及竣工验收报告、工程竣工图</w:t>
      </w:r>
      <w:r>
        <w:rPr>
          <w:rFonts w:hint="eastAsia" w:ascii="宋体" w:hAnsi="宋体" w:cs="宋体"/>
          <w:color w:val="auto"/>
          <w:szCs w:val="21"/>
          <w:highlight w:val="none"/>
        </w:rPr>
        <w:t>。</w:t>
      </w:r>
    </w:p>
    <w:p w14:paraId="0816DB5B">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承包人向发包人提交竣工档案份数为一式四份；备案资料一式两份；建设工程质量监督档案一式两份  </w:t>
      </w:r>
      <w:r>
        <w:rPr>
          <w:rFonts w:hint="eastAsia" w:ascii="宋体" w:hAnsi="宋体" w:cs="宋体"/>
          <w:color w:val="auto"/>
          <w:szCs w:val="21"/>
          <w:highlight w:val="none"/>
        </w:rPr>
        <w:t>。</w:t>
      </w:r>
    </w:p>
    <w:p w14:paraId="3F5A2F23">
      <w:pPr>
        <w:pStyle w:val="21"/>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由承包人承担相关费用 </w:t>
      </w:r>
      <w:r>
        <w:rPr>
          <w:rFonts w:hint="eastAsia" w:ascii="宋体" w:hAnsi="宋体" w:cs="宋体"/>
          <w:color w:val="auto"/>
          <w:szCs w:val="21"/>
          <w:highlight w:val="none"/>
        </w:rPr>
        <w:t>。</w:t>
      </w:r>
    </w:p>
    <w:p w14:paraId="3E4BCADB">
      <w:pPr>
        <w:pStyle w:val="21"/>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工程竣工验收合格后30天内  </w:t>
      </w:r>
      <w:r>
        <w:rPr>
          <w:rFonts w:hint="eastAsia" w:ascii="宋体" w:hAnsi="宋体" w:cs="宋体"/>
          <w:color w:val="auto"/>
          <w:szCs w:val="21"/>
          <w:highlight w:val="none"/>
        </w:rPr>
        <w:t>。</w:t>
      </w:r>
    </w:p>
    <w:p w14:paraId="1C6D4969">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竣工档案（竣工档案的内容：施工单位竣工验收文件、施工文件、竣工图（按城市建设档案馆要求整理，相关费用由承包人承担）、备案资料（应由承包人提供的部分按住建局要求整理）、建设工程质量监督档案（应由承包人提供的部分按建设工程质量监督管理站要求整理）</w:t>
      </w:r>
      <w:r>
        <w:rPr>
          <w:rFonts w:hint="eastAsia" w:ascii="宋体" w:hAnsi="宋体" w:cs="宋体"/>
          <w:color w:val="auto"/>
          <w:szCs w:val="21"/>
          <w:highlight w:val="none"/>
        </w:rPr>
        <w:t>。</w:t>
      </w:r>
    </w:p>
    <w:p w14:paraId="00CC9FA3">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①施工用水、用电按表计量，费用由承包人承担，由承包人指派专人配合发包人的计量工作，水费及电费按发包人要求进行交付；单位工程内其他单位用水、用电由承包人与相关用水、用电单位协商解决。②本工程在施工过程中如存在多个施工单位同时作业时，承包人必须顾全大局、相互协作、密切配合，严格服从发包人和监理单位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提出，否则，由此所造成的损失由承包人承担 。③承包人负责办理施工有关的交通特别通告证、有害污水、环卫、环保和噪音等审批手续，并承担费用，如因承包人未交纳相关费用，发包人有权从工程款中扣除用于支付相关费用并计入结算。承包人负责对施工场地内的化石、文物具有保护责任，并承担相应费用。承包人负责满足施工期间政府职能部门对工地消防设施有关要求，并承担相关费用。④</w:t>
      </w:r>
      <w:r>
        <w:rPr>
          <w:rFonts w:hint="default" w:ascii="宋体" w:hAnsi="宋体" w:cs="宋体"/>
          <w:color w:val="auto"/>
          <w:szCs w:val="21"/>
          <w:highlight w:val="none"/>
          <w:u w:val="single"/>
          <w:lang w:val="en-US"/>
        </w:rPr>
        <w:t>承</w:t>
      </w:r>
      <w:r>
        <w:rPr>
          <w:rFonts w:hint="eastAsia" w:ascii="宋体" w:hAnsi="宋体" w:cs="宋体"/>
          <w:color w:val="auto"/>
          <w:szCs w:val="21"/>
          <w:highlight w:val="none"/>
          <w:u w:val="single"/>
        </w:rPr>
        <w:t>包人</w:t>
      </w:r>
      <w:r>
        <w:rPr>
          <w:rFonts w:hint="eastAsia" w:ascii="宋体" w:hAnsi="宋体" w:cs="宋体"/>
          <w:color w:val="auto"/>
          <w:szCs w:val="21"/>
          <w:highlight w:val="none"/>
          <w:u w:val="single"/>
          <w:lang w:val="en-US" w:eastAsia="zh-CN"/>
        </w:rPr>
        <w:t>配合发包人</w:t>
      </w:r>
      <w:r>
        <w:rPr>
          <w:rFonts w:hint="eastAsia" w:ascii="宋体" w:hAnsi="宋体" w:cs="宋体"/>
          <w:color w:val="auto"/>
          <w:szCs w:val="21"/>
          <w:highlight w:val="none"/>
          <w:u w:val="single"/>
        </w:rPr>
        <w:t>协调解决本项目当地居民对工程施工的人为干扰，施工机械进出、材料运输如需通过村道及村民土地；</w:t>
      </w:r>
      <w:r>
        <w:rPr>
          <w:rFonts w:hint="eastAsia" w:ascii="宋体" w:hAnsi="宋体" w:cs="宋体"/>
          <w:color w:val="auto"/>
          <w:szCs w:val="21"/>
          <w:highlight w:val="none"/>
          <w:u w:val="single"/>
          <w:lang w:val="en-US" w:eastAsia="zh-CN"/>
        </w:rPr>
        <w:t>发</w:t>
      </w:r>
      <w:r>
        <w:rPr>
          <w:rFonts w:hint="eastAsia" w:ascii="宋体" w:hAnsi="宋体" w:cs="宋体"/>
          <w:color w:val="auto"/>
          <w:szCs w:val="21"/>
          <w:highlight w:val="none"/>
          <w:u w:val="single"/>
        </w:rPr>
        <w:t>包人应当协调与施工现场周边农村及村民的关系，确保项目施工顺利进行。⑤承包人应始终采取各种合理的预防措施，防止承包人员或其内部发生任何非法的、骚动的或无序的行为，以保持安定，保护现场及第三人的财产和人身安全。⑥为发包人依法发包的专业工程承包商提供总承包管理与协调服务，并为专业工程承包商提供一切施工方便。为发包人和监理人在施工现场提供必要的办公室和办公桌椅等设备。⑦按建设行政主管部门有关规定配合发包人其他工程的施工等。⑧施工期间和施工完毕后，均应及时对施工场地和为其施工提供的公共道路进行保洁、维护以及维修，产生的垃圾和被破坏的场地，必须遵照监理人和发包人的指示进行清理、修复，并根据实际情况将场地恢复到原有状态，费用自理。⑨由于本工程施工现场为居民区，承包人应合理安排施工时间，确保做到不影响周边居民的正常生活，对居民的合理意见应积极整改，确保工程顺利进行。⑩配合发包人做好安全文明工程、领导检查、宣传等工作。以上相关费用均由承包人承担，并在投标报价清单中综合考虑，不再另计。</w:t>
      </w:r>
      <w:r>
        <w:rPr>
          <w:rFonts w:ascii="Cambria Math" w:hAnsi="Cambria Math" w:cs="Cambria Math"/>
          <w:color w:val="auto"/>
          <w:szCs w:val="21"/>
          <w:highlight w:val="none"/>
          <w:u w:val="single"/>
        </w:rPr>
        <w:t>⑪</w:t>
      </w:r>
      <w:r>
        <w:rPr>
          <w:rFonts w:hint="eastAsia" w:ascii="宋体" w:hAnsi="宋体" w:cs="宋体"/>
          <w:color w:val="auto"/>
          <w:szCs w:val="21"/>
          <w:highlight w:val="none"/>
          <w:u w:val="single"/>
        </w:rPr>
        <w:t>承包人在工程施工期间由于承包人原因引起的责任事故，全部由承包人承担经济责任和法律责任。</w:t>
      </w:r>
      <w:r>
        <w:rPr>
          <w:rFonts w:ascii="Cambria Math" w:hAnsi="Cambria Math" w:cs="Cambria Math"/>
          <w:color w:val="auto"/>
          <w:szCs w:val="21"/>
          <w:highlight w:val="none"/>
          <w:u w:val="single"/>
        </w:rPr>
        <w:t>⑫</w:t>
      </w:r>
      <w:r>
        <w:rPr>
          <w:rFonts w:hint="eastAsia" w:ascii="宋体" w:hAnsi="宋体" w:cs="宋体"/>
          <w:color w:val="auto"/>
          <w:szCs w:val="21"/>
          <w:highlight w:val="none"/>
          <w:u w:val="single"/>
        </w:rPr>
        <w:t>满足国家、行业、控制标准和验收规范。</w:t>
      </w:r>
    </w:p>
    <w:p w14:paraId="089ED073">
      <w:pPr>
        <w:pStyle w:val="36"/>
        <w:spacing w:line="380" w:lineRule="exact"/>
        <w:ind w:firstLine="422" w:firstLineChars="200"/>
        <w:rPr>
          <w:rFonts w:ascii="宋体" w:cs="宋体"/>
          <w:color w:val="auto"/>
          <w:highlight w:val="none"/>
        </w:rPr>
      </w:pPr>
      <w:bookmarkStart w:id="829" w:name="_Toc522201738"/>
      <w:bookmarkStart w:id="830" w:name="_Toc373227708"/>
      <w:bookmarkStart w:id="831" w:name="_Toc418751804"/>
      <w:bookmarkStart w:id="832" w:name="_Toc25355"/>
      <w:bookmarkStart w:id="833" w:name="_Toc256000188"/>
      <w:bookmarkStart w:id="834" w:name="_Toc389065274"/>
      <w:bookmarkStart w:id="835" w:name="_Toc497746789"/>
      <w:bookmarkStart w:id="836" w:name="_Toc418518118"/>
      <w:bookmarkStart w:id="837" w:name="_Toc418518354"/>
      <w:bookmarkStart w:id="838" w:name="_Toc418061319"/>
      <w:bookmarkStart w:id="839" w:name="_Toc497747186"/>
      <w:bookmarkStart w:id="840" w:name="_Toc373478355"/>
      <w:bookmarkStart w:id="841" w:name="_Toc418752250"/>
      <w:bookmarkStart w:id="842" w:name="_Toc403578942"/>
      <w:r>
        <w:rPr>
          <w:rFonts w:hint="eastAsia" w:ascii="宋体" w:cs="宋体"/>
          <w:color w:val="auto"/>
          <w:highlight w:val="none"/>
        </w:rPr>
        <w:t>3.2 项目经理</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5C573CCE">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06EE8A80">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F20FD6">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6CBFCD7">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资格</w:t>
      </w:r>
      <w:r>
        <w:rPr>
          <w:rFonts w:hint="eastAsia" w:ascii="宋体" w:hAnsi="宋体" w:cs="宋体"/>
          <w:color w:val="auto"/>
          <w:szCs w:val="21"/>
          <w:highlight w:val="none"/>
          <w:lang w:val="en-US" w:eastAsia="zh-CN"/>
        </w:rPr>
        <w:t>证书名称</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AF9263">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资格</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编</w:t>
      </w:r>
      <w:r>
        <w:rPr>
          <w:rFonts w:hint="eastAsia" w:ascii="宋体" w:hAnsi="宋体" w:cs="宋体"/>
          <w:color w:val="auto"/>
          <w:szCs w:val="21"/>
          <w:highlight w:val="none"/>
        </w:rPr>
        <w:t>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12CAA2">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5340EF">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9903724">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00D67A1">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承包人对项目经理的授权范围如下： </w:t>
      </w:r>
      <w:r>
        <w:rPr>
          <w:rFonts w:hint="eastAsia" w:ascii="宋体" w:hAnsi="宋体" w:cs="宋体"/>
          <w:color w:val="auto"/>
          <w:szCs w:val="21"/>
          <w:highlight w:val="none"/>
          <w:u w:val="single"/>
        </w:rPr>
        <w:t>（1）对本工程的建设进行全面管理，行使合同约定的权利，履行合同约定的义务；（2）负责本工程的施工组织方案制定和施工组织设计；（3）负责本工程的劳动力组织和机械设备组织；（4）经发包人同意分包的专业工程，项目经理参与选择并使用具有相应资质的分包人； （5）合同约定由承包人采购的材料、工程设备，项目经理参与选择物资供应单位；（6）在授权范围内协调与项目有关的内、外部关系；（7）负责与发包人、监理人办理设计变更、现场签证等手续，及时办理本工程相关索赔；（8）负责签收发包人、监理人往来函件，承包人的要求、通知均应以书面形式由承包人项目经理签字并加盖承包人公司公章后递交发包人；（9）代表承包人接受监理工程师或发包人现场代表发出的指示和指令。但未经承包人盖章同意不得以承包人名义向外融资、 采购材料设备、 租用建筑周转材料、 雇佣劳动力、签订分包合同等从事一切为承包人设立义务或责任的行为</w:t>
      </w:r>
      <w:r>
        <w:rPr>
          <w:rFonts w:hint="eastAsia" w:ascii="宋体" w:hAnsi="宋体" w:cs="宋体"/>
          <w:color w:val="auto"/>
          <w:szCs w:val="21"/>
          <w:highlight w:val="none"/>
        </w:rPr>
        <w:t>。</w:t>
      </w:r>
    </w:p>
    <w:p w14:paraId="532D4B5D">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不少于22个工作日,若项目经理每月在岗时间少于22个工作日，发包人有权更换项目经理，由此造成的一切损失由承包人承担</w:t>
      </w:r>
      <w:r>
        <w:rPr>
          <w:rFonts w:hint="eastAsia" w:ascii="宋体" w:hAnsi="宋体" w:cs="宋体"/>
          <w:color w:val="auto"/>
          <w:szCs w:val="21"/>
          <w:highlight w:val="none"/>
        </w:rPr>
        <w:t>。</w:t>
      </w:r>
    </w:p>
    <w:p w14:paraId="5F6299BE">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承包人不提交上述文件的，项目经理无权履行职责，发包人有权要求更换项目经理，由此增加的费用和延误的工期由承包人承担</w:t>
      </w:r>
      <w:r>
        <w:rPr>
          <w:rFonts w:hint="eastAsia" w:ascii="宋体" w:hAnsi="宋体" w:cs="宋体"/>
          <w:color w:val="auto"/>
          <w:szCs w:val="21"/>
          <w:highlight w:val="none"/>
        </w:rPr>
        <w:t>。</w:t>
      </w:r>
    </w:p>
    <w:p w14:paraId="7DC569B0">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 xml:space="preserve">项目经理每月在岗带班时间不得少于22天。未经发包人同意或正当理由，项目经理每月在岗带班时间少于22天的，少在岗带班一天，发包人有权处违约金 </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00元/日（人民币）</w:t>
      </w:r>
      <w:r>
        <w:rPr>
          <w:rFonts w:hint="eastAsia" w:ascii="宋体" w:hAnsi="宋体" w:cs="宋体"/>
          <w:color w:val="auto"/>
          <w:szCs w:val="21"/>
          <w:highlight w:val="none"/>
        </w:rPr>
        <w:t>。</w:t>
      </w:r>
    </w:p>
    <w:p w14:paraId="3D8472A9">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承包人项目经理必须与承包人投标时所承诺的人员一致，并在（开工日期）前到任。在监理人向承包人颁发（竣工证明材料名称）前，项目经理不得同时兼任其他任何项目的项目经理（符合桂建管﹝2013﹞17号和桂建管﹝2014﹞25号文除外）。未经发包人书面同意，承包人擅自更换项目经理的视为违约，违约金处1000元/人•次（人民币）</w:t>
      </w:r>
      <w:r>
        <w:rPr>
          <w:rFonts w:hint="eastAsia" w:ascii="宋体" w:hAnsi="宋体" w:cs="宋体"/>
          <w:color w:val="auto"/>
          <w:szCs w:val="21"/>
          <w:highlight w:val="none"/>
        </w:rPr>
        <w:t>。</w:t>
      </w:r>
    </w:p>
    <w:p w14:paraId="24239C1F">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hint="eastAsia" w:ascii="宋体" w:hAnsi="宋体" w:cs="宋体"/>
          <w:color w:val="auto"/>
          <w:szCs w:val="21"/>
          <w:highlight w:val="none"/>
          <w:u w:val="single"/>
        </w:rPr>
        <w:t>因承包人项目经理不称职，发包人要求调换而未及时调换的，视为承包人违约，必须向发包人交纳处罚金500元/人•次（人民币）</w:t>
      </w:r>
      <w:r>
        <w:rPr>
          <w:rFonts w:hint="eastAsia" w:ascii="宋体" w:hAnsi="宋体" w:cs="宋体"/>
          <w:color w:val="auto"/>
          <w:szCs w:val="21"/>
          <w:highlight w:val="none"/>
        </w:rPr>
        <w:t>。</w:t>
      </w:r>
    </w:p>
    <w:p w14:paraId="32BA8C79">
      <w:pPr>
        <w:pStyle w:val="36"/>
        <w:spacing w:line="380" w:lineRule="exact"/>
        <w:ind w:firstLine="422" w:firstLineChars="200"/>
        <w:rPr>
          <w:rFonts w:ascii="宋体" w:cs="宋体"/>
          <w:color w:val="auto"/>
          <w:highlight w:val="none"/>
        </w:rPr>
      </w:pPr>
      <w:bookmarkStart w:id="843" w:name="_Toc373227709"/>
      <w:bookmarkStart w:id="844" w:name="_Toc418752251"/>
      <w:bookmarkStart w:id="845" w:name="_Toc1988"/>
      <w:bookmarkStart w:id="846" w:name="_Toc403578943"/>
      <w:bookmarkStart w:id="847" w:name="_Toc418751805"/>
      <w:bookmarkStart w:id="848" w:name="_Toc373478356"/>
      <w:bookmarkStart w:id="849" w:name="_Toc497747187"/>
      <w:bookmarkStart w:id="850" w:name="_Toc418518355"/>
      <w:bookmarkStart w:id="851" w:name="_Toc522201739"/>
      <w:bookmarkStart w:id="852" w:name="_Toc418518119"/>
      <w:bookmarkStart w:id="853" w:name="_Toc256000189"/>
      <w:bookmarkStart w:id="854" w:name="_Toc497746790"/>
      <w:bookmarkStart w:id="855" w:name="_Toc418061320"/>
      <w:bookmarkStart w:id="856" w:name="_Toc389065275"/>
      <w:r>
        <w:rPr>
          <w:rFonts w:hint="eastAsia" w:ascii="宋体" w:cs="宋体"/>
          <w:color w:val="auto"/>
          <w:highlight w:val="none"/>
        </w:rPr>
        <w:t>3.3 承包人人员</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25B8C54F">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hint="eastAsia" w:ascii="宋体" w:hAnsi="宋体" w:cs="宋体"/>
          <w:color w:val="auto"/>
          <w:szCs w:val="21"/>
          <w:highlight w:val="none"/>
          <w:u w:val="single"/>
        </w:rPr>
        <w:t>开工前7日内</w:t>
      </w:r>
      <w:r>
        <w:rPr>
          <w:rFonts w:hint="eastAsia" w:ascii="宋体" w:hAnsi="宋体" w:cs="宋体"/>
          <w:color w:val="auto"/>
          <w:szCs w:val="21"/>
          <w:highlight w:val="none"/>
        </w:rPr>
        <w:t>。</w:t>
      </w:r>
    </w:p>
    <w:p w14:paraId="6B74D4E3">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因承包人主要施工管理人员不称职，发包人要求调换而无正当理由拒绝撤换或未及时调换的，视为承包人违约，必须向发包人交纳处罚金，处罚标准：技术负责人300元/人•次（人民币）；专业工程师100元/人•次（人民币）</w:t>
      </w:r>
      <w:r>
        <w:rPr>
          <w:rFonts w:hint="eastAsia" w:ascii="宋体" w:hAnsi="宋体" w:cs="宋体"/>
          <w:color w:val="auto"/>
          <w:szCs w:val="21"/>
          <w:highlight w:val="none"/>
        </w:rPr>
        <w:t>。</w:t>
      </w:r>
    </w:p>
    <w:p w14:paraId="32E3C193">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经建设单位及监理单位批准同意后</w:t>
      </w:r>
      <w:r>
        <w:rPr>
          <w:rFonts w:hint="eastAsia" w:ascii="宋体" w:hAnsi="宋体" w:cs="宋体"/>
          <w:color w:val="auto"/>
          <w:szCs w:val="21"/>
          <w:highlight w:val="none"/>
        </w:rPr>
        <w:t>。</w:t>
      </w:r>
    </w:p>
    <w:p w14:paraId="5337C460">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hint="eastAsia" w:ascii="宋体" w:hAnsi="宋体" w:cs="宋体"/>
          <w:color w:val="auto"/>
          <w:szCs w:val="21"/>
          <w:highlight w:val="none"/>
          <w:u w:val="single"/>
        </w:rPr>
        <w:t>项目技术负责人、专职安全员及其承诺的其它在场管理人员未经发包人书面同意不准擅自更换，擅自更换项目技术负责人处 300元/人•次（人民币）违约金；擅自更换专职安全员处100元/人•次（人民币）违约金；擅自更换其它在场管理人员处</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00元/人•次（人民币）违约金</w:t>
      </w:r>
      <w:r>
        <w:rPr>
          <w:rFonts w:hint="eastAsia" w:ascii="宋体" w:hAnsi="宋体" w:cs="宋体"/>
          <w:color w:val="auto"/>
          <w:szCs w:val="21"/>
          <w:highlight w:val="none"/>
        </w:rPr>
        <w:t>。</w:t>
      </w:r>
    </w:p>
    <w:p w14:paraId="25F173E1">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未经发包人同意，项目技术负责人擅自离岗的，视为承包人违约，发包人有权处违约金</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00元/人•次（人民币）；未经发包人同意，专职安全员擅自离岗的，视为承包人违约，发包人有权处违约金</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00元/人•次（人民币）；其它在场管理人员擅自离岗的，视为承包人违约，发包人有权处违约金</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00元/人•次（人民币）</w:t>
      </w:r>
      <w:r>
        <w:rPr>
          <w:rFonts w:hint="eastAsia" w:ascii="宋体" w:hAnsi="宋体" w:cs="宋体"/>
          <w:color w:val="auto"/>
          <w:szCs w:val="21"/>
          <w:highlight w:val="none"/>
        </w:rPr>
        <w:t>。</w:t>
      </w:r>
    </w:p>
    <w:p w14:paraId="4F8FDC87">
      <w:pPr>
        <w:pStyle w:val="36"/>
        <w:spacing w:line="380" w:lineRule="exact"/>
        <w:ind w:firstLine="422" w:firstLineChars="200"/>
        <w:rPr>
          <w:rFonts w:ascii="宋体" w:cs="宋体"/>
          <w:color w:val="auto"/>
          <w:highlight w:val="none"/>
        </w:rPr>
      </w:pPr>
      <w:bookmarkStart w:id="857" w:name="_Toc256000190"/>
      <w:bookmarkStart w:id="858" w:name="_Toc373478357"/>
      <w:bookmarkStart w:id="859" w:name="_Toc373227710"/>
      <w:bookmarkStart w:id="860" w:name="_Toc403578944"/>
      <w:bookmarkStart w:id="861" w:name="_Toc418752252"/>
      <w:bookmarkStart w:id="862" w:name="_Toc389065276"/>
      <w:bookmarkStart w:id="863" w:name="_Toc522201740"/>
      <w:bookmarkStart w:id="864" w:name="_Toc418518120"/>
      <w:bookmarkStart w:id="865" w:name="_Toc24620"/>
      <w:bookmarkStart w:id="866" w:name="_Toc497746791"/>
      <w:bookmarkStart w:id="867" w:name="_Toc418751806"/>
      <w:bookmarkStart w:id="868" w:name="_Toc497747188"/>
      <w:bookmarkStart w:id="869" w:name="_Toc418518356"/>
      <w:bookmarkStart w:id="870" w:name="_Toc418061321"/>
      <w:r>
        <w:rPr>
          <w:rFonts w:hint="eastAsia" w:ascii="宋体" w:cs="宋体"/>
          <w:color w:val="auto"/>
          <w:highlight w:val="none"/>
        </w:rPr>
        <w:t>3</w:t>
      </w:r>
      <w:bookmarkStart w:id="871" w:name="_Toc297048345"/>
      <w:bookmarkStart w:id="872" w:name="_Toc296890987"/>
      <w:bookmarkStart w:id="873" w:name="_Toc303539102"/>
      <w:bookmarkStart w:id="874" w:name="_Toc292559364"/>
      <w:bookmarkStart w:id="875" w:name="_Toc297123492"/>
      <w:bookmarkStart w:id="876" w:name="_Toc312677988"/>
      <w:bookmarkStart w:id="877" w:name="_Toc296503159"/>
      <w:bookmarkStart w:id="878" w:name="_Toc292559869"/>
      <w:bookmarkStart w:id="879" w:name="_Toc296347158"/>
      <w:bookmarkStart w:id="880" w:name="_Toc296346660"/>
      <w:bookmarkStart w:id="881" w:name="_Toc296944498"/>
      <w:bookmarkStart w:id="882" w:name="_Toc304295523"/>
      <w:bookmarkStart w:id="883" w:name="_Toc297120459"/>
      <w:bookmarkStart w:id="884" w:name="_Toc297216151"/>
      <w:bookmarkStart w:id="885" w:name="_Toc296891199"/>
      <w:bookmarkStart w:id="886" w:name="_Toc300934945"/>
      <w:r>
        <w:rPr>
          <w:rFonts w:hint="eastAsia" w:ascii="宋体" w:cs="宋体"/>
          <w:color w:val="auto"/>
          <w:highlight w:val="none"/>
        </w:rPr>
        <w:t>.5 分包</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44D69F96">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887" w:name="_Toc304295524"/>
      <w:bookmarkStart w:id="888" w:name="_Toc297123493"/>
      <w:bookmarkStart w:id="889" w:name="_Toc318581158"/>
      <w:bookmarkStart w:id="890" w:name="_Toc296346661"/>
      <w:bookmarkStart w:id="891" w:name="_Toc297216152"/>
      <w:bookmarkStart w:id="892" w:name="_Toc296347159"/>
      <w:bookmarkStart w:id="893" w:name="_Toc292559870"/>
      <w:bookmarkStart w:id="894" w:name="_Toc297120460"/>
      <w:bookmarkStart w:id="895" w:name="_Toc300934946"/>
      <w:bookmarkStart w:id="896" w:name="_Toc303539103"/>
      <w:bookmarkStart w:id="897" w:name="_Toc312677989"/>
      <w:bookmarkStart w:id="898" w:name="_Toc297048346"/>
      <w:bookmarkStart w:id="899" w:name="_Toc296891200"/>
      <w:bookmarkStart w:id="900" w:name="_Toc296944499"/>
      <w:bookmarkStart w:id="901" w:name="_Toc296890988"/>
      <w:bookmarkStart w:id="902" w:name="_Toc292559365"/>
      <w:bookmarkStart w:id="903" w:name="_Toc296503160"/>
      <w:r>
        <w:rPr>
          <w:rFonts w:hint="eastAsia" w:ascii="宋体" w:hAnsi="宋体" w:cs="宋体"/>
          <w:color w:val="auto"/>
          <w:szCs w:val="21"/>
          <w:highlight w:val="none"/>
        </w:rPr>
        <w:t>.5.1 分包的一般约定</w:t>
      </w:r>
    </w:p>
    <w:p w14:paraId="78EAD9F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除劳务工程外 </w:t>
      </w:r>
      <w:r>
        <w:rPr>
          <w:rFonts w:hint="eastAsia" w:ascii="宋体" w:hAnsi="宋体" w:cs="宋体"/>
          <w:color w:val="auto"/>
          <w:szCs w:val="21"/>
          <w:highlight w:val="none"/>
        </w:rPr>
        <w:t>。</w:t>
      </w:r>
    </w:p>
    <w:p w14:paraId="422D2842">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禁止分包  </w:t>
      </w:r>
      <w:r>
        <w:rPr>
          <w:rFonts w:hint="eastAsia" w:ascii="宋体" w:hAnsi="宋体" w:cs="宋体"/>
          <w:color w:val="auto"/>
          <w:szCs w:val="21"/>
          <w:highlight w:val="none"/>
        </w:rPr>
        <w:t>。</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6F7EAF6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bookmarkStart w:id="904" w:name="_Toc312677990"/>
      <w:bookmarkStart w:id="905" w:name="_Toc318581159"/>
      <w:r>
        <w:rPr>
          <w:rFonts w:hint="eastAsia" w:ascii="宋体" w:hAnsi="宋体" w:cs="宋体"/>
          <w:color w:val="auto"/>
          <w:szCs w:val="21"/>
          <w:highlight w:val="none"/>
        </w:rPr>
        <w:t>.5.2 分包的确定</w:t>
      </w:r>
    </w:p>
    <w:p w14:paraId="01184ADE">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p w14:paraId="502776C5">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p>
    <w:p w14:paraId="40E08D1F">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7。</w:t>
      </w:r>
    </w:p>
    <w:p w14:paraId="4A83B9E8">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（2）在相关分包合同签订并报送有关建设行政主管部门备案后7天内，承包人应当将一份副本提交给监理人，承包人应保障分包工作不得再次分包。</w:t>
      </w:r>
    </w:p>
    <w:p w14:paraId="624FD49D">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（3）未经承包人和监理人审批同意的分包工程和分包人，承包人有权拒绝验收分包工程和支付相应款项，由此引起的发包人费用增加和(或)延误的工期由发包人承担。</w:t>
      </w:r>
    </w:p>
    <w:p w14:paraId="56C97372">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3.5.4 分包合同价款 </w:t>
      </w:r>
    </w:p>
    <w:p w14:paraId="5E3C8539">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bookmarkEnd w:id="904"/>
    <w:bookmarkEnd w:id="905"/>
    <w:p w14:paraId="25AF9B3B">
      <w:pPr>
        <w:pStyle w:val="36"/>
        <w:spacing w:line="380" w:lineRule="exact"/>
        <w:ind w:firstLine="422" w:firstLineChars="200"/>
        <w:rPr>
          <w:rFonts w:ascii="宋体" w:cs="宋体"/>
          <w:color w:val="auto"/>
          <w:highlight w:val="none"/>
        </w:rPr>
      </w:pPr>
      <w:bookmarkStart w:id="906" w:name="_Toc497746792"/>
      <w:bookmarkStart w:id="907" w:name="_Toc418518121"/>
      <w:bookmarkStart w:id="908" w:name="_Toc389065277"/>
      <w:bookmarkStart w:id="909" w:name="_Toc418518357"/>
      <w:bookmarkStart w:id="910" w:name="_Toc256000191"/>
      <w:bookmarkStart w:id="911" w:name="_Toc522201741"/>
      <w:bookmarkStart w:id="912" w:name="_Toc373478358"/>
      <w:bookmarkStart w:id="913" w:name="_Toc403578945"/>
      <w:bookmarkStart w:id="914" w:name="_Toc373227711"/>
      <w:bookmarkStart w:id="915" w:name="_Toc418061322"/>
      <w:bookmarkStart w:id="916" w:name="_Toc418751807"/>
      <w:bookmarkStart w:id="917" w:name="_Toc497747189"/>
      <w:bookmarkStart w:id="918" w:name="_Toc16618"/>
      <w:bookmarkStart w:id="919" w:name="_Toc418752253"/>
      <w:r>
        <w:rPr>
          <w:rFonts w:hint="eastAsia" w:ascii="宋体" w:cs="宋体"/>
          <w:color w:val="auto"/>
          <w:highlight w:val="none"/>
        </w:rPr>
        <w:t>3.6 工程照管与成品、半成品保护</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269B203B">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承包人负责照管工程及工程相关的材料、工程设备的起始时间：</w:t>
      </w:r>
      <w:r>
        <w:rPr>
          <w:rFonts w:hint="eastAsia" w:ascii="宋体" w:hAnsi="宋体" w:cs="宋体"/>
          <w:color w:val="auto"/>
          <w:szCs w:val="21"/>
          <w:highlight w:val="none"/>
          <w:u w:val="single"/>
        </w:rPr>
        <w:t>自发包人向承包人移交施工现场之日起，到颁发工程接收证书之日止</w:t>
      </w:r>
      <w:r>
        <w:rPr>
          <w:rFonts w:hint="eastAsia" w:ascii="宋体" w:hAnsi="宋体" w:cs="宋体"/>
          <w:color w:val="auto"/>
          <w:kern w:val="0"/>
          <w:szCs w:val="21"/>
          <w:highlight w:val="none"/>
        </w:rPr>
        <w:t>。</w:t>
      </w:r>
    </w:p>
    <w:p w14:paraId="5D86B681">
      <w:pPr>
        <w:pStyle w:val="41"/>
        <w:spacing w:line="380" w:lineRule="exact"/>
        <w:rPr>
          <w:rFonts w:ascii="宋体" w:hAnsi="宋体" w:cs="宋体"/>
          <w:color w:val="auto"/>
          <w:highlight w:val="none"/>
        </w:rPr>
      </w:pPr>
      <w:r>
        <w:rPr>
          <w:rFonts w:hint="eastAsia" w:ascii="宋体" w:hAnsi="宋体" w:cs="宋体"/>
          <w:color w:val="auto"/>
          <w:highlight w:val="none"/>
        </w:rPr>
        <w:t>承包人负责照管工程及工程相关的材料、工程设备的范围：</w:t>
      </w:r>
      <w:r>
        <w:rPr>
          <w:rFonts w:hint="eastAsia" w:ascii="宋体" w:hAnsi="宋体" w:cs="宋体"/>
          <w:color w:val="auto"/>
          <w:highlight w:val="none"/>
          <w:u w:val="single"/>
        </w:rPr>
        <w:t>除承包人自身承包范围内的材料、工程设备外，也有义务照管与本项目相关的由发包人另行发包的其他专业工程设备。并有义务避免因自身的原因造成对其他承包人的成品、半成品的损坏、污染</w:t>
      </w:r>
      <w:r>
        <w:rPr>
          <w:rFonts w:hint="eastAsia" w:ascii="宋体" w:hAnsi="宋体" w:cs="宋体"/>
          <w:color w:val="auto"/>
          <w:highlight w:val="none"/>
        </w:rPr>
        <w:t>。</w:t>
      </w:r>
    </w:p>
    <w:p w14:paraId="536B27B7">
      <w:pPr>
        <w:pStyle w:val="36"/>
        <w:spacing w:line="380" w:lineRule="exact"/>
        <w:ind w:firstLine="422" w:firstLineChars="200"/>
        <w:rPr>
          <w:rFonts w:ascii="宋体" w:cs="宋体"/>
          <w:color w:val="auto"/>
          <w:highlight w:val="none"/>
        </w:rPr>
      </w:pPr>
      <w:bookmarkStart w:id="920" w:name="_Toc403578946"/>
      <w:bookmarkStart w:id="921" w:name="_Toc373227712"/>
      <w:bookmarkStart w:id="922" w:name="_Toc418518358"/>
      <w:bookmarkStart w:id="923" w:name="_Toc497746793"/>
      <w:bookmarkStart w:id="924" w:name="_Toc522201742"/>
      <w:bookmarkStart w:id="925" w:name="_Toc418518122"/>
      <w:bookmarkStart w:id="926" w:name="_Toc389065278"/>
      <w:bookmarkStart w:id="927" w:name="_Toc418751808"/>
      <w:bookmarkStart w:id="928" w:name="_Toc373478359"/>
      <w:bookmarkStart w:id="929" w:name="_Toc418061323"/>
      <w:bookmarkStart w:id="930" w:name="_Toc418752254"/>
      <w:bookmarkStart w:id="931" w:name="_Toc497747190"/>
      <w:bookmarkStart w:id="932" w:name="_Toc256000192"/>
      <w:bookmarkStart w:id="933" w:name="_Toc26561"/>
      <w:r>
        <w:rPr>
          <w:rFonts w:hint="eastAsia" w:ascii="宋体" w:cs="宋体"/>
          <w:color w:val="auto"/>
          <w:highlight w:val="none"/>
        </w:rPr>
        <w:t>3.7 履约</w:t>
      </w:r>
      <w:bookmarkEnd w:id="920"/>
      <w:bookmarkEnd w:id="921"/>
      <w:bookmarkEnd w:id="922"/>
      <w:bookmarkEnd w:id="923"/>
      <w:bookmarkEnd w:id="924"/>
      <w:bookmarkEnd w:id="925"/>
      <w:bookmarkEnd w:id="926"/>
      <w:bookmarkEnd w:id="927"/>
      <w:bookmarkEnd w:id="928"/>
      <w:bookmarkEnd w:id="929"/>
      <w:bookmarkEnd w:id="930"/>
      <w:bookmarkEnd w:id="931"/>
      <w:r>
        <w:rPr>
          <w:rFonts w:hint="eastAsia" w:ascii="宋体" w:cs="宋体"/>
          <w:color w:val="auto"/>
          <w:highlight w:val="none"/>
        </w:rPr>
        <w:t>担保</w:t>
      </w:r>
      <w:bookmarkEnd w:id="932"/>
      <w:bookmarkEnd w:id="933"/>
    </w:p>
    <w:p w14:paraId="47BF9E12">
      <w:pPr>
        <w:pStyle w:val="41"/>
        <w:spacing w:line="380" w:lineRule="exact"/>
        <w:rPr>
          <w:rFonts w:ascii="宋体" w:hAnsi="宋体" w:cs="宋体"/>
          <w:color w:val="auto"/>
          <w:highlight w:val="none"/>
        </w:rPr>
      </w:pPr>
      <w:bookmarkStart w:id="934" w:name="_Toc418518123"/>
      <w:bookmarkStart w:id="935" w:name="_Toc418752255"/>
      <w:bookmarkStart w:id="936" w:name="_Toc373227713"/>
      <w:bookmarkStart w:id="937" w:name="_Toc418518359"/>
      <w:bookmarkStart w:id="938" w:name="_Toc403578947"/>
      <w:bookmarkStart w:id="939" w:name="_Toc373478360"/>
      <w:bookmarkStart w:id="940" w:name="_Toc418751809"/>
      <w:bookmarkStart w:id="941" w:name="_Toc389065279"/>
      <w:bookmarkStart w:id="942" w:name="_Toc351203636"/>
      <w:bookmarkStart w:id="943" w:name="_Toc418061324"/>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否</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43953C8">
      <w:pPr>
        <w:pStyle w:val="21"/>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承包人提供履约担保的形式、金额及期限的：</w:t>
      </w:r>
      <w:r>
        <w:rPr>
          <w:rFonts w:hint="eastAsia" w:ascii="宋体" w:hAnsi="宋体" w:cs="宋体"/>
          <w:color w:val="auto"/>
          <w:kern w:val="0"/>
          <w:szCs w:val="21"/>
          <w:highlight w:val="none"/>
          <w:lang w:val="en-US" w:eastAsia="zh-CN"/>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w:t>
      </w:r>
    </w:p>
    <w:p w14:paraId="489A70F1">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工程竣工验收合格并对验收发现的问题完成整改后的7个日历天内，</w:t>
      </w:r>
      <w:r>
        <w:rPr>
          <w:rFonts w:hint="eastAsia" w:ascii="宋体" w:hAnsi="宋体" w:cs="宋体"/>
          <w:color w:val="auto"/>
          <w:szCs w:val="21"/>
          <w:highlight w:val="none"/>
        </w:rPr>
        <w:t>承包人可向发包人申请退还履约保证金。发包人应在收到申请之日起28个日历天内</w:t>
      </w:r>
      <w:r>
        <w:rPr>
          <w:rFonts w:hint="eastAsia" w:ascii="宋体" w:hAnsi="宋体" w:cs="宋体"/>
          <w:color w:val="auto"/>
          <w:kern w:val="0"/>
          <w:szCs w:val="21"/>
          <w:highlight w:val="none"/>
        </w:rPr>
        <w:t>扣减承包人赔偿金和其他应从承包人扣回的款项后，</w:t>
      </w:r>
      <w:r>
        <w:rPr>
          <w:rFonts w:hint="eastAsia" w:ascii="宋体" w:hAnsi="宋体" w:cs="宋体"/>
          <w:color w:val="auto"/>
          <w:szCs w:val="21"/>
          <w:highlight w:val="none"/>
        </w:rPr>
        <w:t>将履约保证金退还给承包人（无息）。</w:t>
      </w:r>
    </w:p>
    <w:p w14:paraId="56D0CDDD">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签订合同前承包人必须按市财建（2018）73号文规定将农民工工资保障金存入帐户。工程竣工验收结算经审定后，按照规定程序，将农民工工资保障金没有使用或剩余的金额退还给承包人。</w:t>
      </w:r>
    </w:p>
    <w:p w14:paraId="007ADA14">
      <w:pPr>
        <w:pStyle w:val="36"/>
        <w:spacing w:line="380" w:lineRule="exact"/>
        <w:rPr>
          <w:rFonts w:ascii="宋体" w:cs="宋体"/>
          <w:color w:val="auto"/>
          <w:highlight w:val="none"/>
        </w:rPr>
      </w:pPr>
      <w:bookmarkStart w:id="944" w:name="_Toc522201743"/>
      <w:bookmarkStart w:id="945" w:name="_Toc497747191"/>
      <w:bookmarkStart w:id="946" w:name="_Toc497746794"/>
      <w:bookmarkStart w:id="947" w:name="_Toc256000193"/>
      <w:bookmarkStart w:id="948" w:name="_Toc17209"/>
      <w:r>
        <w:rPr>
          <w:rFonts w:hint="eastAsia" w:ascii="宋体" w:cs="宋体"/>
          <w:color w:val="auto"/>
          <w:highlight w:val="none"/>
        </w:rPr>
        <w:t>4</w:t>
      </w:r>
      <w:bookmarkStart w:id="949" w:name="_Toc267251413"/>
      <w:bookmarkStart w:id="950" w:name="_Toc296944501"/>
      <w:bookmarkStart w:id="951" w:name="_Toc296503162"/>
      <w:bookmarkStart w:id="952" w:name="_Toc296346663"/>
      <w:bookmarkStart w:id="953" w:name="_Toc297120462"/>
      <w:bookmarkStart w:id="954" w:name="_Toc297048348"/>
      <w:bookmarkStart w:id="955" w:name="_Toc296891202"/>
      <w:bookmarkStart w:id="956" w:name="_Toc292559366"/>
      <w:bookmarkStart w:id="957" w:name="_Toc296347161"/>
      <w:bookmarkStart w:id="958" w:name="_Toc292559871"/>
      <w:bookmarkStart w:id="959" w:name="_Toc296890990"/>
      <w:r>
        <w:rPr>
          <w:rFonts w:hint="eastAsia" w:ascii="宋体" w:cs="宋体"/>
          <w:color w:val="auto"/>
          <w:highlight w:val="none"/>
        </w:rPr>
        <w:t>. 监</w:t>
      </w:r>
      <w:bookmarkEnd w:id="949"/>
      <w:bookmarkEnd w:id="950"/>
      <w:bookmarkEnd w:id="951"/>
      <w:bookmarkEnd w:id="952"/>
      <w:bookmarkEnd w:id="953"/>
      <w:bookmarkEnd w:id="954"/>
      <w:bookmarkEnd w:id="955"/>
      <w:bookmarkEnd w:id="956"/>
      <w:bookmarkEnd w:id="957"/>
      <w:bookmarkEnd w:id="958"/>
      <w:bookmarkEnd w:id="959"/>
      <w:r>
        <w:rPr>
          <w:rFonts w:hint="eastAsia" w:ascii="宋体" w:cs="宋体"/>
          <w:color w:val="auto"/>
          <w:highlight w:val="none"/>
        </w:rPr>
        <w:t>理人</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4C2D7659">
      <w:pPr>
        <w:pStyle w:val="36"/>
        <w:spacing w:line="380" w:lineRule="exact"/>
        <w:ind w:firstLine="422" w:firstLineChars="200"/>
        <w:rPr>
          <w:rFonts w:ascii="宋体" w:cs="宋体"/>
          <w:color w:val="auto"/>
          <w:highlight w:val="none"/>
        </w:rPr>
      </w:pPr>
      <w:bookmarkStart w:id="960" w:name="_Toc418751810"/>
      <w:bookmarkStart w:id="961" w:name="_Toc389065280"/>
      <w:bookmarkStart w:id="962" w:name="_Toc418518360"/>
      <w:bookmarkStart w:id="963" w:name="_Toc373478361"/>
      <w:bookmarkStart w:id="964" w:name="_Toc497747192"/>
      <w:bookmarkStart w:id="965" w:name="_Toc32585"/>
      <w:bookmarkStart w:id="966" w:name="_Toc373227714"/>
      <w:bookmarkStart w:id="967" w:name="_Toc522201744"/>
      <w:bookmarkStart w:id="968" w:name="_Toc256000194"/>
      <w:bookmarkStart w:id="969" w:name="_Toc418518124"/>
      <w:bookmarkStart w:id="970" w:name="_Toc403578948"/>
      <w:bookmarkStart w:id="971" w:name="_Toc418752256"/>
      <w:bookmarkStart w:id="972" w:name="_Toc497746795"/>
      <w:bookmarkStart w:id="973" w:name="_Toc418061325"/>
      <w:r>
        <w:rPr>
          <w:rFonts w:hint="eastAsia" w:ascii="宋体" w:cs="宋体"/>
          <w:color w:val="auto"/>
          <w:highlight w:val="none"/>
        </w:rPr>
        <w:t>4.1 监理人的一般规定</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1D6EA0F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检查施工承包人工程质量，安全生产管理制度及组织机构人员资格；审查施工承包人员提交的施工进度计划及工程施工范围内所有内容。</w:t>
      </w:r>
    </w:p>
    <w:p w14:paraId="77ED1C9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代表发包人对工程施工相关事项进行检查、查验、审核、验收，并签发相关指示，但监理人无权修改合同，且无权减轻或免除合同约定的承包人的任何责任与义务: 1、在发出施工进度计划和施工方案说明以及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5、工程内容和材料变更确认应得到发包人的书面批准。不管通用合同条款如何约定，监理人履行须经发包人批准行使的权利时，应当向承包人出示其行使该权利已经取得发包人批准的文件或者其他合法有效的证明 。</w:t>
      </w:r>
      <w:r>
        <w:rPr>
          <w:rFonts w:hint="eastAsia" w:ascii="宋体" w:hAnsi="宋体" w:cs="宋体"/>
          <w:color w:val="auto"/>
          <w:szCs w:val="21"/>
          <w:highlight w:val="none"/>
        </w:rPr>
        <w:t xml:space="preserve">  </w:t>
      </w:r>
    </w:p>
    <w:p w14:paraId="4D3E3DD2">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由承包人为发包人、监理单位免费提供三间办公室</w:t>
      </w:r>
      <w:r>
        <w:rPr>
          <w:rFonts w:hint="eastAsia" w:ascii="宋体" w:hAnsi="宋体"/>
          <w:color w:val="auto"/>
          <w:szCs w:val="21"/>
          <w:highlight w:val="none"/>
          <w:u w:val="single"/>
        </w:rPr>
        <w:t>并承担相关费用</w:t>
      </w:r>
      <w:r>
        <w:rPr>
          <w:rFonts w:hint="eastAsia" w:ascii="宋体" w:hAnsi="宋体" w:cs="宋体"/>
          <w:color w:val="auto"/>
          <w:szCs w:val="21"/>
          <w:highlight w:val="none"/>
        </w:rPr>
        <w:t>。</w:t>
      </w:r>
    </w:p>
    <w:p w14:paraId="07414444">
      <w:pPr>
        <w:pStyle w:val="36"/>
        <w:spacing w:line="380" w:lineRule="exact"/>
        <w:ind w:firstLine="422" w:firstLineChars="200"/>
        <w:rPr>
          <w:rFonts w:ascii="宋体" w:cs="宋体"/>
          <w:color w:val="auto"/>
          <w:highlight w:val="none"/>
        </w:rPr>
      </w:pPr>
      <w:bookmarkStart w:id="974" w:name="_Toc497746796"/>
      <w:bookmarkStart w:id="975" w:name="_Toc522201745"/>
      <w:bookmarkStart w:id="976" w:name="_Toc418061326"/>
      <w:bookmarkStart w:id="977" w:name="_Toc373227715"/>
      <w:bookmarkStart w:id="978" w:name="_Toc25694"/>
      <w:bookmarkStart w:id="979" w:name="_Toc373478362"/>
      <w:bookmarkStart w:id="980" w:name="_Toc389065281"/>
      <w:bookmarkStart w:id="981" w:name="_Toc418751811"/>
      <w:bookmarkStart w:id="982" w:name="_Toc256000195"/>
      <w:bookmarkStart w:id="983" w:name="_Toc418518125"/>
      <w:bookmarkStart w:id="984" w:name="_Toc497747193"/>
      <w:bookmarkStart w:id="985" w:name="_Toc418518361"/>
      <w:bookmarkStart w:id="986" w:name="_Toc418752257"/>
      <w:bookmarkStart w:id="987" w:name="_Toc403578949"/>
      <w:r>
        <w:rPr>
          <w:rFonts w:hint="eastAsia" w:ascii="宋体" w:cs="宋体"/>
          <w:color w:val="auto"/>
          <w:highlight w:val="none"/>
        </w:rPr>
        <w:t>4.2 监理人员</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3694E93C">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109C0279">
      <w:pPr>
        <w:pStyle w:val="21"/>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1F5060ED">
      <w:pPr>
        <w:pStyle w:val="21"/>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DFB5E03">
      <w:pPr>
        <w:pStyle w:val="21"/>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C7BBD4">
      <w:pPr>
        <w:pStyle w:val="21"/>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2BFE527C">
      <w:pPr>
        <w:pStyle w:val="21"/>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1CFF83B9">
      <w:pPr>
        <w:pStyle w:val="21"/>
        <w:spacing w:line="380" w:lineRule="exact"/>
        <w:ind w:firstLine="420" w:firstLineChars="200"/>
        <w:rPr>
          <w:rFonts w:hint="eastAsia" w:ascii="宋体" w:hAnsi="宋体" w:cs="宋体"/>
          <w:color w:val="auto"/>
          <w:szCs w:val="21"/>
          <w:highlight w:val="none"/>
          <w:u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5C13E9F5">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见监理合同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748956E2">
      <w:pPr>
        <w:pStyle w:val="36"/>
        <w:spacing w:line="380" w:lineRule="exact"/>
        <w:ind w:firstLine="422" w:firstLineChars="200"/>
        <w:rPr>
          <w:rFonts w:ascii="宋体" w:cs="宋体"/>
          <w:color w:val="auto"/>
          <w:highlight w:val="none"/>
        </w:rPr>
      </w:pPr>
      <w:bookmarkStart w:id="988" w:name="_Toc418518362"/>
      <w:bookmarkStart w:id="989" w:name="_Toc256000196"/>
      <w:bookmarkStart w:id="990" w:name="_Toc418518126"/>
      <w:bookmarkStart w:id="991" w:name="_Toc522201746"/>
      <w:bookmarkStart w:id="992" w:name="_Toc418752258"/>
      <w:bookmarkStart w:id="993" w:name="_Toc497747194"/>
      <w:bookmarkStart w:id="994" w:name="_Toc403578950"/>
      <w:bookmarkStart w:id="995" w:name="_Toc6980"/>
      <w:bookmarkStart w:id="996" w:name="_Toc418061327"/>
      <w:bookmarkStart w:id="997" w:name="_Toc418751812"/>
      <w:bookmarkStart w:id="998" w:name="_Toc373478363"/>
      <w:bookmarkStart w:id="999" w:name="_Toc389065282"/>
      <w:bookmarkStart w:id="1000" w:name="_Toc497746797"/>
      <w:bookmarkStart w:id="1001" w:name="_Toc373227716"/>
      <w:r>
        <w:rPr>
          <w:rFonts w:hint="eastAsia" w:ascii="宋体" w:cs="宋体"/>
          <w:color w:val="auto"/>
          <w:highlight w:val="none"/>
        </w:rPr>
        <w:t>4.4 商定或确定</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4E4C0CDC">
      <w:pPr>
        <w:pStyle w:val="21"/>
        <w:spacing w:line="380" w:lineRule="exact"/>
        <w:ind w:firstLine="420" w:firstLineChars="200"/>
        <w:rPr>
          <w:rFonts w:ascii="宋体" w:hAnsi="宋体" w:cs="宋体"/>
          <w:color w:val="auto"/>
          <w:szCs w:val="21"/>
          <w:highlight w:val="none"/>
        </w:rPr>
      </w:pPr>
      <w:bookmarkStart w:id="1002" w:name="_Toc267251418"/>
      <w:r>
        <w:rPr>
          <w:rFonts w:hint="eastAsia" w:ascii="宋体" w:hAnsi="宋体" w:cs="宋体"/>
          <w:color w:val="auto"/>
          <w:szCs w:val="21"/>
          <w:highlight w:val="none"/>
        </w:rPr>
        <w:t>在发包人和承包人不能通过协商达成一致意见时，发包人授权监理人对以下事项进行确定：</w:t>
      </w:r>
      <w:r>
        <w:rPr>
          <w:rFonts w:hint="eastAsia" w:ascii="宋体" w:hAnsi="宋体" w:cs="宋体"/>
          <w:color w:val="auto"/>
          <w:kern w:val="0"/>
          <w:szCs w:val="21"/>
          <w:highlight w:val="none"/>
          <w:u w:val="single"/>
        </w:rPr>
        <w:t>无</w:t>
      </w:r>
      <w:r>
        <w:rPr>
          <w:rFonts w:hint="eastAsia" w:ascii="宋体" w:hAnsi="宋体" w:cs="宋体"/>
          <w:color w:val="auto"/>
          <w:szCs w:val="21"/>
          <w:highlight w:val="none"/>
        </w:rPr>
        <w:t>；</w:t>
      </w:r>
    </w:p>
    <w:p w14:paraId="2A598331">
      <w:pPr>
        <w:pStyle w:val="36"/>
        <w:spacing w:line="380" w:lineRule="exact"/>
        <w:rPr>
          <w:rFonts w:ascii="宋体" w:cs="宋体"/>
          <w:color w:val="auto"/>
          <w:highlight w:val="none"/>
        </w:rPr>
      </w:pPr>
      <w:bookmarkStart w:id="1003" w:name="_Toc403578951"/>
      <w:bookmarkStart w:id="1004" w:name="_Toc418518363"/>
      <w:bookmarkStart w:id="1005" w:name="_Toc351203637"/>
      <w:bookmarkStart w:id="1006" w:name="_Toc256000197"/>
      <w:bookmarkStart w:id="1007" w:name="_Toc418518127"/>
      <w:bookmarkStart w:id="1008" w:name="_Toc418751813"/>
      <w:bookmarkStart w:id="1009" w:name="_Toc497746798"/>
      <w:bookmarkStart w:id="1010" w:name="_Toc28243"/>
      <w:bookmarkStart w:id="1011" w:name="_Toc418752259"/>
      <w:bookmarkStart w:id="1012" w:name="_Toc522201747"/>
      <w:bookmarkStart w:id="1013" w:name="_Toc373227717"/>
      <w:bookmarkStart w:id="1014" w:name="_Toc389065283"/>
      <w:bookmarkStart w:id="1015" w:name="_Toc418061328"/>
      <w:bookmarkStart w:id="1016" w:name="_Toc373478364"/>
      <w:bookmarkStart w:id="1017" w:name="_Toc497747195"/>
      <w:r>
        <w:rPr>
          <w:rFonts w:hint="eastAsia" w:ascii="宋体" w:cs="宋体"/>
          <w:color w:val="auto"/>
          <w:highlight w:val="none"/>
        </w:rPr>
        <w:t>5</w:t>
      </w:r>
      <w:bookmarkEnd w:id="1002"/>
      <w:bookmarkStart w:id="1018" w:name="_Toc296944502"/>
      <w:bookmarkStart w:id="1019" w:name="_Toc296347162"/>
      <w:bookmarkStart w:id="1020" w:name="_Toc297048349"/>
      <w:bookmarkStart w:id="1021" w:name="_Toc296503163"/>
      <w:bookmarkStart w:id="1022" w:name="_Toc297120463"/>
      <w:bookmarkStart w:id="1023" w:name="_Toc292559367"/>
      <w:bookmarkStart w:id="1024" w:name="_Toc292559872"/>
      <w:bookmarkStart w:id="1025" w:name="_Toc296346664"/>
      <w:bookmarkStart w:id="1026" w:name="_Toc296891203"/>
      <w:bookmarkStart w:id="1027" w:name="_Toc296890991"/>
      <w:r>
        <w:rPr>
          <w:rFonts w:hint="eastAsia" w:ascii="宋体" w:cs="宋体"/>
          <w:color w:val="auto"/>
          <w:highlight w:val="none"/>
        </w:rPr>
        <w:t>. 工程质量</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7DF2740B">
      <w:pPr>
        <w:pStyle w:val="36"/>
        <w:spacing w:line="380" w:lineRule="exact"/>
        <w:ind w:firstLine="422" w:firstLineChars="200"/>
        <w:rPr>
          <w:rFonts w:ascii="宋体" w:cs="宋体"/>
          <w:color w:val="auto"/>
          <w:highlight w:val="none"/>
        </w:rPr>
      </w:pPr>
      <w:bookmarkStart w:id="1028" w:name="_Toc497746799"/>
      <w:bookmarkStart w:id="1029" w:name="_Toc418061329"/>
      <w:bookmarkStart w:id="1030" w:name="_Toc522201748"/>
      <w:bookmarkStart w:id="1031" w:name="_Toc418518128"/>
      <w:bookmarkStart w:id="1032" w:name="_Toc418518364"/>
      <w:bookmarkStart w:id="1033" w:name="_Toc389065284"/>
      <w:bookmarkStart w:id="1034" w:name="_Toc418752260"/>
      <w:bookmarkStart w:id="1035" w:name="_Toc373478365"/>
      <w:bookmarkStart w:id="1036" w:name="_Toc418751814"/>
      <w:bookmarkStart w:id="1037" w:name="_Toc403578952"/>
      <w:bookmarkStart w:id="1038" w:name="_Toc497747196"/>
      <w:bookmarkStart w:id="1039" w:name="_Toc373227718"/>
      <w:bookmarkStart w:id="1040" w:name="_Toc256000198"/>
      <w:bookmarkStart w:id="1041" w:name="_Toc20307"/>
      <w:r>
        <w:rPr>
          <w:rFonts w:hint="eastAsia" w:ascii="宋体" w:cs="宋体"/>
          <w:color w:val="auto"/>
          <w:highlight w:val="none"/>
        </w:rPr>
        <w:t>5.1 质量要求</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6025839E">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5</w:t>
      </w:r>
      <w:bookmarkStart w:id="1042" w:name="_Toc297123496"/>
      <w:bookmarkStart w:id="1043" w:name="_Toc318581164"/>
      <w:bookmarkStart w:id="1044" w:name="_Toc303539106"/>
      <w:bookmarkStart w:id="1045" w:name="_Toc312677997"/>
      <w:bookmarkStart w:id="1046" w:name="_Toc304295527"/>
      <w:bookmarkStart w:id="1047" w:name="_Toc297216155"/>
      <w:bookmarkStart w:id="1048" w:name="_Toc300934949"/>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工程质量达到国家验收合格标准 </w:t>
      </w:r>
      <w:r>
        <w:rPr>
          <w:rFonts w:hint="eastAsia" w:ascii="宋体" w:hAnsi="宋体" w:cs="宋体"/>
          <w:color w:val="auto"/>
          <w:szCs w:val="21"/>
          <w:highlight w:val="none"/>
        </w:rPr>
        <w:t>。</w:t>
      </w:r>
    </w:p>
    <w:p w14:paraId="68F84C5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0F1ECB9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 隐蔽工程检查</w:t>
      </w:r>
    </w:p>
    <w:p w14:paraId="546834AE">
      <w:pPr>
        <w:pStyle w:val="21"/>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kern w:val="0"/>
          <w:szCs w:val="21"/>
          <w:highlight w:val="none"/>
          <w:u w:val="single"/>
        </w:rPr>
        <w:t>任何部位的隐蔽工程需要覆盖或隐蔽前，承包人均应提前 48 小时通知发包人、监理工程师和质量监督站进行中间验收并拍照，没有发包人、监理工程师和质量监督站的批准，均不得隐蔽或验收。对相关单位所提出涉及工程质量、安全管理等存在问题时，必须进行整改，承包人应在监理人及相关人员指示的时间内修正返工后，由监理人及相关人员重新检查。否则发包人按规定有权进行经济处罚</w:t>
      </w:r>
      <w:r>
        <w:rPr>
          <w:rFonts w:hint="eastAsia" w:ascii="宋体" w:hAnsi="宋体" w:cs="宋体"/>
          <w:bCs/>
          <w:color w:val="auto"/>
          <w:szCs w:val="21"/>
          <w:highlight w:val="none"/>
          <w:u w:val="single"/>
        </w:rPr>
        <w:t>。</w:t>
      </w:r>
    </w:p>
    <w:p w14:paraId="3298C73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1C27A68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48D0BBF3">
      <w:pPr>
        <w:pStyle w:val="36"/>
        <w:spacing w:line="380" w:lineRule="exact"/>
        <w:rPr>
          <w:rFonts w:ascii="宋体" w:cs="宋体"/>
          <w:color w:val="auto"/>
          <w:highlight w:val="none"/>
        </w:rPr>
      </w:pPr>
      <w:bookmarkStart w:id="1049" w:name="_Toc389065285"/>
      <w:bookmarkStart w:id="1050" w:name="_Toc418752261"/>
      <w:bookmarkStart w:id="1051" w:name="_Toc403578953"/>
      <w:bookmarkStart w:id="1052" w:name="_Toc418518129"/>
      <w:bookmarkStart w:id="1053" w:name="_Toc351203638"/>
      <w:bookmarkStart w:id="1054" w:name="_Toc418061330"/>
      <w:bookmarkStart w:id="1055" w:name="_Toc522201749"/>
      <w:bookmarkStart w:id="1056" w:name="_Toc256000199"/>
      <w:bookmarkStart w:id="1057" w:name="_Toc373227719"/>
      <w:bookmarkStart w:id="1058" w:name="_Toc6529"/>
      <w:bookmarkStart w:id="1059" w:name="_Toc373478366"/>
      <w:bookmarkStart w:id="1060" w:name="_Toc418751815"/>
      <w:bookmarkStart w:id="1061" w:name="_Toc497746800"/>
      <w:bookmarkStart w:id="1062" w:name="_Toc418518365"/>
      <w:bookmarkStart w:id="1063" w:name="_Toc497747197"/>
      <w:r>
        <w:rPr>
          <w:rFonts w:hint="eastAsia" w:ascii="宋体" w:cs="宋体"/>
          <w:color w:val="auto"/>
          <w:highlight w:val="none"/>
        </w:rPr>
        <w:t>6. 安全文明施工与环境保护</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159FC9D8">
      <w:pPr>
        <w:pStyle w:val="36"/>
        <w:spacing w:line="380" w:lineRule="exact"/>
        <w:ind w:firstLine="422" w:firstLineChars="200"/>
        <w:rPr>
          <w:rFonts w:ascii="宋体" w:cs="宋体"/>
          <w:color w:val="auto"/>
          <w:highlight w:val="none"/>
        </w:rPr>
      </w:pPr>
      <w:bookmarkStart w:id="1064" w:name="_Toc373227720"/>
      <w:bookmarkStart w:id="1065" w:name="_Toc418752262"/>
      <w:bookmarkStart w:id="1066" w:name="_Toc403578954"/>
      <w:bookmarkStart w:id="1067" w:name="_Toc418751816"/>
      <w:bookmarkStart w:id="1068" w:name="_Toc497746801"/>
      <w:bookmarkStart w:id="1069" w:name="_Toc522201750"/>
      <w:bookmarkStart w:id="1070" w:name="_Toc389065286"/>
      <w:bookmarkStart w:id="1071" w:name="_Toc373478367"/>
      <w:bookmarkStart w:id="1072" w:name="_Toc16475"/>
      <w:bookmarkStart w:id="1073" w:name="_Toc497747198"/>
      <w:bookmarkStart w:id="1074" w:name="_Toc256000200"/>
      <w:bookmarkStart w:id="1075" w:name="_Toc418518130"/>
      <w:bookmarkStart w:id="1076" w:name="_Toc418518366"/>
      <w:bookmarkStart w:id="1077" w:name="_Toc418061331"/>
      <w:r>
        <w:rPr>
          <w:rFonts w:hint="eastAsia" w:ascii="宋体" w:cs="宋体"/>
          <w:color w:val="auto"/>
          <w:highlight w:val="none"/>
        </w:rPr>
        <w:t>6.1 安全文明施工</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0DDDF1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按照国家及地方安全文明施工的有关规定执行 </w:t>
      </w:r>
      <w:r>
        <w:rPr>
          <w:rFonts w:hint="eastAsia" w:ascii="宋体" w:hAnsi="宋体" w:cs="宋体"/>
          <w:color w:val="auto"/>
          <w:szCs w:val="21"/>
          <w:highlight w:val="none"/>
        </w:rPr>
        <w:t>。</w:t>
      </w:r>
    </w:p>
    <w:p w14:paraId="45DD158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关于安全文明施工奖项的约定：</w:t>
      </w:r>
      <w:r>
        <w:rPr>
          <w:rFonts w:hint="eastAsia" w:ascii="宋体" w:hAnsi="宋体" w:cs="宋体"/>
          <w:color w:val="auto"/>
          <w:szCs w:val="21"/>
          <w:highlight w:val="none"/>
          <w:u w:val="single"/>
        </w:rPr>
        <w:t xml:space="preserve">  承包人应当负责统一管理施工场地的治安保卫事项，履行合同工程的治安保卫职责  </w:t>
      </w:r>
      <w:r>
        <w:rPr>
          <w:rFonts w:hint="eastAsia" w:ascii="宋体" w:hAnsi="宋体" w:cs="宋体"/>
          <w:color w:val="auto"/>
          <w:szCs w:val="21"/>
          <w:highlight w:val="none"/>
        </w:rPr>
        <w:t>。</w:t>
      </w:r>
    </w:p>
    <w:p w14:paraId="0A79BB98">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r>
        <w:rPr>
          <w:rFonts w:hint="eastAsia" w:ascii="宋体" w:hAnsi="宋体" w:cs="宋体"/>
          <w:color w:val="auto"/>
          <w:szCs w:val="21"/>
          <w:highlight w:val="none"/>
        </w:rPr>
        <w:t>。</w:t>
      </w:r>
    </w:p>
    <w:p w14:paraId="6B70A686">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开工前7天内承包人编制施工场地治安管理计划和突发治安事件紧急预案</w:t>
      </w:r>
      <w:r>
        <w:rPr>
          <w:rFonts w:hint="eastAsia" w:ascii="宋体" w:hAnsi="宋体" w:cs="宋体"/>
          <w:color w:val="auto"/>
          <w:szCs w:val="21"/>
          <w:highlight w:val="none"/>
        </w:rPr>
        <w:t>。</w:t>
      </w:r>
    </w:p>
    <w:p w14:paraId="0D11827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6C45E13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41E028C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kern w:val="0"/>
          <w:highlight w:val="none"/>
          <w:u w:val="single"/>
        </w:rPr>
        <w:t>专款专用</w:t>
      </w:r>
      <w:r>
        <w:rPr>
          <w:rFonts w:hint="eastAsia" w:ascii="宋体" w:hAnsi="宋体" w:cs="宋体"/>
          <w:color w:val="auto"/>
          <w:kern w:val="0"/>
          <w:highlight w:val="none"/>
        </w:rPr>
        <w:t>。具体按《</w:t>
      </w:r>
      <w:r>
        <w:rPr>
          <w:rFonts w:hint="eastAsia" w:ascii="方正仿宋_GB2312" w:hAnsi="方正仿宋_GB2312" w:eastAsia="方正仿宋_GB2312" w:cs="方正仿宋_GB2312"/>
          <w:color w:val="auto"/>
          <w:kern w:val="0"/>
          <w:sz w:val="24"/>
          <w:szCs w:val="24"/>
          <w:highlight w:val="none"/>
          <w:u w:val="single"/>
        </w:rPr>
        <w:t>广西壮族自治区建设工程安全文明施工费使用管理细则》（桂建质〔2015〕16号）</w:t>
      </w:r>
      <w:r>
        <w:rPr>
          <w:rFonts w:hint="eastAsia" w:ascii="方正仿宋_GB2312" w:hAnsi="方正仿宋_GB2312" w:eastAsia="方正仿宋_GB2312" w:cs="方正仿宋_GB2312"/>
          <w:color w:val="auto"/>
          <w:kern w:val="0"/>
          <w:sz w:val="24"/>
          <w:szCs w:val="24"/>
          <w:highlight w:val="none"/>
        </w:rPr>
        <w:t>和</w:t>
      </w:r>
      <w:r>
        <w:rPr>
          <w:rFonts w:hint="eastAsia" w:ascii="方正仿宋_GB2312" w:hAnsi="方正仿宋_GB2312" w:eastAsia="方正仿宋_GB2312" w:cs="方正仿宋_GB2312"/>
          <w:color w:val="auto"/>
          <w:kern w:val="0"/>
          <w:sz w:val="24"/>
          <w:szCs w:val="24"/>
          <w:highlight w:val="none"/>
          <w:u w:val="single"/>
        </w:rPr>
        <w:t>贵港</w:t>
      </w:r>
      <w:r>
        <w:rPr>
          <w:rFonts w:hint="eastAsia" w:ascii="方正仿宋_GB2312" w:hAnsi="方正仿宋_GB2312" w:eastAsia="方正仿宋_GB2312" w:cs="方正仿宋_GB2312"/>
          <w:color w:val="auto"/>
          <w:kern w:val="0"/>
          <w:sz w:val="24"/>
          <w:szCs w:val="24"/>
          <w:highlight w:val="none"/>
        </w:rPr>
        <w:t>市相关规定执行</w:t>
      </w:r>
      <w:r>
        <w:rPr>
          <w:rFonts w:hint="eastAsia" w:ascii="宋体" w:hAnsi="宋体" w:cs="宋体"/>
          <w:color w:val="auto"/>
          <w:kern w:val="0"/>
          <w:highlight w:val="none"/>
        </w:rPr>
        <w:t>。</w:t>
      </w:r>
    </w:p>
    <w:p w14:paraId="3BBFD8E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（3）支付约定：</w:t>
      </w:r>
      <w:r>
        <w:rPr>
          <w:rFonts w:hint="eastAsia" w:ascii="方正仿宋_GB2312" w:hAnsi="方正仿宋_GB2312" w:eastAsia="方正仿宋_GB2312" w:cs="方正仿宋_GB2312"/>
          <w:color w:val="auto"/>
          <w:kern w:val="0"/>
          <w:sz w:val="24"/>
          <w:szCs w:val="24"/>
          <w:highlight w:val="none"/>
        </w:rPr>
        <w:t>在本合同签订后</w:t>
      </w:r>
      <w:r>
        <w:rPr>
          <w:rFonts w:hint="eastAsia" w:ascii="方正仿宋_GB2312" w:hAnsi="方正仿宋_GB2312" w:eastAsia="方正仿宋_GB2312" w:cs="方正仿宋_GB2312"/>
          <w:color w:val="auto"/>
          <w:kern w:val="0"/>
          <w:sz w:val="24"/>
          <w:szCs w:val="24"/>
          <w:highlight w:val="none"/>
          <w:u w:val="single"/>
        </w:rPr>
        <w:t xml:space="preserve">  30  </w:t>
      </w:r>
      <w:r>
        <w:rPr>
          <w:rFonts w:hint="eastAsia" w:ascii="方正仿宋_GB2312" w:hAnsi="方正仿宋_GB2312" w:eastAsia="方正仿宋_GB2312" w:cs="方正仿宋_GB2312"/>
          <w:color w:val="auto"/>
          <w:kern w:val="0"/>
          <w:sz w:val="24"/>
          <w:szCs w:val="24"/>
          <w:highlight w:val="none"/>
        </w:rPr>
        <w:t>个工作日内，预付安全文明施工费总额的</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50</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rPr>
        <w:t xml:space="preserve"> %，其余部分与进度款同期支付</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023E4362">
      <w:pPr>
        <w:pStyle w:val="41"/>
        <w:spacing w:line="380" w:lineRule="exact"/>
        <w:rPr>
          <w:rFonts w:ascii="宋体" w:hAnsi="宋体" w:cs="宋体"/>
          <w:color w:val="auto"/>
          <w:highlight w:val="none"/>
          <w:u w:val="single"/>
        </w:rPr>
      </w:pPr>
      <w:bookmarkStart w:id="1078" w:name="_Toc373227721"/>
      <w:bookmarkStart w:id="1079" w:name="_Toc497747199"/>
      <w:bookmarkStart w:id="1080" w:name="_Toc418518131"/>
      <w:bookmarkStart w:id="1081" w:name="_Toc418061332"/>
      <w:bookmarkStart w:id="1082" w:name="_Toc418518367"/>
      <w:bookmarkStart w:id="1083" w:name="_Toc418752263"/>
      <w:bookmarkStart w:id="1084" w:name="_Toc389065287"/>
      <w:bookmarkStart w:id="1085" w:name="_Toc418751817"/>
      <w:bookmarkStart w:id="1086" w:name="_Toc403578955"/>
      <w:bookmarkStart w:id="1087" w:name="_Toc497746802"/>
      <w:bookmarkStart w:id="1088" w:name="_Toc373478368"/>
      <w:r>
        <w:rPr>
          <w:rFonts w:hint="eastAsia" w:ascii="宋体" w:hAnsi="宋体" w:cs="宋体"/>
          <w:color w:val="auto"/>
          <w:highlight w:val="none"/>
        </w:rPr>
        <w:t>6.2职业健康</w:t>
      </w:r>
    </w:p>
    <w:p w14:paraId="76BF8FEA">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6.2.3 扬尘防治：严格执行市住建【2016】71号《关于进一步加强全市建筑工地扬尘治理工作的通知》的相关规定。关于扬尘防治费支付比例和支付期限的约定为：</w:t>
      </w:r>
      <w:r>
        <w:rPr>
          <w:rFonts w:hint="eastAsia" w:ascii="宋体" w:hAnsi="宋体" w:cs="宋体"/>
          <w:color w:val="auto"/>
          <w:szCs w:val="21"/>
          <w:highlight w:val="none"/>
          <w:u w:val="single"/>
        </w:rPr>
        <w:t>市住建〔2016〕34号文规定 。</w:t>
      </w:r>
    </w:p>
    <w:p w14:paraId="71A6C7B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6.3 环境保护</w:t>
      </w:r>
      <w:bookmarkEnd w:id="1078"/>
      <w:bookmarkEnd w:id="1079"/>
      <w:bookmarkEnd w:id="1080"/>
      <w:bookmarkEnd w:id="1081"/>
      <w:bookmarkEnd w:id="1082"/>
      <w:bookmarkEnd w:id="1083"/>
      <w:bookmarkEnd w:id="1084"/>
      <w:bookmarkEnd w:id="1085"/>
      <w:bookmarkEnd w:id="1086"/>
      <w:bookmarkEnd w:id="1087"/>
      <w:bookmarkEnd w:id="1088"/>
      <w:r>
        <w:rPr>
          <w:rFonts w:hint="eastAsia" w:ascii="宋体" w:hAnsi="宋体" w:cs="宋体"/>
          <w:color w:val="auto"/>
          <w:szCs w:val="21"/>
          <w:highlight w:val="none"/>
        </w:rPr>
        <w:t>因施工需要，经发包人批准，由承包人办理有关施工场地交通、环卫和施工噪音管理等手续，费用由承包人负责。</w:t>
      </w:r>
    </w:p>
    <w:p w14:paraId="372241E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经过城市道路的施工车辆，必须按交警、城管、运输等部门相关规定执行。由于施工车辆造成的道路、环境等污染，其责任和费用均由承包人承担。</w:t>
      </w:r>
    </w:p>
    <w:p w14:paraId="3EBCA2E4">
      <w:pPr>
        <w:pStyle w:val="41"/>
        <w:spacing w:line="380" w:lineRule="exact"/>
        <w:rPr>
          <w:rFonts w:ascii="宋体" w:hAnsi="宋体" w:cs="宋体"/>
          <w:color w:val="auto"/>
          <w:highlight w:val="none"/>
        </w:rPr>
      </w:pPr>
      <w:r>
        <w:rPr>
          <w:rFonts w:hint="eastAsia" w:ascii="宋体" w:hAnsi="宋体" w:cs="宋体"/>
          <w:color w:val="auto"/>
          <w:highlight w:val="none"/>
        </w:rPr>
        <w:t>环保工作的约定：</w:t>
      </w:r>
      <w:r>
        <w:rPr>
          <w:rFonts w:hint="eastAsia" w:ascii="宋体" w:hAnsi="宋体" w:cs="宋体"/>
          <w:color w:val="auto"/>
          <w:highlight w:val="none"/>
          <w:u w:val="single"/>
        </w:rPr>
        <w:t>承包人负责办理有关环保报批手续，并承担相应的费用。在施工期间对环境主要影响是机械声和废水、废渣、尘埃，对此承包人应采取相应的防治措施和严格管理，严格控制污染物排放，污染物排放前必须处理，达到排污标准后再排放。严禁把污染物直接排入江中。控制标准：《地面环境质量标准》GB3838-88Ⅱ。施工完毕后，承包人应及时将被破坏的场地，遵照监理工程师的指示进行清理、修正，并根据实际情况将场地恢复到原有状态，费用自理。</w:t>
      </w:r>
    </w:p>
    <w:bookmarkEnd w:id="1042"/>
    <w:bookmarkEnd w:id="1043"/>
    <w:bookmarkEnd w:id="1044"/>
    <w:bookmarkEnd w:id="1045"/>
    <w:bookmarkEnd w:id="1046"/>
    <w:bookmarkEnd w:id="1047"/>
    <w:bookmarkEnd w:id="1048"/>
    <w:p w14:paraId="377F0AE0">
      <w:pPr>
        <w:pStyle w:val="36"/>
        <w:spacing w:line="380" w:lineRule="exact"/>
        <w:rPr>
          <w:rFonts w:ascii="宋体" w:cs="宋体"/>
          <w:color w:val="auto"/>
          <w:highlight w:val="none"/>
        </w:rPr>
      </w:pPr>
      <w:bookmarkStart w:id="1089" w:name="_Toc418751818"/>
      <w:bookmarkStart w:id="1090" w:name="_Toc373227722"/>
      <w:bookmarkStart w:id="1091" w:name="_Toc5327"/>
      <w:bookmarkStart w:id="1092" w:name="_Toc418752264"/>
      <w:bookmarkStart w:id="1093" w:name="_Toc373478369"/>
      <w:bookmarkStart w:id="1094" w:name="_Toc351203639"/>
      <w:bookmarkStart w:id="1095" w:name="_Toc418518368"/>
      <w:bookmarkStart w:id="1096" w:name="_Toc418518132"/>
      <w:bookmarkStart w:id="1097" w:name="_Toc418061333"/>
      <w:bookmarkStart w:id="1098" w:name="_Toc403578956"/>
      <w:bookmarkStart w:id="1099" w:name="_Toc522201751"/>
      <w:bookmarkStart w:id="1100" w:name="_Toc389065288"/>
      <w:bookmarkStart w:id="1101" w:name="_Toc497747200"/>
      <w:bookmarkStart w:id="1102" w:name="_Toc497746803"/>
      <w:bookmarkStart w:id="1103" w:name="_Toc256000201"/>
      <w:r>
        <w:rPr>
          <w:rFonts w:hint="eastAsia" w:ascii="宋体" w:cs="宋体"/>
          <w:color w:val="auto"/>
          <w:highlight w:val="none"/>
        </w:rPr>
        <w:t>7. 工期和进度</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8DC06B3">
      <w:pPr>
        <w:pStyle w:val="36"/>
        <w:spacing w:line="380" w:lineRule="exact"/>
        <w:ind w:firstLine="422" w:firstLineChars="200"/>
        <w:rPr>
          <w:rFonts w:ascii="宋体" w:cs="宋体"/>
          <w:color w:val="auto"/>
          <w:highlight w:val="none"/>
        </w:rPr>
      </w:pPr>
      <w:bookmarkStart w:id="1104" w:name="_Toc256000202"/>
      <w:bookmarkStart w:id="1105" w:name="_Toc389065289"/>
      <w:bookmarkStart w:id="1106" w:name="_Toc418752265"/>
      <w:bookmarkStart w:id="1107" w:name="_Toc418751819"/>
      <w:bookmarkStart w:id="1108" w:name="_Toc373478370"/>
      <w:bookmarkStart w:id="1109" w:name="_Toc418518369"/>
      <w:bookmarkStart w:id="1110" w:name="_Toc522201752"/>
      <w:bookmarkStart w:id="1111" w:name="_Toc403578957"/>
      <w:bookmarkStart w:id="1112" w:name="_Toc497746804"/>
      <w:bookmarkStart w:id="1113" w:name="_Toc28893"/>
      <w:bookmarkStart w:id="1114" w:name="_Toc418518133"/>
      <w:bookmarkStart w:id="1115" w:name="_Toc418061334"/>
      <w:bookmarkStart w:id="1116" w:name="_Toc373227723"/>
      <w:bookmarkStart w:id="1117" w:name="_Toc497747201"/>
      <w:r>
        <w:rPr>
          <w:rFonts w:hint="eastAsia" w:ascii="宋体" w:cs="宋体"/>
          <w:color w:val="auto"/>
          <w:highlight w:val="none"/>
        </w:rPr>
        <w:t>7.1 施工组织设计</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C9A617D">
      <w:pPr>
        <w:pStyle w:val="41"/>
        <w:spacing w:line="380" w:lineRule="exact"/>
        <w:rPr>
          <w:rFonts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hint="eastAsia" w:ascii="宋体" w:hAnsi="宋体" w:cs="宋体"/>
          <w:color w:val="auto"/>
          <w:highlight w:val="none"/>
          <w:u w:val="single"/>
        </w:rPr>
        <w:t>(1)管理人员名单，含职称、职务并附相关人员岗位证书等复印件；（2）施工进度计划包括总进度计划、分阶段和分项进度计划、设备材料人员进场计划；施工方案说明包括分部、分项工程或工程部位的名称及施工顺序和方法；（3）国家及地方有关规定应当提交的内容。</w:t>
      </w:r>
    </w:p>
    <w:p w14:paraId="1FAA83EB">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05F2ED3A">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合同签订后14天内，最迟不得晚于开工通知载明的开工日期前7天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825A3BF">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olor w:val="auto"/>
          <w:szCs w:val="21"/>
          <w:highlight w:val="none"/>
          <w:u w:val="single"/>
        </w:rPr>
        <w:t>收到施工组织设计后7天内确认或提出修改意见。</w:t>
      </w:r>
    </w:p>
    <w:p w14:paraId="13B44CA8">
      <w:pPr>
        <w:pStyle w:val="36"/>
        <w:spacing w:line="380" w:lineRule="exact"/>
        <w:ind w:firstLine="422" w:firstLineChars="200"/>
        <w:rPr>
          <w:rFonts w:ascii="宋体" w:cs="宋体"/>
          <w:color w:val="auto"/>
          <w:highlight w:val="none"/>
        </w:rPr>
      </w:pPr>
      <w:bookmarkStart w:id="1118" w:name="_Toc497746805"/>
      <w:bookmarkStart w:id="1119" w:name="_Toc418061335"/>
      <w:bookmarkStart w:id="1120" w:name="_Toc389065290"/>
      <w:bookmarkStart w:id="1121" w:name="_Toc522201753"/>
      <w:bookmarkStart w:id="1122" w:name="_Toc418752266"/>
      <w:bookmarkStart w:id="1123" w:name="_Toc373478371"/>
      <w:bookmarkStart w:id="1124" w:name="_Toc418518370"/>
      <w:bookmarkStart w:id="1125" w:name="_Toc29479"/>
      <w:bookmarkStart w:id="1126" w:name="_Toc497747202"/>
      <w:bookmarkStart w:id="1127" w:name="_Toc418518134"/>
      <w:bookmarkStart w:id="1128" w:name="_Toc373227724"/>
      <w:bookmarkStart w:id="1129" w:name="_Toc418751820"/>
      <w:bookmarkStart w:id="1130" w:name="_Toc403578958"/>
      <w:bookmarkStart w:id="1131" w:name="_Toc256000203"/>
      <w:r>
        <w:rPr>
          <w:rFonts w:hint="eastAsia" w:ascii="宋体" w:cs="宋体"/>
          <w:color w:val="auto"/>
          <w:highlight w:val="none"/>
        </w:rPr>
        <w:t>7</w:t>
      </w:r>
      <w:bookmarkStart w:id="1132" w:name="_Toc304295541"/>
      <w:bookmarkStart w:id="1133" w:name="_Toc303539123"/>
      <w:bookmarkStart w:id="1134" w:name="_Toc312678005"/>
      <w:bookmarkStart w:id="1135" w:name="_Toc312677479"/>
      <w:bookmarkStart w:id="1136" w:name="_Toc300934966"/>
      <w:bookmarkStart w:id="1137" w:name="_Toc297123514"/>
      <w:bookmarkStart w:id="1138" w:name="_Toc297216173"/>
      <w:r>
        <w:rPr>
          <w:rFonts w:hint="eastAsia" w:ascii="宋体" w:cs="宋体"/>
          <w:color w:val="auto"/>
          <w:highlight w:val="none"/>
        </w:rPr>
        <w:t>.2 施工进度计划</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5C5FD1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68E668D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（1）发包人和监理人在收到修订的施工进度计划后确认或提出修改意见的期限：</w:t>
      </w:r>
      <w:r>
        <w:rPr>
          <w:rFonts w:hint="eastAsia" w:ascii="宋体" w:hAnsi="宋体" w:cs="宋体"/>
          <w:color w:val="auto"/>
          <w:szCs w:val="21"/>
          <w:highlight w:val="none"/>
          <w:u w:val="single"/>
        </w:rPr>
        <w:t>自监理人收到承包人报送的相关进度计划后 7天内。</w:t>
      </w:r>
      <w:r>
        <w:rPr>
          <w:rFonts w:hint="eastAsia" w:ascii="宋体" w:hAnsi="宋体" w:cs="宋体"/>
          <w:color w:val="auto"/>
          <w:szCs w:val="21"/>
          <w:highlight w:val="none"/>
        </w:rPr>
        <w:t xml:space="preserve"> </w:t>
      </w:r>
    </w:p>
    <w:p w14:paraId="619C146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（2）承包人编制分阶段或分项施工进度计划和施工方案说明的内容：</w:t>
      </w:r>
      <w:r>
        <w:rPr>
          <w:rFonts w:hint="eastAsia" w:ascii="宋体" w:hAnsi="宋体" w:cs="宋体"/>
          <w:color w:val="auto"/>
          <w:szCs w:val="21"/>
          <w:highlight w:val="none"/>
          <w:u w:val="single"/>
        </w:rPr>
        <w:t>包含但不限于月进度计划、原地面测量方案、不良地基处理方案等。</w:t>
      </w:r>
      <w:r>
        <w:rPr>
          <w:rFonts w:hint="eastAsia" w:ascii="宋体" w:hAnsi="宋体" w:cs="宋体"/>
          <w:color w:val="auto"/>
          <w:szCs w:val="21"/>
          <w:highlight w:val="none"/>
        </w:rPr>
        <w:t xml:space="preserve"> </w:t>
      </w:r>
    </w:p>
    <w:p w14:paraId="596289F9">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（3） 承包人报送分阶段或分项施工进度计划和施工方案说明的期限： </w:t>
      </w:r>
      <w:r>
        <w:rPr>
          <w:rFonts w:hint="eastAsia" w:ascii="宋体" w:hAnsi="宋体" w:cs="宋体"/>
          <w:color w:val="auto"/>
          <w:szCs w:val="21"/>
          <w:highlight w:val="none"/>
          <w:u w:val="single"/>
        </w:rPr>
        <w:t>月进度计划于上月 30 日前提交，分项施工进度计划和施工方案说明应不迟于该分项工程施工前14 天提交。</w:t>
      </w:r>
    </w:p>
    <w:p w14:paraId="1894596F">
      <w:pPr>
        <w:pStyle w:val="36"/>
        <w:spacing w:line="380" w:lineRule="exact"/>
        <w:ind w:firstLine="422" w:firstLineChars="200"/>
        <w:rPr>
          <w:rFonts w:ascii="宋体" w:cs="宋体"/>
          <w:color w:val="auto"/>
          <w:highlight w:val="none"/>
        </w:rPr>
      </w:pPr>
      <w:bookmarkStart w:id="1139" w:name="_Toc216"/>
      <w:bookmarkStart w:id="1140" w:name="_Toc522201754"/>
      <w:bookmarkStart w:id="1141" w:name="_Toc389065291"/>
      <w:bookmarkStart w:id="1142" w:name="_Toc373227725"/>
      <w:bookmarkStart w:id="1143" w:name="_Toc256000204"/>
      <w:bookmarkStart w:id="1144" w:name="_Toc418061336"/>
      <w:bookmarkStart w:id="1145" w:name="_Toc497746806"/>
      <w:bookmarkStart w:id="1146" w:name="_Toc418751821"/>
      <w:bookmarkStart w:id="1147" w:name="_Toc373478372"/>
      <w:bookmarkStart w:id="1148" w:name="_Toc418518371"/>
      <w:bookmarkStart w:id="1149" w:name="_Toc403578959"/>
      <w:bookmarkStart w:id="1150" w:name="_Toc418518135"/>
      <w:bookmarkStart w:id="1151" w:name="_Toc497747203"/>
      <w:bookmarkStart w:id="1152" w:name="_Toc418752267"/>
      <w:r>
        <w:rPr>
          <w:rFonts w:hint="eastAsia" w:ascii="宋体" w:cs="宋体"/>
          <w:color w:val="auto"/>
          <w:highlight w:val="none"/>
        </w:rPr>
        <w:t>7.3 开工</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1A860C0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7.3.1 开工准备</w:t>
      </w:r>
    </w:p>
    <w:p w14:paraId="604C8B93">
      <w:pPr>
        <w:pStyle w:val="21"/>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23965D76">
      <w:pPr>
        <w:pStyle w:val="21"/>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7A1B4CB2">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22FD03C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 开工通知</w:t>
      </w:r>
    </w:p>
    <w:p w14:paraId="7196123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天内发出开工通知的，承包人有权提出价格调整要求，或者解除合同。</w:t>
      </w:r>
    </w:p>
    <w:bookmarkEnd w:id="1132"/>
    <w:bookmarkEnd w:id="1133"/>
    <w:bookmarkEnd w:id="1134"/>
    <w:bookmarkEnd w:id="1135"/>
    <w:bookmarkEnd w:id="1136"/>
    <w:bookmarkEnd w:id="1137"/>
    <w:bookmarkEnd w:id="1138"/>
    <w:p w14:paraId="53960A3C">
      <w:pPr>
        <w:pStyle w:val="36"/>
        <w:spacing w:line="380" w:lineRule="exact"/>
        <w:ind w:firstLine="422" w:firstLineChars="200"/>
        <w:rPr>
          <w:rFonts w:ascii="宋体" w:cs="宋体"/>
          <w:color w:val="auto"/>
          <w:highlight w:val="none"/>
        </w:rPr>
      </w:pPr>
      <w:bookmarkStart w:id="1153" w:name="_Toc418752268"/>
      <w:bookmarkStart w:id="1154" w:name="_Toc389065292"/>
      <w:bookmarkStart w:id="1155" w:name="_Toc403578960"/>
      <w:bookmarkStart w:id="1156" w:name="_Toc21060"/>
      <w:bookmarkStart w:id="1157" w:name="_Toc418061337"/>
      <w:bookmarkStart w:id="1158" w:name="_Toc497747204"/>
      <w:bookmarkStart w:id="1159" w:name="_Toc373227726"/>
      <w:bookmarkStart w:id="1160" w:name="_Toc418751822"/>
      <w:bookmarkStart w:id="1161" w:name="_Toc373478373"/>
      <w:bookmarkStart w:id="1162" w:name="_Toc497746807"/>
      <w:bookmarkStart w:id="1163" w:name="_Toc522201755"/>
      <w:bookmarkStart w:id="1164" w:name="_Toc418518136"/>
      <w:bookmarkStart w:id="1165" w:name="_Toc418518372"/>
      <w:bookmarkStart w:id="1166" w:name="_Toc256000205"/>
      <w:r>
        <w:rPr>
          <w:rFonts w:hint="eastAsia" w:ascii="宋体" w:cs="宋体"/>
          <w:color w:val="auto"/>
          <w:highlight w:val="none"/>
        </w:rPr>
        <w:t>7.4 测量放线</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8563CE6">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开工通知载明的开工日前 7 天，承包人进入工地后进行现场书面交桩。水准点、座标控制点交验完毕，即由承包人负责保护，此后由于破坏或失准带来的重新测量、放点费用及由此造成的其他损失均由承包人负担； 承包人应于开工通知后七天内现场校验，并根据国家测绘基准、测绘系统和工程测量技术规范，按上述基准点（线）以及合同工程精度要求，测设施工控制网，三方做好签认工作；承包人应于开工前3天，并在工程竣工后将施工控制网点移交发包人 。</w:t>
      </w:r>
    </w:p>
    <w:p w14:paraId="66F77BC8">
      <w:pPr>
        <w:pStyle w:val="36"/>
        <w:spacing w:line="380" w:lineRule="exact"/>
        <w:ind w:firstLine="422" w:firstLineChars="200"/>
        <w:rPr>
          <w:rFonts w:ascii="宋体" w:cs="宋体"/>
          <w:color w:val="auto"/>
          <w:highlight w:val="none"/>
        </w:rPr>
      </w:pPr>
      <w:bookmarkStart w:id="1167" w:name="_Toc389065293"/>
      <w:bookmarkStart w:id="1168" w:name="_Toc418752269"/>
      <w:bookmarkStart w:id="1169" w:name="_Toc418518137"/>
      <w:bookmarkStart w:id="1170" w:name="_Toc373478374"/>
      <w:bookmarkStart w:id="1171" w:name="_Toc418518373"/>
      <w:bookmarkStart w:id="1172" w:name="_Toc418061338"/>
      <w:bookmarkStart w:id="1173" w:name="_Toc418751823"/>
      <w:bookmarkStart w:id="1174" w:name="_Toc497746808"/>
      <w:bookmarkStart w:id="1175" w:name="_Toc403578961"/>
      <w:bookmarkStart w:id="1176" w:name="_Toc373227727"/>
      <w:bookmarkStart w:id="1177" w:name="_Toc1523"/>
      <w:bookmarkStart w:id="1178" w:name="_Toc522201756"/>
      <w:bookmarkStart w:id="1179" w:name="_Toc256000206"/>
      <w:bookmarkStart w:id="1180" w:name="_Toc497747205"/>
      <w:r>
        <w:rPr>
          <w:rFonts w:hint="eastAsia" w:ascii="宋体" w:cs="宋体"/>
          <w:color w:val="auto"/>
          <w:highlight w:val="none"/>
        </w:rPr>
        <w:t>7</w:t>
      </w:r>
      <w:bookmarkStart w:id="1181" w:name="_Toc312678010"/>
      <w:bookmarkStart w:id="1182" w:name="_Toc297216175"/>
      <w:bookmarkStart w:id="1183" w:name="_Toc304295546"/>
      <w:bookmarkStart w:id="1184" w:name="_Toc303539125"/>
      <w:bookmarkStart w:id="1185" w:name="_Toc300934968"/>
      <w:bookmarkStart w:id="1186" w:name="_Toc312677484"/>
      <w:bookmarkStart w:id="1187" w:name="_Toc297123516"/>
      <w:r>
        <w:rPr>
          <w:rFonts w:hint="eastAsia" w:ascii="宋体" w:cs="宋体"/>
          <w:color w:val="auto"/>
          <w:highlight w:val="none"/>
        </w:rPr>
        <w:t>.5 工期延误</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bookmarkEnd w:id="1181"/>
    <w:bookmarkEnd w:id="1182"/>
    <w:bookmarkEnd w:id="1183"/>
    <w:bookmarkEnd w:id="1184"/>
    <w:bookmarkEnd w:id="1185"/>
    <w:bookmarkEnd w:id="1186"/>
    <w:bookmarkEnd w:id="1187"/>
    <w:p w14:paraId="4E9FA81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2E329BD8">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1016DDD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1188" w:name="_Toc312677486"/>
      <w:bookmarkStart w:id="1189" w:name="_Toc318581169"/>
      <w:bookmarkStart w:id="1190" w:name="_Toc312678012"/>
      <w:bookmarkStart w:id="1191" w:name="_Toc300934970"/>
      <w:bookmarkStart w:id="1192" w:name="_Toc297123518"/>
      <w:bookmarkStart w:id="1193" w:name="_Toc304295548"/>
      <w:bookmarkStart w:id="1194" w:name="_Toc303539127"/>
      <w:bookmarkStart w:id="1195" w:name="_Toc297216177"/>
      <w:r>
        <w:rPr>
          <w:rFonts w:hint="eastAsia" w:ascii="宋体" w:hAnsi="宋体" w:cs="宋体"/>
          <w:color w:val="auto"/>
          <w:szCs w:val="21"/>
          <w:highlight w:val="none"/>
        </w:rPr>
        <w:t>.5.2 因承包人原因导致工期延误</w:t>
      </w:r>
    </w:p>
    <w:bookmarkEnd w:id="1188"/>
    <w:bookmarkEnd w:id="1189"/>
    <w:bookmarkEnd w:id="1190"/>
    <w:p w14:paraId="220DB9F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双方约定经监理工程师确认，工期相应顺延的情况：</w:t>
      </w:r>
      <w:r>
        <w:rPr>
          <w:rFonts w:hint="eastAsia" w:ascii="宋体" w:hAnsi="宋体" w:cs="宋体"/>
          <w:color w:val="auto"/>
          <w:szCs w:val="21"/>
          <w:highlight w:val="none"/>
          <w:u w:val="single"/>
        </w:rPr>
        <w:t xml:space="preserve">  非承包人原因导致的工期延误，合同工期相应顺延</w:t>
      </w:r>
      <w:r>
        <w:rPr>
          <w:rFonts w:hint="eastAsia" w:ascii="宋体" w:hAnsi="宋体" w:cs="宋体"/>
          <w:color w:val="auto"/>
          <w:szCs w:val="21"/>
          <w:highlight w:val="none"/>
        </w:rPr>
        <w:t>。</w:t>
      </w:r>
    </w:p>
    <w:p w14:paraId="5364D53D">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w:t>
      </w:r>
      <w:bookmarkStart w:id="1196" w:name="_Toc312678013"/>
      <w:bookmarkStart w:id="1197" w:name="_Toc312677487"/>
      <w:bookmarkStart w:id="1198" w:name="_Toc318581170"/>
      <w:r>
        <w:rPr>
          <w:rFonts w:hint="eastAsia" w:ascii="宋体" w:hAnsi="宋体" w:cs="宋体"/>
          <w:color w:val="auto"/>
          <w:szCs w:val="21"/>
          <w:highlight w:val="none"/>
        </w:rPr>
        <w:t>承包人原因造成工期延误，逾期竣工违约金的计算方法为：</w:t>
      </w:r>
      <w:r>
        <w:rPr>
          <w:rFonts w:hint="eastAsia" w:ascii="宋体" w:hAnsi="宋体" w:cs="宋体"/>
          <w:color w:val="auto"/>
          <w:szCs w:val="21"/>
          <w:highlight w:val="none"/>
          <w:u w:val="single"/>
        </w:rPr>
        <w:t xml:space="preserve">非上述原因，承包人不能按合同约定的时间竣工，承包人应承担违约责任，并应向发包人支付误期赔偿费（每天赔偿金额为合同价款扣除社会保险费、发包人材料价款、暂估专业工程、暂列金额后的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如非承包人原因造成工期延误则承包人须在规定的时间内提出书面意见，逾期则视为承包人自行放弃。由于承包人原因造成本工程延期三个月的，除按上述标准赔偿给发包人外，发包人有权中止合同，并依法追究承包人的违约责任，由此造成的一切损失均由责任人负责。 </w:t>
      </w:r>
    </w:p>
    <w:bookmarkEnd w:id="1191"/>
    <w:bookmarkEnd w:id="1192"/>
    <w:bookmarkEnd w:id="1193"/>
    <w:bookmarkEnd w:id="1194"/>
    <w:bookmarkEnd w:id="1195"/>
    <w:bookmarkEnd w:id="1196"/>
    <w:bookmarkEnd w:id="1197"/>
    <w:bookmarkEnd w:id="1198"/>
    <w:p w14:paraId="42D00B09">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1199" w:name="_Toc318581171"/>
      <w:bookmarkStart w:id="1200" w:name="_Toc312678014"/>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lang w:eastAsia="zh-CN"/>
        </w:rPr>
        <w:t>结算</w:t>
      </w:r>
      <w:r>
        <w:rPr>
          <w:rFonts w:hint="eastAsia" w:ascii="宋体" w:hAnsi="宋体" w:cs="宋体"/>
          <w:color w:val="auto"/>
          <w:szCs w:val="21"/>
          <w:highlight w:val="none"/>
          <w:u w:val="single"/>
        </w:rPr>
        <w:t>价扣除社会保险费、发包人材料价款、暂估专业工程、暂列金额后的</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bookmarkEnd w:id="1199"/>
    <w:bookmarkEnd w:id="1200"/>
    <w:p w14:paraId="000BDD9F">
      <w:pPr>
        <w:pStyle w:val="36"/>
        <w:spacing w:line="380" w:lineRule="exact"/>
        <w:ind w:firstLine="422" w:firstLineChars="200"/>
        <w:rPr>
          <w:rFonts w:ascii="宋体" w:cs="宋体"/>
          <w:color w:val="auto"/>
          <w:highlight w:val="none"/>
        </w:rPr>
      </w:pPr>
      <w:bookmarkStart w:id="1201" w:name="_Toc389065294"/>
      <w:bookmarkStart w:id="1202" w:name="_Toc256000207"/>
      <w:bookmarkStart w:id="1203" w:name="_Toc418518138"/>
      <w:bookmarkStart w:id="1204" w:name="_Toc418518374"/>
      <w:bookmarkStart w:id="1205" w:name="_Toc522201757"/>
      <w:bookmarkStart w:id="1206" w:name="_Toc373227728"/>
      <w:bookmarkStart w:id="1207" w:name="_Toc497746809"/>
      <w:bookmarkStart w:id="1208" w:name="_Toc497747206"/>
      <w:bookmarkStart w:id="1209" w:name="_Toc418752270"/>
      <w:bookmarkStart w:id="1210" w:name="_Toc403578962"/>
      <w:bookmarkStart w:id="1211" w:name="_Toc27840"/>
      <w:bookmarkStart w:id="1212" w:name="_Toc418751824"/>
      <w:bookmarkStart w:id="1213" w:name="_Toc373478375"/>
      <w:bookmarkStart w:id="1214" w:name="_Toc418061339"/>
      <w:r>
        <w:rPr>
          <w:rFonts w:hint="eastAsia" w:ascii="宋体" w:cs="宋体"/>
          <w:color w:val="auto"/>
          <w:highlight w:val="none"/>
        </w:rPr>
        <w:t>7</w:t>
      </w:r>
      <w:bookmarkStart w:id="1215" w:name="_Toc297123519"/>
      <w:bookmarkStart w:id="1216" w:name="_Toc303539128"/>
      <w:bookmarkStart w:id="1217" w:name="_Toc304295549"/>
      <w:bookmarkStart w:id="1218" w:name="_Toc312678015"/>
      <w:bookmarkStart w:id="1219" w:name="_Toc297216178"/>
      <w:bookmarkStart w:id="1220" w:name="_Toc300934971"/>
      <w:r>
        <w:rPr>
          <w:rFonts w:hint="eastAsia" w:ascii="宋体" w:cs="宋体"/>
          <w:color w:val="auto"/>
          <w:highlight w:val="none"/>
        </w:rPr>
        <w:t>.6 不</w:t>
      </w:r>
      <w:bookmarkEnd w:id="1215"/>
      <w:bookmarkEnd w:id="1216"/>
      <w:bookmarkEnd w:id="1217"/>
      <w:bookmarkEnd w:id="1218"/>
      <w:bookmarkEnd w:id="1219"/>
      <w:bookmarkEnd w:id="1220"/>
      <w:r>
        <w:rPr>
          <w:rFonts w:hint="eastAsia" w:ascii="宋体" w:cs="宋体"/>
          <w:color w:val="auto"/>
          <w:highlight w:val="none"/>
        </w:rPr>
        <w:t>利物质条件</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1522C19D">
      <w:pPr>
        <w:pStyle w:val="21"/>
        <w:spacing w:line="380" w:lineRule="exact"/>
        <w:ind w:firstLine="420" w:firstLineChars="200"/>
        <w:jc w:val="left"/>
        <w:rPr>
          <w:rFonts w:ascii="宋体" w:hAnsi="宋体" w:cs="宋体"/>
          <w:color w:val="auto"/>
          <w:szCs w:val="21"/>
          <w:highlight w:val="none"/>
          <w:u w:val="single"/>
        </w:rPr>
      </w:pPr>
      <w:bookmarkStart w:id="1221" w:name="_Toc297123520"/>
      <w:bookmarkStart w:id="1222" w:name="_Toc312678016"/>
      <w:bookmarkStart w:id="1223" w:name="_Toc303539129"/>
      <w:bookmarkStart w:id="1224" w:name="_Toc300934972"/>
      <w:bookmarkStart w:id="1225" w:name="_Toc297216179"/>
      <w:bookmarkStart w:id="1226" w:name="_Toc304295550"/>
      <w:bookmarkStart w:id="1227" w:name="_Toc318581172"/>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一周内非承包人原因，停水、停电、停气造成停工连续超过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cs="宋体"/>
          <w:color w:val="auto"/>
          <w:szCs w:val="21"/>
          <w:highlight w:val="none"/>
        </w:rPr>
        <w:t>。</w:t>
      </w:r>
    </w:p>
    <w:bookmarkEnd w:id="1221"/>
    <w:bookmarkEnd w:id="1222"/>
    <w:bookmarkEnd w:id="1223"/>
    <w:bookmarkEnd w:id="1224"/>
    <w:bookmarkEnd w:id="1225"/>
    <w:bookmarkEnd w:id="1226"/>
    <w:bookmarkEnd w:id="1227"/>
    <w:p w14:paraId="32DD15FE">
      <w:pPr>
        <w:pStyle w:val="36"/>
        <w:spacing w:line="380" w:lineRule="exact"/>
        <w:ind w:firstLine="422" w:firstLineChars="200"/>
        <w:rPr>
          <w:rFonts w:ascii="宋体" w:cs="宋体"/>
          <w:color w:val="auto"/>
          <w:highlight w:val="none"/>
        </w:rPr>
      </w:pPr>
      <w:bookmarkStart w:id="1228" w:name="_Toc497747207"/>
      <w:bookmarkStart w:id="1229" w:name="_Toc1472"/>
      <w:bookmarkStart w:id="1230" w:name="_Toc373227729"/>
      <w:bookmarkStart w:id="1231" w:name="_Toc418518375"/>
      <w:bookmarkStart w:id="1232" w:name="_Toc497746810"/>
      <w:bookmarkStart w:id="1233" w:name="_Toc256000208"/>
      <w:bookmarkStart w:id="1234" w:name="_Toc389065295"/>
      <w:bookmarkStart w:id="1235" w:name="_Toc522201758"/>
      <w:bookmarkStart w:id="1236" w:name="_Toc418061340"/>
      <w:bookmarkStart w:id="1237" w:name="_Toc373478376"/>
      <w:bookmarkStart w:id="1238" w:name="_Toc418751825"/>
      <w:bookmarkStart w:id="1239" w:name="_Toc418752271"/>
      <w:bookmarkStart w:id="1240" w:name="_Toc418518139"/>
      <w:bookmarkStart w:id="1241" w:name="_Toc403578963"/>
      <w:r>
        <w:rPr>
          <w:rFonts w:hint="eastAsia" w:ascii="宋体" w:cs="宋体"/>
          <w:color w:val="auto"/>
          <w:highlight w:val="none"/>
        </w:rPr>
        <w:t>7</w:t>
      </w:r>
      <w:bookmarkStart w:id="1242" w:name="_Toc304295551"/>
      <w:bookmarkStart w:id="1243" w:name="_Toc303539130"/>
      <w:bookmarkStart w:id="1244" w:name="_Toc297216180"/>
      <w:bookmarkStart w:id="1245" w:name="_Toc300934973"/>
      <w:bookmarkStart w:id="1246" w:name="_Toc297123521"/>
      <w:bookmarkStart w:id="1247" w:name="_Toc312678017"/>
      <w:r>
        <w:rPr>
          <w:rFonts w:hint="eastAsia" w:ascii="宋体" w:cs="宋体"/>
          <w:color w:val="auto"/>
          <w:highlight w:val="none"/>
        </w:rPr>
        <w:t>.7 异常恶劣的气候条件</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bookmarkEnd w:id="1242"/>
    <w:bookmarkEnd w:id="1243"/>
    <w:bookmarkEnd w:id="1244"/>
    <w:bookmarkEnd w:id="1245"/>
    <w:bookmarkEnd w:id="1246"/>
    <w:bookmarkEnd w:id="1247"/>
    <w:p w14:paraId="0119016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77F35AF3">
      <w:pPr>
        <w:pStyle w:val="21"/>
        <w:spacing w:line="380" w:lineRule="exact"/>
        <w:ind w:firstLine="420" w:firstLineChars="200"/>
        <w:rPr>
          <w:rFonts w:ascii="宋体" w:hAnsi="宋体" w:cs="宋体"/>
          <w:color w:val="auto"/>
          <w:szCs w:val="21"/>
          <w:highlight w:val="none"/>
          <w:u w:val="single"/>
        </w:rPr>
      </w:pPr>
      <w:bookmarkStart w:id="1248" w:name="_Toc497746811"/>
      <w:bookmarkStart w:id="1249" w:name="_Toc403578964"/>
      <w:bookmarkStart w:id="1250" w:name="_Toc418061341"/>
      <w:bookmarkStart w:id="1251" w:name="_Toc389065296"/>
      <w:bookmarkStart w:id="1252" w:name="_Toc373478377"/>
      <w:bookmarkStart w:id="1253" w:name="_Toc497747208"/>
      <w:bookmarkStart w:id="1254" w:name="_Toc373227730"/>
      <w:bookmarkStart w:id="1255" w:name="_Toc418518376"/>
      <w:bookmarkStart w:id="1256" w:name="_Toc418518140"/>
      <w:bookmarkStart w:id="1257" w:name="_Toc418751826"/>
      <w:bookmarkStart w:id="1258" w:name="_Toc418752272"/>
      <w:r>
        <w:rPr>
          <w:rFonts w:hint="eastAsia" w:ascii="宋体" w:hAnsi="宋体" w:cs="宋体"/>
          <w:color w:val="auto"/>
          <w:szCs w:val="21"/>
          <w:highlight w:val="none"/>
        </w:rPr>
        <w:t>（1）</w:t>
      </w:r>
      <w:r>
        <w:rPr>
          <w:rFonts w:hint="eastAsia" w:ascii="宋体" w:hAnsi="宋体" w:cs="宋体"/>
          <w:color w:val="auto"/>
          <w:szCs w:val="21"/>
          <w:highlight w:val="none"/>
          <w:u w:val="single"/>
        </w:rPr>
        <w:t>10级以上持续1天的大风；</w:t>
      </w:r>
    </w:p>
    <w:p w14:paraId="7417C915">
      <w:pPr>
        <w:pStyle w:val="21"/>
        <w:numPr>
          <w:ilvl w:val="0"/>
          <w:numId w:val="10"/>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暴雨级以上持续2天的大雨；</w:t>
      </w:r>
    </w:p>
    <w:p w14:paraId="3EBAC2C0">
      <w:pPr>
        <w:pStyle w:val="21"/>
        <w:numPr>
          <w:ilvl w:val="0"/>
          <w:numId w:val="10"/>
        </w:numPr>
        <w:spacing w:line="380" w:lineRule="exact"/>
        <w:ind w:firstLine="420" w:firstLineChars="200"/>
        <w:rPr>
          <w:rFonts w:ascii="宋体" w:hAnsi="宋体" w:cs="宋体"/>
          <w:color w:val="auto"/>
          <w:szCs w:val="21"/>
          <w:highlight w:val="none"/>
          <w:u w:val="single"/>
        </w:rPr>
      </w:pPr>
      <w:r>
        <w:rPr>
          <w:rFonts w:hint="eastAsia" w:ascii="宋体" w:hAnsi="宋体"/>
          <w:color w:val="auto"/>
          <w:szCs w:val="21"/>
          <w:highlight w:val="none"/>
          <w:u w:val="single"/>
        </w:rPr>
        <w:t>当地6级以上的破坏性地震；</w:t>
      </w:r>
    </w:p>
    <w:p w14:paraId="2C7A4410">
      <w:pPr>
        <w:pStyle w:val="21"/>
        <w:numPr>
          <w:ilvl w:val="0"/>
          <w:numId w:val="10"/>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50年以上未发生过的持续2天的高温天气；</w:t>
      </w:r>
    </w:p>
    <w:p w14:paraId="3EC419D2">
      <w:pPr>
        <w:pStyle w:val="21"/>
        <w:numPr>
          <w:ilvl w:val="0"/>
          <w:numId w:val="10"/>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50年以上未发生的持续2天的低温天气。</w:t>
      </w:r>
    </w:p>
    <w:p w14:paraId="28228D85">
      <w:pPr>
        <w:pStyle w:val="21"/>
        <w:spacing w:line="380" w:lineRule="exact"/>
        <w:ind w:firstLine="630" w:firstLineChars="300"/>
        <w:rPr>
          <w:rFonts w:ascii="宋体" w:hAnsi="宋体" w:cs="宋体"/>
          <w:color w:val="auto"/>
          <w:szCs w:val="21"/>
          <w:highlight w:val="none"/>
          <w:u w:val="single"/>
        </w:rPr>
      </w:pPr>
      <w:r>
        <w:rPr>
          <w:rFonts w:hint="eastAsia" w:ascii="宋体" w:hAnsi="宋体" w:cs="宋体"/>
          <w:color w:val="auto"/>
          <w:szCs w:val="21"/>
          <w:highlight w:val="none"/>
          <w:u w:val="single"/>
        </w:rPr>
        <w:t>施工场地受淹超过发包人提供设计图纸指明的设计洪水位以及因天气原因无法施工并经监理确认引起延误的情况。承包人有权要求发包人延长工期, 但对上述几种情形，对工程施工造成影响和灾害的，需提供政府相关部门对不可抗力认定的证明材料为依据。</w:t>
      </w:r>
    </w:p>
    <w:p w14:paraId="72D32E2D">
      <w:pPr>
        <w:pStyle w:val="21"/>
        <w:spacing w:line="380" w:lineRule="exact"/>
        <w:jc w:val="left"/>
        <w:rPr>
          <w:rFonts w:ascii="宋体" w:hAnsi="宋体" w:cs="宋体"/>
          <w:b/>
          <w:bCs/>
          <w:color w:val="auto"/>
          <w:szCs w:val="21"/>
          <w:highlight w:val="none"/>
        </w:rPr>
      </w:pPr>
      <w:r>
        <w:rPr>
          <w:rFonts w:hint="eastAsia" w:ascii="宋体" w:hAnsi="宋体" w:cs="宋体"/>
          <w:b/>
          <w:bCs/>
          <w:color w:val="auto"/>
          <w:szCs w:val="21"/>
          <w:highlight w:val="none"/>
        </w:rPr>
        <w:t>7.8暂停施工</w:t>
      </w:r>
    </w:p>
    <w:p w14:paraId="50175674">
      <w:pPr>
        <w:pStyle w:val="41"/>
        <w:spacing w:line="380" w:lineRule="exact"/>
        <w:ind w:firstLine="0" w:firstLineChars="0"/>
        <w:rPr>
          <w:rFonts w:ascii="宋体" w:hAnsi="宋体" w:cs="宋体"/>
          <w:b/>
          <w:color w:val="auto"/>
          <w:highlight w:val="none"/>
        </w:rPr>
      </w:pPr>
      <w:r>
        <w:rPr>
          <w:rFonts w:hint="eastAsia" w:ascii="宋体" w:hAnsi="宋体" w:cs="宋体"/>
          <w:b/>
          <w:color w:val="auto"/>
          <w:highlight w:val="none"/>
        </w:rPr>
        <w:t>7.8.2承包人原因引起的暂停施工</w:t>
      </w:r>
    </w:p>
    <w:p w14:paraId="0AC55641">
      <w:pPr>
        <w:pStyle w:val="21"/>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承包人承担暂停施工责任的其他情形：</w:t>
      </w:r>
      <w:r>
        <w:rPr>
          <w:rFonts w:hint="eastAsia" w:ascii="宋体" w:hAnsi="宋体" w:cs="宋体"/>
          <w:color w:val="auto"/>
          <w:szCs w:val="21"/>
          <w:highlight w:val="none"/>
          <w:u w:val="single"/>
        </w:rPr>
        <w:t>（1）监理工程师为保证工程质量和施工安全所指令的暂停施工；（2）因质量安全隐患或事故，被建设行政主管部门及安全生产监督责令暂停施工或自行暂停施工；（3）因承包人违反规范或任何工程质量不合格而进行返工、重建、修建的工期；（4）未按设计要求进行施工、或因施工组织方案不可行导致发包人未能按时审批而影响开工的；（5）工程验收不合格发现存在质量问题或技术问题需要修改的；（6）工程质量未达到等级标准要求，发包人要求承包人返工的；（</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）承包人因农忙时期而暂停施工；综述其工期不予顺延，责任自负。</w:t>
      </w:r>
    </w:p>
    <w:p w14:paraId="28F25E10">
      <w:pPr>
        <w:pStyle w:val="41"/>
        <w:spacing w:line="380" w:lineRule="exact"/>
        <w:rPr>
          <w:rFonts w:ascii="宋体" w:hAnsi="宋体" w:cs="宋体"/>
          <w:color w:val="auto"/>
          <w:highlight w:val="none"/>
          <w:u w:val="single"/>
        </w:rPr>
      </w:pPr>
      <w:r>
        <w:rPr>
          <w:rFonts w:hint="eastAsia" w:ascii="宋体" w:hAnsi="宋体" w:cs="宋体"/>
          <w:color w:val="auto"/>
          <w:highlight w:val="none"/>
          <w:u w:val="single"/>
        </w:rPr>
        <w:t>因承包人责任暂停施工延误施工时机而导致遭遇不利条件物质条件和异常恶劣的气候条件、不可抗力造成的工期延误和费用增加由承包人承担。</w:t>
      </w:r>
    </w:p>
    <w:p w14:paraId="71CDC586">
      <w:pPr>
        <w:pStyle w:val="41"/>
        <w:spacing w:line="380" w:lineRule="exact"/>
        <w:ind w:firstLine="0" w:firstLineChars="0"/>
        <w:rPr>
          <w:rFonts w:ascii="宋体" w:hAnsi="宋体" w:cs="宋体"/>
          <w:b/>
          <w:color w:val="auto"/>
          <w:highlight w:val="none"/>
        </w:rPr>
      </w:pPr>
      <w:r>
        <w:rPr>
          <w:rFonts w:hint="eastAsia" w:ascii="宋体" w:hAnsi="宋体" w:cs="宋体"/>
          <w:b/>
          <w:color w:val="auto"/>
          <w:highlight w:val="none"/>
        </w:rPr>
        <w:t>7.8.5暂停施工后的复工</w:t>
      </w:r>
    </w:p>
    <w:p w14:paraId="160AF985">
      <w:pPr>
        <w:pStyle w:val="41"/>
        <w:spacing w:line="380" w:lineRule="exact"/>
        <w:rPr>
          <w:rFonts w:ascii="宋体" w:hAnsi="宋体" w:cs="宋体"/>
          <w:color w:val="auto"/>
          <w:highlight w:val="none"/>
        </w:rPr>
      </w:pPr>
      <w:r>
        <w:rPr>
          <w:rFonts w:hint="eastAsia" w:ascii="宋体" w:hAnsi="宋体" w:cs="宋体"/>
          <w:color w:val="auto"/>
          <w:highlight w:val="none"/>
          <w:u w:val="single"/>
        </w:rPr>
        <w:t>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525CE47C">
      <w:pPr>
        <w:pStyle w:val="36"/>
        <w:spacing w:line="380" w:lineRule="exact"/>
        <w:ind w:firstLine="422" w:firstLineChars="200"/>
        <w:rPr>
          <w:rFonts w:ascii="宋体" w:cs="宋体"/>
          <w:color w:val="auto"/>
          <w:highlight w:val="none"/>
        </w:rPr>
      </w:pPr>
      <w:bookmarkStart w:id="1259" w:name="_Toc6583"/>
      <w:bookmarkStart w:id="1260" w:name="_Toc522201759"/>
      <w:bookmarkStart w:id="1261" w:name="_Toc256000209"/>
      <w:r>
        <w:rPr>
          <w:rFonts w:hint="eastAsia" w:ascii="宋体" w:cs="宋体"/>
          <w:color w:val="auto"/>
          <w:highlight w:val="none"/>
        </w:rPr>
        <w:t>7.9 提前竣工</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052BDD9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35869C9">
      <w:pPr>
        <w:pStyle w:val="36"/>
        <w:numPr>
          <w:ilvl w:val="0"/>
          <w:numId w:val="11"/>
        </w:numPr>
        <w:spacing w:line="380" w:lineRule="exact"/>
        <w:rPr>
          <w:rFonts w:ascii="宋体" w:cs="宋体"/>
          <w:color w:val="auto"/>
          <w:highlight w:val="none"/>
        </w:rPr>
      </w:pPr>
      <w:bookmarkStart w:id="1262" w:name="_Toc351203640"/>
      <w:bookmarkStart w:id="1263" w:name="_Toc418061342"/>
      <w:bookmarkStart w:id="1264" w:name="_Toc403578965"/>
      <w:bookmarkStart w:id="1265" w:name="_Toc11098"/>
      <w:bookmarkStart w:id="1266" w:name="_Toc418518377"/>
      <w:bookmarkStart w:id="1267" w:name="_Toc418752273"/>
      <w:bookmarkStart w:id="1268" w:name="_Toc389065297"/>
      <w:bookmarkStart w:id="1269" w:name="_Toc522201760"/>
      <w:bookmarkStart w:id="1270" w:name="_Toc497746812"/>
      <w:bookmarkStart w:id="1271" w:name="_Toc373227731"/>
      <w:bookmarkStart w:id="1272" w:name="_Toc256000210"/>
      <w:bookmarkStart w:id="1273" w:name="_Toc418518141"/>
      <w:bookmarkStart w:id="1274" w:name="_Toc418751827"/>
      <w:bookmarkStart w:id="1275" w:name="_Toc373478378"/>
      <w:bookmarkStart w:id="1276" w:name="_Toc497747209"/>
      <w:r>
        <w:rPr>
          <w:rFonts w:hint="eastAsia" w:ascii="宋体" w:cs="宋体"/>
          <w:color w:val="auto"/>
          <w:highlight w:val="none"/>
        </w:rPr>
        <w:t>材料与设备</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5699BDA7">
      <w:pPr>
        <w:pStyle w:val="41"/>
        <w:spacing w:line="380" w:lineRule="exact"/>
        <w:rPr>
          <w:rFonts w:ascii="宋体" w:hAnsi="宋体" w:cs="宋体"/>
          <w:color w:val="auto"/>
          <w:highlight w:val="none"/>
        </w:rPr>
      </w:pPr>
      <w:r>
        <w:rPr>
          <w:rFonts w:ascii="宋体" w:hAnsi="宋体" w:cs="宋体"/>
          <w:color w:val="auto"/>
          <w:highlight w:val="none"/>
        </w:rPr>
        <w:t>承包人采购材料和设备的约定：</w:t>
      </w:r>
    </w:p>
    <w:bookmarkEnd w:id="1018"/>
    <w:bookmarkEnd w:id="1019"/>
    <w:bookmarkEnd w:id="1020"/>
    <w:bookmarkEnd w:id="1021"/>
    <w:bookmarkEnd w:id="1022"/>
    <w:bookmarkEnd w:id="1023"/>
    <w:bookmarkEnd w:id="1024"/>
    <w:bookmarkEnd w:id="1025"/>
    <w:bookmarkEnd w:id="1026"/>
    <w:bookmarkEnd w:id="1027"/>
    <w:p w14:paraId="33D2B086">
      <w:pPr>
        <w:pStyle w:val="36"/>
        <w:spacing w:line="380" w:lineRule="exact"/>
        <w:ind w:firstLine="422" w:firstLineChars="200"/>
        <w:rPr>
          <w:rFonts w:ascii="宋体" w:cs="宋体"/>
          <w:color w:val="auto"/>
          <w:highlight w:val="none"/>
        </w:rPr>
      </w:pPr>
      <w:bookmarkStart w:id="1277" w:name="_Toc418751828"/>
      <w:bookmarkStart w:id="1278" w:name="_Toc418518378"/>
      <w:bookmarkStart w:id="1279" w:name="_Toc497746813"/>
      <w:bookmarkStart w:id="1280" w:name="_Toc373227732"/>
      <w:bookmarkStart w:id="1281" w:name="_Toc256000211"/>
      <w:bookmarkStart w:id="1282" w:name="_Toc389065298"/>
      <w:bookmarkStart w:id="1283" w:name="_Toc522201761"/>
      <w:bookmarkStart w:id="1284" w:name="_Toc3719"/>
      <w:bookmarkStart w:id="1285" w:name="_Toc373478379"/>
      <w:bookmarkStart w:id="1286" w:name="_Toc403578966"/>
      <w:bookmarkStart w:id="1287" w:name="_Toc497747210"/>
      <w:bookmarkStart w:id="1288" w:name="_Toc418518142"/>
      <w:bookmarkStart w:id="1289" w:name="_Toc418752274"/>
      <w:bookmarkStart w:id="1290" w:name="_Toc418061343"/>
      <w:r>
        <w:rPr>
          <w:rFonts w:hint="eastAsia" w:ascii="宋体" w:cs="宋体"/>
          <w:color w:val="auto"/>
          <w:highlight w:val="none"/>
        </w:rPr>
        <w:t>8.2 承包人采购材料与工程设备</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1A7B96E4">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除已标价工程量清单《发包人提供主要材料和工程设备一览表》（表-21）中明确的材料、工程设备外，由承包人负责材料和工程设备的采购、运输和保管。《</w:t>
      </w:r>
      <w:r>
        <w:rPr>
          <w:rFonts w:hint="eastAsia" w:ascii="宋体" w:hAnsi="宋体" w:cs="宋体"/>
          <w:color w:val="auto"/>
          <w:szCs w:val="21"/>
          <w:highlight w:val="none"/>
        </w:rPr>
        <w:t>承包人提供主要材料和工程设备一览表》</w:t>
      </w:r>
      <w:r>
        <w:rPr>
          <w:rFonts w:hint="eastAsia" w:ascii="宋体" w:hAnsi="宋体" w:cs="宋体"/>
          <w:color w:val="auto"/>
          <w:kern w:val="0"/>
          <w:szCs w:val="21"/>
          <w:highlight w:val="none"/>
        </w:rPr>
        <w:t>（表-22）见已标价工程量清单。</w:t>
      </w:r>
    </w:p>
    <w:p w14:paraId="243C90DD">
      <w:pPr>
        <w:pStyle w:val="36"/>
        <w:spacing w:line="380" w:lineRule="exact"/>
        <w:ind w:firstLine="422" w:firstLineChars="200"/>
        <w:rPr>
          <w:rFonts w:ascii="宋体" w:cs="宋体"/>
          <w:color w:val="auto"/>
          <w:highlight w:val="none"/>
        </w:rPr>
      </w:pPr>
      <w:bookmarkStart w:id="1291" w:name="_Toc418752275"/>
      <w:bookmarkStart w:id="1292" w:name="_Toc418061344"/>
      <w:bookmarkStart w:id="1293" w:name="_Toc418751829"/>
      <w:bookmarkStart w:id="1294" w:name="_Toc23212"/>
      <w:bookmarkStart w:id="1295" w:name="_Toc256000212"/>
      <w:bookmarkStart w:id="1296" w:name="_Toc403578967"/>
      <w:bookmarkStart w:id="1297" w:name="_Toc522201762"/>
      <w:bookmarkStart w:id="1298" w:name="_Toc497747211"/>
      <w:bookmarkStart w:id="1299" w:name="_Toc497746814"/>
      <w:bookmarkStart w:id="1300" w:name="_Toc418518143"/>
      <w:bookmarkStart w:id="1301" w:name="_Toc418518379"/>
      <w:bookmarkStart w:id="1302" w:name="_Toc389065299"/>
      <w:bookmarkStart w:id="1303" w:name="_Toc373227733"/>
      <w:bookmarkStart w:id="1304" w:name="_Toc373478380"/>
      <w:r>
        <w:rPr>
          <w:rFonts w:hint="eastAsia" w:ascii="宋体" w:cs="宋体"/>
          <w:color w:val="auto"/>
          <w:highlight w:val="none"/>
        </w:rPr>
        <w:t>8</w:t>
      </w:r>
      <w:bookmarkStart w:id="1305" w:name="_Toc296944506"/>
      <w:bookmarkStart w:id="1306" w:name="_Toc303539136"/>
      <w:bookmarkStart w:id="1307" w:name="_Toc300934979"/>
      <w:bookmarkStart w:id="1308" w:name="_Toc292559372"/>
      <w:bookmarkStart w:id="1309" w:name="_Toc296890995"/>
      <w:bookmarkStart w:id="1310" w:name="_Toc297216186"/>
      <w:bookmarkStart w:id="1311" w:name="_Toc297048353"/>
      <w:bookmarkStart w:id="1312" w:name="_Toc297120467"/>
      <w:bookmarkStart w:id="1313" w:name="_Toc297123527"/>
      <w:bookmarkStart w:id="1314" w:name="_Toc296891207"/>
      <w:bookmarkStart w:id="1315" w:name="_Toc312677493"/>
      <w:bookmarkStart w:id="1316" w:name="_Toc304295556"/>
      <w:bookmarkStart w:id="1317" w:name="_Toc296503167"/>
      <w:bookmarkStart w:id="1318" w:name="_Toc312678019"/>
      <w:bookmarkStart w:id="1319" w:name="_Toc296347166"/>
      <w:bookmarkStart w:id="1320" w:name="_Toc292559877"/>
      <w:bookmarkStart w:id="1321" w:name="_Toc280868654"/>
      <w:bookmarkStart w:id="1322" w:name="_Toc296346668"/>
      <w:bookmarkStart w:id="1323" w:name="_Toc267251424"/>
      <w:bookmarkStart w:id="1324" w:name="_Toc280868656"/>
      <w:bookmarkStart w:id="1325" w:name="_Toc280868655"/>
      <w:r>
        <w:rPr>
          <w:rFonts w:hint="eastAsia" w:ascii="宋体" w:cs="宋体"/>
          <w:color w:val="auto"/>
          <w:highlight w:val="none"/>
        </w:rPr>
        <w:t>.4 材料与工程设备的保管与使用</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14:paraId="711EC617">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8</w:t>
      </w:r>
      <w:bookmarkStart w:id="1326" w:name="_Toc292559878"/>
      <w:bookmarkStart w:id="1327" w:name="_Toc292559373"/>
      <w:bookmarkStart w:id="1328" w:name="_Toc296891208"/>
      <w:bookmarkStart w:id="1329" w:name="_Toc297216187"/>
      <w:bookmarkStart w:id="1330" w:name="_Toc296347167"/>
      <w:bookmarkStart w:id="1331" w:name="_Toc297048354"/>
      <w:bookmarkStart w:id="1332" w:name="_Toc312678020"/>
      <w:bookmarkStart w:id="1333" w:name="_Toc296944507"/>
      <w:bookmarkStart w:id="1334" w:name="_Toc296890996"/>
      <w:bookmarkStart w:id="1335" w:name="_Toc297120468"/>
      <w:bookmarkStart w:id="1336" w:name="_Toc297123528"/>
      <w:bookmarkStart w:id="1337" w:name="_Toc312677494"/>
      <w:bookmarkStart w:id="1338" w:name="_Toc303539137"/>
      <w:bookmarkStart w:id="1339" w:name="_Toc304295557"/>
      <w:bookmarkStart w:id="1340" w:name="_Toc296346669"/>
      <w:bookmarkStart w:id="1341" w:name="_Toc296503168"/>
      <w:bookmarkStart w:id="1342" w:name="_Toc318581173"/>
      <w:bookmarkStart w:id="1343" w:name="_Toc300934980"/>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发包人供应的材料和设备经三方验收合格后，保管费用由承包人承担</w:t>
      </w:r>
      <w:r>
        <w:rPr>
          <w:rFonts w:hint="eastAsia" w:ascii="宋体" w:hAnsi="宋体" w:cs="宋体"/>
          <w:color w:val="auto"/>
          <w:szCs w:val="21"/>
          <w:highlight w:val="none"/>
        </w:rPr>
        <w:t>。</w:t>
      </w:r>
    </w:p>
    <w:bookmarkEnd w:id="1326"/>
    <w:bookmarkEnd w:id="1327"/>
    <w:p w14:paraId="66105D4F">
      <w:pPr>
        <w:pStyle w:val="36"/>
        <w:spacing w:line="380" w:lineRule="exact"/>
        <w:ind w:firstLine="422" w:firstLineChars="200"/>
        <w:rPr>
          <w:rFonts w:ascii="宋体" w:cs="宋体"/>
          <w:color w:val="auto"/>
          <w:highlight w:val="none"/>
        </w:rPr>
      </w:pPr>
      <w:bookmarkStart w:id="1344" w:name="_Toc403578968"/>
      <w:bookmarkStart w:id="1345" w:name="_Toc497746815"/>
      <w:bookmarkStart w:id="1346" w:name="_Toc373227734"/>
      <w:bookmarkStart w:id="1347" w:name="_Toc7018"/>
      <w:bookmarkStart w:id="1348" w:name="_Toc418061345"/>
      <w:bookmarkStart w:id="1349" w:name="_Toc418518144"/>
      <w:bookmarkStart w:id="1350" w:name="_Toc256000213"/>
      <w:bookmarkStart w:id="1351" w:name="_Toc418751830"/>
      <w:bookmarkStart w:id="1352" w:name="_Toc373478381"/>
      <w:bookmarkStart w:id="1353" w:name="_Toc418752276"/>
      <w:bookmarkStart w:id="1354" w:name="_Toc389065300"/>
      <w:bookmarkStart w:id="1355" w:name="_Toc522201763"/>
      <w:bookmarkStart w:id="1356" w:name="_Toc497747212"/>
      <w:bookmarkStart w:id="1357" w:name="_Toc418518380"/>
      <w:r>
        <w:rPr>
          <w:rFonts w:hint="eastAsia" w:ascii="宋体" w:cs="宋体"/>
          <w:color w:val="auto"/>
          <w:highlight w:val="none"/>
        </w:rPr>
        <w:t>8.6 样品</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4D4285AD">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7FD422DD">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主要材料涉及品种、款式、颜色等方面内容的，承包人在进货前需将货物样品报送监理或发包人现场办公室，待设计及发包人确认样品，并封存样品后，承包人方可订货。除上述材料外招标文件和招标工程量清单中对材料、设备有档次或质量要求的，按招标文件和招标工程量清单确定；其他由合同各方协商确定。</w:t>
      </w:r>
    </w:p>
    <w:p w14:paraId="6F157B63">
      <w:pPr>
        <w:pStyle w:val="36"/>
        <w:spacing w:line="380" w:lineRule="exact"/>
        <w:ind w:firstLine="422" w:firstLineChars="200"/>
        <w:rPr>
          <w:rFonts w:ascii="宋体" w:cs="宋体"/>
          <w:color w:val="auto"/>
          <w:highlight w:val="none"/>
        </w:rPr>
      </w:pPr>
      <w:bookmarkStart w:id="1358" w:name="_Toc389065301"/>
      <w:bookmarkStart w:id="1359" w:name="_Toc373227735"/>
      <w:bookmarkStart w:id="1360" w:name="_Toc373478382"/>
      <w:bookmarkStart w:id="1361" w:name="_Toc522201764"/>
      <w:bookmarkStart w:id="1362" w:name="_Toc418518381"/>
      <w:bookmarkStart w:id="1363" w:name="_Toc418061346"/>
      <w:bookmarkStart w:id="1364" w:name="_Toc418518145"/>
      <w:bookmarkStart w:id="1365" w:name="_Toc497747213"/>
      <w:bookmarkStart w:id="1366" w:name="_Toc403578969"/>
      <w:bookmarkStart w:id="1367" w:name="_Toc5914"/>
      <w:bookmarkStart w:id="1368" w:name="_Toc256000214"/>
      <w:bookmarkStart w:id="1369" w:name="_Toc497746816"/>
      <w:bookmarkStart w:id="1370" w:name="_Toc418751831"/>
      <w:bookmarkStart w:id="1371" w:name="_Toc418752277"/>
      <w:r>
        <w:rPr>
          <w:rFonts w:hint="eastAsia" w:ascii="宋体" w:cs="宋体"/>
          <w:color w:val="auto"/>
          <w:highlight w:val="none"/>
        </w:rPr>
        <w:t>8.8 施工设备和临时设施</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03C24616">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35C04F9C">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7F6C299">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0BF41C66">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5E5740B6">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090096A1">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452282A6">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④承包人在发包人拟开发区域内已经搭设的施工现场办公等临时设施，一旦发包人因开发需要，通知承包人搬迁、拆除的，承包人应无条件在规定期限内搬迁、拆除，发包人不另行支付搬迁、拆除等费用。承包人自行解决民工住宿问题，并承担因此而增加的交通费用、工人生产降效等相关费用。</w:t>
      </w:r>
    </w:p>
    <w:p w14:paraId="053A5C16">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487E76B8">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727AB3F">
      <w:pPr>
        <w:pStyle w:val="21"/>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承包人  </w:t>
      </w:r>
      <w:r>
        <w:rPr>
          <w:rFonts w:hint="eastAsia" w:ascii="宋体" w:hAnsi="宋体" w:cs="宋体"/>
          <w:color w:val="auto"/>
          <w:szCs w:val="21"/>
          <w:highlight w:val="none"/>
        </w:rPr>
        <w:t>。</w:t>
      </w:r>
    </w:p>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14:paraId="57E9EB9E">
      <w:pPr>
        <w:pStyle w:val="36"/>
        <w:spacing w:line="380" w:lineRule="exact"/>
        <w:rPr>
          <w:rFonts w:ascii="宋体" w:cs="宋体"/>
          <w:color w:val="auto"/>
          <w:highlight w:val="none"/>
        </w:rPr>
      </w:pPr>
      <w:bookmarkStart w:id="1372" w:name="_Toc373227736"/>
      <w:bookmarkStart w:id="1373" w:name="_Toc418518146"/>
      <w:bookmarkStart w:id="1374" w:name="_Toc418751832"/>
      <w:bookmarkStart w:id="1375" w:name="_Toc256000215"/>
      <w:bookmarkStart w:id="1376" w:name="_Toc522201765"/>
      <w:bookmarkStart w:id="1377" w:name="_Toc8701"/>
      <w:bookmarkStart w:id="1378" w:name="_Toc418752278"/>
      <w:bookmarkStart w:id="1379" w:name="_Toc403578970"/>
      <w:bookmarkStart w:id="1380" w:name="_Toc497747214"/>
      <w:bookmarkStart w:id="1381" w:name="_Toc497746817"/>
      <w:bookmarkStart w:id="1382" w:name="_Toc418061347"/>
      <w:bookmarkStart w:id="1383" w:name="_Toc351203641"/>
      <w:bookmarkStart w:id="1384" w:name="_Toc418518382"/>
      <w:bookmarkStart w:id="1385" w:name="_Toc389065302"/>
      <w:bookmarkStart w:id="1386" w:name="_Toc373478383"/>
      <w:r>
        <w:rPr>
          <w:rFonts w:hint="eastAsia" w:ascii="宋体" w:cs="宋体"/>
          <w:color w:val="auto"/>
          <w:highlight w:val="none"/>
        </w:rPr>
        <w:t>9</w:t>
      </w:r>
      <w:bookmarkEnd w:id="1323"/>
      <w:bookmarkEnd w:id="1324"/>
      <w:bookmarkEnd w:id="1325"/>
      <w:bookmarkStart w:id="1387" w:name="_Toc303539139"/>
      <w:bookmarkStart w:id="1388" w:name="_Toc297123533"/>
      <w:bookmarkStart w:id="1389" w:name="_Toc304295559"/>
      <w:bookmarkStart w:id="1390" w:name="_Toc297216192"/>
      <w:bookmarkStart w:id="1391" w:name="_Toc312678021"/>
      <w:bookmarkStart w:id="1392" w:name="_Toc312677495"/>
      <w:bookmarkStart w:id="1393" w:name="_Toc300934982"/>
      <w:bookmarkStart w:id="1394" w:name="_Toc296346674"/>
      <w:bookmarkStart w:id="1395" w:name="_Toc267251427"/>
      <w:bookmarkStart w:id="1396" w:name="_Toc296347172"/>
      <w:bookmarkStart w:id="1397" w:name="_Toc296503173"/>
      <w:bookmarkStart w:id="1398" w:name="_Toc292559883"/>
      <w:bookmarkStart w:id="1399" w:name="_Toc292559378"/>
      <w:bookmarkStart w:id="1400" w:name="_Toc297120473"/>
      <w:bookmarkStart w:id="1401" w:name="_Toc296944512"/>
      <w:bookmarkStart w:id="1402" w:name="_Toc267251428"/>
      <w:bookmarkStart w:id="1403" w:name="_Toc296891213"/>
      <w:bookmarkStart w:id="1404" w:name="_Toc296891001"/>
      <w:bookmarkStart w:id="1405" w:name="_Toc297048359"/>
      <w:r>
        <w:rPr>
          <w:rFonts w:hint="eastAsia" w:ascii="宋体" w:cs="宋体"/>
          <w:color w:val="auto"/>
          <w:highlight w:val="none"/>
        </w:rPr>
        <w:t>. 试验与检验</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bookmarkEnd w:id="1387"/>
    <w:bookmarkEnd w:id="1388"/>
    <w:bookmarkEnd w:id="1389"/>
    <w:bookmarkEnd w:id="1390"/>
    <w:bookmarkEnd w:id="1391"/>
    <w:bookmarkEnd w:id="1392"/>
    <w:bookmarkEnd w:id="1393"/>
    <w:p w14:paraId="34B0D77A">
      <w:pPr>
        <w:pStyle w:val="36"/>
        <w:spacing w:line="380" w:lineRule="exact"/>
        <w:ind w:firstLine="422" w:firstLineChars="200"/>
        <w:rPr>
          <w:rFonts w:ascii="宋体" w:cs="宋体"/>
          <w:color w:val="auto"/>
          <w:highlight w:val="none"/>
        </w:rPr>
      </w:pPr>
      <w:bookmarkStart w:id="1406" w:name="_Toc389065303"/>
      <w:bookmarkStart w:id="1407" w:name="_Toc418061348"/>
      <w:bookmarkStart w:id="1408" w:name="_Toc497746818"/>
      <w:bookmarkStart w:id="1409" w:name="_Toc418751833"/>
      <w:bookmarkStart w:id="1410" w:name="_Toc418752279"/>
      <w:bookmarkStart w:id="1411" w:name="_Toc418518147"/>
      <w:bookmarkStart w:id="1412" w:name="_Toc8303"/>
      <w:bookmarkStart w:id="1413" w:name="_Toc373478384"/>
      <w:bookmarkStart w:id="1414" w:name="_Toc403578971"/>
      <w:bookmarkStart w:id="1415" w:name="_Toc256000216"/>
      <w:bookmarkStart w:id="1416" w:name="_Toc373227737"/>
      <w:bookmarkStart w:id="1417" w:name="_Toc522201766"/>
      <w:bookmarkStart w:id="1418" w:name="_Toc497747215"/>
      <w:bookmarkStart w:id="1419" w:name="_Toc418518383"/>
      <w:r>
        <w:rPr>
          <w:rFonts w:hint="eastAsia" w:ascii="宋体" w:cs="宋体"/>
          <w:color w:val="auto"/>
          <w:highlight w:val="none"/>
        </w:rPr>
        <w:t>9</w:t>
      </w:r>
      <w:bookmarkStart w:id="1420" w:name="_Toc312678022"/>
      <w:bookmarkStart w:id="1421" w:name="_Toc297123534"/>
      <w:bookmarkStart w:id="1422" w:name="_Toc297216193"/>
      <w:bookmarkStart w:id="1423" w:name="_Toc303539140"/>
      <w:bookmarkStart w:id="1424" w:name="_Toc304295560"/>
      <w:bookmarkStart w:id="1425" w:name="_Toc300934983"/>
      <w:bookmarkStart w:id="1426" w:name="_Toc312677496"/>
      <w:r>
        <w:rPr>
          <w:rFonts w:hint="eastAsia" w:ascii="宋体" w:cs="宋体"/>
          <w:color w:val="auto"/>
          <w:highlight w:val="none"/>
        </w:rPr>
        <w:t>.1 试验设备与试验人员</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bookmarkEnd w:id="1420"/>
    <w:bookmarkEnd w:id="1421"/>
    <w:bookmarkEnd w:id="1422"/>
    <w:bookmarkEnd w:id="1423"/>
    <w:bookmarkEnd w:id="1424"/>
    <w:bookmarkEnd w:id="1425"/>
    <w:bookmarkEnd w:id="1426"/>
    <w:p w14:paraId="73293F0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1427" w:name="_Toc300934984"/>
      <w:bookmarkStart w:id="1428" w:name="_Toc303539141"/>
      <w:bookmarkStart w:id="1429" w:name="_Toc312678023"/>
      <w:bookmarkStart w:id="1430" w:name="_Toc312677497"/>
      <w:bookmarkStart w:id="1431" w:name="_Toc297123535"/>
      <w:bookmarkStart w:id="1432" w:name="_Toc297216194"/>
      <w:bookmarkStart w:id="1433" w:name="_Toc304295561"/>
      <w:bookmarkStart w:id="1434" w:name="_Toc318581174"/>
      <w:r>
        <w:rPr>
          <w:rFonts w:hint="eastAsia" w:ascii="宋体" w:hAnsi="宋体" w:cs="宋体"/>
          <w:color w:val="auto"/>
          <w:szCs w:val="21"/>
          <w:highlight w:val="none"/>
        </w:rPr>
        <w:t>.1.2 试验设备</w:t>
      </w:r>
    </w:p>
    <w:bookmarkEnd w:id="1427"/>
    <w:bookmarkEnd w:id="1428"/>
    <w:bookmarkEnd w:id="1429"/>
    <w:bookmarkEnd w:id="1430"/>
    <w:bookmarkEnd w:id="1431"/>
    <w:bookmarkEnd w:id="1432"/>
    <w:bookmarkEnd w:id="1433"/>
    <w:p w14:paraId="0C180B8C">
      <w:pPr>
        <w:pStyle w:val="21"/>
        <w:spacing w:line="380" w:lineRule="exact"/>
        <w:ind w:firstLine="420" w:firstLineChars="200"/>
        <w:jc w:val="left"/>
        <w:rPr>
          <w:rFonts w:ascii="宋体" w:hAnsi="宋体" w:cs="宋体"/>
          <w:color w:val="auto"/>
          <w:szCs w:val="21"/>
          <w:highlight w:val="none"/>
        </w:rPr>
      </w:pPr>
      <w:bookmarkStart w:id="1435" w:name="_Toc300934985"/>
      <w:bookmarkStart w:id="1436" w:name="_Toc297216195"/>
      <w:bookmarkStart w:id="1437" w:name="_Toc297123536"/>
      <w:bookmarkStart w:id="1438" w:name="_Toc303539142"/>
      <w:bookmarkStart w:id="1439" w:name="_Toc304295562"/>
      <w:bookmarkStart w:id="1440" w:name="_Toc312678024"/>
      <w:bookmarkStart w:id="1441" w:name="_Toc312677498"/>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 xml:space="preserve">。 </w:t>
      </w:r>
    </w:p>
    <w:p w14:paraId="030C3AAB">
      <w:pPr>
        <w:pStyle w:val="21"/>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0FB6193F">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0DC968C7">
      <w:pPr>
        <w:pStyle w:val="36"/>
        <w:spacing w:line="380" w:lineRule="exact"/>
        <w:ind w:firstLine="422" w:firstLineChars="200"/>
        <w:rPr>
          <w:rFonts w:ascii="宋体" w:cs="宋体"/>
          <w:color w:val="auto"/>
          <w:highlight w:val="none"/>
        </w:rPr>
      </w:pPr>
      <w:bookmarkStart w:id="1442" w:name="_Toc373478385"/>
      <w:bookmarkStart w:id="1443" w:name="_Toc256000217"/>
      <w:bookmarkStart w:id="1444" w:name="_Toc497746819"/>
      <w:bookmarkStart w:id="1445" w:name="_Toc522201767"/>
      <w:bookmarkStart w:id="1446" w:name="_Toc15606"/>
      <w:bookmarkStart w:id="1447" w:name="_Toc418518148"/>
      <w:bookmarkStart w:id="1448" w:name="_Toc418751834"/>
      <w:bookmarkStart w:id="1449" w:name="_Toc389065304"/>
      <w:bookmarkStart w:id="1450" w:name="_Toc497747216"/>
      <w:bookmarkStart w:id="1451" w:name="_Toc418061349"/>
      <w:bookmarkStart w:id="1452" w:name="_Toc418518384"/>
      <w:bookmarkStart w:id="1453" w:name="_Toc373227738"/>
      <w:bookmarkStart w:id="1454" w:name="_Toc418752280"/>
      <w:bookmarkStart w:id="1455" w:name="_Toc403578972"/>
      <w:r>
        <w:rPr>
          <w:rFonts w:hint="eastAsia" w:ascii="宋体" w:cs="宋体"/>
          <w:color w:val="auto"/>
          <w:highlight w:val="none"/>
        </w:rPr>
        <w:t>9.4 现场工艺试验</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Pr>
          <w:rFonts w:hint="eastAsia" w:ascii="宋体" w:cs="宋体"/>
          <w:color w:val="auto"/>
          <w:highlight w:val="none"/>
        </w:rPr>
        <w:t xml:space="preserve"> </w:t>
      </w:r>
    </w:p>
    <w:p w14:paraId="0596E98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按通用条款执行</w:t>
      </w:r>
      <w:r>
        <w:rPr>
          <w:rFonts w:hint="eastAsia" w:ascii="宋体" w:hAnsi="宋体" w:cs="宋体"/>
          <w:color w:val="auto"/>
          <w:szCs w:val="21"/>
          <w:highlight w:val="none"/>
        </w:rPr>
        <w:t>。</w:t>
      </w:r>
      <w:bookmarkStart w:id="1456" w:name="_Toc406522259"/>
      <w:bookmarkStart w:id="1457" w:name="_Toc406420990"/>
      <w:bookmarkStart w:id="1458" w:name="_Toc395382541"/>
      <w:bookmarkStart w:id="1459" w:name="OLE_LINK1"/>
    </w:p>
    <w:p w14:paraId="76E6E623">
      <w:pPr>
        <w:pStyle w:val="21"/>
        <w:spacing w:line="38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1456"/>
      <w:bookmarkEnd w:id="1457"/>
      <w:bookmarkEnd w:id="1458"/>
    </w:p>
    <w:p w14:paraId="2589A76A">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1459"/>
    </w:p>
    <w:bookmarkEnd w:id="1434"/>
    <w:bookmarkEnd w:id="1435"/>
    <w:bookmarkEnd w:id="1436"/>
    <w:bookmarkEnd w:id="1437"/>
    <w:bookmarkEnd w:id="1438"/>
    <w:bookmarkEnd w:id="1439"/>
    <w:bookmarkEnd w:id="1440"/>
    <w:bookmarkEnd w:id="1441"/>
    <w:p w14:paraId="1A2D05AF">
      <w:pPr>
        <w:pStyle w:val="36"/>
        <w:spacing w:line="380" w:lineRule="exact"/>
        <w:rPr>
          <w:rFonts w:ascii="宋体" w:cs="宋体"/>
          <w:color w:val="auto"/>
          <w:highlight w:val="none"/>
        </w:rPr>
      </w:pPr>
      <w:bookmarkStart w:id="1460" w:name="_Toc497747218"/>
      <w:bookmarkStart w:id="1461" w:name="_Toc418751836"/>
      <w:bookmarkStart w:id="1462" w:name="_Toc351203642"/>
      <w:bookmarkStart w:id="1463" w:name="_Toc58"/>
      <w:bookmarkStart w:id="1464" w:name="_Toc418518150"/>
      <w:bookmarkStart w:id="1465" w:name="_Toc373478386"/>
      <w:bookmarkStart w:id="1466" w:name="_Toc403578974"/>
      <w:bookmarkStart w:id="1467" w:name="_Toc418752282"/>
      <w:bookmarkStart w:id="1468" w:name="_Toc497746821"/>
      <w:bookmarkStart w:id="1469" w:name="_Toc418061351"/>
      <w:bookmarkStart w:id="1470" w:name="_Toc373227739"/>
      <w:bookmarkStart w:id="1471" w:name="_Toc389065305"/>
      <w:bookmarkStart w:id="1472" w:name="_Toc522201768"/>
      <w:bookmarkStart w:id="1473" w:name="_Toc418518386"/>
      <w:bookmarkStart w:id="1474" w:name="_Toc256000218"/>
      <w:r>
        <w:rPr>
          <w:rFonts w:hint="eastAsia" w:ascii="宋体" w:cs="宋体"/>
          <w:color w:val="auto"/>
          <w:highlight w:val="none"/>
        </w:rPr>
        <w:t>1</w:t>
      </w:r>
      <w:bookmarkEnd w:id="1394"/>
      <w:bookmarkEnd w:id="1395"/>
      <w:bookmarkEnd w:id="1396"/>
      <w:bookmarkEnd w:id="1397"/>
      <w:bookmarkEnd w:id="1398"/>
      <w:bookmarkEnd w:id="1399"/>
      <w:bookmarkEnd w:id="1400"/>
      <w:bookmarkEnd w:id="1401"/>
      <w:bookmarkEnd w:id="1402"/>
      <w:bookmarkEnd w:id="1403"/>
      <w:bookmarkEnd w:id="1404"/>
      <w:bookmarkEnd w:id="1405"/>
      <w:bookmarkStart w:id="1475" w:name="_Toc296891021"/>
      <w:bookmarkStart w:id="1476" w:name="_Toc300934989"/>
      <w:bookmarkStart w:id="1477" w:name="_Toc297123540"/>
      <w:bookmarkStart w:id="1478" w:name="_Toc304295566"/>
      <w:bookmarkStart w:id="1479" w:name="_Toc297048379"/>
      <w:bookmarkStart w:id="1480" w:name="_Toc296891233"/>
      <w:bookmarkStart w:id="1481" w:name="_Toc296503193"/>
      <w:bookmarkStart w:id="1482" w:name="_Toc296944532"/>
      <w:bookmarkStart w:id="1483" w:name="_Toc292559398"/>
      <w:bookmarkStart w:id="1484" w:name="_Toc296346694"/>
      <w:bookmarkStart w:id="1485" w:name="_Toc297216199"/>
      <w:bookmarkStart w:id="1486" w:name="_Toc296347192"/>
      <w:bookmarkStart w:id="1487" w:name="_Toc297120493"/>
      <w:bookmarkStart w:id="1488" w:name="_Toc292559903"/>
      <w:bookmarkStart w:id="1489" w:name="_Toc303539146"/>
      <w:bookmarkStart w:id="1490" w:name="_Toc312677499"/>
      <w:bookmarkStart w:id="1491" w:name="_Toc312678025"/>
      <w:bookmarkStart w:id="1492" w:name="_Toc267251437"/>
      <w:bookmarkStart w:id="1493" w:name="_Toc267251435"/>
      <w:bookmarkStart w:id="1494" w:name="_Toc267251433"/>
      <w:bookmarkStart w:id="1495" w:name="_Toc267251439"/>
      <w:bookmarkStart w:id="1496" w:name="_Toc267251440"/>
      <w:bookmarkStart w:id="1497" w:name="_Toc267251441"/>
      <w:bookmarkStart w:id="1498" w:name="_Toc267251442"/>
      <w:r>
        <w:rPr>
          <w:rFonts w:hint="eastAsia" w:ascii="宋体" w:cs="宋体"/>
          <w:color w:val="auto"/>
          <w:highlight w:val="none"/>
        </w:rPr>
        <w:t>0. 变更</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bookmarkEnd w:id="1490"/>
    <w:bookmarkEnd w:id="1491"/>
    <w:p w14:paraId="45F0D376">
      <w:pPr>
        <w:pStyle w:val="36"/>
        <w:spacing w:line="380" w:lineRule="exact"/>
        <w:ind w:firstLine="422" w:firstLineChars="200"/>
        <w:rPr>
          <w:rFonts w:ascii="宋体" w:cs="宋体"/>
          <w:color w:val="auto"/>
          <w:highlight w:val="none"/>
        </w:rPr>
      </w:pPr>
      <w:bookmarkStart w:id="1499" w:name="_Toc418518151"/>
      <w:bookmarkStart w:id="1500" w:name="_Toc403578975"/>
      <w:bookmarkStart w:id="1501" w:name="_Toc389065306"/>
      <w:bookmarkStart w:id="1502" w:name="_Toc418752283"/>
      <w:bookmarkStart w:id="1503" w:name="_Toc418751837"/>
      <w:bookmarkStart w:id="1504" w:name="_Toc256000219"/>
      <w:bookmarkStart w:id="1505" w:name="_Toc522201769"/>
      <w:bookmarkStart w:id="1506" w:name="_Toc373227740"/>
      <w:bookmarkStart w:id="1507" w:name="_Toc497746822"/>
      <w:bookmarkStart w:id="1508" w:name="_Toc418518387"/>
      <w:bookmarkStart w:id="1509" w:name="_Toc2710"/>
      <w:bookmarkStart w:id="1510" w:name="_Toc373478387"/>
      <w:bookmarkStart w:id="1511" w:name="_Toc497747219"/>
      <w:bookmarkStart w:id="1512" w:name="_Toc418061352"/>
      <w:r>
        <w:rPr>
          <w:rFonts w:hint="eastAsia" w:ascii="宋体" w:cs="宋体"/>
          <w:color w:val="auto"/>
          <w:highlight w:val="none"/>
        </w:rPr>
        <w:t>1</w:t>
      </w:r>
      <w:bookmarkStart w:id="1513" w:name="_Toc296891234"/>
      <w:bookmarkStart w:id="1514" w:name="_Toc292559904"/>
      <w:bookmarkStart w:id="1515" w:name="_Toc296503194"/>
      <w:bookmarkStart w:id="1516" w:name="_Toc312678026"/>
      <w:bookmarkStart w:id="1517" w:name="_Toc297048380"/>
      <w:bookmarkStart w:id="1518" w:name="_Toc304295567"/>
      <w:bookmarkStart w:id="1519" w:name="_Toc296891022"/>
      <w:bookmarkStart w:id="1520" w:name="_Toc297216200"/>
      <w:bookmarkStart w:id="1521" w:name="_Toc292559399"/>
      <w:bookmarkStart w:id="1522" w:name="_Toc303539147"/>
      <w:bookmarkStart w:id="1523" w:name="_Toc312677500"/>
      <w:bookmarkStart w:id="1524" w:name="_Toc297120494"/>
      <w:bookmarkStart w:id="1525" w:name="_Toc300934990"/>
      <w:bookmarkStart w:id="1526" w:name="_Toc296347193"/>
      <w:bookmarkStart w:id="1527" w:name="_Toc296346695"/>
      <w:bookmarkStart w:id="1528" w:name="_Toc296944533"/>
      <w:bookmarkStart w:id="1529" w:name="_Toc297123541"/>
      <w:r>
        <w:rPr>
          <w:rFonts w:hint="eastAsia" w:ascii="宋体" w:cs="宋体"/>
          <w:color w:val="auto"/>
          <w:highlight w:val="none"/>
        </w:rPr>
        <w:t>0.1 变更的范围</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56335B55">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关于变更的范围的约定：</w:t>
      </w:r>
      <w:r>
        <w:rPr>
          <w:rFonts w:hint="eastAsia" w:ascii="宋体" w:hAnsi="宋体" w:cs="宋体"/>
          <w:color w:val="auto"/>
          <w:szCs w:val="21"/>
          <w:highlight w:val="none"/>
          <w:u w:val="single"/>
        </w:rPr>
        <w:t>施工期间因不可预见因素或发包人要求所发生的工程量增减（由变更、签证产生），其工程量按实际发生并经监理工程师及发包人签证认可，工程变更综合单价按专用条款第10.4点规定执行</w:t>
      </w:r>
      <w:r>
        <w:rPr>
          <w:rFonts w:hint="eastAsia" w:ascii="宋体" w:hAnsi="宋体" w:cs="宋体"/>
          <w:color w:val="auto"/>
          <w:szCs w:val="21"/>
          <w:highlight w:val="none"/>
        </w:rPr>
        <w:t>。</w:t>
      </w:r>
      <w:bookmarkStart w:id="1530" w:name="_Toc389065307"/>
      <w:bookmarkStart w:id="1531" w:name="_Toc406522262"/>
      <w:bookmarkStart w:id="1532" w:name="_Toc373227741"/>
      <w:bookmarkStart w:id="1533" w:name="_Toc373478388"/>
      <w:bookmarkStart w:id="1534" w:name="_Toc395382544"/>
    </w:p>
    <w:p w14:paraId="4630E182">
      <w:pPr>
        <w:pStyle w:val="36"/>
        <w:spacing w:line="380" w:lineRule="exact"/>
        <w:ind w:firstLine="422" w:firstLineChars="200"/>
        <w:rPr>
          <w:rFonts w:ascii="宋体" w:cs="宋体"/>
          <w:color w:val="auto"/>
          <w:highlight w:val="none"/>
        </w:rPr>
      </w:pPr>
      <w:bookmarkStart w:id="1535" w:name="_Toc21241"/>
      <w:bookmarkStart w:id="1536" w:name="_Toc256000220"/>
      <w:r>
        <w:rPr>
          <w:rFonts w:hint="eastAsia" w:ascii="宋体" w:cs="宋体"/>
          <w:color w:val="auto"/>
          <w:highlight w:val="none"/>
        </w:rPr>
        <w:t>10.3 变更程序</w:t>
      </w:r>
      <w:bookmarkEnd w:id="1530"/>
      <w:bookmarkEnd w:id="1531"/>
      <w:bookmarkEnd w:id="1532"/>
      <w:bookmarkEnd w:id="1533"/>
      <w:bookmarkEnd w:id="1534"/>
      <w:bookmarkEnd w:id="1535"/>
      <w:bookmarkEnd w:id="1536"/>
    </w:p>
    <w:p w14:paraId="09868DD0">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10.3.1 国有投资项目：</w:t>
      </w:r>
    </w:p>
    <w:p w14:paraId="5A522812">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⑴设计变更和工程签证，按各市政府或相关部门的规定办理。属不可抗力（自然灾害、突发事件等）造成变更的，按特事特办原则予以办理。</w:t>
      </w:r>
    </w:p>
    <w:p w14:paraId="4462C249">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⑵发包人在实施项目过程中，若发生单价变动，由发包人、监理单位、承包人及其他相关单位共同商定并签字确认。</w:t>
      </w:r>
    </w:p>
    <w:p w14:paraId="0479FA5F">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2D4C2D28">
      <w:pPr>
        <w:pStyle w:val="21"/>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10.3.2 非国有投资项目： 同通用条款。</w:t>
      </w:r>
    </w:p>
    <w:p w14:paraId="73B77324">
      <w:pPr>
        <w:pStyle w:val="36"/>
        <w:spacing w:line="380" w:lineRule="exact"/>
        <w:ind w:firstLine="422" w:firstLineChars="200"/>
        <w:rPr>
          <w:rFonts w:ascii="宋体" w:cs="宋体"/>
          <w:color w:val="auto"/>
          <w:highlight w:val="none"/>
        </w:rPr>
      </w:pPr>
      <w:bookmarkStart w:id="1537" w:name="_Toc22425"/>
      <w:bookmarkStart w:id="1538" w:name="_Toc389065308"/>
      <w:bookmarkStart w:id="1539" w:name="_Toc497746824"/>
      <w:bookmarkStart w:id="1540" w:name="_Toc373227742"/>
      <w:bookmarkStart w:id="1541" w:name="_Toc373478389"/>
      <w:bookmarkStart w:id="1542" w:name="_Toc418061354"/>
      <w:bookmarkStart w:id="1543" w:name="_Toc418751839"/>
      <w:bookmarkStart w:id="1544" w:name="_Toc418518389"/>
      <w:bookmarkStart w:id="1545" w:name="_Toc403578977"/>
      <w:bookmarkStart w:id="1546" w:name="_Toc256000221"/>
      <w:bookmarkStart w:id="1547" w:name="_Toc522201770"/>
      <w:bookmarkStart w:id="1548" w:name="_Toc418752285"/>
      <w:bookmarkStart w:id="1549" w:name="_Toc418518153"/>
      <w:bookmarkStart w:id="1550" w:name="_Toc497747221"/>
      <w:r>
        <w:rPr>
          <w:rFonts w:hint="eastAsia" w:ascii="宋体" w:cs="宋体"/>
          <w:color w:val="auto"/>
          <w:highlight w:val="none"/>
        </w:rPr>
        <w:t>10.4 变更估价</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58034E79">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67FA99CE">
      <w:pPr>
        <w:pStyle w:val="21"/>
        <w:spacing w:line="380" w:lineRule="exact"/>
        <w:ind w:firstLine="426"/>
        <w:rPr>
          <w:rFonts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rFonts w:hint="eastAsia" w:ascii="宋体" w:hAnsi="宋体" w:cs="宋体"/>
          <w:color w:val="auto"/>
          <w:szCs w:val="21"/>
          <w:highlight w:val="none"/>
          <w:u w:val="single"/>
        </w:rPr>
        <w:t>（1）、投标报价中已有适用于变更工程的综合单价，按已有的综合单价；（2）、投标报价中有类似变更工程的综合单价，可参照投标报价中类似的综合单价确定；（3）、</w:t>
      </w:r>
      <w:r>
        <w:rPr>
          <w:rFonts w:ascii="宋体" w:hAnsi="宋体" w:cs="宋体"/>
          <w:color w:val="auto"/>
          <w:szCs w:val="21"/>
          <w:highlight w:val="none"/>
          <w:u w:val="single"/>
        </w:rPr>
        <w:t>投标报价中没有适用或类似于变更工程的综合单价，则有定额的套用定额计算，执行本工程编制招标控制价的参考依据，其中材料价格有信息价的按合同该新增子项实施期间《</w:t>
      </w:r>
      <w:r>
        <w:rPr>
          <w:rFonts w:hint="eastAsia" w:ascii="宋体" w:hAnsi="宋体" w:cs="宋体"/>
          <w:color w:val="auto"/>
          <w:szCs w:val="21"/>
          <w:highlight w:val="none"/>
          <w:u w:val="single"/>
          <w:lang w:eastAsia="zh-CN"/>
        </w:rPr>
        <w:t>贵港市</w:t>
      </w:r>
      <w:r>
        <w:rPr>
          <w:rFonts w:ascii="宋体" w:hAnsi="宋体" w:cs="宋体"/>
          <w:color w:val="auto"/>
          <w:szCs w:val="21"/>
          <w:highlight w:val="none"/>
          <w:u w:val="single"/>
        </w:rPr>
        <w:t>建设工程造价信息》的平均价计取（信息价无相关信息的参照信息价中</w:t>
      </w:r>
      <w:r>
        <w:rPr>
          <w:rFonts w:hint="eastAsia" w:ascii="宋体" w:hAnsi="宋体" w:cs="宋体"/>
          <w:color w:val="auto"/>
          <w:szCs w:val="21"/>
          <w:highlight w:val="none"/>
          <w:u w:val="single"/>
          <w:lang w:eastAsia="zh-CN"/>
        </w:rPr>
        <w:t>贵港市</w:t>
      </w:r>
      <w:r>
        <w:rPr>
          <w:rFonts w:ascii="宋体" w:hAnsi="宋体" w:cs="宋体"/>
          <w:color w:val="auto"/>
          <w:szCs w:val="21"/>
          <w:highlight w:val="none"/>
          <w:u w:val="single"/>
        </w:rPr>
        <w:t>的平均价），无信息价时按市场价格共同协商初步确定；此类工程结算综合单价=按现行定额计算（管理费、利润取中值）的综合单价×中标下浮系数（中标人的投标报价÷经财政部门审核后的</w:t>
      </w:r>
      <w:r>
        <w:rPr>
          <w:rFonts w:hint="eastAsia" w:ascii="宋体" w:hAnsi="宋体" w:cs="宋体"/>
          <w:color w:val="auto"/>
          <w:szCs w:val="21"/>
          <w:highlight w:val="none"/>
          <w:u w:val="single"/>
          <w:lang w:val="en-US" w:eastAsia="zh-CN"/>
        </w:rPr>
        <w:t>控制</w:t>
      </w:r>
      <w:r>
        <w:rPr>
          <w:rFonts w:ascii="宋体" w:hAnsi="宋体" w:cs="宋体"/>
          <w:color w:val="auto"/>
          <w:szCs w:val="21"/>
          <w:highlight w:val="none"/>
          <w:u w:val="single"/>
        </w:rPr>
        <w:t>价），新增项目无定额可套用时，由发包人、承包人及监理三方共同协商初步确定，最终以</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lang w:eastAsia="zh-CN"/>
        </w:rPr>
        <w:t>财政局</w:t>
      </w:r>
      <w:r>
        <w:rPr>
          <w:rFonts w:ascii="宋体" w:hAnsi="宋体" w:cs="宋体"/>
          <w:color w:val="auto"/>
          <w:szCs w:val="21"/>
          <w:highlight w:val="none"/>
          <w:u w:val="single"/>
        </w:rPr>
        <w:t>审定或审计单位审定</w:t>
      </w:r>
      <w:r>
        <w:rPr>
          <w:rFonts w:hint="eastAsia" w:ascii="宋体" w:hAnsi="宋体" w:cs="宋体"/>
          <w:color w:val="auto"/>
          <w:szCs w:val="21"/>
          <w:highlight w:val="none"/>
          <w:u w:val="single"/>
        </w:rPr>
        <w:t>并经发包人及承包人双方确认的金额</w:t>
      </w:r>
      <w:r>
        <w:rPr>
          <w:rFonts w:ascii="宋体" w:hAnsi="宋体" w:cs="宋体"/>
          <w:color w:val="auto"/>
          <w:szCs w:val="21"/>
          <w:highlight w:val="none"/>
          <w:u w:val="single"/>
        </w:rPr>
        <w:t>为准</w:t>
      </w:r>
      <w:r>
        <w:rPr>
          <w:rFonts w:hint="eastAsia" w:ascii="宋体" w:hAnsi="宋体" w:cs="宋体"/>
          <w:color w:val="auto"/>
          <w:szCs w:val="21"/>
          <w:highlight w:val="none"/>
          <w:u w:val="single"/>
        </w:rPr>
        <w:t>。（4）</w:t>
      </w:r>
      <w:r>
        <w:rPr>
          <w:rFonts w:ascii="宋体" w:hAnsi="宋体" w:cs="宋体"/>
          <w:color w:val="auto"/>
          <w:szCs w:val="21"/>
          <w:highlight w:val="none"/>
          <w:u w:val="single"/>
        </w:rPr>
        <w:t>若发包人和监理人认为有关的工作不能以实物工程量的方法计算及估值时，则按以下的方法计算：若工程量清单中有计日工价目表，则以计日工价目表中相应的项目计价；若计日工作价目表中无类似项目，则按三方协商的价格估值。附带条件为，承包人须提交每天用于该项工作的时间的记录、相关工人的姓名及经发包人、监理人复核的所用物料的清单。上述数据须于该项工作执行后的一星期内提交给发包人及监理人</w:t>
      </w:r>
      <w:r>
        <w:rPr>
          <w:rFonts w:hint="eastAsia" w:ascii="宋体" w:hAnsi="宋体" w:cs="宋体"/>
          <w:color w:val="auto"/>
          <w:szCs w:val="21"/>
          <w:highlight w:val="none"/>
          <w:u w:val="single"/>
        </w:rPr>
        <w:t>。（5）暂定价调整方法为：暂定材料价格部分仅调整合同实施期间材料市场价与暂定价之间的材差并计相应的规费和增值税，投标书中相应的综合单价不再调整。专业工程暂估价的确定方法：由承包人申报单价，发包人组织监理人、造价审核机构共同询价确定。如发包人认为材料暂估价及专业工程暂估价需要进行市场询价的，应以询价小组（询价小组由发包人、承包人、监理人组成）调查确认的单价为准。（6）无约定的参照我区现行《建设工程工程量清单计价规范》及配套定额相关规定执行。（7） 本工程最终结算以</w:t>
      </w:r>
      <w:r>
        <w:rPr>
          <w:rFonts w:hint="eastAsia" w:ascii="宋体" w:hAnsi="宋体" w:cs="宋体"/>
          <w:color w:val="auto"/>
          <w:szCs w:val="21"/>
          <w:highlight w:val="none"/>
          <w:u w:val="single"/>
          <w:lang w:eastAsia="zh-CN"/>
        </w:rPr>
        <w:t>财政局</w:t>
      </w:r>
      <w:r>
        <w:rPr>
          <w:rFonts w:hint="eastAsia" w:ascii="宋体" w:hAnsi="宋体" w:cs="宋体"/>
          <w:color w:val="auto"/>
          <w:szCs w:val="21"/>
          <w:highlight w:val="none"/>
          <w:u w:val="single"/>
        </w:rPr>
        <w:t>或发包人委托的造价咨询机构审定并经发包人及承包人双方确认的金额为准。</w:t>
      </w:r>
    </w:p>
    <w:p w14:paraId="1A0E7980">
      <w:pPr>
        <w:pStyle w:val="36"/>
        <w:spacing w:line="380" w:lineRule="exact"/>
        <w:ind w:firstLine="422" w:firstLineChars="200"/>
        <w:rPr>
          <w:rFonts w:ascii="宋体" w:cs="宋体"/>
          <w:color w:val="auto"/>
          <w:highlight w:val="none"/>
        </w:rPr>
      </w:pPr>
      <w:bookmarkStart w:id="1551" w:name="_Toc418518390"/>
      <w:bookmarkStart w:id="1552" w:name="_Toc403578978"/>
      <w:bookmarkStart w:id="1553" w:name="_Toc497746825"/>
      <w:bookmarkStart w:id="1554" w:name="_Toc389065309"/>
      <w:bookmarkStart w:id="1555" w:name="_Toc497747222"/>
      <w:bookmarkStart w:id="1556" w:name="_Toc418061355"/>
      <w:bookmarkStart w:id="1557" w:name="_Toc373227743"/>
      <w:bookmarkStart w:id="1558" w:name="_Toc256000222"/>
      <w:bookmarkStart w:id="1559" w:name="_Toc373478390"/>
      <w:bookmarkStart w:id="1560" w:name="_Toc418751840"/>
      <w:bookmarkStart w:id="1561" w:name="_Toc13259"/>
      <w:bookmarkStart w:id="1562" w:name="_Toc418518154"/>
      <w:bookmarkStart w:id="1563" w:name="_Toc418752286"/>
      <w:bookmarkStart w:id="1564" w:name="_Toc522201771"/>
      <w:r>
        <w:rPr>
          <w:rFonts w:hint="eastAsia" w:ascii="宋体" w:cs="宋体"/>
          <w:color w:val="auto"/>
          <w:highlight w:val="none"/>
        </w:rPr>
        <w:t>1</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Start w:id="1565" w:name="_Toc296891237"/>
      <w:bookmarkStart w:id="1566" w:name="_Toc296347196"/>
      <w:bookmarkStart w:id="1567" w:name="_Toc297123544"/>
      <w:bookmarkStart w:id="1568" w:name="_Toc296503197"/>
      <w:bookmarkStart w:id="1569" w:name="_Toc297216203"/>
      <w:bookmarkStart w:id="1570" w:name="_Toc296944536"/>
      <w:bookmarkStart w:id="1571" w:name="_Toc300934993"/>
      <w:bookmarkStart w:id="1572" w:name="_Toc303539150"/>
      <w:bookmarkStart w:id="1573" w:name="_Toc296346698"/>
      <w:bookmarkStart w:id="1574" w:name="_Toc296891025"/>
      <w:bookmarkStart w:id="1575" w:name="_Toc292559907"/>
      <w:bookmarkStart w:id="1576" w:name="_Toc292559402"/>
      <w:bookmarkStart w:id="1577" w:name="_Toc297048383"/>
      <w:bookmarkStart w:id="1578" w:name="_Toc297120497"/>
      <w:bookmarkStart w:id="1579" w:name="_Toc304295570"/>
      <w:bookmarkStart w:id="1580" w:name="_Toc312677503"/>
      <w:bookmarkStart w:id="1581" w:name="_Toc312678029"/>
      <w:r>
        <w:rPr>
          <w:rFonts w:hint="eastAsia" w:ascii="宋体" w:cs="宋体"/>
          <w:color w:val="auto"/>
          <w:highlight w:val="none"/>
        </w:rPr>
        <w:t>0.5 承</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Start w:id="1582" w:name="_Toc296944542"/>
      <w:bookmarkStart w:id="1583" w:name="_Toc296346704"/>
      <w:bookmarkStart w:id="1584" w:name="_Toc296503203"/>
      <w:bookmarkStart w:id="1585" w:name="_Toc300934994"/>
      <w:bookmarkStart w:id="1586" w:name="_Toc296347202"/>
      <w:bookmarkStart w:id="1587" w:name="_Toc296891031"/>
      <w:bookmarkStart w:id="1588" w:name="_Toc292559408"/>
      <w:bookmarkStart w:id="1589" w:name="_Toc297123545"/>
      <w:bookmarkStart w:id="1590" w:name="_Toc303539151"/>
      <w:bookmarkStart w:id="1591" w:name="_Toc296891243"/>
      <w:bookmarkStart w:id="1592" w:name="_Toc297120503"/>
      <w:bookmarkStart w:id="1593" w:name="_Toc297048389"/>
      <w:bookmarkStart w:id="1594" w:name="_Toc292559913"/>
      <w:bookmarkStart w:id="1595" w:name="_Toc297216204"/>
      <w:r>
        <w:rPr>
          <w:rFonts w:hint="eastAsia" w:ascii="宋体" w:cs="宋体"/>
          <w:color w:val="auto"/>
          <w:highlight w:val="none"/>
        </w:rPr>
        <w:t>包人的合理化建议</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14:paraId="18BDAD7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int="eastAsia" w:ascii="宋体" w:hAnsi="宋体" w:cs="宋体"/>
          <w:color w:val="auto"/>
          <w:szCs w:val="21"/>
          <w:highlight w:val="none"/>
        </w:rPr>
        <w:t>。</w:t>
      </w:r>
    </w:p>
    <w:p w14:paraId="7C16642A">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发包人应在收到监理人报送的合理化建议后7天内审批完毕</w:t>
      </w:r>
      <w:r>
        <w:rPr>
          <w:rFonts w:hint="eastAsia" w:ascii="宋体" w:hAnsi="宋体" w:cs="宋体"/>
          <w:color w:val="auto"/>
          <w:szCs w:val="21"/>
          <w:highlight w:val="none"/>
        </w:rPr>
        <w:t>。</w:t>
      </w:r>
    </w:p>
    <w:p w14:paraId="65E03B82">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1596" w:name="_Toc296346705"/>
      <w:bookmarkStart w:id="1597" w:name="_Toc296891244"/>
      <w:bookmarkStart w:id="1598" w:name="_Toc297048390"/>
      <w:bookmarkStart w:id="1599" w:name="_Toc300934995"/>
      <w:bookmarkStart w:id="1600" w:name="_Toc296891032"/>
      <w:bookmarkStart w:id="1601" w:name="_Toc292559914"/>
      <w:bookmarkStart w:id="1602" w:name="_Toc318581175"/>
      <w:bookmarkStart w:id="1603" w:name="_Toc304295571"/>
      <w:bookmarkStart w:id="1604" w:name="_Toc297216205"/>
      <w:bookmarkStart w:id="1605" w:name="_Toc303539152"/>
      <w:bookmarkStart w:id="1606" w:name="_Toc296503204"/>
      <w:bookmarkStart w:id="1607" w:name="_Toc312678030"/>
      <w:bookmarkStart w:id="1608" w:name="_Toc297120504"/>
      <w:bookmarkStart w:id="1609" w:name="_Toc296944543"/>
      <w:bookmarkStart w:id="1610" w:name="_Toc312677504"/>
      <w:bookmarkStart w:id="1611" w:name="_Toc292559409"/>
      <w:bookmarkStart w:id="1612" w:name="_Toc296347203"/>
      <w:bookmarkStart w:id="1613" w:name="_Toc297123546"/>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14:paraId="1ECFAF25">
      <w:pPr>
        <w:pStyle w:val="36"/>
        <w:spacing w:line="380" w:lineRule="exact"/>
        <w:ind w:firstLine="422" w:firstLineChars="200"/>
        <w:rPr>
          <w:rFonts w:ascii="宋体" w:cs="宋体"/>
          <w:color w:val="auto"/>
          <w:highlight w:val="none"/>
        </w:rPr>
      </w:pPr>
      <w:bookmarkStart w:id="1614" w:name="_Toc497746826"/>
      <w:bookmarkStart w:id="1615" w:name="_Toc373478391"/>
      <w:bookmarkStart w:id="1616" w:name="_Toc389065310"/>
      <w:bookmarkStart w:id="1617" w:name="_Toc256000223"/>
      <w:bookmarkStart w:id="1618" w:name="_Toc497747223"/>
      <w:bookmarkStart w:id="1619" w:name="_Toc418751841"/>
      <w:bookmarkStart w:id="1620" w:name="_Toc373227744"/>
      <w:bookmarkStart w:id="1621" w:name="_Toc418518391"/>
      <w:bookmarkStart w:id="1622" w:name="_Toc522201772"/>
      <w:bookmarkStart w:id="1623" w:name="_Toc403578979"/>
      <w:bookmarkStart w:id="1624" w:name="_Toc418752287"/>
      <w:bookmarkStart w:id="1625" w:name="_Toc5810"/>
      <w:bookmarkStart w:id="1626" w:name="_Toc418518155"/>
      <w:bookmarkStart w:id="1627" w:name="_Toc418061356"/>
      <w:r>
        <w:rPr>
          <w:rFonts w:hint="eastAsia" w:ascii="宋体" w:cs="宋体"/>
          <w:color w:val="auto"/>
          <w:highlight w:val="none"/>
        </w:rPr>
        <w:t>1</w:t>
      </w:r>
      <w:bookmarkStart w:id="1628" w:name="_Toc292559909"/>
      <w:bookmarkStart w:id="1629" w:name="_Toc296944538"/>
      <w:bookmarkStart w:id="1630" w:name="_Toc297048385"/>
      <w:bookmarkStart w:id="1631" w:name="_Toc297123548"/>
      <w:bookmarkStart w:id="1632" w:name="_Toc296347198"/>
      <w:bookmarkStart w:id="1633" w:name="_Toc296891239"/>
      <w:bookmarkStart w:id="1634" w:name="_Toc300934997"/>
      <w:bookmarkStart w:id="1635" w:name="_Toc296503199"/>
      <w:bookmarkStart w:id="1636" w:name="_Toc304295574"/>
      <w:bookmarkStart w:id="1637" w:name="_Toc297216207"/>
      <w:bookmarkStart w:id="1638" w:name="_Toc303539154"/>
      <w:bookmarkStart w:id="1639" w:name="_Toc312677507"/>
      <w:bookmarkStart w:id="1640" w:name="_Toc296346700"/>
      <w:bookmarkStart w:id="1641" w:name="_Toc292559404"/>
      <w:bookmarkStart w:id="1642" w:name="_Toc297120499"/>
      <w:bookmarkStart w:id="1643" w:name="_Toc296891027"/>
      <w:bookmarkStart w:id="1644" w:name="_Toc312678033"/>
      <w:r>
        <w:rPr>
          <w:rFonts w:hint="eastAsia" w:ascii="宋体" w:cs="宋体"/>
          <w:color w:val="auto"/>
          <w:highlight w:val="none"/>
        </w:rPr>
        <w:t>0.7 暂估价</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14:paraId="127EF12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1645" w:name="_Toc312678034"/>
      <w:bookmarkStart w:id="1646" w:name="_Toc312677508"/>
      <w:bookmarkStart w:id="1647" w:name="_Toc318581176"/>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645"/>
    <w:bookmarkEnd w:id="1646"/>
    <w:bookmarkEnd w:id="1647"/>
    <w:p w14:paraId="1C07C5C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1648" w:name="_Toc312677509"/>
      <w:bookmarkStart w:id="1649" w:name="_Toc318581177"/>
      <w:bookmarkStart w:id="1650" w:name="_Toc312678035"/>
      <w:r>
        <w:rPr>
          <w:rFonts w:hint="eastAsia" w:ascii="宋体" w:hAnsi="宋体" w:cs="宋体"/>
          <w:color w:val="auto"/>
          <w:szCs w:val="21"/>
          <w:highlight w:val="none"/>
        </w:rPr>
        <w:t>0.7.1 依法必须招标的暂估价项目</w:t>
      </w:r>
    </w:p>
    <w:bookmarkEnd w:id="1648"/>
    <w:bookmarkEnd w:id="1649"/>
    <w:bookmarkEnd w:id="1650"/>
    <w:p w14:paraId="2EE89BA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种方式确定。</w:t>
      </w:r>
    </w:p>
    <w:p w14:paraId="76F7396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37B76D6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种方式确定。</w:t>
      </w:r>
    </w:p>
    <w:p w14:paraId="5BA78460">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4AE8D32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EE80A87">
      <w:pPr>
        <w:pStyle w:val="36"/>
        <w:spacing w:line="380" w:lineRule="exact"/>
        <w:ind w:firstLine="422" w:firstLineChars="200"/>
        <w:rPr>
          <w:rFonts w:ascii="宋体" w:cs="宋体"/>
          <w:color w:val="auto"/>
          <w:highlight w:val="none"/>
        </w:rPr>
      </w:pPr>
      <w:bookmarkStart w:id="1651" w:name="_Toc256000224"/>
      <w:bookmarkStart w:id="1652" w:name="_Toc9852"/>
      <w:bookmarkStart w:id="1653" w:name="_Toc497746827"/>
      <w:bookmarkStart w:id="1654" w:name="_Toc373227745"/>
      <w:bookmarkStart w:id="1655" w:name="_Toc389065311"/>
      <w:bookmarkStart w:id="1656" w:name="_Toc418752288"/>
      <w:bookmarkStart w:id="1657" w:name="_Toc497747224"/>
      <w:bookmarkStart w:id="1658" w:name="_Toc522201773"/>
      <w:bookmarkStart w:id="1659" w:name="_Toc418518156"/>
      <w:bookmarkStart w:id="1660" w:name="_Toc418061357"/>
      <w:bookmarkStart w:id="1661" w:name="_Toc418518392"/>
      <w:bookmarkStart w:id="1662" w:name="_Toc418751842"/>
      <w:bookmarkStart w:id="1663" w:name="_Toc373478392"/>
      <w:bookmarkStart w:id="1664" w:name="_Toc403578980"/>
      <w:r>
        <w:rPr>
          <w:rFonts w:hint="eastAsia" w:ascii="宋体" w:cs="宋体"/>
          <w:color w:val="auto"/>
          <w:highlight w:val="none"/>
        </w:rPr>
        <w:t>10.8 暂列金额</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05DC9BD5">
      <w:pPr>
        <w:pStyle w:val="21"/>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szCs w:val="21"/>
          <w:highlight w:val="none"/>
          <w:u w:val="single"/>
        </w:rPr>
        <w:t xml:space="preserve">（1）已签约合同价中的暂列金额由发包人掌握使用。（2）发包人按照规定所作支付后，暂列金额如有余额归发包人 </w:t>
      </w:r>
      <w:r>
        <w:rPr>
          <w:rFonts w:hint="eastAsia" w:ascii="宋体" w:hAnsi="宋体" w:cs="宋体"/>
          <w:color w:val="auto"/>
          <w:kern w:val="0"/>
          <w:szCs w:val="21"/>
          <w:highlight w:val="none"/>
        </w:rPr>
        <w:t>。</w:t>
      </w:r>
    </w:p>
    <w:p w14:paraId="5DEECED0">
      <w:pPr>
        <w:pStyle w:val="36"/>
        <w:spacing w:line="380" w:lineRule="exact"/>
        <w:rPr>
          <w:rFonts w:ascii="宋体" w:cs="宋体"/>
          <w:color w:val="auto"/>
          <w:highlight w:val="none"/>
        </w:rPr>
      </w:pPr>
      <w:bookmarkStart w:id="1665" w:name="_Toc351203643"/>
      <w:bookmarkStart w:id="1666" w:name="_Toc522201774"/>
      <w:bookmarkStart w:id="1667" w:name="_Toc12497"/>
      <w:bookmarkStart w:id="1668" w:name="_Toc373227746"/>
      <w:bookmarkStart w:id="1669" w:name="_Toc403578981"/>
      <w:bookmarkStart w:id="1670" w:name="_Toc418752289"/>
      <w:bookmarkStart w:id="1671" w:name="_Toc497747225"/>
      <w:bookmarkStart w:id="1672" w:name="_Toc497746828"/>
      <w:bookmarkStart w:id="1673" w:name="_Toc373478393"/>
      <w:bookmarkStart w:id="1674" w:name="_Toc418061358"/>
      <w:bookmarkStart w:id="1675" w:name="_Toc418518393"/>
      <w:bookmarkStart w:id="1676" w:name="_Toc418518157"/>
      <w:bookmarkStart w:id="1677" w:name="_Toc418751843"/>
      <w:bookmarkStart w:id="1678" w:name="_Toc389065312"/>
      <w:bookmarkStart w:id="1679" w:name="_Toc256000225"/>
      <w:r>
        <w:rPr>
          <w:rFonts w:hint="eastAsia" w:ascii="宋体" w:cs="宋体"/>
          <w:color w:val="auto"/>
          <w:highlight w:val="none"/>
        </w:rPr>
        <w:t>11. 价格调整</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02EEA4D8">
      <w:pPr>
        <w:pStyle w:val="36"/>
        <w:spacing w:line="380" w:lineRule="exact"/>
        <w:ind w:firstLine="422" w:firstLineChars="200"/>
        <w:rPr>
          <w:rFonts w:ascii="宋体" w:cs="宋体"/>
          <w:color w:val="auto"/>
          <w:highlight w:val="none"/>
        </w:rPr>
      </w:pPr>
      <w:bookmarkStart w:id="1680" w:name="_Toc497747226"/>
      <w:bookmarkStart w:id="1681" w:name="_Toc256000226"/>
      <w:bookmarkStart w:id="1682" w:name="_Toc389065313"/>
      <w:bookmarkStart w:id="1683" w:name="_Toc522201775"/>
      <w:bookmarkStart w:id="1684" w:name="_Toc418061359"/>
      <w:bookmarkStart w:id="1685" w:name="_Toc497746829"/>
      <w:bookmarkStart w:id="1686" w:name="_Toc403578982"/>
      <w:bookmarkStart w:id="1687" w:name="_Toc418752290"/>
      <w:bookmarkStart w:id="1688" w:name="_Toc373478394"/>
      <w:bookmarkStart w:id="1689" w:name="_Toc418751844"/>
      <w:bookmarkStart w:id="1690" w:name="_Toc373227747"/>
      <w:bookmarkStart w:id="1691" w:name="_Toc418518394"/>
      <w:bookmarkStart w:id="1692" w:name="_Toc418518158"/>
      <w:bookmarkStart w:id="1693" w:name="_Toc31528"/>
      <w:bookmarkStart w:id="1694" w:name="_Toc297123550"/>
      <w:bookmarkStart w:id="1695" w:name="_Toc300935000"/>
      <w:bookmarkStart w:id="1696" w:name="_Toc296347200"/>
      <w:bookmarkStart w:id="1697" w:name="_Toc303539157"/>
      <w:bookmarkStart w:id="1698" w:name="_Toc296346702"/>
      <w:bookmarkStart w:id="1699" w:name="_Toc292559406"/>
      <w:bookmarkStart w:id="1700" w:name="_Toc297048387"/>
      <w:bookmarkStart w:id="1701" w:name="_Toc296944540"/>
      <w:bookmarkStart w:id="1702" w:name="_Toc296503201"/>
      <w:bookmarkStart w:id="1703" w:name="_Toc297120501"/>
      <w:bookmarkStart w:id="1704" w:name="_Toc304295577"/>
      <w:bookmarkStart w:id="1705" w:name="_Toc296891029"/>
      <w:bookmarkStart w:id="1706" w:name="_Toc312678039"/>
      <w:bookmarkStart w:id="1707" w:name="_Toc297216209"/>
      <w:bookmarkStart w:id="1708" w:name="_Toc292559911"/>
      <w:bookmarkStart w:id="1709" w:name="_Toc296891241"/>
      <w:r>
        <w:rPr>
          <w:rFonts w:hint="eastAsia" w:ascii="宋体" w:cs="宋体"/>
          <w:color w:val="auto"/>
          <w:highlight w:val="none"/>
        </w:rPr>
        <w:t>11.1 市场价格波动引起的调整</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14:paraId="3269066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调整 </w:t>
      </w:r>
      <w:r>
        <w:rPr>
          <w:rFonts w:hint="eastAsia" w:ascii="宋体" w:hAnsi="宋体" w:cs="宋体"/>
          <w:color w:val="auto"/>
          <w:szCs w:val="21"/>
          <w:highlight w:val="none"/>
        </w:rPr>
        <w:t>。</w:t>
      </w:r>
    </w:p>
    <w:p w14:paraId="5B12E8E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种方式对合同价格进行调整：</w:t>
      </w:r>
    </w:p>
    <w:p w14:paraId="64600D06">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2A76F2FC">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p>
    <w:p w14:paraId="0864406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5F6E9A0F">
      <w:pPr>
        <w:pStyle w:val="21"/>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 xml:space="preserve">（1）关于基准价格的约定： </w:t>
      </w:r>
      <w:r>
        <w:rPr>
          <w:rFonts w:hint="eastAsia" w:ascii="宋体" w:hAnsi="宋体"/>
          <w:color w:val="auto"/>
          <w:szCs w:val="21"/>
          <w:highlight w:val="none"/>
          <w:u w:val="single"/>
          <w:lang w:val="en-US" w:eastAsia="zh-CN"/>
        </w:rPr>
        <w:t xml:space="preserve"> 编制招标控制清单采用的信息价期数   </w:t>
      </w:r>
      <w:r>
        <w:rPr>
          <w:rFonts w:hint="eastAsia" w:ascii="宋体" w:hAnsi="宋体"/>
          <w:color w:val="auto"/>
          <w:szCs w:val="21"/>
          <w:highlight w:val="none"/>
          <w:u w:val="single"/>
        </w:rPr>
        <w:t>。</w:t>
      </w:r>
    </w:p>
    <w:p w14:paraId="386BAEED">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w:t>
      </w:r>
      <w:r>
        <w:rPr>
          <w:rFonts w:hint="eastAsia" w:ascii="宋体" w:hAnsi="宋体" w:cs="宋体"/>
          <w:color w:val="auto"/>
          <w:kern w:val="0"/>
          <w:szCs w:val="21"/>
          <w:highlight w:val="none"/>
        </w:rPr>
        <w:t>标人应根据施工期间材料可能由于市场价格上涨（或下跌）因素自行考虑由此引起的风险并计入投标报价中，投标人应对自己的报价承担风险，除本合同约定的钢筋、水泥、商品混凝土、沥青混凝土、碎石、砂、片石、沥青、管材、石材、土方（含购土与弃土）</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古建筑用砖、瓦、木材</w:t>
      </w:r>
      <w:r>
        <w:rPr>
          <w:rFonts w:hint="eastAsia" w:ascii="宋体" w:hAnsi="宋体" w:cs="宋体"/>
          <w:color w:val="auto"/>
          <w:kern w:val="0"/>
          <w:szCs w:val="21"/>
          <w:highlight w:val="none"/>
        </w:rPr>
        <w:t>等项材料价格可做调整外，其余材料价格不作调整。</w:t>
      </w:r>
    </w:p>
    <w:p w14:paraId="78DB8D5B">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①承包人在已标价工程量清单或预算书中载明的材料单价低于基准价格的，合同履行期间材料单价涨幅以基准价格为基础超过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%时，或材料单价跌幅以已标价工程量清单或预算书中载明材料单价为基础超过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529BF886">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%时，材料单价涨幅以已标价工程量清单或预算书中载明材料单价为基础超过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6E119882">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lang w:eastAsia="zh-CN"/>
        </w:rPr>
        <w:t>5</w:t>
      </w:r>
      <w:r>
        <w:rPr>
          <w:rFonts w:hint="eastAsia" w:ascii="宋体" w:hAnsi="宋体" w:cs="宋体"/>
          <w:color w:val="auto"/>
          <w:szCs w:val="21"/>
          <w:highlight w:val="none"/>
        </w:rPr>
        <w:t>%时，其超过部分据实调整。</w:t>
      </w:r>
    </w:p>
    <w:p w14:paraId="5A5EAE2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④除专用合同约定的钢筋、水泥、商品混凝土、沥青混凝土、碎石、砂、片石、沥青、管材、石材、土方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等项材料外，其余材料价格不做调整。调整方法：钢筋、水泥、商品混凝土、沥青混凝土、碎石、砂、片石、沥青、管材、石材、土方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价格超过部分×中标下浮系数（中标人的投标报价÷预算价），该部分费用列入税前独立费。</w:t>
      </w:r>
    </w:p>
    <w:p w14:paraId="081EA11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在工程施工期间，国家及地区如有新的人工费调整政策文件出台，可按国家及地区相关文件进行人工费调差。</w:t>
      </w:r>
    </w:p>
    <w:p w14:paraId="69477D1D">
      <w:pPr>
        <w:pStyle w:val="21"/>
        <w:spacing w:line="380" w:lineRule="exact"/>
        <w:ind w:firstLine="420" w:firstLineChars="200"/>
        <w:jc w:val="left"/>
        <w:rPr>
          <w:rFonts w:ascii="宋体" w:hAnsi="宋体" w:cs="宋体"/>
          <w:color w:val="auto"/>
          <w:kern w:val="0"/>
          <w:szCs w:val="21"/>
          <w:highlight w:val="none"/>
          <w:u w:val="none"/>
        </w:rPr>
      </w:pPr>
      <w:r>
        <w:rPr>
          <w:rFonts w:hint="eastAsia" w:ascii="宋体" w:hAnsi="宋体" w:cs="宋体"/>
          <w:color w:val="auto"/>
          <w:szCs w:val="21"/>
          <w:highlight w:val="none"/>
        </w:rPr>
        <w:t>第3种方式：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 xml:space="preserve">由业主单位、监理单位施工单位面向市场询价，并经三方对暂估价材料价格的确认，确定材料价格。 </w:t>
      </w:r>
    </w:p>
    <w:bookmarkEnd w:id="1492"/>
    <w:bookmarkEnd w:id="1493"/>
    <w:bookmarkEnd w:id="1494"/>
    <w:bookmarkEnd w:id="1495"/>
    <w:bookmarkEnd w:id="1496"/>
    <w:bookmarkEnd w:id="1497"/>
    <w:p w14:paraId="13781F80">
      <w:pPr>
        <w:pStyle w:val="36"/>
        <w:spacing w:line="380" w:lineRule="exact"/>
        <w:rPr>
          <w:rFonts w:ascii="宋体" w:cs="宋体"/>
          <w:color w:val="auto"/>
          <w:highlight w:val="none"/>
        </w:rPr>
      </w:pPr>
      <w:bookmarkStart w:id="1710" w:name="_Toc296503205"/>
      <w:bookmarkStart w:id="1711" w:name="_Toc296346706"/>
      <w:bookmarkStart w:id="1712" w:name="_Toc292559915"/>
      <w:bookmarkStart w:id="1713" w:name="_Toc297048391"/>
      <w:bookmarkStart w:id="1714" w:name="_Toc296347204"/>
      <w:bookmarkStart w:id="1715" w:name="_Toc297120505"/>
      <w:bookmarkStart w:id="1716" w:name="_Toc296891245"/>
      <w:bookmarkStart w:id="1717" w:name="_Toc292559410"/>
      <w:bookmarkStart w:id="1718" w:name="_Toc296891033"/>
      <w:bookmarkStart w:id="1719" w:name="_Toc296944544"/>
      <w:bookmarkStart w:id="1720" w:name="_Toc418752291"/>
      <w:bookmarkStart w:id="1721" w:name="_Toc373478395"/>
      <w:bookmarkStart w:id="1722" w:name="_Toc497746830"/>
      <w:bookmarkStart w:id="1723" w:name="_Toc351203644"/>
      <w:bookmarkStart w:id="1724" w:name="_Toc256000227"/>
      <w:bookmarkStart w:id="1725" w:name="_Toc23758"/>
      <w:bookmarkStart w:id="1726" w:name="_Toc522201776"/>
      <w:bookmarkStart w:id="1727" w:name="_Toc418518159"/>
      <w:bookmarkStart w:id="1728" w:name="_Toc497747227"/>
      <w:bookmarkStart w:id="1729" w:name="_Toc418061360"/>
      <w:bookmarkStart w:id="1730" w:name="_Toc403578983"/>
      <w:bookmarkStart w:id="1731" w:name="_Toc418751845"/>
      <w:bookmarkStart w:id="1732" w:name="_Toc418518395"/>
      <w:bookmarkStart w:id="1733" w:name="_Toc373227748"/>
      <w:bookmarkStart w:id="1734" w:name="_Toc312678040"/>
      <w:bookmarkStart w:id="1735" w:name="_Toc300935002"/>
      <w:bookmarkStart w:id="1736" w:name="_Toc297123552"/>
      <w:bookmarkStart w:id="1737" w:name="_Toc304295579"/>
      <w:bookmarkStart w:id="1738" w:name="_Toc297216211"/>
      <w:bookmarkStart w:id="1739" w:name="_Toc303539159"/>
      <w:r>
        <w:rPr>
          <w:rFonts w:hint="eastAsia" w:ascii="宋体" w:cs="宋体"/>
          <w:color w:val="auto"/>
          <w:highlight w:val="none"/>
        </w:rPr>
        <w:t xml:space="preserve">12. </w:t>
      </w:r>
      <w:bookmarkEnd w:id="1710"/>
      <w:bookmarkEnd w:id="1711"/>
      <w:bookmarkEnd w:id="1712"/>
      <w:bookmarkEnd w:id="1713"/>
      <w:bookmarkEnd w:id="1714"/>
      <w:bookmarkEnd w:id="1715"/>
      <w:bookmarkEnd w:id="1716"/>
      <w:bookmarkEnd w:id="1717"/>
      <w:bookmarkEnd w:id="1718"/>
      <w:bookmarkEnd w:id="1719"/>
      <w:r>
        <w:rPr>
          <w:rFonts w:hint="eastAsia" w:ascii="宋体" w:cs="宋体"/>
          <w:color w:val="auto"/>
          <w:highlight w:val="none"/>
        </w:rPr>
        <w:t>合同价格、计量与支付</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bookmarkEnd w:id="1734"/>
    <w:bookmarkEnd w:id="1735"/>
    <w:bookmarkEnd w:id="1736"/>
    <w:bookmarkEnd w:id="1737"/>
    <w:bookmarkEnd w:id="1738"/>
    <w:bookmarkEnd w:id="1739"/>
    <w:p w14:paraId="4183710C">
      <w:pPr>
        <w:pStyle w:val="36"/>
        <w:spacing w:line="380" w:lineRule="exact"/>
        <w:ind w:firstLine="422" w:firstLineChars="200"/>
        <w:rPr>
          <w:rFonts w:ascii="宋体" w:cs="宋体"/>
          <w:color w:val="auto"/>
          <w:highlight w:val="none"/>
        </w:rPr>
      </w:pPr>
      <w:bookmarkStart w:id="1740" w:name="_Toc292559411"/>
      <w:bookmarkStart w:id="1741" w:name="_Toc267251461"/>
      <w:bookmarkStart w:id="1742" w:name="_Toc292559916"/>
      <w:bookmarkStart w:id="1743" w:name="_Toc297120506"/>
      <w:bookmarkStart w:id="1744" w:name="_Toc296347205"/>
      <w:bookmarkStart w:id="1745" w:name="_Toc296503206"/>
      <w:bookmarkStart w:id="1746" w:name="_Toc296891246"/>
      <w:bookmarkStart w:id="1747" w:name="_Toc297048392"/>
      <w:bookmarkStart w:id="1748" w:name="_Toc296346707"/>
      <w:bookmarkStart w:id="1749" w:name="_Toc296891034"/>
      <w:bookmarkStart w:id="1750" w:name="_Toc296944545"/>
      <w:bookmarkStart w:id="1751" w:name="_Toc418751846"/>
      <w:bookmarkStart w:id="1752" w:name="_Toc16333"/>
      <w:bookmarkStart w:id="1753" w:name="_Toc418518160"/>
      <w:bookmarkStart w:id="1754" w:name="_Toc403578984"/>
      <w:bookmarkStart w:id="1755" w:name="_Toc373478396"/>
      <w:bookmarkStart w:id="1756" w:name="_Toc389065314"/>
      <w:bookmarkStart w:id="1757" w:name="_Toc256000228"/>
      <w:bookmarkStart w:id="1758" w:name="_Toc497747228"/>
      <w:bookmarkStart w:id="1759" w:name="_Toc418752292"/>
      <w:bookmarkStart w:id="1760" w:name="_Toc373227749"/>
      <w:bookmarkStart w:id="1761" w:name="_Toc497746831"/>
      <w:bookmarkStart w:id="1762" w:name="_Toc522201777"/>
      <w:bookmarkStart w:id="1763" w:name="_Toc418061361"/>
      <w:bookmarkStart w:id="1764" w:name="_Toc418518396"/>
      <w:bookmarkStart w:id="1765" w:name="_Toc312678041"/>
      <w:bookmarkStart w:id="1766" w:name="_Toc297216212"/>
      <w:bookmarkStart w:id="1767" w:name="_Toc300935003"/>
      <w:bookmarkStart w:id="1768" w:name="_Toc304295580"/>
      <w:bookmarkStart w:id="1769" w:name="_Toc297123553"/>
      <w:bookmarkStart w:id="1770" w:name="_Toc303539160"/>
      <w:r>
        <w:rPr>
          <w:rFonts w:hint="eastAsia" w:ascii="宋体" w:cs="宋体"/>
          <w:color w:val="auto"/>
          <w:highlight w:val="none"/>
        </w:rPr>
        <w:t>12.1 合</w:t>
      </w:r>
      <w:bookmarkEnd w:id="1740"/>
      <w:bookmarkEnd w:id="1741"/>
      <w:bookmarkEnd w:id="1742"/>
      <w:r>
        <w:rPr>
          <w:rFonts w:hint="eastAsia" w:ascii="宋体" w:cs="宋体"/>
          <w:color w:val="auto"/>
          <w:highlight w:val="none"/>
        </w:rPr>
        <w:t>同价</w:t>
      </w:r>
      <w:bookmarkEnd w:id="1743"/>
      <w:bookmarkEnd w:id="1744"/>
      <w:bookmarkEnd w:id="1745"/>
      <w:bookmarkEnd w:id="1746"/>
      <w:bookmarkEnd w:id="1747"/>
      <w:bookmarkEnd w:id="1748"/>
      <w:bookmarkEnd w:id="1749"/>
      <w:bookmarkEnd w:id="1750"/>
      <w:r>
        <w:rPr>
          <w:rFonts w:hint="eastAsia" w:ascii="宋体" w:cs="宋体"/>
          <w:color w:val="auto"/>
          <w:highlight w:val="none"/>
        </w:rPr>
        <w:t>格形式</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bookmarkEnd w:id="1765"/>
    <w:bookmarkEnd w:id="1766"/>
    <w:bookmarkEnd w:id="1767"/>
    <w:bookmarkEnd w:id="1768"/>
    <w:bookmarkEnd w:id="1769"/>
    <w:bookmarkEnd w:id="1770"/>
    <w:p w14:paraId="5F281E46">
      <w:pPr>
        <w:pStyle w:val="21"/>
        <w:spacing w:line="380" w:lineRule="exact"/>
        <w:ind w:firstLine="420" w:firstLineChars="200"/>
        <w:jc w:val="left"/>
        <w:rPr>
          <w:rFonts w:ascii="宋体" w:hAnsi="宋体" w:cs="宋体"/>
          <w:color w:val="auto"/>
          <w:szCs w:val="21"/>
          <w:highlight w:val="none"/>
        </w:rPr>
      </w:pPr>
      <w:bookmarkStart w:id="1771" w:name="_Toc373478397"/>
      <w:bookmarkStart w:id="1772" w:name="_Toc389065315"/>
      <w:bookmarkStart w:id="1773" w:name="_Toc373227750"/>
      <w:bookmarkStart w:id="1774" w:name="_Toc304295581"/>
      <w:bookmarkStart w:id="1775" w:name="_Toc303539161"/>
      <w:bookmarkStart w:id="1776" w:name="_Toc297216213"/>
      <w:bookmarkStart w:id="1777" w:name="_Toc297123554"/>
      <w:bookmarkStart w:id="1778" w:name="_Toc300935004"/>
      <w:bookmarkStart w:id="1779" w:name="_Toc312678042"/>
      <w:bookmarkStart w:id="1780" w:name="_Toc292559917"/>
      <w:bookmarkStart w:id="1781" w:name="_Toc296944546"/>
      <w:bookmarkStart w:id="1782" w:name="_Toc292559412"/>
      <w:bookmarkStart w:id="1783" w:name="_Toc296346708"/>
      <w:bookmarkStart w:id="1784" w:name="_Toc296891035"/>
      <w:bookmarkStart w:id="1785" w:name="_Toc297048393"/>
      <w:bookmarkStart w:id="1786" w:name="_Toc296347206"/>
      <w:bookmarkStart w:id="1787" w:name="_Toc296503207"/>
      <w:bookmarkStart w:id="1788" w:name="_Toc296891247"/>
      <w:bookmarkStart w:id="1789" w:name="_Toc297120507"/>
      <w:r>
        <w:rPr>
          <w:rFonts w:hint="eastAsia" w:ascii="宋体" w:hAnsi="宋体" w:cs="宋体"/>
          <w:color w:val="auto"/>
          <w:szCs w:val="21"/>
          <w:highlight w:val="none"/>
        </w:rPr>
        <w:t>（1）单价合同。</w:t>
      </w:r>
    </w:p>
    <w:p w14:paraId="64EC8F0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w:t>
      </w:r>
      <w:r>
        <w:rPr>
          <w:rFonts w:hint="eastAsia" w:ascii="宋体" w:hAnsi="宋体" w:cs="宋体"/>
          <w:color w:val="auto"/>
          <w:szCs w:val="21"/>
          <w:highlight w:val="none"/>
          <w:u w:val="single"/>
          <w:lang w:eastAsia="zh-CN"/>
        </w:rPr>
        <w:t>，工程量按实计算的方式</w:t>
      </w:r>
      <w:r>
        <w:rPr>
          <w:rFonts w:hint="eastAsia" w:ascii="宋体" w:hAnsi="宋体" w:cs="宋体"/>
          <w:color w:val="auto"/>
          <w:szCs w:val="21"/>
          <w:highlight w:val="none"/>
        </w:rPr>
        <w:t>确定。</w:t>
      </w:r>
    </w:p>
    <w:p w14:paraId="6D572DC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除工程变更、政策性调整、本合同约定的材料、设备价格变动风险以外因素。</w:t>
      </w:r>
    </w:p>
    <w:p w14:paraId="069C3B58">
      <w:pPr>
        <w:pStyle w:val="43"/>
        <w:spacing w:line="380" w:lineRule="exact"/>
        <w:ind w:firstLine="441" w:firstLineChars="210"/>
        <w:rPr>
          <w:rFonts w:hAnsi="宋体" w:cs="宋体"/>
          <w:color w:val="auto"/>
          <w:szCs w:val="21"/>
          <w:highlight w:val="none"/>
        </w:rPr>
      </w:pPr>
      <w:r>
        <w:rPr>
          <w:rFonts w:hint="eastAsia" w:hAnsi="宋体" w:cs="宋体"/>
          <w:color w:val="auto"/>
          <w:szCs w:val="21"/>
          <w:highlight w:val="none"/>
        </w:rPr>
        <w:t>风险范围以外合同价格的调整方法：</w:t>
      </w:r>
    </w:p>
    <w:p w14:paraId="085D1E25">
      <w:pPr>
        <w:pStyle w:val="43"/>
        <w:spacing w:line="380" w:lineRule="exact"/>
        <w:ind w:firstLine="441" w:firstLineChars="210"/>
        <w:rPr>
          <w:rFonts w:hAnsi="宋体" w:cs="宋体"/>
          <w:color w:val="auto"/>
          <w:szCs w:val="21"/>
          <w:highlight w:val="none"/>
        </w:rPr>
      </w:pPr>
      <w:r>
        <w:rPr>
          <w:rFonts w:hint="eastAsia" w:hAnsi="宋体" w:cs="宋体"/>
          <w:color w:val="auto"/>
          <w:szCs w:val="21"/>
          <w:highlight w:val="none"/>
        </w:rPr>
        <w:t>①工程变更：按10.4.1变更估价原则的约定调整。</w:t>
      </w:r>
    </w:p>
    <w:p w14:paraId="160668D8">
      <w:pPr>
        <w:pStyle w:val="43"/>
        <w:spacing w:line="380" w:lineRule="exact"/>
        <w:ind w:firstLine="441" w:firstLineChars="210"/>
        <w:rPr>
          <w:rFonts w:hAnsi="宋体" w:cs="宋体"/>
          <w:color w:val="auto"/>
          <w:szCs w:val="21"/>
          <w:highlight w:val="none"/>
        </w:rPr>
      </w:pPr>
      <w:r>
        <w:rPr>
          <w:rFonts w:hint="eastAsia" w:hAnsi="宋体" w:cs="宋体"/>
          <w:color w:val="auto"/>
          <w:szCs w:val="21"/>
          <w:highlight w:val="none"/>
        </w:rPr>
        <w:t>②政策性调整：按自治区建设行政主管部门颁布的文件执行。</w:t>
      </w:r>
    </w:p>
    <w:p w14:paraId="5823AE66">
      <w:pPr>
        <w:pStyle w:val="43"/>
        <w:spacing w:line="380" w:lineRule="exact"/>
        <w:ind w:firstLine="441" w:firstLineChars="210"/>
        <w:rPr>
          <w:rFonts w:hAnsi="宋体" w:cs="宋体"/>
          <w:color w:val="auto"/>
          <w:szCs w:val="21"/>
          <w:highlight w:val="none"/>
        </w:rPr>
      </w:pPr>
      <w:r>
        <w:rPr>
          <w:rFonts w:hint="eastAsia" w:hAnsi="宋体" w:cs="宋体"/>
          <w:color w:val="auto"/>
          <w:szCs w:val="21"/>
          <w:highlight w:val="none"/>
        </w:rPr>
        <w:t>③材料、设备价格变动风险：按11.1的约定调整。</w:t>
      </w:r>
    </w:p>
    <w:p w14:paraId="29BFF2E2">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C9B113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6ADBDF8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4E0790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6EF358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26D3D45">
      <w:pPr>
        <w:pStyle w:val="36"/>
        <w:spacing w:line="380" w:lineRule="exact"/>
        <w:ind w:firstLine="422" w:firstLineChars="200"/>
        <w:rPr>
          <w:rFonts w:ascii="宋体" w:cs="宋体"/>
          <w:color w:val="auto"/>
          <w:highlight w:val="none"/>
        </w:rPr>
      </w:pPr>
      <w:bookmarkStart w:id="1790" w:name="_Toc522201778"/>
      <w:bookmarkStart w:id="1791" w:name="_Toc418061362"/>
      <w:bookmarkStart w:id="1792" w:name="_Toc497747229"/>
      <w:bookmarkStart w:id="1793" w:name="_Toc418752293"/>
      <w:bookmarkStart w:id="1794" w:name="_Toc418751847"/>
      <w:bookmarkStart w:id="1795" w:name="_Toc403578985"/>
      <w:bookmarkStart w:id="1796" w:name="_Toc418518397"/>
      <w:bookmarkStart w:id="1797" w:name="_Toc497746832"/>
      <w:bookmarkStart w:id="1798" w:name="_Toc256000229"/>
      <w:bookmarkStart w:id="1799" w:name="_Toc418518161"/>
      <w:bookmarkStart w:id="1800" w:name="_Toc24874"/>
      <w:r>
        <w:rPr>
          <w:rFonts w:hint="eastAsia" w:ascii="宋体" w:cs="宋体"/>
          <w:color w:val="auto"/>
          <w:highlight w:val="none"/>
        </w:rPr>
        <w:t>12.2 预付款</w:t>
      </w:r>
      <w:bookmarkEnd w:id="1771"/>
      <w:bookmarkEnd w:id="1772"/>
      <w:bookmarkEnd w:id="1773"/>
      <w:bookmarkEnd w:id="1790"/>
      <w:bookmarkEnd w:id="1791"/>
      <w:bookmarkEnd w:id="1792"/>
      <w:bookmarkEnd w:id="1793"/>
      <w:bookmarkEnd w:id="1794"/>
      <w:bookmarkEnd w:id="1795"/>
      <w:bookmarkEnd w:id="1796"/>
      <w:bookmarkEnd w:id="1797"/>
      <w:bookmarkEnd w:id="1798"/>
      <w:bookmarkEnd w:id="1799"/>
      <w:bookmarkEnd w:id="1800"/>
    </w:p>
    <w:bookmarkEnd w:id="1774"/>
    <w:bookmarkEnd w:id="1775"/>
    <w:bookmarkEnd w:id="1776"/>
    <w:bookmarkEnd w:id="1777"/>
    <w:bookmarkEnd w:id="1778"/>
    <w:bookmarkEnd w:id="1779"/>
    <w:p w14:paraId="3CCA090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12.2.1 预付款的支付</w:t>
      </w:r>
    </w:p>
    <w:p w14:paraId="70FCF02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预付款支付比例或金额：</w:t>
      </w:r>
      <w:r>
        <w:rPr>
          <w:rFonts w:hint="eastAsia" w:ascii="宋体" w:hAnsi="宋体" w:cs="宋体"/>
          <w:color w:val="auto"/>
          <w:szCs w:val="21"/>
          <w:highlight w:val="none"/>
          <w:u w:val="single"/>
          <w:lang w:val="en-US" w:eastAsia="zh-CN"/>
        </w:rPr>
        <w:t xml:space="preserve"> </w:t>
      </w:r>
      <w:r>
        <w:rPr>
          <w:rFonts w:hint="eastAsia"/>
          <w:color w:val="auto"/>
          <w:szCs w:val="21"/>
          <w:highlight w:val="none"/>
          <w:u w:val="single"/>
        </w:rPr>
        <w:t>合同价款扣除暂列金额后的</w:t>
      </w:r>
      <w:r>
        <w:rPr>
          <w:rFonts w:hint="eastAsia"/>
          <w:color w:val="auto"/>
          <w:szCs w:val="21"/>
          <w:highlight w:val="none"/>
          <w:u w:val="single"/>
          <w:lang w:val="en-US" w:eastAsia="zh-CN"/>
        </w:rPr>
        <w:t>3</w:t>
      </w:r>
      <w:r>
        <w:rPr>
          <w:color w:val="auto"/>
          <w:szCs w:val="21"/>
          <w:highlight w:val="none"/>
          <w:u w:val="single"/>
        </w:rPr>
        <w:t>0</w:t>
      </w:r>
      <w:r>
        <w:rPr>
          <w:rFonts w:hint="eastAsia"/>
          <w:color w:val="auto"/>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82044A3">
      <w:pPr>
        <w:pStyle w:val="21"/>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合同签订并达到实施条件，承包人提交请款材料并经审查合格后</w:t>
      </w:r>
      <w:r>
        <w:rPr>
          <w:rFonts w:hint="eastAsia" w:ascii="宋体" w:hAnsi="宋体" w:cs="宋体"/>
          <w:color w:val="auto"/>
          <w:szCs w:val="21"/>
          <w:highlight w:val="none"/>
          <w:u w:val="single"/>
          <w:lang w:val="en-US" w:eastAsia="zh-CN"/>
        </w:rPr>
        <w:t>15</w:t>
      </w:r>
      <w:r>
        <w:rPr>
          <w:rFonts w:hint="eastAsia" w:ascii="宋体" w:hAnsi="宋体" w:cs="宋体"/>
          <w:color w:val="auto"/>
          <w:szCs w:val="21"/>
          <w:highlight w:val="none"/>
          <w:u w:val="single"/>
        </w:rPr>
        <w:t>个日历天内支付</w:t>
      </w:r>
      <w:r>
        <w:rPr>
          <w:rFonts w:hint="eastAsia" w:ascii="宋体" w:hAnsi="宋体" w:cs="宋体"/>
          <w:color w:val="auto"/>
          <w:szCs w:val="21"/>
          <w:highlight w:val="none"/>
        </w:rPr>
        <w:t>。</w:t>
      </w:r>
    </w:p>
    <w:p w14:paraId="68416F40">
      <w:pPr>
        <w:pStyle w:val="21"/>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w:t>
      </w:r>
    </w:p>
    <w:p w14:paraId="4AD905A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12.2.2 预付款担保</w:t>
      </w:r>
    </w:p>
    <w:p w14:paraId="302CC49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203700E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2CC20F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780"/>
    <w:bookmarkEnd w:id="1781"/>
    <w:bookmarkEnd w:id="1782"/>
    <w:bookmarkEnd w:id="1783"/>
    <w:bookmarkEnd w:id="1784"/>
    <w:bookmarkEnd w:id="1785"/>
    <w:bookmarkEnd w:id="1786"/>
    <w:bookmarkEnd w:id="1787"/>
    <w:bookmarkEnd w:id="1788"/>
    <w:bookmarkEnd w:id="1789"/>
    <w:p w14:paraId="2DBEFA24">
      <w:pPr>
        <w:pStyle w:val="36"/>
        <w:spacing w:line="380" w:lineRule="exact"/>
        <w:ind w:firstLine="422" w:firstLineChars="200"/>
        <w:rPr>
          <w:rFonts w:ascii="宋体" w:cs="宋体"/>
          <w:color w:val="auto"/>
          <w:highlight w:val="none"/>
        </w:rPr>
      </w:pPr>
      <w:bookmarkStart w:id="1801" w:name="_Toc497746833"/>
      <w:bookmarkStart w:id="1802" w:name="_Toc403578986"/>
      <w:bookmarkStart w:id="1803" w:name="_Toc418518162"/>
      <w:bookmarkStart w:id="1804" w:name="_Toc418751848"/>
      <w:bookmarkStart w:id="1805" w:name="_Toc14203"/>
      <w:bookmarkStart w:id="1806" w:name="_Toc373227751"/>
      <w:bookmarkStart w:id="1807" w:name="_Toc522201779"/>
      <w:bookmarkStart w:id="1808" w:name="_Toc389065316"/>
      <w:bookmarkStart w:id="1809" w:name="_Toc256000230"/>
      <w:bookmarkStart w:id="1810" w:name="_Toc497747230"/>
      <w:bookmarkStart w:id="1811" w:name="_Toc373478398"/>
      <w:bookmarkStart w:id="1812" w:name="_Toc418752294"/>
      <w:bookmarkStart w:id="1813" w:name="_Toc418061363"/>
      <w:bookmarkStart w:id="1814" w:name="_Toc418518398"/>
      <w:r>
        <w:rPr>
          <w:rFonts w:hint="eastAsia" w:ascii="宋体" w:cs="宋体"/>
          <w:color w:val="auto"/>
          <w:highlight w:val="none"/>
        </w:rPr>
        <w:t>12.3 计量</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445ACAC8">
      <w:pPr>
        <w:pStyle w:val="21"/>
        <w:spacing w:line="380" w:lineRule="exact"/>
        <w:ind w:firstLine="420" w:firstLineChars="200"/>
        <w:jc w:val="left"/>
        <w:rPr>
          <w:rFonts w:ascii="宋体" w:hAnsi="宋体" w:cs="宋体"/>
          <w:color w:val="auto"/>
          <w:szCs w:val="21"/>
          <w:highlight w:val="none"/>
        </w:rPr>
      </w:pPr>
      <w:bookmarkStart w:id="1815" w:name="_Toc418518163"/>
      <w:bookmarkStart w:id="1816" w:name="_Toc373227752"/>
      <w:bookmarkStart w:id="1817" w:name="_Toc497746834"/>
      <w:bookmarkStart w:id="1818" w:name="_Toc418518399"/>
      <w:bookmarkStart w:id="1819" w:name="_Toc403578987"/>
      <w:bookmarkStart w:id="1820" w:name="_Toc497747231"/>
      <w:bookmarkStart w:id="1821" w:name="_Toc373478399"/>
      <w:bookmarkStart w:id="1822" w:name="_Toc418751849"/>
      <w:bookmarkStart w:id="1823" w:name="_Toc418061364"/>
      <w:bookmarkStart w:id="1824" w:name="_Toc418752295"/>
      <w:bookmarkStart w:id="1825" w:name="_Toc389065317"/>
      <w:r>
        <w:rPr>
          <w:rFonts w:hint="eastAsia" w:ascii="宋体" w:hAnsi="宋体" w:cs="宋体"/>
          <w:color w:val="auto"/>
          <w:szCs w:val="21"/>
          <w:highlight w:val="none"/>
        </w:rPr>
        <w:t xml:space="preserve">12.3.1 计量原则 </w:t>
      </w:r>
    </w:p>
    <w:p w14:paraId="0995F84D">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 （GB50500－2013）和及其广西壮族自治区实施细则、 《建设工程工程量清单计算规范》 （GB50854～50862－2013）及其广西实施细则（修订本）、本工程补充项目清单为准。</w:t>
      </w:r>
      <w:r>
        <w:rPr>
          <w:rFonts w:hint="eastAsia" w:ascii="宋体" w:hAnsi="宋体" w:cs="宋体"/>
          <w:color w:val="auto"/>
          <w:szCs w:val="21"/>
          <w:highlight w:val="none"/>
        </w:rPr>
        <w:t xml:space="preserve"> </w:t>
      </w:r>
    </w:p>
    <w:p w14:paraId="060E2BD5">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1D3A330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承包人每月25日前向监理人报送上月20日至本月19日完成的工程量报告，并附具进度款申请单、已完成工程量报表和有关资料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2562349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1F0E6886">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(1) </w:t>
      </w:r>
      <w:r>
        <w:rPr>
          <w:rFonts w:ascii="宋体" w:hAnsi="宋体" w:cs="宋体"/>
          <w:color w:val="auto"/>
          <w:szCs w:val="21"/>
          <w:highlight w:val="none"/>
          <w:u w:val="single"/>
        </w:rPr>
        <w:t>工程量清单所列的工程量，不能作为承包人按合同履行其责任依据，实际施工中发生的工程量增加或减少并不影响承包人履行合同的责任，工程结算以完成的实际工程量为准</w:t>
      </w:r>
      <w:r>
        <w:rPr>
          <w:rFonts w:hint="eastAsia" w:ascii="宋体" w:hAnsi="宋体" w:cs="宋体"/>
          <w:color w:val="auto"/>
          <w:szCs w:val="21"/>
          <w:highlight w:val="none"/>
          <w:u w:val="single"/>
        </w:rPr>
        <w:t xml:space="preserve">。(2) </w:t>
      </w:r>
      <w:r>
        <w:rPr>
          <w:rFonts w:ascii="宋体" w:hAnsi="宋体" w:cs="宋体"/>
          <w:color w:val="auto"/>
          <w:szCs w:val="21"/>
          <w:highlight w:val="none"/>
          <w:u w:val="single"/>
        </w:rPr>
        <w:t>除另有规定外，工程师应按照合同通过计量来核实确定已完成的工程量和价款，承包人应得到该价款扣除保留金后的金额。当工程师要对已完工的工程量进行计量时，应适时地通知承包人参加</w:t>
      </w:r>
      <w:r>
        <w:rPr>
          <w:rFonts w:hint="eastAsia" w:ascii="宋体" w:hAnsi="宋体" w:cs="宋体"/>
          <w:color w:val="auto"/>
          <w:szCs w:val="21"/>
          <w:highlight w:val="none"/>
        </w:rPr>
        <w:t xml:space="preserve">。 </w:t>
      </w:r>
    </w:p>
    <w:p w14:paraId="6A0FF8B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6C954791">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D09155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6464D8C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77083892">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049457B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 工程进度款支付</w:t>
      </w:r>
      <w:bookmarkEnd w:id="1815"/>
      <w:bookmarkEnd w:id="1816"/>
      <w:bookmarkEnd w:id="1817"/>
      <w:bookmarkEnd w:id="1818"/>
      <w:bookmarkEnd w:id="1819"/>
      <w:bookmarkEnd w:id="1820"/>
      <w:bookmarkEnd w:id="1821"/>
      <w:bookmarkEnd w:id="1822"/>
      <w:bookmarkEnd w:id="1823"/>
      <w:bookmarkEnd w:id="1824"/>
      <w:bookmarkEnd w:id="1825"/>
    </w:p>
    <w:p w14:paraId="2F44544B">
      <w:pPr>
        <w:pStyle w:val="21"/>
        <w:spacing w:line="380" w:lineRule="exact"/>
        <w:ind w:firstLine="420" w:firstLineChars="200"/>
        <w:jc w:val="left"/>
        <w:rPr>
          <w:rFonts w:ascii="宋体" w:hAnsi="宋体" w:cs="宋体"/>
          <w:color w:val="auto"/>
          <w:szCs w:val="21"/>
          <w:highlight w:val="none"/>
        </w:rPr>
      </w:pPr>
      <w:bookmarkStart w:id="1826" w:name="_Toc296891251"/>
      <w:bookmarkStart w:id="1827" w:name="_Toc303539163"/>
      <w:bookmarkStart w:id="1828" w:name="_Toc296944550"/>
      <w:bookmarkStart w:id="1829" w:name="_Toc296346712"/>
      <w:bookmarkStart w:id="1830" w:name="_Toc296503211"/>
      <w:bookmarkStart w:id="1831" w:name="_Toc292559416"/>
      <w:bookmarkStart w:id="1832" w:name="_Toc292559921"/>
      <w:bookmarkStart w:id="1833" w:name="_Toc297216215"/>
      <w:bookmarkStart w:id="1834" w:name="_Toc296891039"/>
      <w:bookmarkStart w:id="1835" w:name="_Toc297048397"/>
      <w:bookmarkStart w:id="1836" w:name="_Toc297120511"/>
      <w:bookmarkStart w:id="1837" w:name="_Toc300935006"/>
      <w:bookmarkStart w:id="1838" w:name="_Toc296347210"/>
      <w:bookmarkStart w:id="1839" w:name="_Toc297123556"/>
      <w:r>
        <w:rPr>
          <w:rFonts w:hint="eastAsia" w:ascii="宋体" w:hAnsi="宋体" w:cs="宋体"/>
          <w:color w:val="auto"/>
          <w:szCs w:val="21"/>
          <w:highlight w:val="none"/>
        </w:rPr>
        <w:t>12.4.1 付款周期</w:t>
      </w:r>
    </w:p>
    <w:p w14:paraId="5B7FA3FA">
      <w:pPr>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jc w:val="left"/>
        <w:textAlignment w:val="auto"/>
        <w:rPr>
          <w:rFonts w:hint="eastAsia" w:eastAsia="宋体" w:cs="宋体"/>
          <w:color w:val="auto"/>
          <w:highlight w:val="none"/>
          <w:u w:val="single"/>
          <w:lang w:eastAsia="zh-CN"/>
        </w:rPr>
      </w:pPr>
      <w:r>
        <w:rPr>
          <w:rFonts w:hint="eastAsia" w:ascii="宋体" w:hAnsi="宋体" w:cs="宋体"/>
          <w:color w:val="auto"/>
          <w:szCs w:val="21"/>
          <w:highlight w:val="none"/>
        </w:rPr>
        <w:t>关于付款周期的约定：</w:t>
      </w:r>
      <w:r>
        <w:rPr>
          <w:rFonts w:hint="eastAsia"/>
          <w:color w:val="auto"/>
          <w:highlight w:val="none"/>
          <w:u w:val="single"/>
          <w:lang w:eastAsia="zh-CN"/>
        </w:rPr>
        <w:t>第</w:t>
      </w:r>
      <w:r>
        <w:rPr>
          <w:rFonts w:hint="eastAsia"/>
          <w:color w:val="auto"/>
          <w:highlight w:val="none"/>
          <w:u w:val="single"/>
          <w:lang w:val="en-US" w:eastAsia="zh-CN"/>
        </w:rPr>
        <w:t>一</w:t>
      </w:r>
      <w:r>
        <w:rPr>
          <w:rFonts w:hint="eastAsia"/>
          <w:color w:val="auto"/>
          <w:highlight w:val="none"/>
          <w:u w:val="single"/>
          <w:lang w:eastAsia="zh-CN"/>
        </w:rPr>
        <w:t>次进度款为完成合同工程量60%时，合同内进度支付限额为已完成工程量的80%；第</w:t>
      </w:r>
      <w:r>
        <w:rPr>
          <w:rFonts w:hint="eastAsia"/>
          <w:color w:val="auto"/>
          <w:highlight w:val="none"/>
          <w:u w:val="single"/>
          <w:lang w:val="en-US" w:eastAsia="zh-CN"/>
        </w:rPr>
        <w:t>二</w:t>
      </w:r>
      <w:r>
        <w:rPr>
          <w:rFonts w:hint="eastAsia"/>
          <w:color w:val="auto"/>
          <w:highlight w:val="none"/>
          <w:u w:val="single"/>
          <w:lang w:eastAsia="zh-CN"/>
        </w:rPr>
        <w:t>次进度款为工程完工时，工程进度款支付限额为已完成工程量的80%；工程完工验收达到质量要求，工程完工结算经第三方评审机构审定后，工程款支付至最终结算总造价的97%；发包人按工程最终结算总造价的3%预留工程质量保修金，待工程质量保修期满后返还。</w:t>
      </w:r>
    </w:p>
    <w:p w14:paraId="5284527C">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每次付款前，承包人应按发包人的要求提供符合相关法律法规的增值税发票，如发票不符合要求，发包人有权拒收，承包人应承担因不合格发票产生的所有责任。</w:t>
      </w:r>
    </w:p>
    <w:p w14:paraId="75E6329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6440C20D">
      <w:pPr>
        <w:pStyle w:val="21"/>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rPr>
        <w:t>承包人应在每个计量周期到期后的7天内向发包人提交已完工程进度款支付申请一式四份，详细说明此周期自己认为有权得到的款额，包括分包人已完工程的价款，内容包括已完工程预算书、工程量计算式及劳务队组提供的民工工资支付证明。</w:t>
      </w:r>
    </w:p>
    <w:p w14:paraId="767EA71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Pr>
          <w:rFonts w:hint="eastAsia" w:ascii="宋体" w:hAnsi="宋体" w:cs="宋体"/>
          <w:color w:val="auto"/>
          <w:szCs w:val="21"/>
          <w:highlight w:val="none"/>
        </w:rPr>
        <w:t>2.4.3 进度付款申请单的提交</w:t>
      </w:r>
    </w:p>
    <w:p w14:paraId="218831E6">
      <w:pPr>
        <w:pStyle w:val="21"/>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rPr>
        <w:t>承包人应在每个计量周期到期后的3天内向发包人提交支付申请一式三份，承包人当月完成的产值不足合同价的1％时，不支付进度款，累计至下月一并支付。承包人应随投标文件提交不拖欠民工工资的承诺函和措施。具体支付手续按财政性资金支付程序有关规定办理。</w:t>
      </w:r>
    </w:p>
    <w:p w14:paraId="0531C13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EC1CB6F">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8D24DF0">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5F689ECB">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监理人收到承包人进度付款申请单以及相关资料后 7 天内完成审查并报送发包人</w:t>
      </w:r>
      <w:r>
        <w:rPr>
          <w:rFonts w:hint="eastAsia" w:ascii="宋体" w:hAnsi="宋体" w:cs="宋体"/>
          <w:color w:val="auto"/>
          <w:szCs w:val="21"/>
          <w:highlight w:val="none"/>
        </w:rPr>
        <w:t>。</w:t>
      </w:r>
    </w:p>
    <w:p w14:paraId="5FEEB758">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收到后 7 天内完成审批并签发</w:t>
      </w:r>
      <w:r>
        <w:rPr>
          <w:rFonts w:hint="eastAsia" w:ascii="宋体" w:hAnsi="宋体" w:cs="宋体"/>
          <w:color w:val="auto"/>
          <w:szCs w:val="21"/>
          <w:highlight w:val="none"/>
        </w:rPr>
        <w:t>。</w:t>
      </w:r>
    </w:p>
    <w:p w14:paraId="097BE849">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cs="宋体"/>
          <w:color w:val="auto"/>
          <w:szCs w:val="21"/>
          <w:highlight w:val="none"/>
          <w:u w:val="single"/>
        </w:rPr>
        <w:t xml:space="preserve">办理相关付款手续后的7天内 </w:t>
      </w:r>
      <w:r>
        <w:rPr>
          <w:rFonts w:hint="eastAsia" w:ascii="宋体" w:hAnsi="宋体" w:cs="宋体"/>
          <w:color w:val="auto"/>
          <w:szCs w:val="21"/>
          <w:highlight w:val="none"/>
        </w:rPr>
        <w:t>。</w:t>
      </w:r>
    </w:p>
    <w:p w14:paraId="351DC1A2">
      <w:pPr>
        <w:pStyle w:val="21"/>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7C634F9">
      <w:pPr>
        <w:pStyle w:val="21"/>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进度款支付方式：</w:t>
      </w:r>
      <w:r>
        <w:rPr>
          <w:rFonts w:hint="eastAsia" w:ascii="宋体" w:hAnsi="宋体" w:cs="宋体"/>
          <w:color w:val="auto"/>
          <w:szCs w:val="21"/>
          <w:highlight w:val="none"/>
          <w:u w:val="single"/>
        </w:rPr>
        <w:t>银行转账</w:t>
      </w:r>
      <w:r>
        <w:rPr>
          <w:rFonts w:hint="eastAsia" w:ascii="宋体" w:hAnsi="宋体" w:cs="宋体"/>
          <w:color w:val="auto"/>
          <w:szCs w:val="21"/>
          <w:highlight w:val="none"/>
        </w:rPr>
        <w:t>。</w:t>
      </w:r>
    </w:p>
    <w:p w14:paraId="7A382397">
      <w:pPr>
        <w:pStyle w:val="21"/>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221FBC99">
      <w:pPr>
        <w:pStyle w:val="21"/>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297E87DF">
      <w:pPr>
        <w:pStyle w:val="21"/>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hint="eastAsia" w:ascii="宋体" w:hAnsi="宋体" w:cs="宋体"/>
          <w:color w:val="auto"/>
          <w:szCs w:val="21"/>
          <w:highlight w:val="none"/>
          <w:u w:val="single"/>
        </w:rPr>
        <w:t>单价项目不采用支付分解表的方式计算，而按《建设工程工程量清单计价规范（GB50500-2013）广西壮族自治区实施细则（修订本）》的规定执行。</w:t>
      </w:r>
    </w:p>
    <w:bookmarkEnd w:id="1498"/>
    <w:p w14:paraId="6F73AEC2">
      <w:pPr>
        <w:pStyle w:val="36"/>
        <w:spacing w:line="380" w:lineRule="exact"/>
        <w:rPr>
          <w:rFonts w:ascii="宋体" w:cs="宋体"/>
          <w:color w:val="auto"/>
          <w:highlight w:val="none"/>
        </w:rPr>
      </w:pPr>
      <w:bookmarkStart w:id="1840" w:name="_Toc497746835"/>
      <w:bookmarkStart w:id="1841" w:name="_Toc522201780"/>
      <w:bookmarkStart w:id="1842" w:name="_Toc373478400"/>
      <w:bookmarkStart w:id="1843" w:name="_Toc389065318"/>
      <w:bookmarkStart w:id="1844" w:name="_Toc497747232"/>
      <w:bookmarkStart w:id="1845" w:name="_Toc418061365"/>
      <w:bookmarkStart w:id="1846" w:name="_Toc403578988"/>
      <w:bookmarkStart w:id="1847" w:name="_Toc351203645"/>
      <w:bookmarkStart w:id="1848" w:name="_Toc418751850"/>
      <w:bookmarkStart w:id="1849" w:name="_Toc373227753"/>
      <w:bookmarkStart w:id="1850" w:name="_Toc418518164"/>
      <w:bookmarkStart w:id="1851" w:name="_Toc256000231"/>
      <w:bookmarkStart w:id="1852" w:name="_Toc30972"/>
      <w:bookmarkStart w:id="1853" w:name="_Toc418518400"/>
      <w:bookmarkStart w:id="1854" w:name="_Toc418752296"/>
      <w:bookmarkStart w:id="1855" w:name="_Toc297123564"/>
      <w:bookmarkStart w:id="1856" w:name="_Toc312678053"/>
      <w:bookmarkStart w:id="1857" w:name="_Toc296347218"/>
      <w:bookmarkStart w:id="1858" w:name="_Toc300935015"/>
      <w:bookmarkStart w:id="1859" w:name="_Toc296891047"/>
      <w:bookmarkStart w:id="1860" w:name="_Toc296944558"/>
      <w:bookmarkStart w:id="1861" w:name="_Toc297048405"/>
      <w:bookmarkStart w:id="1862" w:name="_Toc292559929"/>
      <w:bookmarkStart w:id="1863" w:name="_Toc304295593"/>
      <w:bookmarkStart w:id="1864" w:name="_Toc292559424"/>
      <w:bookmarkStart w:id="1865" w:name="_Toc296891259"/>
      <w:bookmarkStart w:id="1866" w:name="_Toc297216223"/>
      <w:bookmarkStart w:id="1867" w:name="_Toc297120519"/>
      <w:bookmarkStart w:id="1868" w:name="_Toc296346720"/>
      <w:bookmarkStart w:id="1869" w:name="_Toc296503219"/>
      <w:bookmarkStart w:id="1870" w:name="_Toc303539172"/>
      <w:r>
        <w:rPr>
          <w:rFonts w:hint="eastAsia" w:ascii="宋体" w:cs="宋体"/>
          <w:color w:val="auto"/>
          <w:highlight w:val="none"/>
        </w:rPr>
        <w:t>13. 验收和工程试车</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14:paraId="685702AF">
      <w:pPr>
        <w:pStyle w:val="36"/>
        <w:spacing w:line="380" w:lineRule="exact"/>
        <w:ind w:firstLine="422" w:firstLineChars="200"/>
        <w:rPr>
          <w:rFonts w:ascii="宋体" w:cs="宋体"/>
          <w:color w:val="auto"/>
          <w:highlight w:val="none"/>
        </w:rPr>
      </w:pPr>
      <w:bookmarkStart w:id="1871" w:name="_Toc403578989"/>
      <w:bookmarkStart w:id="1872" w:name="_Toc418751851"/>
      <w:bookmarkStart w:id="1873" w:name="_Toc497746836"/>
      <w:bookmarkStart w:id="1874" w:name="_Toc522201781"/>
      <w:bookmarkStart w:id="1875" w:name="_Toc373227754"/>
      <w:bookmarkStart w:id="1876" w:name="_Toc373478401"/>
      <w:bookmarkStart w:id="1877" w:name="_Toc19468"/>
      <w:bookmarkStart w:id="1878" w:name="_Toc497747233"/>
      <w:bookmarkStart w:id="1879" w:name="_Toc418752297"/>
      <w:bookmarkStart w:id="1880" w:name="_Toc418518165"/>
      <w:bookmarkStart w:id="1881" w:name="_Toc418518401"/>
      <w:bookmarkStart w:id="1882" w:name="_Toc389065319"/>
      <w:bookmarkStart w:id="1883" w:name="_Toc256000232"/>
      <w:bookmarkStart w:id="1884" w:name="_Toc418061366"/>
      <w:r>
        <w:rPr>
          <w:rFonts w:hint="eastAsia" w:ascii="宋体" w:cs="宋体"/>
          <w:color w:val="auto"/>
          <w:highlight w:val="none"/>
        </w:rPr>
        <w:t>13.1 分部分项工程验收</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2A9F4B1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52842940">
      <w:pPr>
        <w:pStyle w:val="21"/>
        <w:spacing w:line="38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2E8D1958">
      <w:pPr>
        <w:pStyle w:val="36"/>
        <w:spacing w:line="380" w:lineRule="exact"/>
        <w:ind w:firstLine="422" w:firstLineChars="200"/>
        <w:rPr>
          <w:rFonts w:ascii="宋体" w:cs="宋体"/>
          <w:color w:val="auto"/>
          <w:highlight w:val="none"/>
        </w:rPr>
      </w:pPr>
      <w:bookmarkStart w:id="1885" w:name="_Toc418751852"/>
      <w:bookmarkStart w:id="1886" w:name="_Toc256000233"/>
      <w:bookmarkStart w:id="1887" w:name="_Toc497746837"/>
      <w:bookmarkStart w:id="1888" w:name="_Toc389065320"/>
      <w:bookmarkStart w:id="1889" w:name="_Toc403578990"/>
      <w:bookmarkStart w:id="1890" w:name="_Toc418752298"/>
      <w:bookmarkStart w:id="1891" w:name="_Toc373227755"/>
      <w:bookmarkStart w:id="1892" w:name="_Toc522201782"/>
      <w:bookmarkStart w:id="1893" w:name="_Toc373478402"/>
      <w:bookmarkStart w:id="1894" w:name="_Toc7508"/>
      <w:bookmarkStart w:id="1895" w:name="_Toc418061367"/>
      <w:bookmarkStart w:id="1896" w:name="_Toc418518402"/>
      <w:bookmarkStart w:id="1897" w:name="_Toc497747234"/>
      <w:bookmarkStart w:id="1898" w:name="_Toc418518166"/>
      <w:bookmarkStart w:id="1899" w:name="_Toc300935016"/>
      <w:bookmarkStart w:id="1900" w:name="_Toc296944562"/>
      <w:bookmarkStart w:id="1901" w:name="_Toc297120523"/>
      <w:bookmarkStart w:id="1902" w:name="_Toc296891051"/>
      <w:bookmarkStart w:id="1903" w:name="_Toc296503223"/>
      <w:bookmarkStart w:id="1904" w:name="_Toc297216224"/>
      <w:bookmarkStart w:id="1905" w:name="_Toc297048409"/>
      <w:bookmarkStart w:id="1906" w:name="_Toc296891263"/>
      <w:bookmarkStart w:id="1907" w:name="_Toc296346724"/>
      <w:bookmarkStart w:id="1908" w:name="_Toc292559933"/>
      <w:bookmarkStart w:id="1909" w:name="_Toc292559428"/>
      <w:bookmarkStart w:id="1910" w:name="_Toc312678056"/>
      <w:bookmarkStart w:id="1911" w:name="_Toc303539173"/>
      <w:bookmarkStart w:id="1912" w:name="_Toc296347222"/>
      <w:bookmarkStart w:id="1913" w:name="_Toc297123565"/>
      <w:bookmarkStart w:id="1914" w:name="_Toc304295596"/>
      <w:bookmarkStart w:id="1915" w:name="_Toc267251475"/>
      <w:bookmarkStart w:id="1916" w:name="_Toc267251471"/>
      <w:bookmarkStart w:id="1917" w:name="_Toc267251473"/>
      <w:bookmarkStart w:id="1918" w:name="_Toc267251472"/>
      <w:bookmarkStart w:id="1919" w:name="_Toc267251470"/>
      <w:bookmarkStart w:id="1920" w:name="_Toc267251474"/>
      <w:bookmarkStart w:id="1921" w:name="_Toc267251476"/>
      <w:r>
        <w:rPr>
          <w:rFonts w:hint="eastAsia" w:ascii="宋体" w:cs="宋体"/>
          <w:color w:val="auto"/>
          <w:highlight w:val="none"/>
        </w:rPr>
        <w:t>13.2 竣工验收</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14:paraId="0DA25C4B">
      <w:pPr>
        <w:pStyle w:val="21"/>
        <w:spacing w:line="380" w:lineRule="exact"/>
        <w:ind w:firstLine="420" w:firstLineChars="200"/>
        <w:jc w:val="left"/>
        <w:rPr>
          <w:rFonts w:ascii="宋体" w:hAnsi="宋体" w:cs="宋体"/>
          <w:color w:val="auto"/>
          <w:szCs w:val="21"/>
          <w:highlight w:val="none"/>
        </w:rPr>
      </w:pPr>
      <w:bookmarkStart w:id="1922" w:name="_Toc280868704"/>
      <w:bookmarkStart w:id="1923" w:name="_Toc280868705"/>
      <w:bookmarkStart w:id="1924" w:name="_Toc280868706"/>
      <w:bookmarkStart w:id="1925" w:name="_Toc280868707"/>
      <w:bookmarkStart w:id="1926" w:name="_Toc280868708"/>
      <w:bookmarkStart w:id="1927" w:name="_Toc280868709"/>
      <w:r>
        <w:rPr>
          <w:rFonts w:hint="eastAsia" w:ascii="宋体" w:hAnsi="宋体" w:cs="宋体"/>
          <w:color w:val="auto"/>
          <w:szCs w:val="21"/>
          <w:highlight w:val="none"/>
        </w:rPr>
        <w:t>13.2.1竣工验收条件</w:t>
      </w:r>
    </w:p>
    <w:p w14:paraId="0444D676">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1、工程具备竣工验收条件，承包人按工期竣工验收有关规定，向发包人提交符合</w:t>
      </w:r>
      <w:r>
        <w:rPr>
          <w:rFonts w:hint="eastAsia" w:ascii="宋体" w:hAnsi="宋体" w:cs="宋体"/>
          <w:color w:val="auto"/>
          <w:szCs w:val="21"/>
          <w:highlight w:val="none"/>
          <w:u w:val="single"/>
          <w:lang w:eastAsia="zh-CN"/>
        </w:rPr>
        <w:t>贵港市</w:t>
      </w:r>
      <w:r>
        <w:rPr>
          <w:rFonts w:hint="eastAsia" w:ascii="宋体" w:hAnsi="宋体" w:cs="宋体"/>
          <w:color w:val="auto"/>
          <w:szCs w:val="21"/>
          <w:highlight w:val="none"/>
          <w:u w:val="single"/>
        </w:rPr>
        <w:t xml:space="preserve">城建档案馆归档要求内容装订成册的完整竣工资料及竣工验收报告、工程竣工图。2、承包人所提交的竣工资料必须符合《建设工程归档整理规范》要求，并在结算审批时出具《工程档案验收合格证明》及建设单位接收档案资料清单证明   </w:t>
      </w:r>
      <w:r>
        <w:rPr>
          <w:rFonts w:hint="eastAsia" w:ascii="宋体" w:hAnsi="宋体" w:cs="宋体"/>
          <w:color w:val="auto"/>
          <w:szCs w:val="21"/>
          <w:highlight w:val="none"/>
        </w:rPr>
        <w:t>。</w:t>
      </w:r>
    </w:p>
    <w:p w14:paraId="46A194F9">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hint="eastAsia" w:ascii="宋体" w:hAnsi="宋体" w:cs="宋体"/>
          <w:color w:val="auto"/>
          <w:szCs w:val="21"/>
          <w:highlight w:val="none"/>
          <w:u w:val="single"/>
        </w:rPr>
        <w:t>肆份，承包人承担竣工验收资料编制、立卷及至档案馆归档等一切费用</w:t>
      </w:r>
      <w:r>
        <w:rPr>
          <w:rFonts w:hint="eastAsia" w:ascii="宋体" w:hAnsi="宋体" w:cs="宋体"/>
          <w:color w:val="auto"/>
          <w:szCs w:val="21"/>
          <w:highlight w:val="none"/>
        </w:rPr>
        <w:t>。</w:t>
      </w:r>
    </w:p>
    <w:p w14:paraId="62670E5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hint="eastAsia" w:ascii="宋体" w:hAnsi="宋体" w:cs="宋体"/>
          <w:bCs/>
          <w:color w:val="auto"/>
          <w:szCs w:val="21"/>
          <w:highlight w:val="none"/>
          <w:u w:val="single"/>
        </w:rPr>
        <w:t>竣工验收正式通过后15天，提供4套竣工图。</w:t>
      </w:r>
    </w:p>
    <w:p w14:paraId="3A9D095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13.2.2竣工验收程序</w:t>
      </w:r>
    </w:p>
    <w:bookmarkEnd w:id="1922"/>
    <w:p w14:paraId="16D51E7F">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hint="eastAsia" w:ascii="宋体" w:hAnsi="宋体" w:cs="宋体"/>
          <w:color w:val="auto"/>
          <w:kern w:val="0"/>
          <w:szCs w:val="21"/>
          <w:highlight w:val="none"/>
          <w:lang w:eastAsia="zh-CN"/>
        </w:rPr>
        <w:t>：</w:t>
      </w:r>
      <w:r>
        <w:rPr>
          <w:rFonts w:hint="eastAsia" w:ascii="宋体" w:hAnsi="宋体" w:cs="宋体"/>
          <w:color w:val="auto"/>
          <w:szCs w:val="21"/>
          <w:highlight w:val="none"/>
          <w:u w:val="single"/>
        </w:rPr>
        <w:t>由承包人提出申请，经监理工程师及承包人同意后，通知各质检及监督部门进行竣工验收。本工程竣工验收合格后，双方应在验收报告上签字认可，本工程实际竣工日期以建设、设计、勘察、监理、施工五家单位验收小组正式验收签字日期为准。工程保修按合同附件3《工程质量保修书》有关规定执行。</w:t>
      </w:r>
    </w:p>
    <w:p w14:paraId="566221DB">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923"/>
    <w:p w14:paraId="3ED991DB">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924"/>
    <w:p w14:paraId="26BA4BCA">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竣工验收整改完毕三日内 </w:t>
      </w:r>
      <w:r>
        <w:rPr>
          <w:rFonts w:hint="eastAsia" w:ascii="宋体" w:hAnsi="宋体" w:cs="宋体"/>
          <w:color w:val="auto"/>
          <w:szCs w:val="21"/>
          <w:highlight w:val="none"/>
        </w:rPr>
        <w:t>。</w:t>
      </w:r>
    </w:p>
    <w:p w14:paraId="1C34EAF6">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款扣除社会保险费、发包人材料价款、暂估专业工程、暂列金额后的万分之四/天</w:t>
      </w:r>
      <w:r>
        <w:rPr>
          <w:rFonts w:hint="eastAsia" w:ascii="宋体" w:hAnsi="宋体" w:cs="宋体"/>
          <w:bCs/>
          <w:color w:val="auto"/>
          <w:szCs w:val="21"/>
          <w:highlight w:val="none"/>
          <w:u w:val="single"/>
        </w:rPr>
        <w:t>支付违约金，最高限额为结算价的</w:t>
      </w:r>
      <w:r>
        <w:rPr>
          <w:rFonts w:hint="eastAsia" w:ascii="宋体" w:hAnsi="宋体" w:cs="宋体"/>
          <w:bCs/>
          <w:color w:val="auto"/>
          <w:szCs w:val="21"/>
          <w:highlight w:val="none"/>
          <w:u w:val="single"/>
          <w:lang w:val="en-US" w:eastAsia="zh-CN"/>
        </w:rPr>
        <w:t>1</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bookmarkEnd w:id="1925"/>
    <w:p w14:paraId="5C5C6E78">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 xml:space="preserve">款扣除社会保险费、发包人材料价款、暂估专业工程、暂列金额后的万分之四/天支付违约金，最高限额为结算价的3%  </w:t>
      </w:r>
      <w:r>
        <w:rPr>
          <w:rFonts w:hint="eastAsia" w:ascii="宋体" w:hAnsi="宋体" w:cs="宋体"/>
          <w:color w:val="auto"/>
          <w:szCs w:val="21"/>
          <w:highlight w:val="none"/>
        </w:rPr>
        <w:t>。</w:t>
      </w:r>
    </w:p>
    <w:p w14:paraId="61CD1654">
      <w:pPr>
        <w:pStyle w:val="36"/>
        <w:spacing w:line="380" w:lineRule="exact"/>
        <w:ind w:firstLine="422" w:firstLineChars="200"/>
        <w:rPr>
          <w:rFonts w:ascii="宋体" w:cs="宋体"/>
          <w:color w:val="auto"/>
          <w:highlight w:val="none"/>
        </w:rPr>
      </w:pPr>
      <w:bookmarkStart w:id="1928" w:name="_Toc373227756"/>
      <w:bookmarkStart w:id="1929" w:name="_Toc418061368"/>
      <w:bookmarkStart w:id="1930" w:name="_Toc418752299"/>
      <w:bookmarkStart w:id="1931" w:name="_Toc373478403"/>
      <w:bookmarkStart w:id="1932" w:name="_Toc256000234"/>
      <w:bookmarkStart w:id="1933" w:name="_Toc389065321"/>
      <w:bookmarkStart w:id="1934" w:name="_Toc418518403"/>
      <w:bookmarkStart w:id="1935" w:name="_Toc497747235"/>
      <w:bookmarkStart w:id="1936" w:name="_Toc403578991"/>
      <w:bookmarkStart w:id="1937" w:name="_Toc522201783"/>
      <w:bookmarkStart w:id="1938" w:name="_Toc418751853"/>
      <w:bookmarkStart w:id="1939" w:name="_Toc497746838"/>
      <w:bookmarkStart w:id="1940" w:name="_Toc418518167"/>
      <w:bookmarkStart w:id="1941" w:name="_Toc22147"/>
      <w:r>
        <w:rPr>
          <w:rFonts w:hint="eastAsia" w:ascii="宋体" w:cs="宋体"/>
          <w:color w:val="auto"/>
          <w:highlight w:val="none"/>
        </w:rPr>
        <w:t>13.3 工程试车</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bookmarkEnd w:id="1926"/>
    <w:p w14:paraId="32C50390">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75A83861">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为达到本工程的验收标准，工程范围内的设施和承包人安装的设备应进行试运行调试，费用由承包人自行负责并已包括在投标报价中 </w:t>
      </w:r>
      <w:r>
        <w:rPr>
          <w:rFonts w:hint="eastAsia" w:ascii="宋体" w:hAnsi="宋体" w:cs="宋体"/>
          <w:color w:val="auto"/>
          <w:szCs w:val="21"/>
          <w:highlight w:val="none"/>
        </w:rPr>
        <w:t>。</w:t>
      </w:r>
    </w:p>
    <w:p w14:paraId="3BCA1FDD">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44DF316F">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4D7E059A">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21913C9E">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由承包人组织试运行，费用由承包人承担 </w:t>
      </w:r>
      <w:r>
        <w:rPr>
          <w:rFonts w:hint="eastAsia" w:ascii="宋体" w:hAnsi="宋体" w:cs="宋体"/>
          <w:color w:val="auto"/>
          <w:szCs w:val="21"/>
          <w:highlight w:val="none"/>
        </w:rPr>
        <w:t>。</w:t>
      </w:r>
    </w:p>
    <w:p w14:paraId="3BBE742D">
      <w:pPr>
        <w:pStyle w:val="36"/>
        <w:spacing w:line="380" w:lineRule="exact"/>
        <w:ind w:firstLine="422" w:firstLineChars="200"/>
        <w:rPr>
          <w:rFonts w:ascii="宋体" w:cs="宋体"/>
          <w:color w:val="auto"/>
          <w:highlight w:val="none"/>
        </w:rPr>
      </w:pPr>
      <w:bookmarkStart w:id="1942" w:name="_Toc389065322"/>
      <w:bookmarkStart w:id="1943" w:name="_Toc256000235"/>
      <w:bookmarkStart w:id="1944" w:name="_Toc403578992"/>
      <w:bookmarkStart w:id="1945" w:name="_Toc418752300"/>
      <w:bookmarkStart w:id="1946" w:name="_Toc418518404"/>
      <w:bookmarkStart w:id="1947" w:name="_Toc522201784"/>
      <w:bookmarkStart w:id="1948" w:name="_Toc16016"/>
      <w:bookmarkStart w:id="1949" w:name="_Toc373478404"/>
      <w:bookmarkStart w:id="1950" w:name="_Toc418751854"/>
      <w:bookmarkStart w:id="1951" w:name="_Toc497747236"/>
      <w:bookmarkStart w:id="1952" w:name="_Toc373227757"/>
      <w:bookmarkStart w:id="1953" w:name="_Toc418518168"/>
      <w:bookmarkStart w:id="1954" w:name="_Toc497746839"/>
      <w:bookmarkStart w:id="1955" w:name="_Toc418061369"/>
      <w:r>
        <w:rPr>
          <w:rFonts w:hint="eastAsia" w:ascii="宋体" w:cs="宋体"/>
          <w:color w:val="auto"/>
          <w:highlight w:val="none"/>
        </w:rPr>
        <w:t>13.6 竣工退场</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7C7002B9">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38A36AC9">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w:t>
      </w:r>
    </w:p>
    <w:p w14:paraId="49B30613">
      <w:pPr>
        <w:pStyle w:val="36"/>
        <w:spacing w:line="380" w:lineRule="exact"/>
        <w:rPr>
          <w:rFonts w:ascii="宋体" w:cs="宋体"/>
          <w:color w:val="auto"/>
          <w:highlight w:val="none"/>
        </w:rPr>
      </w:pPr>
      <w:bookmarkStart w:id="1956" w:name="_Toc418518169"/>
      <w:bookmarkStart w:id="1957" w:name="_Toc373227758"/>
      <w:bookmarkStart w:id="1958" w:name="_Toc351203646"/>
      <w:bookmarkStart w:id="1959" w:name="_Toc418752301"/>
      <w:bookmarkStart w:id="1960" w:name="_Toc418061370"/>
      <w:bookmarkStart w:id="1961" w:name="_Toc373478405"/>
      <w:bookmarkStart w:id="1962" w:name="_Toc403578993"/>
      <w:bookmarkStart w:id="1963" w:name="_Toc15239"/>
      <w:bookmarkStart w:id="1964" w:name="_Toc497746840"/>
      <w:bookmarkStart w:id="1965" w:name="_Toc389065323"/>
      <w:bookmarkStart w:id="1966" w:name="_Toc418518405"/>
      <w:bookmarkStart w:id="1967" w:name="_Toc497747237"/>
      <w:bookmarkStart w:id="1968" w:name="_Toc522201785"/>
      <w:bookmarkStart w:id="1969" w:name="_Toc418751855"/>
      <w:bookmarkStart w:id="1970" w:name="_Toc256000236"/>
      <w:r>
        <w:rPr>
          <w:rFonts w:hint="eastAsia" w:ascii="宋体" w:cs="宋体"/>
          <w:color w:val="auto"/>
          <w:highlight w:val="none"/>
        </w:rPr>
        <w:t>14. 竣工结算</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096B6C7F">
      <w:pPr>
        <w:pStyle w:val="36"/>
        <w:spacing w:line="380" w:lineRule="exact"/>
        <w:ind w:firstLine="422" w:firstLineChars="200"/>
        <w:rPr>
          <w:rFonts w:ascii="宋体" w:cs="宋体"/>
          <w:color w:val="auto"/>
          <w:highlight w:val="none"/>
        </w:rPr>
      </w:pPr>
      <w:bookmarkStart w:id="1971" w:name="_Toc418518170"/>
      <w:bookmarkStart w:id="1972" w:name="_Toc5496"/>
      <w:bookmarkStart w:id="1973" w:name="_Toc256000237"/>
      <w:bookmarkStart w:id="1974" w:name="_Toc522201786"/>
      <w:bookmarkStart w:id="1975" w:name="_Toc373227759"/>
      <w:bookmarkStart w:id="1976" w:name="_Toc418751856"/>
      <w:bookmarkStart w:id="1977" w:name="_Toc403578994"/>
      <w:bookmarkStart w:id="1978" w:name="_Toc497747238"/>
      <w:bookmarkStart w:id="1979" w:name="_Toc418752302"/>
      <w:bookmarkStart w:id="1980" w:name="_Toc497746841"/>
      <w:bookmarkStart w:id="1981" w:name="_Toc373478406"/>
      <w:bookmarkStart w:id="1982" w:name="_Toc418518406"/>
      <w:bookmarkStart w:id="1983" w:name="_Toc418061371"/>
      <w:bookmarkStart w:id="1984" w:name="_Toc389065324"/>
      <w:r>
        <w:rPr>
          <w:rFonts w:hint="eastAsia" w:ascii="宋体" w:cs="宋体"/>
          <w:color w:val="auto"/>
          <w:highlight w:val="none"/>
        </w:rPr>
        <w:t>14.1 竣工结算申请</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0F0F596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具备竣工收条件后28天内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153CE64">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竣工结算由承包人提交相关结算资料（主要包括合同、工程量计算书、结算书、变更设计通知单、签证单、竣工图）齐全后经监理初审、发包人审核后，</w:t>
      </w:r>
      <w:r>
        <w:rPr>
          <w:rFonts w:hint="eastAsia" w:ascii="宋体" w:hAnsi="宋体" w:cs="宋体"/>
          <w:color w:val="auto"/>
          <w:szCs w:val="21"/>
          <w:highlight w:val="none"/>
          <w:u w:val="single"/>
        </w:rPr>
        <w:t>最终结算以</w:t>
      </w:r>
      <w:r>
        <w:rPr>
          <w:rFonts w:hint="eastAsia" w:ascii="宋体" w:hAnsi="宋体" w:cs="宋体"/>
          <w:color w:val="auto"/>
          <w:szCs w:val="21"/>
          <w:highlight w:val="none"/>
          <w:u w:val="single"/>
          <w:lang w:eastAsia="zh-CN"/>
        </w:rPr>
        <w:t>财政局</w:t>
      </w:r>
      <w:r>
        <w:rPr>
          <w:rFonts w:hint="eastAsia" w:ascii="宋体" w:hAnsi="宋体" w:cs="宋体"/>
          <w:color w:val="auto"/>
          <w:szCs w:val="21"/>
          <w:highlight w:val="none"/>
          <w:u w:val="single"/>
        </w:rPr>
        <w:t xml:space="preserve">或发包人委托的造价咨询机构审定并经发包人及承包人双方确认的金额为准 </w:t>
      </w:r>
      <w:r>
        <w:rPr>
          <w:rFonts w:hint="eastAsia" w:ascii="宋体" w:hAnsi="宋体" w:cs="宋体"/>
          <w:color w:val="auto"/>
          <w:szCs w:val="21"/>
          <w:highlight w:val="none"/>
        </w:rPr>
        <w:t>。</w:t>
      </w:r>
    </w:p>
    <w:p w14:paraId="4C0AA22C">
      <w:pPr>
        <w:pStyle w:val="36"/>
        <w:spacing w:line="380" w:lineRule="exact"/>
        <w:ind w:firstLine="422" w:firstLineChars="200"/>
        <w:rPr>
          <w:rFonts w:ascii="宋体" w:cs="宋体"/>
          <w:color w:val="auto"/>
          <w:highlight w:val="none"/>
        </w:rPr>
      </w:pPr>
      <w:bookmarkStart w:id="1985" w:name="_Toc418518407"/>
      <w:bookmarkStart w:id="1986" w:name="_Toc522201787"/>
      <w:bookmarkStart w:id="1987" w:name="_Toc418061372"/>
      <w:bookmarkStart w:id="1988" w:name="_Toc497747239"/>
      <w:bookmarkStart w:id="1989" w:name="_Toc403578995"/>
      <w:bookmarkStart w:id="1990" w:name="_Toc256000238"/>
      <w:bookmarkStart w:id="1991" w:name="_Toc497746842"/>
      <w:bookmarkStart w:id="1992" w:name="_Toc373227760"/>
      <w:bookmarkStart w:id="1993" w:name="_Toc1173"/>
      <w:bookmarkStart w:id="1994" w:name="_Toc418751857"/>
      <w:bookmarkStart w:id="1995" w:name="_Toc418518171"/>
      <w:bookmarkStart w:id="1996" w:name="_Toc389065325"/>
      <w:bookmarkStart w:id="1997" w:name="_Toc373478407"/>
      <w:bookmarkStart w:id="1998" w:name="_Toc418752303"/>
      <w:r>
        <w:rPr>
          <w:rFonts w:hint="eastAsia" w:ascii="宋体" w:cs="宋体"/>
          <w:color w:val="auto"/>
          <w:highlight w:val="none"/>
        </w:rPr>
        <w:t>14.2 竣工结算审核</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749D4CC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p>
    <w:tbl>
      <w:tblPr>
        <w:tblStyle w:val="27"/>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616"/>
        <w:gridCol w:w="5817"/>
      </w:tblGrid>
      <w:tr w14:paraId="2CE0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51CF040">
            <w:pPr>
              <w:pStyle w:val="21"/>
              <w:spacing w:line="380" w:lineRule="exact"/>
              <w:jc w:val="center"/>
              <w:rPr>
                <w:rFonts w:ascii="宋体" w:hAnsi="宋体" w:cs="宋体"/>
                <w:bCs/>
                <w:color w:val="auto"/>
                <w:szCs w:val="21"/>
                <w:highlight w:val="none"/>
              </w:rPr>
            </w:pPr>
          </w:p>
        </w:tc>
        <w:tc>
          <w:tcPr>
            <w:tcW w:w="2616" w:type="dxa"/>
            <w:vAlign w:val="center"/>
          </w:tcPr>
          <w:p w14:paraId="472F2AD5">
            <w:pPr>
              <w:pStyle w:val="21"/>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工程竣工结算报告金额</w:t>
            </w:r>
          </w:p>
        </w:tc>
        <w:tc>
          <w:tcPr>
            <w:tcW w:w="5817" w:type="dxa"/>
            <w:vAlign w:val="center"/>
          </w:tcPr>
          <w:p w14:paraId="299D2185">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发包人审查时间</w:t>
            </w:r>
          </w:p>
        </w:tc>
      </w:tr>
      <w:tr w14:paraId="15EF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6D64841C">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2616" w:type="dxa"/>
            <w:vAlign w:val="center"/>
          </w:tcPr>
          <w:p w14:paraId="706FB5B5">
            <w:pPr>
              <w:pStyle w:val="21"/>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500万元以下</w:t>
            </w:r>
          </w:p>
        </w:tc>
        <w:tc>
          <w:tcPr>
            <w:tcW w:w="5817" w:type="dxa"/>
            <w:vAlign w:val="center"/>
          </w:tcPr>
          <w:p w14:paraId="7DA665DE">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从接到竣工结算报告和完整的竣工结算资料之日起20天</w:t>
            </w:r>
          </w:p>
        </w:tc>
      </w:tr>
      <w:tr w14:paraId="5B51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74E5AAE">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2616" w:type="dxa"/>
            <w:vAlign w:val="center"/>
          </w:tcPr>
          <w:p w14:paraId="6AEB1F82">
            <w:pPr>
              <w:pStyle w:val="21"/>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500万元-2000万元</w:t>
            </w:r>
          </w:p>
        </w:tc>
        <w:tc>
          <w:tcPr>
            <w:tcW w:w="5817" w:type="dxa"/>
            <w:vAlign w:val="center"/>
          </w:tcPr>
          <w:p w14:paraId="40CDACD6">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从接到竣工结算报告和完整的竣工结算资料之日起30天</w:t>
            </w:r>
          </w:p>
        </w:tc>
      </w:tr>
      <w:tr w14:paraId="5C05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744932FE">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2616" w:type="dxa"/>
            <w:vAlign w:val="center"/>
          </w:tcPr>
          <w:p w14:paraId="4EA4AEF6">
            <w:pPr>
              <w:pStyle w:val="21"/>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2000万元-5000万元</w:t>
            </w:r>
          </w:p>
        </w:tc>
        <w:tc>
          <w:tcPr>
            <w:tcW w:w="5817" w:type="dxa"/>
            <w:vAlign w:val="center"/>
          </w:tcPr>
          <w:p w14:paraId="14C194D3">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从接到竣工结算报告和完整的竣工结算资料之日起45天</w:t>
            </w:r>
          </w:p>
        </w:tc>
      </w:tr>
      <w:tr w14:paraId="1FA8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1A91D2F">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2616" w:type="dxa"/>
            <w:vAlign w:val="center"/>
          </w:tcPr>
          <w:p w14:paraId="5ECC2DF3">
            <w:pPr>
              <w:pStyle w:val="21"/>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5000万元以上</w:t>
            </w:r>
          </w:p>
        </w:tc>
        <w:tc>
          <w:tcPr>
            <w:tcW w:w="5817" w:type="dxa"/>
            <w:vAlign w:val="center"/>
          </w:tcPr>
          <w:p w14:paraId="7411F23A">
            <w:pPr>
              <w:pStyle w:val="21"/>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从接到竣工结算报告和完整的竣工结算资料之日起60天</w:t>
            </w:r>
          </w:p>
        </w:tc>
      </w:tr>
    </w:tbl>
    <w:p w14:paraId="301CFB8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因承包人提供的结算资料不完整而需要补充或承包人不按时对账耽误时间时，审查时间应相应顺延</w:t>
      </w:r>
      <w:r>
        <w:rPr>
          <w:rFonts w:hint="eastAsia" w:ascii="宋体" w:hAnsi="宋体" w:cs="宋体"/>
          <w:color w:val="auto"/>
          <w:szCs w:val="21"/>
          <w:highlight w:val="none"/>
        </w:rPr>
        <w:t>。</w:t>
      </w:r>
    </w:p>
    <w:p w14:paraId="11189E76">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ascii="宋体" w:hAnsi="宋体" w:cs="宋体"/>
          <w:color w:val="auto"/>
          <w:szCs w:val="21"/>
          <w:highlight w:val="none"/>
          <w:u w:val="single"/>
        </w:rPr>
        <w:t>结算审核报告出具</w:t>
      </w:r>
      <w:r>
        <w:rPr>
          <w:rFonts w:hint="eastAsia" w:ascii="宋体" w:hAnsi="宋体" w:cs="宋体"/>
          <w:color w:val="auto"/>
          <w:szCs w:val="21"/>
          <w:highlight w:val="none"/>
          <w:u w:val="single"/>
        </w:rPr>
        <w:t>后且</w:t>
      </w:r>
      <w:r>
        <w:rPr>
          <w:rFonts w:hint="eastAsia" w:ascii="宋体" w:hAnsi="宋体"/>
          <w:color w:val="auto"/>
          <w:szCs w:val="21"/>
          <w:highlight w:val="none"/>
          <w:u w:val="single"/>
        </w:rPr>
        <w:t>审核完承包人的竣工付款申请单30天内</w:t>
      </w:r>
      <w:r>
        <w:rPr>
          <w:rFonts w:hint="eastAsia" w:ascii="宋体" w:hAnsi="宋体" w:cs="宋体"/>
          <w:color w:val="auto"/>
          <w:szCs w:val="21"/>
          <w:highlight w:val="none"/>
        </w:rPr>
        <w:t>。</w:t>
      </w:r>
    </w:p>
    <w:p w14:paraId="615B8AA4">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存在异议的部分，由承包人核对后对异议部分进行书面描叙，并交由发包人再次审定。</w:t>
      </w:r>
    </w:p>
    <w:p w14:paraId="722AF0C3">
      <w:pPr>
        <w:pStyle w:val="36"/>
        <w:spacing w:line="380" w:lineRule="exact"/>
        <w:ind w:firstLine="422" w:firstLineChars="200"/>
        <w:rPr>
          <w:rFonts w:ascii="宋体" w:cs="宋体"/>
          <w:color w:val="auto"/>
          <w:highlight w:val="none"/>
        </w:rPr>
      </w:pPr>
      <w:bookmarkStart w:id="1999" w:name="_Toc497747240"/>
      <w:bookmarkStart w:id="2000" w:name="_Toc418752304"/>
      <w:bookmarkStart w:id="2001" w:name="_Toc373227761"/>
      <w:bookmarkStart w:id="2002" w:name="_Toc497746843"/>
      <w:bookmarkStart w:id="2003" w:name="_Toc418518172"/>
      <w:bookmarkStart w:id="2004" w:name="_Toc418061373"/>
      <w:bookmarkStart w:id="2005" w:name="_Toc418518408"/>
      <w:bookmarkStart w:id="2006" w:name="_Toc256000239"/>
      <w:bookmarkStart w:id="2007" w:name="_Toc12829"/>
      <w:bookmarkStart w:id="2008" w:name="_Toc389065326"/>
      <w:bookmarkStart w:id="2009" w:name="_Toc373478408"/>
      <w:bookmarkStart w:id="2010" w:name="_Toc403578996"/>
      <w:bookmarkStart w:id="2011" w:name="_Toc522201788"/>
      <w:bookmarkStart w:id="2012" w:name="_Toc418751858"/>
      <w:r>
        <w:rPr>
          <w:rFonts w:hint="eastAsia" w:ascii="宋体" w:cs="宋体"/>
          <w:color w:val="auto"/>
          <w:highlight w:val="none"/>
        </w:rPr>
        <w:t>14.4 最终结清</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70402B52">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65A9A02C">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一式四份 </w:t>
      </w:r>
      <w:r>
        <w:rPr>
          <w:rFonts w:hint="eastAsia" w:ascii="宋体" w:hAnsi="宋体" w:cs="宋体"/>
          <w:color w:val="auto"/>
          <w:szCs w:val="21"/>
          <w:highlight w:val="none"/>
        </w:rPr>
        <w:t>。</w:t>
      </w:r>
    </w:p>
    <w:p w14:paraId="5039E22C">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kern w:val="0"/>
          <w:szCs w:val="21"/>
          <w:highlight w:val="none"/>
          <w:u w:val="single"/>
        </w:rPr>
        <w:t>缺陷责任期终止证书签发后14天内向监理人提交4份竣工付款申请单及相关证明材料</w:t>
      </w:r>
      <w:r>
        <w:rPr>
          <w:rFonts w:hint="eastAsia" w:ascii="宋体" w:hAnsi="宋体" w:cs="宋体"/>
          <w:color w:val="auto"/>
          <w:szCs w:val="21"/>
          <w:highlight w:val="none"/>
        </w:rPr>
        <w:t xml:space="preserve">。 </w:t>
      </w:r>
    </w:p>
    <w:p w14:paraId="606D49E0">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3B36D375">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szCs w:val="21"/>
          <w:highlight w:val="none"/>
        </w:rPr>
        <w:t>。</w:t>
      </w:r>
    </w:p>
    <w:p w14:paraId="0EDE3D4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在颁发最终结清证书后的30天内 </w:t>
      </w:r>
      <w:r>
        <w:rPr>
          <w:rFonts w:hint="eastAsia" w:ascii="宋体" w:hAnsi="宋体" w:cs="宋体"/>
          <w:color w:val="auto"/>
          <w:szCs w:val="21"/>
          <w:highlight w:val="none"/>
        </w:rPr>
        <w:t>。</w:t>
      </w:r>
    </w:p>
    <w:bookmarkEnd w:id="1915"/>
    <w:bookmarkEnd w:id="1916"/>
    <w:bookmarkEnd w:id="1917"/>
    <w:bookmarkEnd w:id="1918"/>
    <w:bookmarkEnd w:id="1919"/>
    <w:bookmarkEnd w:id="1920"/>
    <w:bookmarkEnd w:id="1921"/>
    <w:bookmarkEnd w:id="1927"/>
    <w:p w14:paraId="19BE163B">
      <w:pPr>
        <w:pStyle w:val="36"/>
        <w:spacing w:line="380" w:lineRule="exact"/>
        <w:rPr>
          <w:rFonts w:ascii="宋体" w:cs="宋体"/>
          <w:color w:val="auto"/>
          <w:highlight w:val="none"/>
        </w:rPr>
      </w:pPr>
      <w:bookmarkStart w:id="2013" w:name="_Toc373478409"/>
      <w:bookmarkStart w:id="2014" w:name="_Toc418061374"/>
      <w:bookmarkStart w:id="2015" w:name="_Toc418752305"/>
      <w:bookmarkStart w:id="2016" w:name="_Toc256000240"/>
      <w:bookmarkStart w:id="2017" w:name="_Toc418751859"/>
      <w:bookmarkStart w:id="2018" w:name="_Toc418518409"/>
      <w:bookmarkStart w:id="2019" w:name="_Toc389065327"/>
      <w:bookmarkStart w:id="2020" w:name="_Toc497746844"/>
      <w:bookmarkStart w:id="2021" w:name="_Toc418518173"/>
      <w:bookmarkStart w:id="2022" w:name="_Toc403578997"/>
      <w:bookmarkStart w:id="2023" w:name="_Toc522201789"/>
      <w:bookmarkStart w:id="2024" w:name="_Toc351203647"/>
      <w:bookmarkStart w:id="2025" w:name="_Toc497747241"/>
      <w:bookmarkStart w:id="2026" w:name="_Toc9180"/>
      <w:bookmarkStart w:id="2027" w:name="_Toc373227762"/>
      <w:bookmarkStart w:id="2028" w:name="_Toc267251483"/>
      <w:bookmarkStart w:id="2029" w:name="_Toc267251482"/>
      <w:bookmarkStart w:id="2030" w:name="_Toc267251484"/>
      <w:bookmarkStart w:id="2031" w:name="_Toc267251485"/>
      <w:bookmarkStart w:id="2032" w:name="_Toc267251490"/>
      <w:bookmarkStart w:id="2033" w:name="_Toc267251488"/>
      <w:bookmarkStart w:id="2034" w:name="_Toc267251489"/>
      <w:bookmarkStart w:id="2035" w:name="_Toc267251486"/>
      <w:bookmarkStart w:id="2036" w:name="_Toc267251497"/>
      <w:bookmarkStart w:id="2037" w:name="_Toc267251494"/>
      <w:bookmarkStart w:id="2038" w:name="_Toc267251501"/>
      <w:bookmarkStart w:id="2039" w:name="_Toc267251492"/>
      <w:bookmarkStart w:id="2040" w:name="_Toc267251498"/>
      <w:bookmarkStart w:id="2041" w:name="_Toc267251499"/>
      <w:bookmarkStart w:id="2042" w:name="_Toc267251493"/>
      <w:bookmarkStart w:id="2043" w:name="_Toc267251496"/>
      <w:bookmarkStart w:id="2044" w:name="_Toc267251502"/>
      <w:bookmarkStart w:id="2045" w:name="_Toc267251491"/>
      <w:bookmarkStart w:id="2046" w:name="_Toc267251495"/>
      <w:bookmarkStart w:id="2047" w:name="_Toc267251503"/>
      <w:bookmarkStart w:id="2048" w:name="_Toc267251506"/>
      <w:bookmarkStart w:id="2049" w:name="_Toc267251504"/>
      <w:bookmarkStart w:id="2050" w:name="_Toc267251507"/>
      <w:bookmarkStart w:id="2051" w:name="_Toc267251508"/>
      <w:bookmarkStart w:id="2052" w:name="_Toc267251511"/>
      <w:bookmarkStart w:id="2053" w:name="_Toc267251515"/>
      <w:bookmarkStart w:id="2054" w:name="_Toc267251513"/>
      <w:bookmarkStart w:id="2055" w:name="_Toc267251514"/>
      <w:bookmarkStart w:id="2056" w:name="_Toc267251510"/>
      <w:bookmarkStart w:id="2057" w:name="_Toc267251509"/>
      <w:r>
        <w:rPr>
          <w:rFonts w:hint="eastAsia" w:ascii="宋体" w:cs="宋体"/>
          <w:color w:val="auto"/>
          <w:highlight w:val="none"/>
        </w:rPr>
        <w:t>15. 缺陷责任期与保修</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726ECA78">
      <w:pPr>
        <w:pStyle w:val="36"/>
        <w:spacing w:line="380" w:lineRule="exact"/>
        <w:ind w:firstLine="422" w:firstLineChars="200"/>
        <w:rPr>
          <w:rFonts w:ascii="宋体" w:cs="宋体"/>
          <w:color w:val="auto"/>
          <w:highlight w:val="none"/>
        </w:rPr>
      </w:pPr>
      <w:bookmarkStart w:id="2058" w:name="_Toc522201790"/>
      <w:bookmarkStart w:id="2059" w:name="_Toc418518174"/>
      <w:bookmarkStart w:id="2060" w:name="_Toc389065328"/>
      <w:bookmarkStart w:id="2061" w:name="_Toc418061375"/>
      <w:bookmarkStart w:id="2062" w:name="_Toc256000241"/>
      <w:bookmarkStart w:id="2063" w:name="_Toc373227763"/>
      <w:bookmarkStart w:id="2064" w:name="_Toc403578998"/>
      <w:bookmarkStart w:id="2065" w:name="_Toc418751860"/>
      <w:bookmarkStart w:id="2066" w:name="_Toc24268"/>
      <w:bookmarkStart w:id="2067" w:name="_Toc373478410"/>
      <w:bookmarkStart w:id="2068" w:name="_Toc497746845"/>
      <w:bookmarkStart w:id="2069" w:name="_Toc418752306"/>
      <w:bookmarkStart w:id="2070" w:name="_Toc497747242"/>
      <w:bookmarkStart w:id="2071" w:name="_Toc418518410"/>
      <w:r>
        <w:rPr>
          <w:rFonts w:hint="eastAsia" w:ascii="宋体" w:cs="宋体"/>
          <w:color w:val="auto"/>
          <w:highlight w:val="none"/>
        </w:rPr>
        <w:t>15.2 缺陷责任期</w:t>
      </w:r>
      <w:bookmarkEnd w:id="2028"/>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27FFEB3B">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个月，</w:t>
      </w:r>
      <w:r>
        <w:rPr>
          <w:rFonts w:hint="eastAsia" w:ascii="宋体" w:hAnsi="宋体" w:cs="宋体"/>
          <w:color w:val="auto"/>
          <w:kern w:val="0"/>
          <w:szCs w:val="21"/>
          <w:highlight w:val="none"/>
          <w:u w:val="single"/>
        </w:rPr>
        <w:t>工程竣工验收合格，自交付使用之日起计算</w:t>
      </w:r>
      <w:r>
        <w:rPr>
          <w:rFonts w:hint="eastAsia" w:ascii="宋体" w:hAnsi="宋体" w:cs="宋体"/>
          <w:color w:val="auto"/>
          <w:szCs w:val="21"/>
          <w:highlight w:val="none"/>
          <w:u w:val="single"/>
        </w:rPr>
        <w:t xml:space="preserve"> ，按照《建设工程质量管理条例》执行，</w:t>
      </w:r>
      <w:r>
        <w:rPr>
          <w:rFonts w:hint="eastAsia" w:ascii="宋体" w:hAnsi="宋体" w:cs="宋体"/>
          <w:bCs/>
          <w:color w:val="auto"/>
          <w:szCs w:val="21"/>
          <w:highlight w:val="none"/>
          <w:u w:val="single"/>
        </w:rPr>
        <w:t xml:space="preserve">详见本合同附件3：《工程质量保修书》 </w:t>
      </w:r>
      <w:r>
        <w:rPr>
          <w:rFonts w:hint="eastAsia" w:ascii="宋体" w:hAnsi="宋体" w:cs="宋体"/>
          <w:color w:val="auto"/>
          <w:szCs w:val="21"/>
          <w:highlight w:val="none"/>
        </w:rPr>
        <w:t>。</w:t>
      </w:r>
    </w:p>
    <w:p w14:paraId="627AD085">
      <w:pPr>
        <w:pStyle w:val="36"/>
        <w:spacing w:line="380" w:lineRule="exact"/>
        <w:ind w:firstLine="422" w:firstLineChars="200"/>
        <w:rPr>
          <w:rFonts w:ascii="宋体" w:cs="宋体"/>
          <w:color w:val="auto"/>
          <w:highlight w:val="none"/>
        </w:rPr>
      </w:pPr>
      <w:bookmarkStart w:id="2072" w:name="_Toc497746846"/>
      <w:bookmarkStart w:id="2073" w:name="_Toc389065329"/>
      <w:bookmarkStart w:id="2074" w:name="_Toc497747243"/>
      <w:bookmarkStart w:id="2075" w:name="_Toc16353"/>
      <w:bookmarkStart w:id="2076" w:name="_Toc403578999"/>
      <w:bookmarkStart w:id="2077" w:name="_Toc418518411"/>
      <w:bookmarkStart w:id="2078" w:name="_Toc418752307"/>
      <w:bookmarkStart w:id="2079" w:name="_Toc418518175"/>
      <w:bookmarkStart w:id="2080" w:name="_Toc373227764"/>
      <w:bookmarkStart w:id="2081" w:name="_Toc373478411"/>
      <w:bookmarkStart w:id="2082" w:name="_Toc522201791"/>
      <w:bookmarkStart w:id="2083" w:name="_Toc418751861"/>
      <w:bookmarkStart w:id="2084" w:name="_Toc256000242"/>
      <w:bookmarkStart w:id="2085" w:name="_Toc418061376"/>
      <w:r>
        <w:rPr>
          <w:rFonts w:hint="eastAsia" w:ascii="宋体" w:cs="宋体"/>
          <w:color w:val="auto"/>
          <w:highlight w:val="none"/>
        </w:rPr>
        <w:t>15.3 质量保证金</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1112F23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kern w:val="0"/>
          <w:szCs w:val="21"/>
          <w:highlight w:val="none"/>
          <w:u w:val="single"/>
        </w:rPr>
        <w:t>按工程价款结算总额的</w:t>
      </w:r>
      <w:r>
        <w:rPr>
          <w:rFonts w:hint="eastAsia" w:ascii="宋体" w:hAnsi="宋体" w:cs="宋体"/>
          <w:color w:val="auto"/>
          <w:kern w:val="0"/>
          <w:szCs w:val="21"/>
          <w:highlight w:val="none"/>
          <w:u w:val="single"/>
          <w:lang w:val="en-US" w:eastAsia="zh-CN"/>
        </w:rPr>
        <w:t>3</w:t>
      </w:r>
      <w:r>
        <w:rPr>
          <w:rFonts w:hint="eastAsia" w:ascii="宋体" w:hAnsi="宋体" w:cs="宋体"/>
          <w:color w:val="auto"/>
          <w:kern w:val="0"/>
          <w:szCs w:val="21"/>
          <w:highlight w:val="none"/>
          <w:u w:val="single"/>
        </w:rPr>
        <w:t xml:space="preserve">%作为质保金 </w:t>
      </w:r>
      <w:r>
        <w:rPr>
          <w:rFonts w:hint="eastAsia" w:ascii="宋体" w:hAnsi="宋体" w:cs="宋体"/>
          <w:color w:val="auto"/>
          <w:szCs w:val="21"/>
          <w:highlight w:val="none"/>
        </w:rPr>
        <w:t>。</w:t>
      </w:r>
    </w:p>
    <w:p w14:paraId="589EDF07">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2678C06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4C75F2F5">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3149E658">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w:t>
      </w:r>
      <w:r>
        <w:rPr>
          <w:rFonts w:hint="eastAsia" w:ascii="宋体" w:hAnsi="宋体" w:cs="宋体"/>
          <w:bCs/>
          <w:color w:val="auto"/>
          <w:szCs w:val="21"/>
          <w:highlight w:val="none"/>
          <w:lang w:eastAsia="zh-CN"/>
        </w:rPr>
        <w:t>质量保证金</w:t>
      </w:r>
      <w:r>
        <w:rPr>
          <w:rFonts w:hint="eastAsia" w:ascii="宋体" w:hAnsi="宋体" w:cs="宋体"/>
          <w:bCs/>
          <w:color w:val="auto"/>
          <w:szCs w:val="21"/>
          <w:highlight w:val="none"/>
        </w:rPr>
        <w:t>，待缺陷责任期满后返还</w:t>
      </w:r>
      <w:r>
        <w:rPr>
          <w:rFonts w:hint="eastAsia" w:ascii="宋体" w:hAnsi="宋体" w:cs="宋体"/>
          <w:color w:val="auto"/>
          <w:kern w:val="0"/>
          <w:szCs w:val="21"/>
          <w:highlight w:val="none"/>
        </w:rPr>
        <w:t>；</w:t>
      </w:r>
    </w:p>
    <w:p w14:paraId="45A50157">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33C4E031">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1369B226">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42B3B340">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0FF7F71E">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2BEECF59">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3482F17A">
      <w:pPr>
        <w:pStyle w:val="21"/>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szCs w:val="21"/>
          <w:highlight w:val="none"/>
          <w:u w:val="single"/>
        </w:rPr>
        <w:t>承包人未按照法律法规有关规定和合同约定履行质量保修义务的，发包人有权从质量保证金中扣留用于质量保修的各项支出。</w:t>
      </w:r>
      <w:r>
        <w:rPr>
          <w:rFonts w:hint="eastAsia" w:ascii="宋体" w:hAnsi="宋体" w:cs="宋体"/>
          <w:color w:val="auto"/>
          <w:kern w:val="0"/>
          <w:szCs w:val="21"/>
          <w:highlight w:val="none"/>
          <w:u w:val="single"/>
        </w:rPr>
        <w:t>发包人在工程缺陷责任期满后 14 天内将保修金一次性返回给承包人（无息）。质量保证金的返还，并不能免除承包人按照合同约定应承担的质量保修责任和应履行的质量保修义务。</w:t>
      </w:r>
    </w:p>
    <w:bookmarkEnd w:id="2029"/>
    <w:bookmarkEnd w:id="2030"/>
    <w:p w14:paraId="61787ECA">
      <w:pPr>
        <w:pStyle w:val="36"/>
        <w:spacing w:line="380" w:lineRule="exact"/>
        <w:ind w:firstLine="422" w:firstLineChars="200"/>
        <w:rPr>
          <w:rFonts w:ascii="宋体" w:cs="宋体"/>
          <w:color w:val="auto"/>
          <w:highlight w:val="none"/>
        </w:rPr>
      </w:pPr>
      <w:bookmarkStart w:id="2086" w:name="_Toc24480"/>
      <w:bookmarkStart w:id="2087" w:name="_Toc418518412"/>
      <w:bookmarkStart w:id="2088" w:name="_Toc403579000"/>
      <w:bookmarkStart w:id="2089" w:name="_Toc497747244"/>
      <w:bookmarkStart w:id="2090" w:name="_Toc418752308"/>
      <w:bookmarkStart w:id="2091" w:name="_Toc389065330"/>
      <w:bookmarkStart w:id="2092" w:name="_Toc373227765"/>
      <w:bookmarkStart w:id="2093" w:name="_Toc418061377"/>
      <w:bookmarkStart w:id="2094" w:name="_Toc497746847"/>
      <w:bookmarkStart w:id="2095" w:name="_Toc373478412"/>
      <w:bookmarkStart w:id="2096" w:name="_Toc418518176"/>
      <w:bookmarkStart w:id="2097" w:name="_Toc418751862"/>
      <w:bookmarkStart w:id="2098" w:name="_Toc522201792"/>
      <w:bookmarkStart w:id="2099" w:name="_Toc256000243"/>
      <w:r>
        <w:rPr>
          <w:rFonts w:hint="eastAsia" w:ascii="宋体" w:cs="宋体"/>
          <w:color w:val="auto"/>
          <w:highlight w:val="none"/>
        </w:rPr>
        <w:t>15.4 保修</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bookmarkEnd w:id="2031"/>
    <w:p w14:paraId="193C7161">
      <w:pPr>
        <w:pStyle w:val="21"/>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7416A69C">
      <w:pPr>
        <w:pStyle w:val="21"/>
        <w:spacing w:line="380" w:lineRule="exact"/>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根据《建设工程质量管理条例》及有关规定，约定本工程的保修期详见《工程质量保修书》。</w:t>
      </w:r>
    </w:p>
    <w:p w14:paraId="6ECB59D9">
      <w:pPr>
        <w:pStyle w:val="21"/>
        <w:spacing w:line="380" w:lineRule="exact"/>
        <w:ind w:firstLine="409" w:firstLineChars="195"/>
        <w:jc w:val="left"/>
        <w:rPr>
          <w:rFonts w:ascii="宋体" w:hAnsi="宋体" w:cs="宋体"/>
          <w:color w:val="auto"/>
          <w:kern w:val="0"/>
          <w:szCs w:val="21"/>
          <w:highlight w:val="none"/>
          <w:u w:val="single"/>
        </w:rPr>
      </w:pPr>
      <w:r>
        <w:rPr>
          <w:rFonts w:hint="eastAsia" w:ascii="宋体" w:hAnsi="宋体" w:cs="宋体"/>
          <w:color w:val="auto"/>
          <w:szCs w:val="21"/>
          <w:highlight w:val="none"/>
        </w:rPr>
        <w:t>工程保修书具体内容见合同附件3。</w:t>
      </w:r>
    </w:p>
    <w:p w14:paraId="3FE49DED">
      <w:pPr>
        <w:pStyle w:val="21"/>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282AF33B">
      <w:pPr>
        <w:pStyle w:val="21"/>
        <w:spacing w:line="380" w:lineRule="exact"/>
        <w:ind w:firstLine="409" w:firstLineChars="195"/>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1、属于保修范围、内容的项目，承包人应当在接到保修通知之日起三天内派人保修。承包人不在约定期限内派人保修的，发包人有权直接安排维修，费用从工程保修金中扣除，不足部分发包人有权向承包人追索。2、发生紧急抢修事故的，承包人在接到事故通知后，应当立即到达事故现场抢修。3、对于涉及设备的质量问题，应当提出保修方案，及时更换设备，承包人实施保修。属于涉及结构安全的质量问题，应当按照《房屋建筑工程质量保修办法》的规定，立即向当地建设行政主管部门报告，采取安全防范措施；由原设计单位或者具有相应资质等级的设计单位提出保修方案，承包人实施保修。4、质量保修完成后，由发包人组织验收。5、保修费用由造成质量缺陷的责任方承担 。</w:t>
      </w:r>
    </w:p>
    <w:bookmarkEnd w:id="2032"/>
    <w:bookmarkEnd w:id="2033"/>
    <w:bookmarkEnd w:id="2034"/>
    <w:bookmarkEnd w:id="2035"/>
    <w:p w14:paraId="52D2D0C6">
      <w:pPr>
        <w:pStyle w:val="36"/>
        <w:spacing w:line="380" w:lineRule="exact"/>
        <w:rPr>
          <w:rFonts w:ascii="宋体" w:cs="宋体"/>
          <w:color w:val="auto"/>
          <w:highlight w:val="none"/>
        </w:rPr>
      </w:pPr>
      <w:bookmarkStart w:id="2100" w:name="_Toc522201793"/>
      <w:bookmarkStart w:id="2101" w:name="_Toc497746848"/>
      <w:bookmarkStart w:id="2102" w:name="_Toc403579001"/>
      <w:bookmarkStart w:id="2103" w:name="_Toc418752309"/>
      <w:bookmarkStart w:id="2104" w:name="_Toc351203648"/>
      <w:bookmarkStart w:id="2105" w:name="_Toc3422"/>
      <w:bookmarkStart w:id="2106" w:name="_Toc373227766"/>
      <w:bookmarkStart w:id="2107" w:name="_Toc497747245"/>
      <w:bookmarkStart w:id="2108" w:name="_Toc389065331"/>
      <w:bookmarkStart w:id="2109" w:name="_Toc373478413"/>
      <w:bookmarkStart w:id="2110" w:name="_Toc418518177"/>
      <w:bookmarkStart w:id="2111" w:name="_Toc418061378"/>
      <w:bookmarkStart w:id="2112" w:name="_Toc418751863"/>
      <w:bookmarkStart w:id="2113" w:name="_Toc418518413"/>
      <w:bookmarkStart w:id="2114" w:name="_Toc256000244"/>
      <w:bookmarkStart w:id="2115" w:name="_Toc280868717"/>
      <w:bookmarkStart w:id="2116" w:name="_Toc280868718"/>
      <w:r>
        <w:rPr>
          <w:rFonts w:hint="eastAsia" w:ascii="宋体" w:cs="宋体"/>
          <w:color w:val="auto"/>
          <w:highlight w:val="none"/>
        </w:rPr>
        <w:t>16. 违约</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2F1B4F91">
      <w:pPr>
        <w:pStyle w:val="36"/>
        <w:spacing w:line="380" w:lineRule="exact"/>
        <w:ind w:firstLine="422" w:firstLineChars="200"/>
        <w:rPr>
          <w:rFonts w:ascii="宋体" w:cs="宋体"/>
          <w:color w:val="auto"/>
          <w:highlight w:val="none"/>
        </w:rPr>
      </w:pPr>
      <w:bookmarkStart w:id="2117" w:name="_Toc418518414"/>
      <w:bookmarkStart w:id="2118" w:name="_Toc389065332"/>
      <w:bookmarkStart w:id="2119" w:name="_Toc418751864"/>
      <w:bookmarkStart w:id="2120" w:name="_Toc7014"/>
      <w:bookmarkStart w:id="2121" w:name="_Toc418518178"/>
      <w:bookmarkStart w:id="2122" w:name="_Toc373478414"/>
      <w:bookmarkStart w:id="2123" w:name="_Toc403579002"/>
      <w:bookmarkStart w:id="2124" w:name="_Toc256000245"/>
      <w:bookmarkStart w:id="2125" w:name="_Toc497746849"/>
      <w:bookmarkStart w:id="2126" w:name="_Toc497747246"/>
      <w:bookmarkStart w:id="2127" w:name="_Toc522201794"/>
      <w:bookmarkStart w:id="2128" w:name="_Toc373227767"/>
      <w:bookmarkStart w:id="2129" w:name="_Toc418061379"/>
      <w:bookmarkStart w:id="2130" w:name="_Toc418752310"/>
      <w:r>
        <w:rPr>
          <w:rFonts w:hint="eastAsia" w:ascii="宋体" w:cs="宋体"/>
          <w:color w:val="auto"/>
          <w:highlight w:val="none"/>
        </w:rPr>
        <w:t>16.1 发包人违约</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54655E04">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2CB74F2E">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68720DF">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396E572E">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61548549">
      <w:pPr>
        <w:pStyle w:val="21"/>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2F404BD6">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10473F71">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按通用条款执行  </w:t>
      </w:r>
      <w:r>
        <w:rPr>
          <w:rFonts w:hint="eastAsia" w:ascii="宋体" w:hAnsi="宋体" w:cs="宋体"/>
          <w:color w:val="auto"/>
          <w:kern w:val="0"/>
          <w:szCs w:val="21"/>
          <w:highlight w:val="none"/>
        </w:rPr>
        <w:t>。</w:t>
      </w:r>
    </w:p>
    <w:p w14:paraId="4EAA6AAB">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47ED2EE5">
      <w:pPr>
        <w:pStyle w:val="21"/>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按通用条款执行</w:t>
      </w:r>
      <w:r>
        <w:rPr>
          <w:rFonts w:hint="eastAsia" w:ascii="宋体" w:hAnsi="宋体" w:cs="宋体"/>
          <w:color w:val="auto"/>
          <w:kern w:val="0"/>
          <w:szCs w:val="21"/>
          <w:highlight w:val="none"/>
        </w:rPr>
        <w:t>。</w:t>
      </w:r>
    </w:p>
    <w:p w14:paraId="26456430">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按通用条款执行</w:t>
      </w:r>
      <w:r>
        <w:rPr>
          <w:rFonts w:hint="eastAsia" w:ascii="宋体" w:hAnsi="宋体" w:cs="宋体"/>
          <w:color w:val="auto"/>
          <w:kern w:val="0"/>
          <w:szCs w:val="21"/>
          <w:highlight w:val="none"/>
        </w:rPr>
        <w:t>。</w:t>
      </w:r>
    </w:p>
    <w:p w14:paraId="5C6A4450">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7F11FBB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F2CD208">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天后发包人仍不纠正其违约行为并致使合同目的不能实现的，承包人有权解除合同。</w:t>
      </w:r>
    </w:p>
    <w:p w14:paraId="14D94172">
      <w:pPr>
        <w:pStyle w:val="36"/>
        <w:spacing w:line="380" w:lineRule="exact"/>
        <w:ind w:firstLine="422" w:firstLineChars="200"/>
        <w:rPr>
          <w:rFonts w:ascii="宋体" w:cs="宋体"/>
          <w:color w:val="auto"/>
          <w:highlight w:val="none"/>
        </w:rPr>
      </w:pPr>
      <w:bookmarkStart w:id="2131" w:name="_Toc373227768"/>
      <w:bookmarkStart w:id="2132" w:name="_Toc522201795"/>
      <w:bookmarkStart w:id="2133" w:name="_Toc497746850"/>
      <w:bookmarkStart w:id="2134" w:name="_Toc373478415"/>
      <w:bookmarkStart w:id="2135" w:name="_Toc418752311"/>
      <w:bookmarkStart w:id="2136" w:name="_Toc418751865"/>
      <w:bookmarkStart w:id="2137" w:name="_Toc256000246"/>
      <w:bookmarkStart w:id="2138" w:name="_Toc389065333"/>
      <w:bookmarkStart w:id="2139" w:name="_Toc497747247"/>
      <w:bookmarkStart w:id="2140" w:name="_Toc403579003"/>
      <w:bookmarkStart w:id="2141" w:name="_Toc418518179"/>
      <w:bookmarkStart w:id="2142" w:name="_Toc418061380"/>
      <w:bookmarkStart w:id="2143" w:name="_Toc12535"/>
      <w:bookmarkStart w:id="2144" w:name="_Toc418518415"/>
      <w:r>
        <w:rPr>
          <w:rFonts w:hint="eastAsia" w:ascii="宋体" w:cs="宋体"/>
          <w:color w:val="auto"/>
          <w:highlight w:val="none"/>
        </w:rPr>
        <w:t>16.2 承包人违约</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1BB2D82C">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0CF2C38F">
      <w:pPr>
        <w:pStyle w:val="21"/>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kern w:val="0"/>
          <w:szCs w:val="21"/>
          <w:highlight w:val="none"/>
        </w:rPr>
        <w:t>。</w:t>
      </w:r>
    </w:p>
    <w:p w14:paraId="05E260E9">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180BB359">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760E4A92">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5213548E">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（2）承包人有本合同通用条款第16.2.1（6）条情形的，或经监理人检验认为修复质量不合格而承包人拒绝再进行修补的，发包人将扣除承包人全部</w:t>
      </w:r>
      <w:r>
        <w:rPr>
          <w:rFonts w:hint="eastAsia" w:ascii="宋体" w:hAnsi="宋体" w:cs="宋体"/>
          <w:color w:val="auto"/>
          <w:kern w:val="0"/>
          <w:szCs w:val="21"/>
          <w:highlight w:val="none"/>
          <w:lang w:eastAsia="zh-CN"/>
        </w:rPr>
        <w:t>质量保证金</w:t>
      </w:r>
      <w:r>
        <w:rPr>
          <w:rFonts w:hint="eastAsia" w:ascii="宋体" w:hAnsi="宋体" w:cs="宋体"/>
          <w:color w:val="auto"/>
          <w:kern w:val="0"/>
          <w:szCs w:val="21"/>
          <w:highlight w:val="none"/>
        </w:rPr>
        <w:t>。</w:t>
      </w:r>
    </w:p>
    <w:p w14:paraId="24A7E385">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w:t>
      </w:r>
      <w:r>
        <w:rPr>
          <w:rFonts w:hint="eastAsia" w:ascii="宋体" w:hAnsi="宋体" w:cs="宋体"/>
          <w:color w:val="auto"/>
          <w:szCs w:val="21"/>
          <w:highlight w:val="none"/>
        </w:rPr>
        <w:t>承包人在合同期内，完成合同规定的全部工程，且质量合格，在本工程施工竣工验收后十五天内可申请返还全部或部分罚款，返还金额由监理人审核，发包人批准。罚款金额返还时不包括银行利息。</w:t>
      </w:r>
      <w:r>
        <w:rPr>
          <w:rFonts w:hint="eastAsia" w:ascii="宋体" w:hAnsi="宋体" w:cs="宋体"/>
          <w:color w:val="auto"/>
          <w:kern w:val="0"/>
          <w:szCs w:val="21"/>
          <w:highlight w:val="none"/>
        </w:rPr>
        <w:t>承包人履约保证金被罚款后由发包人从最后一次计量支付时扣除相应金额补足履约保证金。</w:t>
      </w:r>
    </w:p>
    <w:p w14:paraId="6984B6B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42E0353D">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承包人有违反以下情况之一的，发包人有权解除合同，并没收其全部履约保证金</w:t>
      </w:r>
      <w:r>
        <w:rPr>
          <w:rFonts w:hint="eastAsia" w:ascii="宋体" w:hAnsi="宋体" w:cs="宋体"/>
          <w:color w:val="auto"/>
          <w:kern w:val="0"/>
          <w:szCs w:val="21"/>
          <w:highlight w:val="none"/>
        </w:rPr>
        <w:t>。</w:t>
      </w:r>
    </w:p>
    <w:p w14:paraId="27B0D4B7">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(1)承包人无正当理由不按开工通知的要求及时进场组织施工和不按签订协议书时商定的进度计划有效地开展施工准备，造成工期延误的；</w:t>
      </w:r>
    </w:p>
    <w:p w14:paraId="4AC1CB4B">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(2)承包人违反本合同通用条款第3.5条规定私自将合同或合同的任何部分或任何权利转让给其他人，或私自将工程或工程的一部分分包出去的；</w:t>
      </w:r>
    </w:p>
    <w:p w14:paraId="729DA252">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(3)未经监理人批准，承包人私自将已按投标文件承诺进入工地的工程设备、施工设备、临时工程或材料撤离工地的；</w:t>
      </w:r>
    </w:p>
    <w:p w14:paraId="2A17B0B1">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(4)由于承包人原因拒绝按合同进度计划及时完成合同规定的工程，而又未采取有效措施赶上进度，造成工期延误的；</w:t>
      </w:r>
    </w:p>
    <w:p w14:paraId="263DE1D8">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(5)承包人否认合同有效或拒绝履行合同规定的承包人义务，或由于法律、财务等原因导致承包人无法继续履行或实质上已停止履行合同的义务的；</w:t>
      </w:r>
    </w:p>
    <w:p w14:paraId="3C608208">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(6)合同签订之日起十五日内，承包人无法按合同规定及投标文件的承诺进场经监理工程师认可的全部人员和机械的。</w:t>
      </w:r>
    </w:p>
    <w:p w14:paraId="4B193848">
      <w:pPr>
        <w:pStyle w:val="21"/>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协商决定   </w:t>
      </w:r>
      <w:r>
        <w:rPr>
          <w:rFonts w:hint="eastAsia" w:ascii="宋体" w:hAnsi="宋体" w:cs="宋体"/>
          <w:color w:val="auto"/>
          <w:kern w:val="0"/>
          <w:szCs w:val="21"/>
          <w:highlight w:val="none"/>
        </w:rPr>
        <w:t>。</w:t>
      </w:r>
    </w:p>
    <w:p w14:paraId="156647A0">
      <w:pPr>
        <w:pStyle w:val="36"/>
        <w:spacing w:line="380" w:lineRule="exact"/>
        <w:rPr>
          <w:rFonts w:ascii="宋体" w:cs="宋体"/>
          <w:color w:val="auto"/>
          <w:highlight w:val="none"/>
        </w:rPr>
      </w:pPr>
      <w:bookmarkStart w:id="2145" w:name="_Toc373478416"/>
      <w:bookmarkStart w:id="2146" w:name="_Toc389065334"/>
      <w:bookmarkStart w:id="2147" w:name="_Toc418752312"/>
      <w:bookmarkStart w:id="2148" w:name="_Toc24826"/>
      <w:bookmarkStart w:id="2149" w:name="_Toc256000247"/>
      <w:bookmarkStart w:id="2150" w:name="_Toc351203649"/>
      <w:bookmarkStart w:id="2151" w:name="_Toc403579004"/>
      <w:bookmarkStart w:id="2152" w:name="_Toc373227769"/>
      <w:bookmarkStart w:id="2153" w:name="_Toc418518180"/>
      <w:bookmarkStart w:id="2154" w:name="_Toc418061381"/>
      <w:bookmarkStart w:id="2155" w:name="_Toc418751866"/>
      <w:bookmarkStart w:id="2156" w:name="_Toc522201796"/>
      <w:bookmarkStart w:id="2157" w:name="_Toc497746851"/>
      <w:bookmarkStart w:id="2158" w:name="_Toc418518416"/>
      <w:bookmarkStart w:id="2159" w:name="_Toc497747248"/>
      <w:r>
        <w:rPr>
          <w:rFonts w:hint="eastAsia" w:ascii="宋体" w:cs="宋体"/>
          <w:color w:val="auto"/>
          <w:highlight w:val="none"/>
        </w:rPr>
        <w:t>17. 不可抗力</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rPr>
          <w:rFonts w:hint="eastAsia" w:ascii="宋体" w:cs="宋体"/>
          <w:color w:val="auto"/>
          <w:highlight w:val="none"/>
        </w:rPr>
        <w:t xml:space="preserve"> </w:t>
      </w:r>
      <w:bookmarkEnd w:id="2115"/>
    </w:p>
    <w:p w14:paraId="648EC69E">
      <w:pPr>
        <w:pStyle w:val="36"/>
        <w:spacing w:line="380" w:lineRule="exact"/>
        <w:ind w:firstLine="422" w:firstLineChars="200"/>
        <w:rPr>
          <w:rFonts w:ascii="宋体" w:cs="宋体"/>
          <w:color w:val="auto"/>
          <w:highlight w:val="none"/>
        </w:rPr>
      </w:pPr>
      <w:bookmarkStart w:id="2160" w:name="_Toc522201797"/>
      <w:bookmarkStart w:id="2161" w:name="_Toc373227770"/>
      <w:bookmarkStart w:id="2162" w:name="_Toc373478417"/>
      <w:bookmarkStart w:id="2163" w:name="_Toc403579005"/>
      <w:bookmarkStart w:id="2164" w:name="_Toc12218"/>
      <w:bookmarkStart w:id="2165" w:name="_Toc418752313"/>
      <w:bookmarkStart w:id="2166" w:name="_Toc418751867"/>
      <w:bookmarkStart w:id="2167" w:name="_Toc418518417"/>
      <w:bookmarkStart w:id="2168" w:name="_Toc389065335"/>
      <w:bookmarkStart w:id="2169" w:name="_Toc418061382"/>
      <w:bookmarkStart w:id="2170" w:name="_Toc497747249"/>
      <w:bookmarkStart w:id="2171" w:name="_Toc497746852"/>
      <w:bookmarkStart w:id="2172" w:name="_Toc418518181"/>
      <w:bookmarkStart w:id="2173" w:name="_Toc256000248"/>
      <w:r>
        <w:rPr>
          <w:rFonts w:hint="eastAsia" w:ascii="宋体" w:cs="宋体"/>
          <w:color w:val="auto"/>
          <w:highlight w:val="none"/>
        </w:rPr>
        <w:t>17.1 不可抗力的确认</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46AAA095">
      <w:pPr>
        <w:pStyle w:val="21"/>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kern w:val="0"/>
          <w:szCs w:val="21"/>
          <w:highlight w:val="none"/>
          <w:u w:val="single"/>
        </w:rPr>
        <w:t>（1）、6级以上地震；（2）、10级以上持续1天的大风；（3）、暴雨级以上持续1天的大雨；（4）、50年以上未发生过，持续2天的高温天气；（5）、50年以上未发生过，持续2天的低温天气；（6）、50年以上未发生过 的洪水；（7）、战争、敌对行动（不论宣战与否）、入侵、外敌行动；（8）、暴乱、骚乱、叛乱、革命、暴动，或军事政变、篡夺政权、内战等；（9）、由于任何有危险性物质所引起的离子辐射或放射性污染；（10）、以音速飞行的飞机或其他飞行装置产生的压力波；（11）、对以上几种形式，应以造成灾害和影响施工为准</w:t>
      </w:r>
      <w:r>
        <w:rPr>
          <w:rFonts w:hint="eastAsia" w:ascii="宋体" w:hAnsi="宋体" w:cs="宋体"/>
          <w:color w:val="auto"/>
          <w:kern w:val="0"/>
          <w:szCs w:val="21"/>
          <w:highlight w:val="none"/>
        </w:rPr>
        <w:t>。</w:t>
      </w:r>
    </w:p>
    <w:p w14:paraId="3549F053">
      <w:pPr>
        <w:pStyle w:val="36"/>
        <w:spacing w:line="380" w:lineRule="exact"/>
        <w:ind w:firstLine="422" w:firstLineChars="200"/>
        <w:rPr>
          <w:rFonts w:ascii="宋体" w:cs="宋体"/>
          <w:color w:val="auto"/>
          <w:highlight w:val="none"/>
        </w:rPr>
      </w:pPr>
      <w:bookmarkStart w:id="2174" w:name="_Toc522201798"/>
      <w:bookmarkStart w:id="2175" w:name="_Toc418518182"/>
      <w:bookmarkStart w:id="2176" w:name="_Toc497746853"/>
      <w:bookmarkStart w:id="2177" w:name="_Toc403579006"/>
      <w:bookmarkStart w:id="2178" w:name="_Toc373478418"/>
      <w:bookmarkStart w:id="2179" w:name="_Toc21582"/>
      <w:bookmarkStart w:id="2180" w:name="_Toc418752314"/>
      <w:bookmarkStart w:id="2181" w:name="_Toc389065336"/>
      <w:bookmarkStart w:id="2182" w:name="_Toc373227771"/>
      <w:bookmarkStart w:id="2183" w:name="_Toc418751868"/>
      <w:bookmarkStart w:id="2184" w:name="_Toc418518418"/>
      <w:bookmarkStart w:id="2185" w:name="_Toc256000249"/>
      <w:bookmarkStart w:id="2186" w:name="_Toc497747250"/>
      <w:bookmarkStart w:id="2187" w:name="_Toc418061383"/>
      <w:r>
        <w:rPr>
          <w:rFonts w:hint="eastAsia" w:ascii="宋体" w:cs="宋体"/>
          <w:color w:val="auto"/>
          <w:highlight w:val="none"/>
        </w:rPr>
        <w:t>17.4 因不可抗力解除合同</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27E7987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天内完成款项的支付。</w:t>
      </w:r>
    </w:p>
    <w:p w14:paraId="40952038">
      <w:pPr>
        <w:pStyle w:val="36"/>
        <w:spacing w:line="380" w:lineRule="exact"/>
        <w:rPr>
          <w:rFonts w:ascii="宋体" w:cs="宋体"/>
          <w:color w:val="auto"/>
          <w:highlight w:val="none"/>
        </w:rPr>
      </w:pPr>
      <w:bookmarkStart w:id="2188" w:name="_Toc373478419"/>
      <w:bookmarkStart w:id="2189" w:name="_Toc418061384"/>
      <w:bookmarkStart w:id="2190" w:name="_Toc403579007"/>
      <w:bookmarkStart w:id="2191" w:name="_Toc389065337"/>
      <w:bookmarkStart w:id="2192" w:name="_Toc373227772"/>
      <w:bookmarkStart w:id="2193" w:name="_Toc497746854"/>
      <w:bookmarkStart w:id="2194" w:name="_Toc351203650"/>
      <w:bookmarkStart w:id="2195" w:name="_Toc418752315"/>
      <w:bookmarkStart w:id="2196" w:name="_Toc497747251"/>
      <w:bookmarkStart w:id="2197" w:name="_Toc10404"/>
      <w:bookmarkStart w:id="2198" w:name="_Toc256000250"/>
      <w:bookmarkStart w:id="2199" w:name="_Toc522201799"/>
      <w:bookmarkStart w:id="2200" w:name="_Toc418518183"/>
      <w:bookmarkStart w:id="2201" w:name="_Toc418751869"/>
      <w:bookmarkStart w:id="2202" w:name="_Toc418518419"/>
      <w:r>
        <w:rPr>
          <w:rFonts w:hint="eastAsia" w:ascii="宋体" w:cs="宋体"/>
          <w:color w:val="auto"/>
          <w:highlight w:val="none"/>
        </w:rPr>
        <w:t>18. 保险</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bookmarkEnd w:id="2116"/>
    <w:p w14:paraId="3414AD8D">
      <w:pPr>
        <w:pStyle w:val="36"/>
        <w:spacing w:line="380" w:lineRule="exact"/>
        <w:ind w:firstLine="422" w:firstLineChars="200"/>
        <w:rPr>
          <w:rFonts w:ascii="宋体" w:cs="宋体"/>
          <w:color w:val="auto"/>
          <w:highlight w:val="none"/>
        </w:rPr>
      </w:pPr>
      <w:bookmarkStart w:id="2203" w:name="_Toc389065338"/>
      <w:bookmarkStart w:id="2204" w:name="_Toc418752316"/>
      <w:bookmarkStart w:id="2205" w:name="_Toc403579008"/>
      <w:bookmarkStart w:id="2206" w:name="_Toc418518184"/>
      <w:bookmarkStart w:id="2207" w:name="_Toc522201800"/>
      <w:bookmarkStart w:id="2208" w:name="_Toc418751870"/>
      <w:bookmarkStart w:id="2209" w:name="_Toc418518420"/>
      <w:bookmarkStart w:id="2210" w:name="_Toc25051"/>
      <w:bookmarkStart w:id="2211" w:name="_Toc256000251"/>
      <w:bookmarkStart w:id="2212" w:name="_Toc497746855"/>
      <w:bookmarkStart w:id="2213" w:name="_Toc418061385"/>
      <w:bookmarkStart w:id="2214" w:name="_Toc497747252"/>
      <w:bookmarkStart w:id="2215" w:name="_Toc373227773"/>
      <w:bookmarkStart w:id="2216" w:name="_Toc373478420"/>
      <w:r>
        <w:rPr>
          <w:rFonts w:hint="eastAsia" w:ascii="宋体" w:cs="宋体"/>
          <w:color w:val="auto"/>
          <w:highlight w:val="none"/>
        </w:rPr>
        <w:t>18.1 工程保险</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415F58BD">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kern w:val="0"/>
          <w:szCs w:val="21"/>
          <w:highlight w:val="none"/>
          <w:u w:val="single"/>
        </w:rPr>
        <w:t>承包人应投保建筑工程一切险并承担与之相关的所有费用</w:t>
      </w:r>
      <w:r>
        <w:rPr>
          <w:rFonts w:hint="eastAsia" w:ascii="宋体" w:hAnsi="宋体" w:cs="宋体"/>
          <w:color w:val="auto"/>
          <w:kern w:val="0"/>
          <w:szCs w:val="21"/>
          <w:highlight w:val="none"/>
        </w:rPr>
        <w:t>。</w:t>
      </w:r>
    </w:p>
    <w:p w14:paraId="1EDDF01E">
      <w:pPr>
        <w:pStyle w:val="36"/>
        <w:spacing w:line="380" w:lineRule="exact"/>
        <w:ind w:firstLine="422" w:firstLineChars="200"/>
        <w:rPr>
          <w:rFonts w:ascii="宋体" w:cs="宋体"/>
          <w:color w:val="auto"/>
          <w:highlight w:val="none"/>
        </w:rPr>
      </w:pPr>
      <w:bookmarkStart w:id="2217" w:name="_Toc14806"/>
      <w:bookmarkStart w:id="2218" w:name="_Toc418751871"/>
      <w:bookmarkStart w:id="2219" w:name="_Toc497747253"/>
      <w:bookmarkStart w:id="2220" w:name="_Toc403579009"/>
      <w:bookmarkStart w:id="2221" w:name="_Toc389065339"/>
      <w:bookmarkStart w:id="2222" w:name="_Toc418518421"/>
      <w:bookmarkStart w:id="2223" w:name="_Toc256000252"/>
      <w:bookmarkStart w:id="2224" w:name="_Toc418752317"/>
      <w:bookmarkStart w:id="2225" w:name="_Toc497746856"/>
      <w:bookmarkStart w:id="2226" w:name="_Toc418061386"/>
      <w:bookmarkStart w:id="2227" w:name="_Toc418518185"/>
      <w:bookmarkStart w:id="2228" w:name="_Toc373478421"/>
      <w:bookmarkStart w:id="2229" w:name="_Toc522201801"/>
      <w:bookmarkStart w:id="2230" w:name="_Toc373227774"/>
      <w:r>
        <w:rPr>
          <w:rFonts w:hint="eastAsia" w:ascii="宋体" w:cs="宋体"/>
          <w:color w:val="auto"/>
          <w:highlight w:val="none"/>
        </w:rPr>
        <w:t>18.3 其他保险</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57BCF19E">
      <w:pPr>
        <w:pStyle w:val="21"/>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kern w:val="0"/>
          <w:szCs w:val="21"/>
          <w:highlight w:val="none"/>
          <w:u w:val="single"/>
        </w:rPr>
        <w:t>承包人根据市建协字【2009】3号文必须</w:t>
      </w:r>
      <w:r>
        <w:rPr>
          <w:rFonts w:hint="eastAsia" w:ascii="宋体" w:hAnsi="宋体" w:cs="宋体"/>
          <w:color w:val="auto"/>
          <w:szCs w:val="21"/>
          <w:highlight w:val="none"/>
          <w:u w:val="single"/>
        </w:rPr>
        <w:t>为施工现场从事施工的所有作业人员和管理人员办理意外伤害保险，并支付保险费</w:t>
      </w:r>
      <w:r>
        <w:rPr>
          <w:rFonts w:hint="eastAsia" w:ascii="宋体" w:hAnsi="宋体" w:cs="宋体"/>
          <w:bCs/>
          <w:color w:val="auto"/>
          <w:szCs w:val="21"/>
          <w:highlight w:val="none"/>
        </w:rPr>
        <w:t>。</w:t>
      </w:r>
    </w:p>
    <w:p w14:paraId="4640BC20">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按通用条款执行，无特殊约定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8A91E3">
      <w:pPr>
        <w:pStyle w:val="36"/>
        <w:spacing w:line="380" w:lineRule="exact"/>
        <w:ind w:firstLine="422" w:firstLineChars="200"/>
        <w:rPr>
          <w:rFonts w:ascii="宋体" w:cs="宋体"/>
          <w:color w:val="auto"/>
          <w:highlight w:val="none"/>
        </w:rPr>
      </w:pPr>
      <w:bookmarkStart w:id="2231" w:name="_Toc418061387"/>
      <w:bookmarkStart w:id="2232" w:name="_Toc418518422"/>
      <w:bookmarkStart w:id="2233" w:name="_Toc418752318"/>
      <w:bookmarkStart w:id="2234" w:name="_Toc497746857"/>
      <w:bookmarkStart w:id="2235" w:name="_Toc373227775"/>
      <w:bookmarkStart w:id="2236" w:name="_Toc418751872"/>
      <w:bookmarkStart w:id="2237" w:name="_Toc522201802"/>
      <w:bookmarkStart w:id="2238" w:name="_Toc403579010"/>
      <w:bookmarkStart w:id="2239" w:name="_Toc389065340"/>
      <w:bookmarkStart w:id="2240" w:name="_Toc418518186"/>
      <w:bookmarkStart w:id="2241" w:name="_Toc497747254"/>
      <w:bookmarkStart w:id="2242" w:name="_Toc373478422"/>
      <w:bookmarkStart w:id="2243" w:name="_Toc627"/>
      <w:bookmarkStart w:id="2244" w:name="_Toc256000253"/>
      <w:r>
        <w:rPr>
          <w:rFonts w:hint="eastAsia" w:ascii="宋体" w:cs="宋体"/>
          <w:color w:val="auto"/>
          <w:highlight w:val="none"/>
        </w:rPr>
        <w:t>18.7 通知义务</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530B2D43">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变更应通知当事人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2036"/>
    <w:bookmarkEnd w:id="2037"/>
    <w:bookmarkEnd w:id="2038"/>
    <w:bookmarkEnd w:id="2039"/>
    <w:bookmarkEnd w:id="2040"/>
    <w:bookmarkEnd w:id="2041"/>
    <w:bookmarkEnd w:id="2042"/>
    <w:bookmarkEnd w:id="2043"/>
    <w:bookmarkEnd w:id="2044"/>
    <w:bookmarkEnd w:id="2045"/>
    <w:bookmarkEnd w:id="2046"/>
    <w:bookmarkEnd w:id="2047"/>
    <w:p w14:paraId="6006F86E">
      <w:pPr>
        <w:pStyle w:val="36"/>
        <w:spacing w:line="380" w:lineRule="exact"/>
        <w:rPr>
          <w:rFonts w:ascii="宋体" w:cs="宋体"/>
          <w:color w:val="auto"/>
          <w:highlight w:val="none"/>
        </w:rPr>
      </w:pPr>
      <w:bookmarkStart w:id="2245" w:name="_Toc373227776"/>
      <w:bookmarkStart w:id="2246" w:name="_Toc403579011"/>
      <w:bookmarkStart w:id="2247" w:name="_Toc351203651"/>
      <w:bookmarkStart w:id="2248" w:name="_Toc522201803"/>
      <w:bookmarkStart w:id="2249" w:name="_Toc418518423"/>
      <w:bookmarkStart w:id="2250" w:name="_Toc25758"/>
      <w:bookmarkStart w:id="2251" w:name="_Toc418752319"/>
      <w:bookmarkStart w:id="2252" w:name="_Toc418751873"/>
      <w:bookmarkStart w:id="2253" w:name="_Toc418518187"/>
      <w:bookmarkStart w:id="2254" w:name="_Toc497747255"/>
      <w:bookmarkStart w:id="2255" w:name="_Toc373478423"/>
      <w:bookmarkStart w:id="2256" w:name="_Toc497746858"/>
      <w:bookmarkStart w:id="2257" w:name="_Toc256000254"/>
      <w:bookmarkStart w:id="2258" w:name="_Toc389065341"/>
      <w:bookmarkStart w:id="2259" w:name="_Toc418061388"/>
      <w:r>
        <w:rPr>
          <w:rFonts w:hint="eastAsia" w:ascii="宋体" w:cs="宋体"/>
          <w:color w:val="auto"/>
          <w:highlight w:val="none"/>
        </w:rPr>
        <w:t>20. 争议解决</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bookmarkEnd w:id="2048"/>
    <w:bookmarkEnd w:id="2049"/>
    <w:p w14:paraId="0C30159C">
      <w:pPr>
        <w:pStyle w:val="36"/>
        <w:spacing w:line="380" w:lineRule="exact"/>
        <w:ind w:firstLine="422" w:firstLineChars="200"/>
        <w:rPr>
          <w:rFonts w:ascii="宋体" w:cs="宋体"/>
          <w:color w:val="auto"/>
          <w:highlight w:val="none"/>
        </w:rPr>
      </w:pPr>
      <w:bookmarkStart w:id="2260" w:name="_Toc418061389"/>
      <w:bookmarkStart w:id="2261" w:name="_Toc16650"/>
      <w:bookmarkStart w:id="2262" w:name="_Toc373227777"/>
      <w:bookmarkStart w:id="2263" w:name="_Toc373478424"/>
      <w:bookmarkStart w:id="2264" w:name="_Toc497747256"/>
      <w:bookmarkStart w:id="2265" w:name="_Toc418751874"/>
      <w:bookmarkStart w:id="2266" w:name="_Toc418518424"/>
      <w:bookmarkStart w:id="2267" w:name="_Toc403579012"/>
      <w:bookmarkStart w:id="2268" w:name="_Toc256000255"/>
      <w:bookmarkStart w:id="2269" w:name="_Toc522201804"/>
      <w:bookmarkStart w:id="2270" w:name="_Toc418518188"/>
      <w:bookmarkStart w:id="2271" w:name="_Toc497746859"/>
      <w:bookmarkStart w:id="2272" w:name="_Toc389065342"/>
      <w:bookmarkStart w:id="2273" w:name="_Toc418752320"/>
      <w:r>
        <w:rPr>
          <w:rFonts w:hint="eastAsia" w:ascii="宋体" w:cs="宋体"/>
          <w:color w:val="auto"/>
          <w:highlight w:val="none"/>
        </w:rPr>
        <w:t>20.3 争</w:t>
      </w:r>
      <w:bookmarkEnd w:id="2050"/>
      <w:r>
        <w:rPr>
          <w:rFonts w:hint="eastAsia" w:ascii="宋体" w:cs="宋体"/>
          <w:color w:val="auto"/>
          <w:highlight w:val="none"/>
        </w:rPr>
        <w:t>议评审</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2DC8F2FA">
      <w:pPr>
        <w:pStyle w:val="21"/>
        <w:spacing w:line="380" w:lineRule="exact"/>
        <w:ind w:left="149" w:leftChars="71" w:firstLine="315" w:firstLineChars="150"/>
        <w:jc w:val="left"/>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不同意  </w:t>
      </w:r>
      <w:r>
        <w:rPr>
          <w:rFonts w:hint="eastAsia" w:ascii="宋体" w:hAnsi="宋体" w:cs="宋体"/>
          <w:color w:val="auto"/>
          <w:szCs w:val="21"/>
          <w:highlight w:val="none"/>
        </w:rPr>
        <w:t>。</w:t>
      </w:r>
    </w:p>
    <w:p w14:paraId="2736867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0755B2ED">
      <w:pPr>
        <w:pStyle w:val="21"/>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362D260">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076EDC2">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157E978">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B631E76">
      <w:pPr>
        <w:pStyle w:val="21"/>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0C2B7F53">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D7D44D5">
      <w:pPr>
        <w:pStyle w:val="36"/>
        <w:spacing w:line="380" w:lineRule="exact"/>
        <w:ind w:firstLine="422" w:firstLineChars="200"/>
        <w:rPr>
          <w:rFonts w:ascii="宋体" w:cs="宋体"/>
          <w:color w:val="auto"/>
          <w:highlight w:val="none"/>
        </w:rPr>
      </w:pPr>
      <w:bookmarkStart w:id="2274" w:name="_Toc522201805"/>
      <w:bookmarkStart w:id="2275" w:name="_Toc418518189"/>
      <w:bookmarkStart w:id="2276" w:name="_Toc15918"/>
      <w:bookmarkStart w:id="2277" w:name="_Toc497747257"/>
      <w:bookmarkStart w:id="2278" w:name="_Toc418061390"/>
      <w:bookmarkStart w:id="2279" w:name="_Toc389065343"/>
      <w:bookmarkStart w:id="2280" w:name="_Toc418751875"/>
      <w:bookmarkStart w:id="2281" w:name="_Toc373227778"/>
      <w:bookmarkStart w:id="2282" w:name="_Toc418752321"/>
      <w:bookmarkStart w:id="2283" w:name="_Toc403579013"/>
      <w:bookmarkStart w:id="2284" w:name="_Toc256000256"/>
      <w:bookmarkStart w:id="2285" w:name="_Toc373478425"/>
      <w:bookmarkStart w:id="2286" w:name="_Toc418518425"/>
      <w:bookmarkStart w:id="2287" w:name="_Toc497746860"/>
      <w:r>
        <w:rPr>
          <w:rFonts w:hint="eastAsia" w:ascii="宋体" w:cs="宋体"/>
          <w:color w:val="auto"/>
          <w:highlight w:val="none"/>
        </w:rPr>
        <w:t>20.4 仲裁或诉讼</w:t>
      </w:r>
      <w:bookmarkEnd w:id="2051"/>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3911B2F0">
      <w:pPr>
        <w:pStyle w:val="21"/>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151B06DF">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16B9F59E">
      <w:pPr>
        <w:pStyle w:val="21"/>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贵港市</w:t>
      </w:r>
      <w:r>
        <w:rPr>
          <w:rFonts w:hint="eastAsia" w:ascii="宋体" w:hAnsi="宋体" w:cs="宋体"/>
          <w:color w:val="auto"/>
          <w:szCs w:val="21"/>
          <w:highlight w:val="none"/>
          <w:u w:val="single"/>
        </w:rPr>
        <w:t xml:space="preserve">本工程辖区内     </w:t>
      </w:r>
      <w:r>
        <w:rPr>
          <w:rFonts w:hint="eastAsia" w:ascii="宋体" w:hAnsi="宋体" w:cs="宋体"/>
          <w:color w:val="auto"/>
          <w:szCs w:val="21"/>
          <w:highlight w:val="none"/>
        </w:rPr>
        <w:t>人民法院起诉。</w:t>
      </w:r>
      <w:bookmarkEnd w:id="2052"/>
      <w:bookmarkEnd w:id="2053"/>
      <w:bookmarkEnd w:id="2054"/>
      <w:bookmarkEnd w:id="2055"/>
      <w:bookmarkEnd w:id="2056"/>
      <w:bookmarkEnd w:id="2057"/>
    </w:p>
    <w:p w14:paraId="3780E470">
      <w:pPr>
        <w:pStyle w:val="36"/>
        <w:spacing w:line="380" w:lineRule="exact"/>
        <w:rPr>
          <w:rFonts w:ascii="宋体" w:cs="宋体"/>
          <w:color w:val="auto"/>
          <w:highlight w:val="none"/>
        </w:rPr>
      </w:pPr>
      <w:bookmarkStart w:id="2288" w:name="_Toc497747258"/>
      <w:bookmarkStart w:id="2289" w:name="_Toc389065344"/>
      <w:bookmarkStart w:id="2290" w:name="_Toc373227779"/>
      <w:bookmarkStart w:id="2291" w:name="_Toc522201806"/>
      <w:bookmarkStart w:id="2292" w:name="_Toc32248"/>
      <w:bookmarkStart w:id="2293" w:name="_Toc373478426"/>
      <w:bookmarkStart w:id="2294" w:name="_Toc395382582"/>
      <w:bookmarkStart w:id="2295" w:name="_Toc256000257"/>
      <w:bookmarkStart w:id="2296" w:name="_Toc497746861"/>
      <w:r>
        <w:rPr>
          <w:rFonts w:hint="eastAsia" w:ascii="宋体" w:cs="宋体"/>
          <w:color w:val="auto"/>
          <w:highlight w:val="none"/>
        </w:rPr>
        <w:t>21. 补充条款</w:t>
      </w:r>
      <w:bookmarkEnd w:id="2288"/>
      <w:bookmarkEnd w:id="2289"/>
      <w:bookmarkEnd w:id="2290"/>
      <w:bookmarkEnd w:id="2291"/>
      <w:bookmarkEnd w:id="2292"/>
      <w:bookmarkEnd w:id="2293"/>
      <w:bookmarkEnd w:id="2294"/>
      <w:bookmarkEnd w:id="2295"/>
      <w:bookmarkEnd w:id="2296"/>
    </w:p>
    <w:p w14:paraId="10B6E3DE">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 承包方采用新工艺新材料，必须在使用前 2 个月，向发包方提交相关的技术资料、发明专利、产品证书、样品及应用的实例、单价组成等有关资料；经发包方、设计单位认可后方可使用，凡未经批准擅自使用者除费用自行承担外还应赔偿发包方由此引起的经济损失。 </w:t>
      </w:r>
    </w:p>
    <w:p w14:paraId="190A3151">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 赶工费、夜间施工费由投标人结合自身企业的实际情况及对施工现场的考察、提供的图纸等各方面的资料自行报价，并包干使用，今后不作任何调整和签证。</w:t>
      </w:r>
    </w:p>
    <w:p w14:paraId="2F87A58C">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 根据《建设工程质量检测管理办法》（建设部令第 141 号）以及《广西壮族自治区建设工程质量检测管理规定》（桂建管〔2013〕11 号）规定，工程质量检测业务由招标人委托有相应资质的检测机构检测。费用从招标人的项目建设经费中支出并直接支付给检测机构，不计入合同价款内。  </w:t>
      </w:r>
    </w:p>
    <w:p w14:paraId="3DEA8100">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 由于承包人不能按时提供属承包人应提供的文件导致发包人不能及时办理施工许可证，</w:t>
      </w:r>
      <w:r>
        <w:rPr>
          <w:rFonts w:hint="default" w:ascii="宋体" w:hAnsi="宋体" w:cs="宋体"/>
          <w:color w:val="auto"/>
          <w:kern w:val="0"/>
          <w:szCs w:val="21"/>
          <w:highlight w:val="none"/>
          <w:lang w:val="en-US"/>
        </w:rPr>
        <w:t>所有造成的后果由承包人承担责任。造成发包人损失的，承包人应赔偿发包人损失</w:t>
      </w:r>
      <w:r>
        <w:rPr>
          <w:rFonts w:hint="eastAsia" w:ascii="宋体" w:hAnsi="宋体" w:cs="宋体"/>
          <w:color w:val="auto"/>
          <w:kern w:val="0"/>
          <w:szCs w:val="21"/>
          <w:highlight w:val="none"/>
        </w:rPr>
        <w:t xml:space="preserve">。 </w:t>
      </w:r>
    </w:p>
    <w:p w14:paraId="69C90B09">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 xml:space="preserve">已完工程成品保护的特殊要求及费用承担： 已竣工工程未交付发包人之前，承包人负责已完工程的成品保护工作，保护期间发生损坏，承包人自费予以修复。 </w:t>
      </w:r>
    </w:p>
    <w:p w14:paraId="7757C96D">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材料严格保证质量，相同类型材料质量应一致，若发现有材料以次品冒充，则该部分所有材料均按次品处理且须重新更换合格材料才能使用。 </w:t>
      </w:r>
    </w:p>
    <w:p w14:paraId="09FF1CC8">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 承包人必须配合监理工程师和发包人派驻工程师的工作，一切签证事宜均须在规定的时间内作出书面签证申请，过期补签无效，发包人超过规定期限没有签证的视为此签证发包人已同意。夜间施工增加费（含夜间加班加点）已包含在合同价款内，施工期间不予再签证。 </w:t>
      </w:r>
    </w:p>
    <w:p w14:paraId="2C80D29A">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 xml:space="preserve"> 承包人有以下情形之一者，视为违约，发包人有权依法解除合同，没收其全部履约保证金，承包人还应承担相应的法律责任。  </w:t>
      </w:r>
    </w:p>
    <w:p w14:paraId="32E58883">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① 经有关建设主管部门鉴定确认，承包人有挂靠行为。 </w:t>
      </w:r>
    </w:p>
    <w:p w14:paraId="09E17533">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② 转包工程，以牟取转让费、管理费。  </w:t>
      </w:r>
    </w:p>
    <w:p w14:paraId="05EB87C8">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③ 自签订合同之日起 15 日内，因承包人责任无法组织合同规定的人员、机械进场或进场人员机械与合同严重不符。 </w:t>
      </w:r>
    </w:p>
    <w:p w14:paraId="50DEF5CD">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工程竣工验收通过后 14 天之内，承包人必须将临时工棚、建筑垃圾等全部清理出现场，否则从第15天起，每天处以1000元罚款且不办理结算。</w:t>
      </w:r>
    </w:p>
    <w:bookmarkEnd w:id="671"/>
    <w:p w14:paraId="27B5AF69">
      <w:pPr>
        <w:pStyle w:val="21"/>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w:t>
      </w:r>
      <w:r>
        <w:rPr>
          <w:rFonts w:hint="eastAsia" w:ascii="宋体" w:hAnsi="宋体" w:cs="宋体"/>
          <w:color w:val="auto"/>
          <w:kern w:val="0"/>
          <w:szCs w:val="21"/>
          <w:highlight w:val="none"/>
          <w:lang w:val="en-US" w:eastAsia="zh-CN"/>
        </w:rPr>
        <w:t>0</w:t>
      </w:r>
      <w:r>
        <w:rPr>
          <w:rFonts w:hint="eastAsia" w:ascii="宋体" w:hAnsi="宋体" w:cs="宋体"/>
          <w:color w:val="auto"/>
          <w:kern w:val="0"/>
          <w:szCs w:val="21"/>
          <w:highlight w:val="none"/>
        </w:rPr>
        <w:t>如因政策性原因或者项目暂时（或永久）取消导致开工延误或无法开工，发包人</w:t>
      </w:r>
      <w:r>
        <w:rPr>
          <w:rFonts w:ascii="Arial" w:hAnsi="Arial" w:eastAsia="宋体" w:cs="Arial"/>
          <w:i w:val="0"/>
          <w:iCs w:val="0"/>
          <w:caps w:val="0"/>
          <w:color w:val="auto"/>
          <w:spacing w:val="0"/>
          <w:sz w:val="21"/>
          <w:szCs w:val="21"/>
          <w:highlight w:val="none"/>
          <w:shd w:val="clear" w:fill="FFFFFF"/>
        </w:rPr>
        <w:t>应承担由此延误的工期和（或）因此产生的实际损失，包括但不限于材料费、人工费、机械设备租赁费等。</w:t>
      </w:r>
    </w:p>
    <w:p w14:paraId="163B7B46">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p>
    <w:p w14:paraId="26B33E3A">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p>
    <w:p w14:paraId="270EBA4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5363EA2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31881F63">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14:paraId="56FB645A">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14:paraId="51B16740">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14:paraId="37EBCB12">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14:paraId="1ADA7D2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14:paraId="65B12D3F">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14:paraId="65127A36">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14:paraId="58F03942">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14:paraId="434ED11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14:paraId="45AA3B0A">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14:paraId="6A254EE9">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14:paraId="4DED50CD">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14:paraId="65C55F6F">
      <w:pPr>
        <w:pStyle w:val="9"/>
        <w:rPr>
          <w:rFonts w:hint="eastAsia" w:ascii="宋体" w:hAnsi="宋体" w:eastAsia="宋体" w:cs="宋体"/>
          <w:color w:val="auto"/>
          <w:sz w:val="21"/>
          <w:szCs w:val="21"/>
          <w:highlight w:val="none"/>
          <w:lang w:val="en-US" w:eastAsia="zh-CN"/>
        </w:rPr>
      </w:pPr>
    </w:p>
    <w:p w14:paraId="0CABCB0F">
      <w:pPr>
        <w:pStyle w:val="9"/>
        <w:rPr>
          <w:rFonts w:hint="default"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14:paraId="613EBF6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14:paraId="1DC038F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27"/>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0F0C8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1DE28F9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14:paraId="5CCFE5D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14:paraId="616228C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14:paraId="06D9AEC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14:paraId="1D560D3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14:paraId="46DC7E4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14:paraId="6D28E50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14:paraId="423A83C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14:paraId="5062C04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14:paraId="0F83CFF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14:paraId="05FE6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67CC8D5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14:paraId="17443ED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4FA1696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2861902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14051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14:paraId="710770C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06D85F2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6089BC1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14:paraId="6834AF7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2FFF1A8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042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CA59F7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B229D7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864BEC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42F1AE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3568295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17B008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6A96855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668A62F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4AC8C9F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C10BBC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65AF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51778F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7B91A9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665B7D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6C224C0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21557E3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FD7F28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7CA0E9F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28360E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2B06326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74D331D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B4B1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CF8D5A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415AAC7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028943E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35670C2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C0A4D6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461111F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C9BD21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48270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62F908C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49497B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CFC0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25C9557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188670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9550BF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6DEBBA5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14386C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6C31D5E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16E9EF9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3DB7495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3FDA40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24D4458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B84D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FF2159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37DB805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332DDF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378B783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CDC56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26360C3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3DFE2E5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97F42A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8279CB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D51D5C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609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83A5FE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12919EE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681F70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07AD349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370654F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603B090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9FA365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3136D7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0FE2B33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140FD43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6D5A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34DCF1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6C6DA7F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C8D4EF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05673E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735AC1F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696A939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1B0A912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5ED042A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047F0E2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16C51C0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B882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2545CB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10585CF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58B1B8B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3FED92A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537F20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4450D43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51B647F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9B753B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4EDC1E4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C0CA90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4723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2C542F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4008C65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F021FE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D690DF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4AC3D5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0813ED0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4F3617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229A6C9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0EBBAEC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A6A9BC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7D78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CBEF4D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A9541E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33D47F6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793836E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007430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90F2DD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79C9319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679CB83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44FE626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95B95A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60A6CC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74F84E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14:paraId="0A11FA7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27"/>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36E4F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14:paraId="4C0C3F1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14:paraId="29C7FF6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14:paraId="797B8692">
            <w:pPr>
              <w:pStyle w:val="9"/>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14:paraId="49FF209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14:paraId="642933C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14:paraId="3A4A31C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14:paraId="02BBED1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14:paraId="4790CF2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14:paraId="2539CA3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14:paraId="2EE8D9C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14:paraId="1167340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6E3AF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14:paraId="480D308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14:paraId="4C45699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14:paraId="01D0004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14:paraId="62C4E88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14:paraId="3B4D985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14:paraId="5B965B5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14:paraId="0DFFBF1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14:paraId="30ECAE2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14:paraId="057842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14:paraId="1DFE324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747B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14:paraId="331CFE6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14:paraId="4C0E20B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27BF545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14:paraId="1BB9AC4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14:paraId="088351F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14:paraId="3E1DE6B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14:paraId="1F5D24D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14:paraId="6706480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14:paraId="0F50432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14:paraId="03EACB0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EA77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E1EB06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1D9AD36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E6FFBD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4E05F05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1CC1D25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83DFA5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5679F69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CADD82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6901EE6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D81CF4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A961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69B841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23DA5AE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018217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9874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BB7870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41B23F0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7536D68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D06379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1980D01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FF1BBF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EF20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BD0509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465422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7772DB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3C9DB6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3421656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7DC2DB4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148566A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38EA8A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2BADAC1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4EC065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4138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0B30D5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387264C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ECF081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3FE4B1C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1368950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5E42926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A70067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3EFC2D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68022BD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A93911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4440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C5CD8B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96D571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6A007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105F81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913523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64BCB9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722CEB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62F6E63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5214D0D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2AD16B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FB15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97AC3F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57693B1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0C682C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4ED2E86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5FF589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0EF2A5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97E813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23F25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596F73A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969222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DFFE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7512ED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A87D9B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ADE589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31703F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19E17E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197E309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0AD50E3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E6AB15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3636BBE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774E9A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2F76E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56A928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26A4136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9BD9ED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AC9048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30F4B9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C856AF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354C6A0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71B0AA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BA272A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6FEB64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41A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BC3E2E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729AF92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6389490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5BA896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5F56D0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7C2C3BF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F6F7C9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7272E7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6D452A7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003E21C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8924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D046A9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24F30EA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2F577E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EBA2AE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CEC8AD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063383E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251DD5E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914189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35E5FE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02252D2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D291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F7EE63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7A34D62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285A05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27D70EF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DD9B58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185CC57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4543AEE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1999203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2686860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D40432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4A618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7F9AEA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3904432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550D99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A1F5D3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47EF2BA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7D10AA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70212E7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41AA13E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325238F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8373B8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1FEAE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C55B30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4BD86B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4C7A44F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7A92A2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66653D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0197647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29881D5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5F264FA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7162DA3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6A1198B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DF58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155F222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7BC301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909984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098F4D3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5DCA740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5D5B5C5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70F8BEE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2CB9D5F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3E08F76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1A31BB5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490B3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7DA8CC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0AE0E15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4A8F1D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1B49076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5F2EEEA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56C951D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244BD15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554D824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35D1F2A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FB6193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8194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812AF5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09B9940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131632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258561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760C05E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53DE97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2E9832D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3C87C23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6DF535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721BFFA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14:paraId="364B93A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5C4D5DE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0548EE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11FD900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D48F94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D86A1C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14:paraId="218F1CFA">
      <w:pPr>
        <w:pStyle w:val="41"/>
        <w:tabs>
          <w:tab w:val="left" w:pos="0"/>
        </w:tabs>
        <w:spacing w:line="276" w:lineRule="auto"/>
        <w:ind w:firstLine="0" w:firstLineChars="0"/>
        <w:rPr>
          <w:color w:val="auto"/>
          <w:sz w:val="30"/>
          <w:szCs w:val="30"/>
          <w:highlight w:val="none"/>
        </w:rPr>
      </w:pPr>
      <w:r>
        <w:rPr>
          <w:color w:val="auto"/>
          <w:sz w:val="30"/>
          <w:szCs w:val="30"/>
          <w:highlight w:val="none"/>
        </w:rPr>
        <w:t xml:space="preserve">  </w:t>
      </w:r>
    </w:p>
    <w:p w14:paraId="330F2BB1">
      <w:pPr>
        <w:pStyle w:val="21"/>
        <w:jc w:val="center"/>
        <w:rPr>
          <w:rFonts w:ascii="宋体" w:hAnsi="宋体"/>
          <w:color w:val="auto"/>
          <w:sz w:val="28"/>
          <w:szCs w:val="28"/>
          <w:highlight w:val="none"/>
        </w:rPr>
      </w:pPr>
      <w:r>
        <w:rPr>
          <w:rFonts w:ascii="宋体" w:hAnsi="宋体"/>
          <w:color w:val="auto"/>
          <w:sz w:val="28"/>
          <w:szCs w:val="28"/>
          <w:highlight w:val="none"/>
        </w:rPr>
        <w:t>工程质量保修书</w:t>
      </w:r>
    </w:p>
    <w:p w14:paraId="3EC16C25">
      <w:pPr>
        <w:pStyle w:val="20"/>
        <w:rPr>
          <w:color w:val="auto"/>
          <w:highlight w:val="none"/>
        </w:rPr>
      </w:pPr>
    </w:p>
    <w:p w14:paraId="35B244D9">
      <w:pPr>
        <w:pStyle w:val="41"/>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p>
    <w:p w14:paraId="532D80CF">
      <w:pPr>
        <w:pStyle w:val="41"/>
        <w:spacing w:line="320" w:lineRule="exact"/>
        <w:ind w:firstLine="0" w:firstLineChars="0"/>
        <w:rPr>
          <w:rFonts w:ascii="宋体" w:hAnsi="宋体" w:cs="宋体"/>
          <w:color w:val="auto"/>
          <w:highlight w:val="none"/>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p>
    <w:p w14:paraId="1BF2C261">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eastAsia="zh-CN"/>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151881E0">
      <w:pPr>
        <w:pStyle w:val="44"/>
        <w:spacing w:line="400" w:lineRule="exact"/>
        <w:ind w:firstLine="420" w:firstLineChars="200"/>
        <w:outlineLvl w:val="0"/>
        <w:rPr>
          <w:rFonts w:ascii="宋体" w:hAnsi="宋体" w:cs="宋体"/>
          <w:color w:val="auto"/>
          <w:szCs w:val="21"/>
          <w:highlight w:val="none"/>
        </w:rPr>
      </w:pPr>
      <w:bookmarkStart w:id="2297" w:name="_Toc522201808"/>
      <w:bookmarkStart w:id="2298" w:name="_Toc3496"/>
      <w:r>
        <w:rPr>
          <w:rFonts w:hint="eastAsia" w:ascii="宋体" w:hAnsi="宋体" w:cs="宋体"/>
          <w:color w:val="auto"/>
          <w:szCs w:val="21"/>
          <w:highlight w:val="none"/>
        </w:rPr>
        <w:t>一、工程保修范围和内容</w:t>
      </w:r>
      <w:bookmarkEnd w:id="2297"/>
      <w:bookmarkEnd w:id="2298"/>
    </w:p>
    <w:p w14:paraId="5D3E864D">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highlight w:val="none"/>
          <w:lang w:eastAsia="zh-CN"/>
        </w:rPr>
        <w:t>，</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设计图纸及工程量清单范围内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FB38784">
      <w:pPr>
        <w:pStyle w:val="44"/>
        <w:spacing w:line="400" w:lineRule="exact"/>
        <w:ind w:firstLine="420" w:firstLineChars="200"/>
        <w:outlineLvl w:val="0"/>
        <w:rPr>
          <w:rFonts w:ascii="宋体" w:hAnsi="宋体" w:cs="宋体"/>
          <w:color w:val="auto"/>
          <w:szCs w:val="21"/>
          <w:highlight w:val="none"/>
        </w:rPr>
      </w:pPr>
      <w:bookmarkStart w:id="2299" w:name="_Toc522201809"/>
      <w:bookmarkStart w:id="2300" w:name="_Toc21338"/>
      <w:r>
        <w:rPr>
          <w:rFonts w:hint="eastAsia" w:ascii="宋体" w:hAnsi="宋体" w:cs="宋体"/>
          <w:color w:val="auto"/>
          <w:szCs w:val="21"/>
          <w:highlight w:val="none"/>
        </w:rPr>
        <w:t>二、</w:t>
      </w:r>
      <w:r>
        <w:rPr>
          <w:rFonts w:hint="eastAsia" w:ascii="宋体" w:hAnsi="宋体" w:cs="宋体"/>
          <w:color w:val="auto"/>
          <w:szCs w:val="21"/>
          <w:highlight w:val="none"/>
          <w:lang w:eastAsia="zh-CN"/>
        </w:rPr>
        <w:t>质量</w:t>
      </w:r>
      <w:r>
        <w:rPr>
          <w:rFonts w:hint="eastAsia" w:ascii="宋体" w:hAnsi="宋体" w:cs="宋体"/>
          <w:color w:val="auto"/>
          <w:szCs w:val="21"/>
          <w:highlight w:val="none"/>
        </w:rPr>
        <w:t>保修期</w:t>
      </w:r>
      <w:bookmarkEnd w:id="2299"/>
      <w:bookmarkEnd w:id="2300"/>
    </w:p>
    <w:p w14:paraId="2A5579DF">
      <w:pPr>
        <w:pStyle w:val="45"/>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06492A1F">
      <w:pPr>
        <w:pStyle w:val="22"/>
        <w:spacing w:line="360" w:lineRule="auto"/>
        <w:ind w:firstLine="420"/>
        <w:rPr>
          <w:rStyle w:val="29"/>
          <w:rFonts w:ascii="Times New Roman" w:hAnsi="宋体" w:eastAsia="宋体" w:cs="Times New Roman"/>
          <w:color w:val="auto"/>
          <w:szCs w:val="21"/>
          <w:highlight w:val="none"/>
        </w:rPr>
      </w:pPr>
      <w:r>
        <w:rPr>
          <w:rStyle w:val="29"/>
          <w:rFonts w:hint="eastAsia" w:ascii="Times New Roman" w:hAnsi="宋体" w:eastAsia="宋体" w:cs="宋体"/>
          <w:color w:val="auto"/>
          <w:szCs w:val="21"/>
          <w:highlight w:val="none"/>
        </w:rPr>
        <w:t>根据《建设工程质量管理条例》及有关规定，工程的质量保修期如下：</w:t>
      </w:r>
    </w:p>
    <w:p w14:paraId="120FE0F6">
      <w:pPr>
        <w:pStyle w:val="46"/>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1</w:t>
      </w:r>
      <w:r>
        <w:rPr>
          <w:rStyle w:val="29"/>
          <w:rFonts w:hint="eastAsia" w:ascii="Calibri" w:hAnsi="宋体" w:eastAsia="宋体" w:cs="宋体"/>
          <w:color w:val="auto"/>
          <w:highlight w:val="none"/>
        </w:rPr>
        <w:t>．地基基础工程和主体结构工程为设计文件规定的工程合理使用年限；</w:t>
      </w:r>
    </w:p>
    <w:p w14:paraId="1E94080F">
      <w:pPr>
        <w:pStyle w:val="46"/>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2</w:t>
      </w:r>
      <w:r>
        <w:rPr>
          <w:rStyle w:val="29"/>
          <w:rFonts w:hint="eastAsia" w:ascii="Calibri" w:hAnsi="宋体" w:eastAsia="宋体" w:cs="宋体"/>
          <w:color w:val="auto"/>
          <w:highlight w:val="none"/>
        </w:rPr>
        <w:t>．屋面防水工程、有防水要求的卫生间、房间和外墙面的防渗为</w:t>
      </w:r>
      <w:r>
        <w:rPr>
          <w:rStyle w:val="29"/>
          <w:rFonts w:ascii="Calibri" w:hAnsi="Calibri" w:eastAsia="宋体" w:cs="Times New Roman"/>
          <w:color w:val="auto"/>
          <w:highlight w:val="none"/>
          <w:u w:val="single"/>
        </w:rPr>
        <w:t xml:space="preserve"> </w:t>
      </w:r>
      <w:r>
        <w:rPr>
          <w:rStyle w:val="29"/>
          <w:rFonts w:hint="eastAsia" w:ascii="Calibri" w:hAnsi="Calibri" w:eastAsia="宋体" w:cs="Times New Roman"/>
          <w:color w:val="auto"/>
          <w:highlight w:val="none"/>
          <w:u w:val="single"/>
        </w:rPr>
        <w:t>5</w:t>
      </w:r>
      <w:r>
        <w:rPr>
          <w:rStyle w:val="29"/>
          <w:rFonts w:ascii="Calibri" w:hAnsi="Calibri" w:eastAsia="宋体" w:cs="Times New Roman"/>
          <w:color w:val="auto"/>
          <w:highlight w:val="none"/>
          <w:u w:val="single"/>
        </w:rPr>
        <w:t xml:space="preserve">  </w:t>
      </w:r>
      <w:r>
        <w:rPr>
          <w:rStyle w:val="29"/>
          <w:rFonts w:hint="eastAsia" w:ascii="Calibri" w:hAnsi="宋体" w:eastAsia="宋体" w:cs="宋体"/>
          <w:color w:val="auto"/>
          <w:highlight w:val="none"/>
        </w:rPr>
        <w:t>年；</w:t>
      </w:r>
    </w:p>
    <w:p w14:paraId="412CDC53">
      <w:pPr>
        <w:pStyle w:val="46"/>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3</w:t>
      </w:r>
      <w:r>
        <w:rPr>
          <w:rStyle w:val="29"/>
          <w:rFonts w:hint="eastAsia" w:ascii="Calibri" w:hAnsi="宋体" w:eastAsia="宋体" w:cs="宋体"/>
          <w:color w:val="auto"/>
          <w:highlight w:val="none"/>
        </w:rPr>
        <w:t>．装修工程为</w:t>
      </w:r>
      <w:r>
        <w:rPr>
          <w:rStyle w:val="29"/>
          <w:rFonts w:ascii="Calibri" w:hAnsi="Calibri" w:eastAsia="宋体" w:cs="Times New Roman"/>
          <w:color w:val="auto"/>
          <w:highlight w:val="none"/>
          <w:u w:val="single"/>
        </w:rPr>
        <w:t xml:space="preserve"> </w:t>
      </w:r>
      <w:r>
        <w:rPr>
          <w:rStyle w:val="29"/>
          <w:rFonts w:hint="eastAsia" w:ascii="Calibri" w:hAnsi="Calibri" w:eastAsia="宋体" w:cs="Times New Roman"/>
          <w:color w:val="auto"/>
          <w:highlight w:val="none"/>
          <w:u w:val="single"/>
        </w:rPr>
        <w:t>2</w:t>
      </w:r>
      <w:r>
        <w:rPr>
          <w:rStyle w:val="29"/>
          <w:rFonts w:ascii="Calibri" w:hAnsi="Calibri" w:eastAsia="宋体" w:cs="Times New Roman"/>
          <w:color w:val="auto"/>
          <w:highlight w:val="none"/>
          <w:u w:val="single"/>
        </w:rPr>
        <w:t xml:space="preserve"> </w:t>
      </w:r>
      <w:r>
        <w:rPr>
          <w:rStyle w:val="29"/>
          <w:rFonts w:hint="eastAsia" w:ascii="Calibri" w:hAnsi="宋体" w:eastAsia="宋体" w:cs="宋体"/>
          <w:color w:val="auto"/>
          <w:highlight w:val="none"/>
        </w:rPr>
        <w:t>年；</w:t>
      </w:r>
    </w:p>
    <w:p w14:paraId="090E0A66">
      <w:pPr>
        <w:pStyle w:val="46"/>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4</w:t>
      </w:r>
      <w:r>
        <w:rPr>
          <w:rStyle w:val="29"/>
          <w:rFonts w:hint="eastAsia" w:ascii="Calibri" w:hAnsi="宋体" w:eastAsia="宋体" w:cs="宋体"/>
          <w:color w:val="auto"/>
          <w:highlight w:val="none"/>
        </w:rPr>
        <w:t>．电气管线、给排水管道、设备安装工程为</w:t>
      </w:r>
      <w:r>
        <w:rPr>
          <w:rStyle w:val="29"/>
          <w:rFonts w:ascii="Calibri" w:hAnsi="Calibri" w:eastAsia="宋体" w:cs="Times New Roman"/>
          <w:color w:val="auto"/>
          <w:highlight w:val="none"/>
          <w:u w:val="single"/>
        </w:rPr>
        <w:t xml:space="preserve"> </w:t>
      </w:r>
      <w:r>
        <w:rPr>
          <w:rStyle w:val="29"/>
          <w:rFonts w:hint="eastAsia" w:ascii="Calibri" w:hAnsi="Calibri" w:eastAsia="宋体" w:cs="Times New Roman"/>
          <w:color w:val="auto"/>
          <w:highlight w:val="none"/>
          <w:u w:val="single"/>
        </w:rPr>
        <w:t>2</w:t>
      </w:r>
      <w:r>
        <w:rPr>
          <w:rStyle w:val="29"/>
          <w:rFonts w:ascii="Calibri" w:hAnsi="Calibri" w:eastAsia="宋体" w:cs="Times New Roman"/>
          <w:color w:val="auto"/>
          <w:highlight w:val="none"/>
          <w:u w:val="single"/>
        </w:rPr>
        <w:t xml:space="preserve"> </w:t>
      </w:r>
      <w:r>
        <w:rPr>
          <w:rStyle w:val="29"/>
          <w:rFonts w:hint="eastAsia" w:ascii="Calibri" w:hAnsi="宋体" w:eastAsia="宋体" w:cs="宋体"/>
          <w:color w:val="auto"/>
          <w:highlight w:val="none"/>
        </w:rPr>
        <w:t>年；</w:t>
      </w:r>
    </w:p>
    <w:p w14:paraId="45A3C90D">
      <w:pPr>
        <w:pStyle w:val="46"/>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5</w:t>
      </w:r>
      <w:r>
        <w:rPr>
          <w:rStyle w:val="29"/>
          <w:rFonts w:hint="eastAsia" w:ascii="Calibri" w:hAnsi="宋体" w:eastAsia="宋体" w:cs="宋体"/>
          <w:color w:val="auto"/>
          <w:highlight w:val="none"/>
        </w:rPr>
        <w:t>．供热与供冷系统为</w:t>
      </w:r>
      <w:r>
        <w:rPr>
          <w:rStyle w:val="29"/>
          <w:rFonts w:ascii="Calibri" w:hAnsi="Calibri" w:eastAsia="宋体" w:cs="Times New Roman"/>
          <w:color w:val="auto"/>
          <w:highlight w:val="none"/>
          <w:u w:val="single"/>
        </w:rPr>
        <w:t xml:space="preserve"> </w:t>
      </w:r>
      <w:r>
        <w:rPr>
          <w:rStyle w:val="29"/>
          <w:rFonts w:hint="eastAsia" w:ascii="Calibri" w:hAnsi="Calibri" w:eastAsia="宋体" w:cs="Times New Roman"/>
          <w:color w:val="auto"/>
          <w:highlight w:val="none"/>
          <w:u w:val="single"/>
        </w:rPr>
        <w:t>2</w:t>
      </w:r>
      <w:r>
        <w:rPr>
          <w:rStyle w:val="29"/>
          <w:rFonts w:ascii="Calibri" w:hAnsi="Calibri" w:eastAsia="宋体" w:cs="Times New Roman"/>
          <w:color w:val="auto"/>
          <w:highlight w:val="none"/>
          <w:u w:val="single"/>
        </w:rPr>
        <w:t xml:space="preserve"> </w:t>
      </w:r>
      <w:r>
        <w:rPr>
          <w:rStyle w:val="29"/>
          <w:rFonts w:hint="eastAsia" w:ascii="Calibri" w:hAnsi="宋体" w:eastAsia="宋体" w:cs="宋体"/>
          <w:color w:val="auto"/>
          <w:highlight w:val="none"/>
        </w:rPr>
        <w:t>个采暖期、供冷期；</w:t>
      </w:r>
    </w:p>
    <w:p w14:paraId="3BA428D5">
      <w:pPr>
        <w:pStyle w:val="22"/>
        <w:spacing w:line="360" w:lineRule="auto"/>
        <w:ind w:firstLine="420"/>
        <w:rPr>
          <w:rStyle w:val="29"/>
          <w:rFonts w:ascii="Calibri" w:hAnsi="宋体" w:eastAsia="宋体" w:cs="Times New Roman"/>
          <w:color w:val="auto"/>
          <w:highlight w:val="none"/>
        </w:rPr>
      </w:pPr>
      <w:r>
        <w:rPr>
          <w:rStyle w:val="29"/>
          <w:rFonts w:ascii="Calibri" w:hAnsi="Calibri" w:eastAsia="宋体" w:cs="Times New Roman"/>
          <w:color w:val="auto"/>
          <w:highlight w:val="none"/>
        </w:rPr>
        <w:t>6</w:t>
      </w:r>
      <w:r>
        <w:rPr>
          <w:rStyle w:val="29"/>
          <w:rFonts w:hint="eastAsia" w:ascii="Calibri" w:hAnsi="宋体" w:eastAsia="宋体" w:cs="宋体"/>
          <w:color w:val="auto"/>
          <w:highlight w:val="none"/>
        </w:rPr>
        <w:t>．住宅小区内的给排水设施、道路等配套工程为</w:t>
      </w:r>
      <w:r>
        <w:rPr>
          <w:rStyle w:val="29"/>
          <w:rFonts w:ascii="Calibri" w:hAnsi="Calibri" w:eastAsia="宋体" w:cs="Times New Roman"/>
          <w:color w:val="auto"/>
          <w:highlight w:val="none"/>
          <w:u w:val="single"/>
        </w:rPr>
        <w:t xml:space="preserve"> </w:t>
      </w:r>
      <w:r>
        <w:rPr>
          <w:rStyle w:val="29"/>
          <w:rFonts w:hint="eastAsia" w:ascii="Calibri" w:hAnsi="Calibri" w:eastAsia="宋体" w:cs="Times New Roman"/>
          <w:color w:val="auto"/>
          <w:highlight w:val="none"/>
          <w:u w:val="single"/>
        </w:rPr>
        <w:t>2</w:t>
      </w:r>
      <w:r>
        <w:rPr>
          <w:rStyle w:val="29"/>
          <w:rFonts w:ascii="Calibri" w:hAnsi="Calibri" w:eastAsia="宋体" w:cs="Times New Roman"/>
          <w:color w:val="auto"/>
          <w:highlight w:val="none"/>
          <w:u w:val="single"/>
        </w:rPr>
        <w:t xml:space="preserve"> </w:t>
      </w:r>
      <w:r>
        <w:rPr>
          <w:rStyle w:val="29"/>
          <w:rFonts w:hint="eastAsia" w:ascii="Calibri" w:hAnsi="宋体" w:eastAsia="宋体" w:cs="宋体"/>
          <w:color w:val="auto"/>
          <w:highlight w:val="none"/>
        </w:rPr>
        <w:t>年；</w:t>
      </w:r>
    </w:p>
    <w:p w14:paraId="227784BF">
      <w:pPr>
        <w:pStyle w:val="46"/>
        <w:spacing w:line="360" w:lineRule="auto"/>
        <w:ind w:firstLine="420"/>
        <w:rPr>
          <w:rStyle w:val="29"/>
          <w:rFonts w:hint="eastAsia" w:ascii="Times New Roman" w:hAnsi="宋体" w:eastAsia="宋体" w:cs="宋体"/>
          <w:color w:val="auto"/>
          <w:szCs w:val="21"/>
          <w:highlight w:val="none"/>
        </w:rPr>
      </w:pPr>
      <w:r>
        <w:rPr>
          <w:rStyle w:val="29"/>
          <w:rFonts w:hint="eastAsia" w:ascii="Times New Roman" w:hAnsi="宋体" w:eastAsia="宋体" w:cs="宋体"/>
          <w:color w:val="auto"/>
          <w:szCs w:val="21"/>
          <w:highlight w:val="none"/>
        </w:rPr>
        <w:t>7．桥梁工程为  /  年（桥梁隧道主体结构工程为设计文件规定的合理使用年限）；</w:t>
      </w:r>
    </w:p>
    <w:p w14:paraId="6B9A0EA1">
      <w:pPr>
        <w:pStyle w:val="46"/>
        <w:spacing w:line="360" w:lineRule="auto"/>
        <w:ind w:firstLine="420"/>
        <w:rPr>
          <w:rStyle w:val="29"/>
          <w:rFonts w:hint="eastAsia" w:ascii="Times New Roman" w:hAnsi="宋体" w:eastAsia="宋体" w:cs="宋体"/>
          <w:color w:val="auto"/>
          <w:szCs w:val="21"/>
          <w:highlight w:val="none"/>
        </w:rPr>
      </w:pPr>
      <w:r>
        <w:rPr>
          <w:rStyle w:val="29"/>
          <w:rFonts w:hint="eastAsia" w:ascii="Times New Roman" w:hAnsi="宋体" w:eastAsia="宋体" w:cs="宋体"/>
          <w:color w:val="auto"/>
          <w:szCs w:val="21"/>
          <w:highlight w:val="none"/>
        </w:rPr>
        <w:t xml:space="preserve">8．道路工程为 </w:t>
      </w:r>
      <w:r>
        <w:rPr>
          <w:rStyle w:val="29"/>
          <w:rFonts w:hint="eastAsia" w:ascii="Times New Roman" w:hAnsi="宋体" w:eastAsia="宋体" w:cs="宋体"/>
          <w:color w:val="auto"/>
          <w:szCs w:val="21"/>
          <w:highlight w:val="none"/>
          <w:u w:val="single"/>
        </w:rPr>
        <w:t xml:space="preserve">  2  </w:t>
      </w:r>
      <w:r>
        <w:rPr>
          <w:rStyle w:val="29"/>
          <w:rFonts w:hint="eastAsia" w:ascii="Times New Roman" w:hAnsi="宋体" w:eastAsia="宋体" w:cs="宋体"/>
          <w:color w:val="auto"/>
          <w:szCs w:val="21"/>
          <w:highlight w:val="none"/>
        </w:rPr>
        <w:t>年（建议路基、路面、桥面为2年）；</w:t>
      </w:r>
    </w:p>
    <w:p w14:paraId="285AA670">
      <w:pPr>
        <w:pStyle w:val="46"/>
        <w:spacing w:line="360" w:lineRule="auto"/>
        <w:ind w:firstLine="420"/>
        <w:rPr>
          <w:rStyle w:val="29"/>
          <w:rFonts w:hint="eastAsia" w:ascii="Times New Roman" w:hAnsi="宋体" w:eastAsia="宋体" w:cs="宋体"/>
          <w:color w:val="auto"/>
          <w:szCs w:val="21"/>
          <w:highlight w:val="none"/>
        </w:rPr>
      </w:pPr>
      <w:r>
        <w:rPr>
          <w:rStyle w:val="29"/>
          <w:rFonts w:hint="eastAsia" w:ascii="Times New Roman" w:hAnsi="宋体" w:eastAsia="宋体" w:cs="宋体"/>
          <w:color w:val="auto"/>
          <w:szCs w:val="21"/>
          <w:highlight w:val="none"/>
        </w:rPr>
        <w:t xml:space="preserve">9．排水（雨水）工程为 </w:t>
      </w:r>
      <w:r>
        <w:rPr>
          <w:rStyle w:val="29"/>
          <w:rFonts w:hint="eastAsia" w:ascii="Times New Roman" w:hAnsi="宋体" w:eastAsia="宋体" w:cs="宋体"/>
          <w:color w:val="auto"/>
          <w:szCs w:val="21"/>
          <w:highlight w:val="none"/>
          <w:u w:val="single"/>
        </w:rPr>
        <w:t xml:space="preserve"> 3 </w:t>
      </w:r>
      <w:r>
        <w:rPr>
          <w:rStyle w:val="29"/>
          <w:rFonts w:hint="eastAsia" w:ascii="Times New Roman" w:hAnsi="宋体" w:eastAsia="宋体" w:cs="宋体"/>
          <w:color w:val="auto"/>
          <w:szCs w:val="21"/>
          <w:highlight w:val="none"/>
        </w:rPr>
        <w:t xml:space="preserve">  年（建议道路工程中的排水工程为3年）；</w:t>
      </w:r>
    </w:p>
    <w:p w14:paraId="67D2CC09">
      <w:pPr>
        <w:pStyle w:val="46"/>
        <w:spacing w:line="360" w:lineRule="auto"/>
        <w:ind w:firstLine="420"/>
        <w:rPr>
          <w:rStyle w:val="29"/>
          <w:rFonts w:hint="eastAsia" w:ascii="Times New Roman" w:hAnsi="宋体" w:eastAsia="宋体" w:cs="宋体"/>
          <w:color w:val="auto"/>
          <w:szCs w:val="21"/>
          <w:highlight w:val="none"/>
        </w:rPr>
      </w:pPr>
      <w:r>
        <w:rPr>
          <w:rStyle w:val="29"/>
          <w:rFonts w:hint="eastAsia" w:ascii="Times New Roman" w:hAnsi="宋体" w:eastAsia="宋体" w:cs="宋体"/>
          <w:color w:val="auto"/>
          <w:szCs w:val="21"/>
          <w:highlight w:val="none"/>
        </w:rPr>
        <w:t>10．绿化工程为单位工程竣工验收合格后  1 年；</w:t>
      </w:r>
    </w:p>
    <w:p w14:paraId="5FAD2BCA">
      <w:pPr>
        <w:pStyle w:val="46"/>
        <w:spacing w:line="360" w:lineRule="auto"/>
        <w:ind w:firstLine="420"/>
        <w:rPr>
          <w:rStyle w:val="29"/>
          <w:rFonts w:hint="eastAsia" w:ascii="Times New Roman" w:hAnsi="宋体" w:eastAsia="宋体" w:cs="宋体"/>
          <w:color w:val="auto"/>
          <w:szCs w:val="21"/>
          <w:highlight w:val="none"/>
        </w:rPr>
      </w:pPr>
      <w:r>
        <w:rPr>
          <w:rStyle w:val="29"/>
          <w:rFonts w:hint="eastAsia" w:ascii="Times New Roman" w:hAnsi="宋体" w:eastAsia="宋体" w:cs="宋体"/>
          <w:color w:val="auto"/>
          <w:szCs w:val="21"/>
          <w:highlight w:val="none"/>
        </w:rPr>
        <w:t xml:space="preserve">11. 地下防水工程为 </w:t>
      </w:r>
      <w:r>
        <w:rPr>
          <w:rStyle w:val="29"/>
          <w:rFonts w:hint="eastAsia" w:ascii="Times New Roman" w:hAnsi="宋体" w:eastAsia="宋体" w:cs="宋体"/>
          <w:color w:val="auto"/>
          <w:szCs w:val="21"/>
          <w:highlight w:val="none"/>
          <w:u w:val="single"/>
        </w:rPr>
        <w:t xml:space="preserve">  5 </w:t>
      </w:r>
      <w:r>
        <w:rPr>
          <w:rStyle w:val="29"/>
          <w:rFonts w:hint="eastAsia" w:ascii="Times New Roman" w:hAnsi="宋体" w:eastAsia="宋体" w:cs="宋体"/>
          <w:color w:val="auto"/>
          <w:szCs w:val="21"/>
          <w:highlight w:val="none"/>
        </w:rPr>
        <w:t xml:space="preserve"> 年（建议为5年）；</w:t>
      </w:r>
    </w:p>
    <w:p w14:paraId="20BEA661">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rPr>
        <w:t xml:space="preserve"> 本工程其余项目质保期均为两年，质量保修规范如国家有新规定，则按新规定执行 </w:t>
      </w:r>
      <w:r>
        <w:rPr>
          <w:rFonts w:hint="eastAsia" w:ascii="宋体" w:hAnsi="宋体" w:cs="宋体"/>
          <w:color w:val="auto"/>
          <w:szCs w:val="21"/>
          <w:highlight w:val="none"/>
        </w:rPr>
        <w:t>。</w:t>
      </w:r>
    </w:p>
    <w:p w14:paraId="654A44EA">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079CE3C7">
      <w:pPr>
        <w:pStyle w:val="44"/>
        <w:spacing w:line="400" w:lineRule="exact"/>
        <w:ind w:firstLine="420" w:firstLineChars="200"/>
        <w:outlineLvl w:val="0"/>
        <w:rPr>
          <w:rFonts w:ascii="宋体" w:hAnsi="宋体" w:cs="宋体"/>
          <w:color w:val="auto"/>
          <w:szCs w:val="21"/>
          <w:highlight w:val="none"/>
        </w:rPr>
      </w:pPr>
      <w:bookmarkStart w:id="2301" w:name="_Toc15923"/>
      <w:r>
        <w:rPr>
          <w:rFonts w:hint="eastAsia" w:ascii="宋体" w:hAnsi="宋体" w:cs="宋体"/>
          <w:color w:val="auto"/>
          <w:szCs w:val="21"/>
          <w:highlight w:val="none"/>
        </w:rPr>
        <w:t>三、缺陷责任期</w:t>
      </w:r>
      <w:bookmarkEnd w:id="2301"/>
    </w:p>
    <w:p w14:paraId="24F44987">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个月（最长不超过</w:t>
      </w:r>
      <w:r>
        <w:rPr>
          <w:rFonts w:hint="default" w:ascii="宋体" w:hAnsi="宋体" w:cs="宋体"/>
          <w:color w:val="auto"/>
          <w:szCs w:val="21"/>
          <w:highlight w:val="none"/>
          <w:lang w:val="en-US"/>
        </w:rPr>
        <w:t>24</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42A865FE">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041AC200">
      <w:pPr>
        <w:pStyle w:val="44"/>
        <w:spacing w:line="400" w:lineRule="exact"/>
        <w:ind w:firstLine="420" w:firstLineChars="200"/>
        <w:outlineLvl w:val="0"/>
        <w:rPr>
          <w:rFonts w:ascii="宋体" w:hAnsi="宋体" w:cs="宋体"/>
          <w:color w:val="auto"/>
          <w:szCs w:val="21"/>
          <w:highlight w:val="none"/>
        </w:rPr>
      </w:pPr>
      <w:bookmarkStart w:id="2302" w:name="_Toc15183"/>
      <w:r>
        <w:rPr>
          <w:rFonts w:hint="eastAsia" w:ascii="宋体" w:hAnsi="宋体" w:cs="宋体"/>
          <w:color w:val="auto"/>
          <w:szCs w:val="21"/>
          <w:highlight w:val="none"/>
        </w:rPr>
        <w:t>四、质量保修责任</w:t>
      </w:r>
      <w:bookmarkEnd w:id="2302"/>
    </w:p>
    <w:p w14:paraId="7B6983DA">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天内派人保修。承包人不在约定期限内派人保修的，发包人可以委托他人修理，修理费用从</w:t>
      </w:r>
      <w:r>
        <w:rPr>
          <w:rFonts w:hint="eastAsia" w:ascii="宋体" w:hAnsi="宋体" w:cs="宋体"/>
          <w:color w:val="auto"/>
          <w:szCs w:val="21"/>
          <w:highlight w:val="none"/>
          <w:lang w:eastAsia="zh-CN"/>
        </w:rPr>
        <w:t>质量保证金</w:t>
      </w:r>
      <w:r>
        <w:rPr>
          <w:rFonts w:hint="eastAsia" w:ascii="宋体" w:hAnsi="宋体" w:cs="宋体"/>
          <w:color w:val="auto"/>
          <w:szCs w:val="21"/>
          <w:highlight w:val="none"/>
        </w:rPr>
        <w:t>内扣除。</w:t>
      </w:r>
    </w:p>
    <w:p w14:paraId="53AE7A4E">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028FB964">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A98801E">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03BEBF09">
      <w:pPr>
        <w:pStyle w:val="44"/>
        <w:spacing w:line="400" w:lineRule="exact"/>
        <w:ind w:firstLine="420" w:firstLineChars="200"/>
        <w:outlineLvl w:val="0"/>
        <w:rPr>
          <w:rFonts w:ascii="宋体" w:hAnsi="宋体" w:cs="宋体"/>
          <w:color w:val="auto"/>
          <w:szCs w:val="21"/>
          <w:highlight w:val="none"/>
        </w:rPr>
      </w:pPr>
      <w:bookmarkStart w:id="2303" w:name="_Toc30389"/>
      <w:r>
        <w:rPr>
          <w:rFonts w:hint="eastAsia" w:ascii="宋体" w:hAnsi="宋体" w:cs="宋体"/>
          <w:color w:val="auto"/>
          <w:szCs w:val="21"/>
          <w:highlight w:val="none"/>
        </w:rPr>
        <w:t>五、保修费用</w:t>
      </w:r>
      <w:bookmarkEnd w:id="2303"/>
    </w:p>
    <w:p w14:paraId="0D699CA4">
      <w:pPr>
        <w:pStyle w:val="21"/>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304BD03D">
      <w:pPr>
        <w:pStyle w:val="41"/>
        <w:numPr>
          <w:ilvl w:val="0"/>
          <w:numId w:val="12"/>
        </w:numPr>
        <w:spacing w:line="400" w:lineRule="exact"/>
        <w:rPr>
          <w:rFonts w:ascii="宋体" w:hAnsi="宋体" w:cs="宋体"/>
          <w:color w:val="auto"/>
          <w:highlight w:val="none"/>
          <w:u w:val="single"/>
        </w:rPr>
      </w:pPr>
      <w:r>
        <w:rPr>
          <w:rFonts w:hint="eastAsia" w:ascii="宋体" w:hAnsi="宋体" w:cs="宋体"/>
          <w:color w:val="auto"/>
          <w:highlight w:val="none"/>
        </w:rPr>
        <w:t xml:space="preserve">双方约定的其他工程质量保修事项：  1. </w:t>
      </w:r>
      <w:r>
        <w:rPr>
          <w:rFonts w:hint="eastAsia" w:ascii="宋体" w:hAnsi="宋体" w:cs="宋体"/>
          <w:color w:val="auto"/>
          <w:highlight w:val="none"/>
          <w:u w:val="single"/>
        </w:rPr>
        <w:t>承包人未按照法律法规有关规定和合同约定履行质量保修义务的，发包人有权从质量保证金中扣留用于质量保修的各项支出。</w:t>
      </w:r>
    </w:p>
    <w:p w14:paraId="6C27FE2C">
      <w:pPr>
        <w:pStyle w:val="41"/>
        <w:numPr>
          <w:ilvl w:val="0"/>
          <w:numId w:val="13"/>
        </w:numPr>
        <w:spacing w:line="400" w:lineRule="exact"/>
        <w:rPr>
          <w:rFonts w:ascii="宋体" w:hAnsi="宋体" w:cs="宋体"/>
          <w:color w:val="auto"/>
          <w:highlight w:val="none"/>
          <w:u w:val="singl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比例：工程结算价的</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w:t>
      </w:r>
    </w:p>
    <w:p w14:paraId="1E48AC62">
      <w:pPr>
        <w:pStyle w:val="41"/>
        <w:numPr>
          <w:ilvl w:val="0"/>
          <w:numId w:val="13"/>
        </w:numPr>
        <w:spacing w:line="400" w:lineRule="exact"/>
        <w:rPr>
          <w:rFonts w:ascii="宋体" w:hAnsi="宋体" w:cs="宋体"/>
          <w:color w:val="auto"/>
          <w:highlight w:val="non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返还：发包人在工程竣工验收合格之日起</w:t>
      </w:r>
      <w:r>
        <w:rPr>
          <w:rFonts w:hint="eastAsia" w:ascii="宋体" w:hAnsi="宋体" w:cs="宋体"/>
          <w:color w:val="auto"/>
          <w:highlight w:val="none"/>
          <w:u w:val="single"/>
          <w:lang w:val="en-US" w:eastAsia="zh-CN"/>
        </w:rPr>
        <w:t>保修期满后</w:t>
      </w:r>
      <w:r>
        <w:rPr>
          <w:rFonts w:hint="eastAsia" w:ascii="宋体" w:hAnsi="宋体" w:cs="宋体"/>
          <w:color w:val="auto"/>
          <w:highlight w:val="none"/>
          <w:u w:val="single"/>
        </w:rPr>
        <w:t>14天内将保修金（无息）的返回给承包人，</w:t>
      </w: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 xml:space="preserve">的返还，并不能免除承包人按照合同约定应承担的质量保修责任和应履行的质量保修义务  </w:t>
      </w:r>
      <w:r>
        <w:rPr>
          <w:rFonts w:hint="eastAsia" w:ascii="宋体" w:hAnsi="宋体" w:cs="宋体"/>
          <w:color w:val="auto"/>
          <w:highlight w:val="none"/>
        </w:rPr>
        <w:t>。</w:t>
      </w:r>
    </w:p>
    <w:p w14:paraId="7D6F6FA5">
      <w:pPr>
        <w:pStyle w:val="21"/>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6B206877">
      <w:pPr>
        <w:pStyle w:val="21"/>
        <w:spacing w:line="320" w:lineRule="exact"/>
        <w:ind w:firstLine="420" w:firstLineChars="200"/>
        <w:rPr>
          <w:rFonts w:ascii="宋体" w:hAnsi="宋体" w:cs="宋体"/>
          <w:color w:val="auto"/>
          <w:szCs w:val="21"/>
          <w:highlight w:val="none"/>
        </w:rPr>
      </w:pPr>
    </w:p>
    <w:p w14:paraId="70475529">
      <w:pPr>
        <w:pStyle w:val="20"/>
        <w:ind w:left="63" w:right="63"/>
        <w:rPr>
          <w:rFonts w:hint="eastAsia"/>
          <w:color w:val="auto"/>
          <w:highlight w:val="none"/>
          <w:lang w:val="en-US" w:eastAsia="zh-CN"/>
        </w:rPr>
      </w:pPr>
    </w:p>
    <w:p w14:paraId="656E8AAD">
      <w:pPr>
        <w:pStyle w:val="41"/>
        <w:spacing w:line="320" w:lineRule="exact"/>
        <w:ind w:left="0" w:leftChars="0" w:firstLine="0" w:firstLineChars="0"/>
        <w:rPr>
          <w:rFonts w:hint="default" w:ascii="宋体" w:hAnsi="宋体" w:eastAsia="宋体" w:cs="宋体"/>
          <w:color w:val="auto"/>
          <w:highlight w:val="none"/>
          <w:u w:val="single"/>
          <w:lang w:val="en-US" w:eastAsia="zh-CN"/>
        </w:rPr>
      </w:pPr>
      <w:r>
        <w:rPr>
          <w:rFonts w:hint="eastAsia" w:ascii="宋体" w:hAnsi="宋体" w:cs="宋体"/>
          <w:color w:val="auto"/>
          <w:highlight w:val="none"/>
        </w:rPr>
        <w:t>发包人(公章)：</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lang w:val="en-US" w:eastAsia="zh-CN"/>
        </w:rPr>
        <w:t xml:space="preserve">                </w:t>
      </w:r>
      <w:r>
        <w:rPr>
          <w:rFonts w:hint="eastAsia" w:ascii="宋体" w:hAnsi="宋体" w:cs="宋体"/>
          <w:color w:val="auto"/>
          <w:highlight w:val="none"/>
        </w:rPr>
        <w:t>承包人(公章)：</w:t>
      </w:r>
      <w:r>
        <w:rPr>
          <w:rFonts w:hint="eastAsia" w:ascii="宋体" w:hAnsi="宋体" w:cs="宋体"/>
          <w:color w:val="auto"/>
          <w:highlight w:val="none"/>
          <w:u w:val="single"/>
          <w:lang w:val="en-US" w:eastAsia="zh-CN"/>
        </w:rPr>
        <w:t xml:space="preserve">  </w:t>
      </w:r>
    </w:p>
    <w:p w14:paraId="0B3354BC">
      <w:pPr>
        <w:pStyle w:val="41"/>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 xml:space="preserve"> </w:t>
      </w:r>
    </w:p>
    <w:p w14:paraId="10B397EB">
      <w:pPr>
        <w:pStyle w:val="41"/>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地  址：</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地  址：</w:t>
      </w:r>
      <w:r>
        <w:rPr>
          <w:rFonts w:hint="eastAsia" w:ascii="宋体" w:hAnsi="宋体"/>
          <w:color w:val="auto"/>
          <w:highlight w:val="none"/>
          <w:u w:val="single"/>
          <w:lang w:val="en-US" w:eastAsia="zh-CN"/>
        </w:rPr>
        <w:t xml:space="preserve"> </w:t>
      </w:r>
    </w:p>
    <w:p w14:paraId="529F4201">
      <w:pPr>
        <w:pStyle w:val="41"/>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法定代表人</w:t>
      </w:r>
      <w:r>
        <w:rPr>
          <w:rFonts w:hint="eastAsia" w:ascii="宋体" w:hAnsi="宋体" w:cs="宋体"/>
          <w:color w:val="auto"/>
          <w:highlight w:val="none"/>
          <w:lang w:eastAsia="zh-CN"/>
        </w:rPr>
        <w:t>或</w:t>
      </w:r>
      <w:r>
        <w:rPr>
          <w:rFonts w:hint="eastAsia" w:ascii="宋体" w:hAnsi="宋体" w:cs="宋体"/>
          <w:color w:val="auto"/>
          <w:highlight w:val="none"/>
        </w:rPr>
        <w:t xml:space="preserve">委托代理人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法定代表人</w:t>
      </w:r>
      <w:r>
        <w:rPr>
          <w:rFonts w:hint="eastAsia" w:ascii="宋体" w:hAnsi="宋体" w:cs="宋体"/>
          <w:color w:val="auto"/>
          <w:highlight w:val="none"/>
          <w:lang w:eastAsia="zh-CN"/>
        </w:rPr>
        <w:t>或</w:t>
      </w:r>
      <w:r>
        <w:rPr>
          <w:rFonts w:hint="eastAsia" w:ascii="宋体" w:hAnsi="宋体" w:cs="宋体"/>
          <w:color w:val="auto"/>
          <w:highlight w:val="none"/>
        </w:rPr>
        <w:t>委托代理人</w:t>
      </w:r>
    </w:p>
    <w:p w14:paraId="1FA46658">
      <w:pPr>
        <w:pStyle w:val="41"/>
        <w:spacing w:line="320" w:lineRule="exact"/>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lang w:val="en-US" w:eastAsia="zh-CN"/>
        </w:rPr>
        <w:t xml:space="preserve">   </w:t>
      </w:r>
    </w:p>
    <w:p w14:paraId="045C73E9">
      <w:pPr>
        <w:pStyle w:val="41"/>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电  话：</w:t>
      </w:r>
      <w:r>
        <w:rPr>
          <w:rFonts w:hint="eastAsia" w:ascii="宋体" w:hAnsi="宋体" w:cs="宋体"/>
          <w:color w:val="auto"/>
          <w:highlight w:val="none"/>
          <w:u w:val="single"/>
        </w:rPr>
        <w:t></w:t>
      </w:r>
    </w:p>
    <w:p w14:paraId="723188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C3F5FB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14:paraId="2A983E0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14:paraId="5B11C42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27"/>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5A672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14:paraId="2A643D4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14:paraId="07F4164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14:paraId="040C531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14:paraId="3AE6831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14:paraId="2D3DA21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14:paraId="7B17A00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14:paraId="05DD8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14:paraId="3CEAEB4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14:paraId="514634A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4A223F8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14:paraId="6731111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2CCEE60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14:paraId="77069EE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C9AE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14:paraId="38F03A2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14:paraId="50CBAB0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2C2504F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14:paraId="423EE0D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5302569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14:paraId="601EEB3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12E6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7881820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3F5658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B4854A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7C3B895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BAAB8B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8AA243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B751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5CD6EB9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49B86F8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2FBA7A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024B15D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EE4D1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3ABC646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A70F4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08D3D4B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091ACF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A83E36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043A127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651817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43D2DA8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68C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0C8D3A9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013CE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4D5A93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3F4B4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B6FD87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5C3E9D0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4792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6E4B6DE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1041DC7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A656D8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13C87AD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8CD015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1C7E411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0F16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5B5776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E4BBEF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003402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6F3029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1D712C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20AD3C7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E79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1BEC184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E1F1F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E2551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56A2EC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4BEA4CD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D982F0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9163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656486C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723151B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D0F8F3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1BB286C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A2851B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70A7A83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A30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75F2A74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6CA6AB0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72CA8E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731EE9F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6DA5FF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0C01DA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84E9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273795D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640F05B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13D3A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D11E87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A4726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CF9D0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A296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778722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252A3F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F2CE70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97B7B8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43B8942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521B66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C719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64E7258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903D2D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182164A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9BE395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B1521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0A6127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936A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FDEC1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FBB3E6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BCF362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2069DC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570B20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78A1BD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758E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748D12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482FE3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46D86A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CFF05E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9A28B5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9CA42A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6C73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1D155F9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5D4D7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F3D64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EA1456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0FBECCD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472A9C5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F19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35F053F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29F0EB7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D949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590A38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A75A2B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FFAF6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F460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0CD70E9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BF2FE4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1590140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1CEAA2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0A7B58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5FA3826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3A4169A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2304" w:name="_Toc296503227"/>
      <w:bookmarkStart w:id="2305" w:name="_Toc296891267"/>
      <w:bookmarkStart w:id="2306" w:name="_Toc296891055"/>
      <w:bookmarkStart w:id="2307" w:name="_Toc296347226"/>
      <w:bookmarkStart w:id="2308" w:name="_Toc267261698"/>
      <w:bookmarkStart w:id="2309" w:name="_Toc296346728"/>
      <w:bookmarkStart w:id="2310" w:name="_Toc296944566"/>
      <w:r>
        <w:rPr>
          <w:rFonts w:hint="eastAsia" w:ascii="宋体" w:hAnsi="宋体" w:eastAsia="宋体" w:cs="宋体"/>
          <w:color w:val="auto"/>
          <w:sz w:val="21"/>
          <w:szCs w:val="21"/>
          <w:highlight w:val="none"/>
        </w:rPr>
        <w:t>件5：</w:t>
      </w:r>
    </w:p>
    <w:bookmarkEnd w:id="2304"/>
    <w:bookmarkEnd w:id="2305"/>
    <w:bookmarkEnd w:id="2306"/>
    <w:bookmarkEnd w:id="2307"/>
    <w:bookmarkEnd w:id="2308"/>
    <w:bookmarkEnd w:id="2309"/>
    <w:bookmarkEnd w:id="2310"/>
    <w:p w14:paraId="3F30F4E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27"/>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2AD68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14:paraId="7A128C2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14:paraId="6459844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14:paraId="589EC61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14:paraId="33C8E4B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14:paraId="490303B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14:paraId="5C48F15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14:paraId="3DF264D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14:paraId="1F4D042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14:paraId="0273AD1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B0A4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14:paraId="62731D5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14:paraId="30D65DE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4B44B11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14:paraId="4B5090E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14:paraId="6DEFE0A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14:paraId="073AE37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14:paraId="1668CF0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14:paraId="0CB8D04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14:paraId="6FA2556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6782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14:paraId="5B75F7B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14:paraId="3448018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337023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14:paraId="3F22E43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14:paraId="2636568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14:paraId="120830F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14:paraId="016F5CD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14:paraId="38E55B7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14:paraId="3BE2308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4351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87339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C74A01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5DBCB39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C7B1B2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A14ABF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5DABD9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6536B7E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40A7304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329C31E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9109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708389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DC51D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D9A8D8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D68017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397A5E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58A2C1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72818D4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3F385FC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E6115C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1D7E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AF0C85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48743E2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24A73C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8908F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476217D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4848FD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729562B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D6DC8A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7813B93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A3AF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13DF7D4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0C8E2E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9A7BE2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09F6DBF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4137CB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9CE7E7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6540083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2270D6E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6A439C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D62C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6552CA2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F9BB1F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7280F0C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A3A801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271491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486724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F93358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3EC1691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0447681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D362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56F3A2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1BB0DCA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F7865E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734417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2FC3AE0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5736AA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3BE174D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17BCD3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5BF739B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9A51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5641AD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849436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01DCD1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4B0B33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2021F91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3F3262A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0E04D5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0031F2E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4851C8D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139F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4C1290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D51E96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EE944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210D46C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0AF127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1F0EA34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65DECB8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1573102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9D1EB2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E3BE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681863C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20C8D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018EA6A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7C774F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30F49B3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6A7C844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508C41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2F8C49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240220F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EC7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09C03B3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761CCAC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5B747F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67A403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DEDBDC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0217E28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7533DF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1F2CE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75EE784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EF91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4074B68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1F83C3F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27ABD9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567ADC2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00E0B46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BB71BB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585E56C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5702D06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A7474B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0D6A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99023F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EECBB2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4DDC355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7A0BC66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05CC0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6A6424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A63015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6B25121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64B9F18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72FB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E7D6B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CF63D1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400DDA5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69F15FE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3D6192E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3BD6A8E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E9A046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48B56E4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2253F13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AC88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6E94B52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6E43A9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560002B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3F29CEE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08FB8B7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FA4C1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34E494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55BB616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5D4CCB5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83CF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01D1C75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CE2621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CD3E04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3AA5D19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08D743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4478D7C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2E5FD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D52AEA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2CF3F33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E1FC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A0BBB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071C96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0FDF0B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8EB0FE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7B1DD9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F82861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3AA2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6DF01E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76BEC2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25C6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F8378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14D8944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5E25B8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3A15804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5A3697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402272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5675583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08FF94D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4095B02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2B71D48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010E5F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232C74B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0F8278A">
      <w:pPr>
        <w:pStyle w:val="9"/>
        <w:rPr>
          <w:rFonts w:hint="eastAsia" w:ascii="宋体" w:hAnsi="宋体" w:eastAsia="宋体" w:cs="宋体"/>
          <w:color w:val="auto"/>
          <w:sz w:val="21"/>
          <w:szCs w:val="21"/>
          <w:highlight w:val="none"/>
        </w:rPr>
      </w:pPr>
    </w:p>
    <w:p w14:paraId="6B37032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14:paraId="11BF08C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27"/>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16B8D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3919D74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14:paraId="3EBCE10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14:paraId="2CF7401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14:paraId="7218641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14:paraId="5A1199C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31E45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14:paraId="4E812D2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3285F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BE9323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14:paraId="72BFE87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14:paraId="51F7314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53F0E0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14:paraId="02CD18E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A68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042C91C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1D5E1F3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946954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00D4F6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FFA47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7DB2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F185E6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3813378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F736D9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1F97D6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0116C2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82E3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6A6A1A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1011965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79A4B1F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6E4446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48AA7F1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7C0A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14:paraId="37C3290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0DFBC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78572A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14:paraId="27D84AA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950448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BB6B28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0CC466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2858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77ED6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14:paraId="02AA556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B24A4E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F02A0D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96ADDA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476D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902E3C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14:paraId="0D936B4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5A6D20E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6A874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61200F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A82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2550F4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14:paraId="615A3B6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3C6413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0D4E4C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4A32885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45A0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59D5CA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14:paraId="092FA9A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809B13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81CA26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EF7ACD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FD26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922D37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14:paraId="6A8937E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53EB77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F05160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1CFE87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724A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490AC1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14:paraId="71FE3A6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26F010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12407A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813DBA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162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2905DC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14:paraId="0655EEB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567FD62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70C8FF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439B2EA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F816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6D71966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20C470C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01DEE1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229FAB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E20991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545C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8E4980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14:paraId="6A3CDD1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14:paraId="641D47D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14:paraId="12B6099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14:paraId="29E1A91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16DD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338D30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5871FC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2DC83B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E2233C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864E4F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297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6A7494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5D801A2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709F03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4F1F7A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A4F450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3B38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2CFD09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6ACF7B0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9068D7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254491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414A39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01E1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81AD0C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14:paraId="2A76C7C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14:paraId="41026AE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14:paraId="6BB17B9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14:paraId="36E6F71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02FAC83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14:paraId="56255A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27"/>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03BA4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14:paraId="238F7EB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14:paraId="6BDBB6F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14:paraId="3027506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14:paraId="0CBABAA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14:paraId="238A13E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00C1C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14:paraId="5051A04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2AC8B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2B53E5F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14:paraId="6036EA7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14:paraId="4363204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14:paraId="5EC4577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14:paraId="5974CE2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144F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14:paraId="366D352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E7AB65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0C2F88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5AC9E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4FE99F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D74F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07BEB7A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FC19A7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804DFD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2425F3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204ECE2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909C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6CCE208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154C527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4F417D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2341F2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7678354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206B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14:paraId="2FE9D48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444A3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1724C0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14:paraId="5A829B3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77128AD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1675D5F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7005795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8C29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B0F200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14:paraId="48C25F2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0EE15B3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F9DD00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B2A3E0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0B83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6D72175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14:paraId="00663B8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3A8C6D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E59319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2061D2B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AF2D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787892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14:paraId="670734A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D47500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CA9CDB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C947EE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C6F8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997F52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14:paraId="2D2C18C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0D9D4A0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1227FEC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8F67B9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DBAD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4955AE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14:paraId="7D816F7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E3724A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EB1A6C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8B023F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E38C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E6D53C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14:paraId="78B43BE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106724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CF4E76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7AEB7B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1F94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1ADE5A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14:paraId="52B796C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01A76D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C09457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AE66B5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02E0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14:paraId="35B74312">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21D4DDF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E02D2B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CBFA59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2916B1C9">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A89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2077884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14:paraId="29579361">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14:paraId="0770967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14:paraId="29A22865">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14:paraId="6F17553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FBA8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F738796">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89FD1E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01398B1F">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3328486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998326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2830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222C89D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614927ED">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F361BF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99DDF9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3DA82CB">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3E80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1B771BB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4AAA8FB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17192AC">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DC94F9A">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DDC7573">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7C26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14:paraId="611EAD8E">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14:paraId="086C58D0">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14:paraId="0D262E78">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14:paraId="120A6C74">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14:paraId="25803EC7">
            <w:pPr>
              <w:pStyle w:val="9"/>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1FF1153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14:paraId="16FCB84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14:paraId="29811B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14:paraId="474EC8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563F1F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14:paraId="71DF160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14:paraId="0AB9FA4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F281A28">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14:paraId="4055E177">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14:paraId="606420C6">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14:paraId="01E16AA3">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37BB8FA0">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4FB79A2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2FF1B0B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5AC76B0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460C53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6D05736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0C71CC1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529A0C0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00B6F4CE">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14:paraId="4B180AC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776E8F3">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A71BE20">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70CDC140">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B39E641">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0B5F05F1">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75074204">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0A08C78B">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4907244B">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4F563A2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7264478">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36C6A186">
      <w:pPr>
        <w:pStyle w:val="9"/>
        <w:rPr>
          <w:rFonts w:hint="eastAsia" w:ascii="宋体" w:hAnsi="宋体" w:eastAsia="宋体" w:cs="宋体"/>
          <w:color w:val="auto"/>
          <w:sz w:val="21"/>
          <w:szCs w:val="21"/>
          <w:highlight w:val="none"/>
        </w:rPr>
      </w:pPr>
    </w:p>
    <w:p w14:paraId="115B2842">
      <w:pPr>
        <w:pStyle w:val="9"/>
        <w:rPr>
          <w:rFonts w:hint="eastAsia" w:ascii="宋体" w:hAnsi="宋体" w:eastAsia="宋体" w:cs="宋体"/>
          <w:color w:val="auto"/>
          <w:sz w:val="21"/>
          <w:szCs w:val="21"/>
          <w:highlight w:val="none"/>
        </w:rPr>
      </w:pPr>
    </w:p>
    <w:p w14:paraId="308C3AF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2311" w:name="_Toc296346733"/>
      <w:bookmarkStart w:id="2312" w:name="_Toc296944571"/>
      <w:bookmarkStart w:id="2313" w:name="_Toc267261702"/>
      <w:bookmarkStart w:id="2314" w:name="_Toc296347231"/>
      <w:bookmarkStart w:id="2315" w:name="_Toc296503232"/>
      <w:bookmarkStart w:id="2316" w:name="_Toc296891060"/>
      <w:bookmarkStart w:id="2317" w:name="_Toc296891272"/>
      <w:r>
        <w:rPr>
          <w:rFonts w:hint="eastAsia" w:ascii="宋体" w:hAnsi="宋体" w:eastAsia="宋体" w:cs="宋体"/>
          <w:color w:val="auto"/>
          <w:sz w:val="21"/>
          <w:szCs w:val="21"/>
          <w:highlight w:val="none"/>
        </w:rPr>
        <w:t>件9 ：</w:t>
      </w:r>
    </w:p>
    <w:bookmarkEnd w:id="2311"/>
    <w:bookmarkEnd w:id="2312"/>
    <w:bookmarkEnd w:id="2313"/>
    <w:bookmarkEnd w:id="2314"/>
    <w:bookmarkEnd w:id="2315"/>
    <w:bookmarkEnd w:id="2316"/>
    <w:bookmarkEnd w:id="2317"/>
    <w:p w14:paraId="7ABC8A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14:paraId="5E9138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14:paraId="1B9D427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A2185C4">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14:paraId="23B604C3">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2318" w:name="_Toc23079"/>
      <w:bookmarkStart w:id="2319" w:name="_Toc29110"/>
      <w:bookmarkStart w:id="2320" w:name="_Toc19561"/>
      <w:bookmarkStart w:id="2321" w:name="_Toc10563"/>
      <w:r>
        <w:rPr>
          <w:rFonts w:hint="eastAsia" w:ascii="宋体" w:hAnsi="宋体" w:eastAsia="宋体" w:cs="宋体"/>
          <w:color w:val="auto"/>
          <w:sz w:val="21"/>
          <w:szCs w:val="21"/>
          <w:highlight w:val="none"/>
        </w:rPr>
        <w:t>（发包人名称）（以下简称“发包人”）</w:t>
      </w:r>
      <w:bookmarkEnd w:id="2318"/>
      <w:bookmarkEnd w:id="2319"/>
      <w:bookmarkEnd w:id="2320"/>
      <w:bookmarkEnd w:id="2321"/>
    </w:p>
    <w:p w14:paraId="6378D53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6BEFA64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770BC35">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14:paraId="131C48D2">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D5A89C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14:paraId="45FAC368">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794CBCD6">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44FA8E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1F1B0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5CF1DB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0FD9AD5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4DEA4DB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17EF022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5F5443E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5EF6EA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2D0F8D6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9C4A2F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14:paraId="21161E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8CBDD48">
      <w:pPr>
        <w:spacing w:line="440" w:lineRule="exact"/>
        <w:rPr>
          <w:rFonts w:hint="eastAsia" w:ascii="宋体" w:hAnsi="宋体" w:eastAsia="宋体" w:cs="宋体"/>
          <w:color w:val="auto"/>
          <w:sz w:val="21"/>
          <w:szCs w:val="21"/>
          <w:highlight w:val="none"/>
        </w:rPr>
      </w:pPr>
      <w:r>
        <w:rPr>
          <w:rFonts w:eastAsia="仿宋_GB2312"/>
          <w:b/>
          <w:color w:val="auto"/>
          <w:sz w:val="30"/>
          <w:szCs w:val="30"/>
          <w:highlight w:val="none"/>
        </w:rPr>
        <w:br w:type="page"/>
      </w:r>
      <w:r>
        <w:rPr>
          <w:rFonts w:hint="eastAsia" w:ascii="宋体" w:hAnsi="宋体" w:eastAsia="宋体" w:cs="宋体"/>
          <w:color w:val="auto"/>
          <w:sz w:val="21"/>
          <w:szCs w:val="21"/>
          <w:highlight w:val="none"/>
        </w:rPr>
        <w:t xml:space="preserve">附件10:  </w:t>
      </w:r>
    </w:p>
    <w:p w14:paraId="1F70991E">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14:paraId="0B98EFC3">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14:paraId="3F8620B7">
      <w:pPr>
        <w:spacing w:line="440" w:lineRule="exact"/>
        <w:jc w:val="left"/>
        <w:rPr>
          <w:rFonts w:hint="eastAsia" w:ascii="宋体" w:hAnsi="宋体" w:eastAsia="宋体" w:cs="宋体"/>
          <w:color w:val="auto"/>
          <w:sz w:val="21"/>
          <w:szCs w:val="21"/>
          <w:highlight w:val="none"/>
        </w:rPr>
      </w:pPr>
    </w:p>
    <w:p w14:paraId="2D87448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14:paraId="577B47E0">
      <w:pPr>
        <w:spacing w:line="360" w:lineRule="auto"/>
        <w:ind w:firstLine="420" w:firstLineChars="200"/>
        <w:jc w:val="left"/>
        <w:outlineLvl w:val="0"/>
        <w:rPr>
          <w:rFonts w:hint="eastAsia" w:ascii="宋体" w:hAnsi="宋体" w:eastAsia="宋体" w:cs="宋体"/>
          <w:color w:val="auto"/>
          <w:sz w:val="21"/>
          <w:szCs w:val="21"/>
          <w:highlight w:val="none"/>
        </w:rPr>
      </w:pPr>
      <w:bookmarkStart w:id="2322" w:name="_Toc25964"/>
      <w:bookmarkStart w:id="2323" w:name="_Toc11400"/>
      <w:bookmarkStart w:id="2324" w:name="_Toc31131"/>
      <w:bookmarkStart w:id="2325" w:name="_Toc20380"/>
      <w:r>
        <w:rPr>
          <w:rFonts w:hint="eastAsia" w:ascii="宋体" w:hAnsi="宋体" w:eastAsia="宋体" w:cs="宋体"/>
          <w:color w:val="auto"/>
          <w:sz w:val="21"/>
          <w:szCs w:val="21"/>
          <w:highlight w:val="none"/>
        </w:rPr>
        <w:t>一、保证的范围及保证金额</w:t>
      </w:r>
      <w:bookmarkEnd w:id="2322"/>
      <w:bookmarkEnd w:id="2323"/>
      <w:bookmarkEnd w:id="2324"/>
      <w:bookmarkEnd w:id="2325"/>
    </w:p>
    <w:p w14:paraId="5F1227E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14:paraId="4AD97364">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14:paraId="4DE7BAA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5CDDD4C">
      <w:pPr>
        <w:spacing w:line="360" w:lineRule="auto"/>
        <w:ind w:firstLine="420" w:firstLineChars="200"/>
        <w:jc w:val="left"/>
        <w:outlineLvl w:val="0"/>
        <w:rPr>
          <w:rFonts w:hint="eastAsia" w:ascii="宋体" w:hAnsi="宋体" w:eastAsia="宋体" w:cs="宋体"/>
          <w:color w:val="auto"/>
          <w:sz w:val="21"/>
          <w:szCs w:val="21"/>
          <w:highlight w:val="none"/>
        </w:rPr>
      </w:pPr>
      <w:bookmarkStart w:id="2326" w:name="_Toc16286"/>
      <w:bookmarkStart w:id="2327" w:name="_Toc13918"/>
      <w:bookmarkStart w:id="2328" w:name="_Toc31793"/>
      <w:bookmarkStart w:id="2329" w:name="_Toc10162"/>
      <w:r>
        <w:rPr>
          <w:rFonts w:hint="eastAsia" w:ascii="宋体" w:hAnsi="宋体" w:eastAsia="宋体" w:cs="宋体"/>
          <w:color w:val="auto"/>
          <w:sz w:val="21"/>
          <w:szCs w:val="21"/>
          <w:highlight w:val="none"/>
        </w:rPr>
        <w:t>二、保证的方式及保证期间</w:t>
      </w:r>
      <w:bookmarkEnd w:id="2326"/>
      <w:bookmarkEnd w:id="2327"/>
      <w:bookmarkEnd w:id="2328"/>
      <w:bookmarkEnd w:id="2329"/>
    </w:p>
    <w:p w14:paraId="5650E01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14:paraId="0F1C3E7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14:paraId="2AE71F6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14:paraId="1789FABD">
      <w:pPr>
        <w:spacing w:line="360" w:lineRule="auto"/>
        <w:ind w:firstLine="420" w:firstLineChars="200"/>
        <w:jc w:val="left"/>
        <w:outlineLvl w:val="0"/>
        <w:rPr>
          <w:rFonts w:hint="eastAsia" w:ascii="宋体" w:hAnsi="宋体" w:eastAsia="宋体" w:cs="宋体"/>
          <w:color w:val="auto"/>
          <w:sz w:val="21"/>
          <w:szCs w:val="21"/>
          <w:highlight w:val="none"/>
        </w:rPr>
      </w:pPr>
      <w:bookmarkStart w:id="2330" w:name="_Toc30010"/>
      <w:bookmarkStart w:id="2331" w:name="_Toc3217"/>
      <w:bookmarkStart w:id="2332" w:name="_Toc28829"/>
      <w:bookmarkStart w:id="2333" w:name="_Toc30478"/>
      <w:r>
        <w:rPr>
          <w:rFonts w:hint="eastAsia" w:ascii="宋体" w:hAnsi="宋体" w:eastAsia="宋体" w:cs="宋体"/>
          <w:color w:val="auto"/>
          <w:sz w:val="21"/>
          <w:szCs w:val="21"/>
          <w:highlight w:val="none"/>
        </w:rPr>
        <w:t>三、承担保证责任的形式</w:t>
      </w:r>
      <w:bookmarkEnd w:id="2330"/>
      <w:bookmarkEnd w:id="2331"/>
      <w:bookmarkEnd w:id="2332"/>
      <w:bookmarkEnd w:id="2333"/>
    </w:p>
    <w:p w14:paraId="04C7D5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14:paraId="7351F672">
      <w:pPr>
        <w:spacing w:line="360" w:lineRule="auto"/>
        <w:ind w:firstLine="420" w:firstLineChars="200"/>
        <w:jc w:val="left"/>
        <w:outlineLvl w:val="0"/>
        <w:rPr>
          <w:rFonts w:hint="eastAsia" w:ascii="宋体" w:hAnsi="宋体" w:eastAsia="宋体" w:cs="宋体"/>
          <w:color w:val="auto"/>
          <w:sz w:val="21"/>
          <w:szCs w:val="21"/>
          <w:highlight w:val="none"/>
        </w:rPr>
      </w:pPr>
      <w:bookmarkStart w:id="2334" w:name="_Toc11312"/>
      <w:bookmarkStart w:id="2335" w:name="_Toc19016"/>
      <w:bookmarkStart w:id="2336" w:name="_Toc4883"/>
      <w:bookmarkStart w:id="2337" w:name="_Toc17037"/>
      <w:r>
        <w:rPr>
          <w:rFonts w:hint="eastAsia" w:ascii="宋体" w:hAnsi="宋体" w:eastAsia="宋体" w:cs="宋体"/>
          <w:color w:val="auto"/>
          <w:sz w:val="21"/>
          <w:szCs w:val="21"/>
          <w:highlight w:val="none"/>
        </w:rPr>
        <w:t>四、代偿的安排</w:t>
      </w:r>
      <w:bookmarkEnd w:id="2334"/>
      <w:bookmarkEnd w:id="2335"/>
      <w:bookmarkEnd w:id="2336"/>
      <w:bookmarkEnd w:id="2337"/>
    </w:p>
    <w:p w14:paraId="09FF6D5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14:paraId="1CF08B7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14DEDE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14:paraId="613BAEC2">
      <w:pPr>
        <w:spacing w:line="360" w:lineRule="auto"/>
        <w:ind w:firstLine="420" w:firstLineChars="200"/>
        <w:jc w:val="left"/>
        <w:outlineLvl w:val="0"/>
        <w:rPr>
          <w:rFonts w:hint="eastAsia" w:ascii="宋体" w:hAnsi="宋体" w:eastAsia="宋体" w:cs="宋体"/>
          <w:color w:val="auto"/>
          <w:sz w:val="21"/>
          <w:szCs w:val="21"/>
          <w:highlight w:val="none"/>
        </w:rPr>
      </w:pPr>
      <w:bookmarkStart w:id="2338" w:name="_Toc1507"/>
      <w:bookmarkStart w:id="2339" w:name="_Toc30624"/>
      <w:bookmarkStart w:id="2340" w:name="_Toc25107"/>
      <w:bookmarkStart w:id="2341" w:name="_Toc29416"/>
      <w:r>
        <w:rPr>
          <w:rFonts w:hint="eastAsia" w:ascii="宋体" w:hAnsi="宋体" w:eastAsia="宋体" w:cs="宋体"/>
          <w:color w:val="auto"/>
          <w:sz w:val="21"/>
          <w:szCs w:val="21"/>
          <w:highlight w:val="none"/>
        </w:rPr>
        <w:t>五、保证责任的解除</w:t>
      </w:r>
      <w:bookmarkEnd w:id="2338"/>
      <w:bookmarkEnd w:id="2339"/>
      <w:bookmarkEnd w:id="2340"/>
      <w:bookmarkEnd w:id="2341"/>
    </w:p>
    <w:p w14:paraId="26F19B9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14:paraId="0470C16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14:paraId="19DAF9D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14:paraId="4D41035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14:paraId="7EFCF32B">
      <w:pPr>
        <w:spacing w:line="360" w:lineRule="auto"/>
        <w:jc w:val="left"/>
        <w:rPr>
          <w:rFonts w:hint="eastAsia" w:ascii="宋体" w:hAnsi="宋体" w:eastAsia="宋体" w:cs="宋体"/>
          <w:color w:val="auto"/>
          <w:sz w:val="21"/>
          <w:szCs w:val="21"/>
          <w:highlight w:val="none"/>
        </w:rPr>
      </w:pPr>
    </w:p>
    <w:p w14:paraId="1AB8D4C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14:paraId="7ACDA858">
      <w:pPr>
        <w:spacing w:line="360" w:lineRule="auto"/>
        <w:ind w:firstLine="420" w:firstLineChars="200"/>
        <w:jc w:val="left"/>
        <w:outlineLvl w:val="0"/>
        <w:rPr>
          <w:rFonts w:hint="eastAsia" w:ascii="宋体" w:hAnsi="宋体" w:eastAsia="宋体" w:cs="宋体"/>
          <w:color w:val="auto"/>
          <w:sz w:val="21"/>
          <w:szCs w:val="21"/>
          <w:highlight w:val="none"/>
        </w:rPr>
      </w:pPr>
      <w:bookmarkStart w:id="2342" w:name="_Toc11064"/>
      <w:bookmarkStart w:id="2343" w:name="_Toc14021"/>
      <w:bookmarkStart w:id="2344" w:name="_Toc3962"/>
      <w:bookmarkStart w:id="2345" w:name="_Toc23407"/>
      <w:r>
        <w:rPr>
          <w:rFonts w:hint="eastAsia" w:ascii="宋体" w:hAnsi="宋体" w:eastAsia="宋体" w:cs="宋体"/>
          <w:color w:val="auto"/>
          <w:sz w:val="21"/>
          <w:szCs w:val="21"/>
          <w:highlight w:val="none"/>
        </w:rPr>
        <w:t>六、免责条款</w:t>
      </w:r>
      <w:bookmarkEnd w:id="2342"/>
      <w:bookmarkEnd w:id="2343"/>
      <w:bookmarkEnd w:id="2344"/>
      <w:bookmarkEnd w:id="2345"/>
    </w:p>
    <w:p w14:paraId="1A15C55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14:paraId="38DDFE5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14:paraId="1305DBE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3EF1819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14:paraId="2247A67D">
      <w:pPr>
        <w:spacing w:line="360" w:lineRule="auto"/>
        <w:ind w:firstLine="420" w:firstLineChars="200"/>
        <w:jc w:val="left"/>
        <w:outlineLvl w:val="0"/>
        <w:rPr>
          <w:rFonts w:hint="eastAsia" w:ascii="宋体" w:hAnsi="宋体" w:eastAsia="宋体" w:cs="宋体"/>
          <w:color w:val="auto"/>
          <w:sz w:val="21"/>
          <w:szCs w:val="21"/>
          <w:highlight w:val="none"/>
        </w:rPr>
      </w:pPr>
      <w:bookmarkStart w:id="2346" w:name="_Toc28001"/>
      <w:bookmarkStart w:id="2347" w:name="_Toc20106"/>
      <w:bookmarkStart w:id="2348" w:name="_Toc5169"/>
      <w:bookmarkStart w:id="2349" w:name="_Toc22034"/>
      <w:r>
        <w:rPr>
          <w:rFonts w:hint="eastAsia" w:ascii="宋体" w:hAnsi="宋体" w:eastAsia="宋体" w:cs="宋体"/>
          <w:color w:val="auto"/>
          <w:sz w:val="21"/>
          <w:szCs w:val="21"/>
          <w:highlight w:val="none"/>
        </w:rPr>
        <w:t>七、争议解决</w:t>
      </w:r>
      <w:bookmarkEnd w:id="2346"/>
      <w:bookmarkEnd w:id="2347"/>
      <w:bookmarkEnd w:id="2348"/>
      <w:bookmarkEnd w:id="2349"/>
    </w:p>
    <w:p w14:paraId="175DE96A">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14:paraId="24905FB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14:paraId="0229114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14:paraId="42755D4E">
      <w:pPr>
        <w:spacing w:line="360" w:lineRule="auto"/>
        <w:ind w:firstLine="420" w:firstLineChars="200"/>
        <w:jc w:val="left"/>
        <w:outlineLvl w:val="0"/>
        <w:rPr>
          <w:rFonts w:hint="eastAsia" w:ascii="宋体" w:hAnsi="宋体" w:eastAsia="宋体" w:cs="宋体"/>
          <w:color w:val="auto"/>
          <w:sz w:val="21"/>
          <w:szCs w:val="21"/>
          <w:highlight w:val="none"/>
        </w:rPr>
      </w:pPr>
      <w:bookmarkStart w:id="2350" w:name="_Toc24785"/>
      <w:bookmarkStart w:id="2351" w:name="_Toc5124"/>
      <w:bookmarkStart w:id="2352" w:name="_Toc14959"/>
      <w:bookmarkStart w:id="2353" w:name="_Toc29914"/>
      <w:r>
        <w:rPr>
          <w:rFonts w:hint="eastAsia" w:ascii="宋体" w:hAnsi="宋体" w:eastAsia="宋体" w:cs="宋体"/>
          <w:color w:val="auto"/>
          <w:sz w:val="21"/>
          <w:szCs w:val="21"/>
          <w:highlight w:val="none"/>
        </w:rPr>
        <w:t>八、保函的生效</w:t>
      </w:r>
      <w:bookmarkEnd w:id="2350"/>
      <w:bookmarkEnd w:id="2351"/>
      <w:bookmarkEnd w:id="2352"/>
      <w:bookmarkEnd w:id="2353"/>
    </w:p>
    <w:p w14:paraId="1E0703E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14:paraId="5EBFF84A">
      <w:pPr>
        <w:spacing w:line="360" w:lineRule="auto"/>
        <w:ind w:firstLine="420" w:firstLineChars="200"/>
        <w:jc w:val="left"/>
        <w:rPr>
          <w:rFonts w:hint="eastAsia" w:ascii="宋体" w:hAnsi="宋体" w:eastAsia="宋体" w:cs="宋体"/>
          <w:color w:val="auto"/>
          <w:sz w:val="21"/>
          <w:szCs w:val="21"/>
          <w:highlight w:val="none"/>
        </w:rPr>
      </w:pPr>
    </w:p>
    <w:p w14:paraId="7477DD8C">
      <w:pPr>
        <w:spacing w:line="360" w:lineRule="auto"/>
        <w:ind w:right="600"/>
        <w:jc w:val="left"/>
        <w:rPr>
          <w:rFonts w:hint="eastAsia" w:ascii="宋体" w:hAnsi="宋体" w:eastAsia="宋体" w:cs="宋体"/>
          <w:color w:val="auto"/>
          <w:sz w:val="21"/>
          <w:szCs w:val="21"/>
          <w:highlight w:val="none"/>
        </w:rPr>
      </w:pPr>
    </w:p>
    <w:p w14:paraId="6631B956">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14:paraId="3A33ACA3">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41D44C1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4984589E">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50F6D689">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2C6BA756">
      <w:pPr>
        <w:spacing w:line="360" w:lineRule="auto"/>
        <w:ind w:right="150" w:firstLine="420" w:firstLineChars="200"/>
        <w:jc w:val="left"/>
        <w:rPr>
          <w:rFonts w:hint="eastAsia" w:ascii="宋体" w:hAnsi="宋体" w:eastAsia="宋体" w:cs="宋体"/>
          <w:color w:val="auto"/>
          <w:sz w:val="21"/>
          <w:szCs w:val="21"/>
          <w:highlight w:val="none"/>
          <w:u w:val="single"/>
        </w:rPr>
      </w:pPr>
    </w:p>
    <w:p w14:paraId="5A79D443">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0B017659">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宋体" w:hAnsi="宋体" w:eastAsia="宋体" w:cs="宋体"/>
          <w:color w:val="auto"/>
          <w:sz w:val="21"/>
          <w:szCs w:val="21"/>
          <w:highlight w:val="none"/>
        </w:rPr>
        <w:t>附件11：</w:t>
      </w:r>
    </w:p>
    <w:p w14:paraId="029FF498">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2354" w:name="_Toc18176"/>
      <w:bookmarkStart w:id="2355" w:name="_Toc32186"/>
      <w:bookmarkStart w:id="2356" w:name="_Toc20900"/>
      <w:bookmarkStart w:id="2357" w:name="_Toc15518"/>
      <w:r>
        <w:rPr>
          <w:rFonts w:hint="eastAsia" w:ascii="宋体" w:hAnsi="宋体" w:eastAsia="宋体" w:cs="宋体"/>
          <w:color w:val="auto"/>
          <w:sz w:val="21"/>
          <w:szCs w:val="21"/>
          <w:highlight w:val="none"/>
        </w:rPr>
        <w:t>11-1：材料暂估价表</w:t>
      </w:r>
      <w:bookmarkEnd w:id="2354"/>
      <w:bookmarkEnd w:id="2355"/>
      <w:bookmarkEnd w:id="2356"/>
      <w:bookmarkEnd w:id="2357"/>
    </w:p>
    <w:tbl>
      <w:tblPr>
        <w:tblStyle w:val="27"/>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2A29F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471AD04B">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序号</w:t>
            </w:r>
          </w:p>
        </w:tc>
        <w:tc>
          <w:tcPr>
            <w:tcW w:w="1984" w:type="dxa"/>
            <w:tcBorders>
              <w:top w:val="single" w:color="auto" w:sz="12" w:space="0"/>
              <w:bottom w:val="double" w:color="auto" w:sz="6" w:space="0"/>
            </w:tcBorders>
            <w:vAlign w:val="top"/>
          </w:tcPr>
          <w:p w14:paraId="4CFE468E">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名称</w:t>
            </w:r>
          </w:p>
        </w:tc>
        <w:tc>
          <w:tcPr>
            <w:tcW w:w="851" w:type="dxa"/>
            <w:tcBorders>
              <w:top w:val="single" w:color="auto" w:sz="12" w:space="0"/>
              <w:bottom w:val="double" w:color="auto" w:sz="6" w:space="0"/>
            </w:tcBorders>
            <w:vAlign w:val="top"/>
          </w:tcPr>
          <w:p w14:paraId="487E483A">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单位</w:t>
            </w:r>
          </w:p>
        </w:tc>
        <w:tc>
          <w:tcPr>
            <w:tcW w:w="774" w:type="dxa"/>
            <w:tcBorders>
              <w:top w:val="single" w:color="auto" w:sz="12" w:space="0"/>
              <w:bottom w:val="double" w:color="auto" w:sz="6" w:space="0"/>
            </w:tcBorders>
            <w:vAlign w:val="top"/>
          </w:tcPr>
          <w:p w14:paraId="3B7D3605">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数量</w:t>
            </w:r>
          </w:p>
        </w:tc>
        <w:tc>
          <w:tcPr>
            <w:tcW w:w="1352" w:type="dxa"/>
            <w:tcBorders>
              <w:top w:val="single" w:color="auto" w:sz="12" w:space="0"/>
              <w:bottom w:val="double" w:color="auto" w:sz="6" w:space="0"/>
            </w:tcBorders>
            <w:vAlign w:val="top"/>
          </w:tcPr>
          <w:p w14:paraId="53569F08">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单价</w:t>
            </w:r>
            <w:r>
              <w:rPr>
                <w:rFonts w:hint="eastAsia" w:ascii="等线" w:hAnsi="等线" w:eastAsia="仿宋_GB2312"/>
                <w:color w:val="auto"/>
                <w:kern w:val="2"/>
                <w:sz w:val="24"/>
                <w:szCs w:val="24"/>
                <w:highlight w:val="none"/>
                <w:lang w:val="en-US" w:eastAsia="zh-CN"/>
              </w:rPr>
              <w:t>（元）</w:t>
            </w:r>
          </w:p>
        </w:tc>
        <w:tc>
          <w:tcPr>
            <w:tcW w:w="1418" w:type="dxa"/>
            <w:tcBorders>
              <w:top w:val="single" w:color="auto" w:sz="12" w:space="0"/>
              <w:bottom w:val="double" w:color="auto" w:sz="6" w:space="0"/>
            </w:tcBorders>
            <w:vAlign w:val="top"/>
          </w:tcPr>
          <w:p w14:paraId="4073B905">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合价</w:t>
            </w:r>
            <w:r>
              <w:rPr>
                <w:rFonts w:hint="eastAsia" w:ascii="等线" w:hAnsi="等线" w:eastAsia="仿宋_GB2312"/>
                <w:color w:val="auto"/>
                <w:kern w:val="2"/>
                <w:sz w:val="24"/>
                <w:szCs w:val="24"/>
                <w:highlight w:val="none"/>
                <w:lang w:val="en-US" w:eastAsia="zh-CN"/>
              </w:rPr>
              <w:t>（元）</w:t>
            </w:r>
          </w:p>
        </w:tc>
        <w:tc>
          <w:tcPr>
            <w:tcW w:w="1303" w:type="dxa"/>
            <w:tcBorders>
              <w:top w:val="single" w:color="auto" w:sz="12" w:space="0"/>
              <w:bottom w:val="double" w:color="auto" w:sz="6" w:space="0"/>
            </w:tcBorders>
            <w:vAlign w:val="top"/>
          </w:tcPr>
          <w:p w14:paraId="1AA12166">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备注</w:t>
            </w:r>
          </w:p>
        </w:tc>
      </w:tr>
      <w:tr w14:paraId="1FA1A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1887022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tcBorders>
              <w:top w:val="double" w:color="auto" w:sz="6" w:space="0"/>
              <w:bottom w:val="single" w:color="auto" w:sz="6" w:space="0"/>
            </w:tcBorders>
            <w:vAlign w:val="top"/>
          </w:tcPr>
          <w:p w14:paraId="0A3371B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tcBorders>
              <w:top w:val="double" w:color="auto" w:sz="6" w:space="0"/>
              <w:bottom w:val="single" w:color="auto" w:sz="6" w:space="0"/>
            </w:tcBorders>
            <w:vAlign w:val="top"/>
          </w:tcPr>
          <w:p w14:paraId="12537B2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tcBorders>
              <w:top w:val="double" w:color="auto" w:sz="6" w:space="0"/>
              <w:bottom w:val="single" w:color="auto" w:sz="6" w:space="0"/>
            </w:tcBorders>
            <w:vAlign w:val="top"/>
          </w:tcPr>
          <w:p w14:paraId="0D646DC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tcBorders>
              <w:top w:val="double" w:color="auto" w:sz="6" w:space="0"/>
              <w:bottom w:val="single" w:color="auto" w:sz="6" w:space="0"/>
            </w:tcBorders>
            <w:vAlign w:val="top"/>
          </w:tcPr>
          <w:p w14:paraId="21FFCA1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tcBorders>
              <w:top w:val="double" w:color="auto" w:sz="6" w:space="0"/>
              <w:bottom w:val="single" w:color="auto" w:sz="6" w:space="0"/>
            </w:tcBorders>
            <w:vAlign w:val="top"/>
          </w:tcPr>
          <w:p w14:paraId="1ECA3EF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tcBorders>
              <w:top w:val="double" w:color="auto" w:sz="6" w:space="0"/>
              <w:bottom w:val="single" w:color="auto" w:sz="6" w:space="0"/>
            </w:tcBorders>
            <w:vAlign w:val="top"/>
          </w:tcPr>
          <w:p w14:paraId="58A2A47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2CE3A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411ABD9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tcBorders>
              <w:top w:val="nil"/>
            </w:tcBorders>
            <w:vAlign w:val="top"/>
          </w:tcPr>
          <w:p w14:paraId="1D62355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tcBorders>
              <w:top w:val="nil"/>
            </w:tcBorders>
            <w:vAlign w:val="top"/>
          </w:tcPr>
          <w:p w14:paraId="42FB7A0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tcBorders>
              <w:top w:val="nil"/>
            </w:tcBorders>
            <w:vAlign w:val="top"/>
          </w:tcPr>
          <w:p w14:paraId="3FD319C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tcBorders>
              <w:top w:val="nil"/>
            </w:tcBorders>
            <w:vAlign w:val="top"/>
          </w:tcPr>
          <w:p w14:paraId="5F48729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tcBorders>
              <w:top w:val="nil"/>
            </w:tcBorders>
            <w:vAlign w:val="top"/>
          </w:tcPr>
          <w:p w14:paraId="44D755D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tcBorders>
              <w:top w:val="nil"/>
            </w:tcBorders>
            <w:vAlign w:val="top"/>
          </w:tcPr>
          <w:p w14:paraId="44D9B00E">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54C9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CC5CF4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EDCA47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54BC06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A383FE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EE5400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5FC01B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878D576">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06491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83BBC0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DB0184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8A6112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76418C1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9633D8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59BC283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8A93426">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1677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BB5C2B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C75F8F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817942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636D51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BF5CF2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F18317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338C6AE1">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BFCE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0E002F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C179F2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115F5C5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0E049D2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1A6829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B50CB3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32CF7A19">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81FC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92A00C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0259BE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9B4499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DAEE9E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3C250B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669D8E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CE3AB8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63C6C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11C0B9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2F212C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741756A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04373C4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3404F8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1867B6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4672122F">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DFD7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7484F6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3BDEDA3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70D9DF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2B4AE4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992C0E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638689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13A4C5C5">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3508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B0AECD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6AFBA4B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77B99B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7CE3BDB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08F2647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2788D7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121DCE62">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CAB9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E35B2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346603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7BFAD7B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648463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FC2F89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92CC70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CEACD5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5DA0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45EB19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64FC064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D0A275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E55C86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419571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03896F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2EC85B6">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8420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B11284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B0A855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19AE33F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015FD34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8BCEC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BCF40B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913310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4B67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2146E4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CEDCD8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974626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A711B2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91E966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BD7E96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7DD54B6">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4418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1C8C14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7A448F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887EF6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4651C0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653025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43B142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B6D352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1E41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8EB309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75435C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1CC44D8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7A3F533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367031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9CDC71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2D619701">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67687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699F9F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6FF2E60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1C5C73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23C3F31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8385D6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2B8642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4262099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8DDB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9BBF27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78106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E94CAB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9FDE25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F5B53B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DDED3A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C8DD945">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2838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535EFB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7FADE92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E95681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200C875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4620BE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87DF7B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4CAA43D5">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6A11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66F8C8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CD4899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DBEAD5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0E65F29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EF8A4B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A7A63B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39EBE34B">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6AD7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065EBE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65C7AC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BDCE14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846479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DE5365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393774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16AC53B">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FC22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F6EC50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4AE31A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FDEE01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732AA5C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39B9ED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7F00D77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11A53CA7">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A24D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A07CF9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7286E66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0DA425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935361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16C7E9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ADA652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619EC23">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2B8D73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EF840A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323AE2C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7802D7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D49475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8F5F5F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5CEC58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EBA1A0E">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9ED6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DC6614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6F95F56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2564353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ECEB8D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DABCE9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45629F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295CD63">
            <w:pPr>
              <w:pStyle w:val="9"/>
              <w:keepNext/>
              <w:spacing w:after="0" w:line="440" w:lineRule="exact"/>
              <w:ind w:left="63" w:right="63"/>
              <w:rPr>
                <w:rFonts w:ascii="等线" w:hAnsi="等线" w:eastAsia="仿宋_GB2312"/>
                <w:color w:val="auto"/>
                <w:kern w:val="2"/>
                <w:sz w:val="24"/>
                <w:szCs w:val="24"/>
                <w:highlight w:val="none"/>
                <w:lang w:val="en-US" w:eastAsia="zh-CN"/>
              </w:rPr>
            </w:pPr>
          </w:p>
        </w:tc>
      </w:tr>
    </w:tbl>
    <w:p w14:paraId="78FCB220">
      <w:pPr>
        <w:spacing w:before="120" w:beforeLines="50" w:after="120" w:afterLines="50" w:line="440" w:lineRule="exact"/>
        <w:rPr>
          <w:rFonts w:hint="eastAsia" w:eastAsia="黑体"/>
          <w:color w:val="auto"/>
          <w:sz w:val="30"/>
          <w:szCs w:val="30"/>
          <w:highlight w:val="none"/>
        </w:rPr>
      </w:pPr>
    </w:p>
    <w:p w14:paraId="2FF86F7D">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27"/>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1E6F1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47A8A9D7">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序号</w:t>
            </w:r>
          </w:p>
        </w:tc>
        <w:tc>
          <w:tcPr>
            <w:tcW w:w="1984" w:type="dxa"/>
            <w:tcBorders>
              <w:top w:val="single" w:color="auto" w:sz="12" w:space="0"/>
              <w:bottom w:val="double" w:color="auto" w:sz="6" w:space="0"/>
            </w:tcBorders>
            <w:vAlign w:val="top"/>
          </w:tcPr>
          <w:p w14:paraId="2D4FF808">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名称</w:t>
            </w:r>
          </w:p>
        </w:tc>
        <w:tc>
          <w:tcPr>
            <w:tcW w:w="851" w:type="dxa"/>
            <w:tcBorders>
              <w:top w:val="single" w:color="auto" w:sz="12" w:space="0"/>
              <w:bottom w:val="double" w:color="auto" w:sz="6" w:space="0"/>
            </w:tcBorders>
            <w:vAlign w:val="top"/>
          </w:tcPr>
          <w:p w14:paraId="4EBD5654">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单位</w:t>
            </w:r>
          </w:p>
        </w:tc>
        <w:tc>
          <w:tcPr>
            <w:tcW w:w="774" w:type="dxa"/>
            <w:tcBorders>
              <w:top w:val="single" w:color="auto" w:sz="12" w:space="0"/>
              <w:bottom w:val="double" w:color="auto" w:sz="6" w:space="0"/>
            </w:tcBorders>
            <w:vAlign w:val="top"/>
          </w:tcPr>
          <w:p w14:paraId="7C39D02D">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数量</w:t>
            </w:r>
          </w:p>
        </w:tc>
        <w:tc>
          <w:tcPr>
            <w:tcW w:w="1352" w:type="dxa"/>
            <w:tcBorders>
              <w:top w:val="single" w:color="auto" w:sz="12" w:space="0"/>
              <w:bottom w:val="double" w:color="auto" w:sz="6" w:space="0"/>
            </w:tcBorders>
            <w:vAlign w:val="top"/>
          </w:tcPr>
          <w:p w14:paraId="39793BFE">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单价</w:t>
            </w:r>
            <w:r>
              <w:rPr>
                <w:rFonts w:hint="eastAsia" w:ascii="等线" w:hAnsi="等线" w:eastAsia="仿宋_GB2312"/>
                <w:color w:val="auto"/>
                <w:kern w:val="2"/>
                <w:sz w:val="24"/>
                <w:szCs w:val="24"/>
                <w:highlight w:val="none"/>
                <w:lang w:val="en-US" w:eastAsia="zh-CN"/>
              </w:rPr>
              <w:t>（元）</w:t>
            </w:r>
          </w:p>
        </w:tc>
        <w:tc>
          <w:tcPr>
            <w:tcW w:w="1418" w:type="dxa"/>
            <w:tcBorders>
              <w:top w:val="single" w:color="auto" w:sz="12" w:space="0"/>
              <w:bottom w:val="double" w:color="auto" w:sz="6" w:space="0"/>
            </w:tcBorders>
            <w:vAlign w:val="top"/>
          </w:tcPr>
          <w:p w14:paraId="77E02CEB">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合价</w:t>
            </w:r>
            <w:r>
              <w:rPr>
                <w:rFonts w:hint="eastAsia" w:ascii="等线" w:hAnsi="等线" w:eastAsia="仿宋_GB2312"/>
                <w:color w:val="auto"/>
                <w:kern w:val="2"/>
                <w:sz w:val="24"/>
                <w:szCs w:val="24"/>
                <w:highlight w:val="none"/>
                <w:lang w:val="en-US" w:eastAsia="zh-CN"/>
              </w:rPr>
              <w:t>（元）</w:t>
            </w:r>
          </w:p>
        </w:tc>
        <w:tc>
          <w:tcPr>
            <w:tcW w:w="1303" w:type="dxa"/>
            <w:tcBorders>
              <w:top w:val="single" w:color="auto" w:sz="12" w:space="0"/>
              <w:bottom w:val="double" w:color="auto" w:sz="6" w:space="0"/>
            </w:tcBorders>
            <w:vAlign w:val="top"/>
          </w:tcPr>
          <w:p w14:paraId="2D49AA35">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备注</w:t>
            </w:r>
          </w:p>
        </w:tc>
      </w:tr>
      <w:tr w14:paraId="205B8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0B393AC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tcBorders>
              <w:top w:val="double" w:color="auto" w:sz="6" w:space="0"/>
              <w:bottom w:val="single" w:color="auto" w:sz="6" w:space="0"/>
            </w:tcBorders>
            <w:vAlign w:val="top"/>
          </w:tcPr>
          <w:p w14:paraId="6A6C236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tcBorders>
              <w:top w:val="double" w:color="auto" w:sz="6" w:space="0"/>
              <w:bottom w:val="single" w:color="auto" w:sz="6" w:space="0"/>
            </w:tcBorders>
            <w:vAlign w:val="top"/>
          </w:tcPr>
          <w:p w14:paraId="3514DA5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tcBorders>
              <w:top w:val="double" w:color="auto" w:sz="6" w:space="0"/>
              <w:bottom w:val="single" w:color="auto" w:sz="6" w:space="0"/>
            </w:tcBorders>
            <w:vAlign w:val="top"/>
          </w:tcPr>
          <w:p w14:paraId="781839C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tcBorders>
              <w:top w:val="double" w:color="auto" w:sz="6" w:space="0"/>
              <w:bottom w:val="single" w:color="auto" w:sz="6" w:space="0"/>
            </w:tcBorders>
            <w:vAlign w:val="top"/>
          </w:tcPr>
          <w:p w14:paraId="3CC8272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tcBorders>
              <w:top w:val="double" w:color="auto" w:sz="6" w:space="0"/>
              <w:bottom w:val="single" w:color="auto" w:sz="6" w:space="0"/>
            </w:tcBorders>
            <w:vAlign w:val="top"/>
          </w:tcPr>
          <w:p w14:paraId="2E24300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tcBorders>
              <w:top w:val="double" w:color="auto" w:sz="6" w:space="0"/>
              <w:bottom w:val="single" w:color="auto" w:sz="6" w:space="0"/>
            </w:tcBorders>
            <w:vAlign w:val="top"/>
          </w:tcPr>
          <w:p w14:paraId="2072B8F9">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2F64A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43D6589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tcBorders>
              <w:top w:val="nil"/>
            </w:tcBorders>
            <w:vAlign w:val="top"/>
          </w:tcPr>
          <w:p w14:paraId="22CDA87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tcBorders>
              <w:top w:val="nil"/>
            </w:tcBorders>
            <w:vAlign w:val="top"/>
          </w:tcPr>
          <w:p w14:paraId="240C4A9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tcBorders>
              <w:top w:val="nil"/>
            </w:tcBorders>
            <w:vAlign w:val="top"/>
          </w:tcPr>
          <w:p w14:paraId="7FA0CB1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tcBorders>
              <w:top w:val="nil"/>
            </w:tcBorders>
            <w:vAlign w:val="top"/>
          </w:tcPr>
          <w:p w14:paraId="49E3D0F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tcBorders>
              <w:top w:val="nil"/>
            </w:tcBorders>
            <w:vAlign w:val="top"/>
          </w:tcPr>
          <w:p w14:paraId="72317F5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tcBorders>
              <w:top w:val="nil"/>
            </w:tcBorders>
            <w:vAlign w:val="top"/>
          </w:tcPr>
          <w:p w14:paraId="72159CE1">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02F56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7FEB5C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A4B5D8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8273D1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1122D7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6B91C3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5EBDA8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7A587D90">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1B30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DE909E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7DD1918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5B5AE5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0B2A5CB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08B6782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351240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3040E3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B38D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AC9247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785165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1D50497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7FC0DF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5462D6C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57FBD5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436C71C1">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E5B6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17009E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3EC70DF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CBAB79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0A1DB8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5797F79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03BD442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D643ACE">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C5D5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2F4EB8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4199BD0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6656F5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489144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1CAAEE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DC48B6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7FEA800A">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0F75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C87B96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B67EF9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F0A370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7CE5E1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C52C63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7CD1741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718E9A22">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145F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073D40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000767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034E6E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0F3982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C7DECB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65B96F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4F47B0F">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44BFA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015F6A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091B6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17687B7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1B1085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C1C655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B9AC51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BCD22C7">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1D83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7C1175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60D4E1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5D815E4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F31211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38DA48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48016CE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A9052B3">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D8CE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3D4974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78E9E1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9BDB5C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2E681E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058A3F8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304F3C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160C414">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FC83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7BFA7A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9A770C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204AB21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51A52E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AEE9701">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9F5CF5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E730A2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0D5A1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B0AEC5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5D8B4E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687C749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6B50130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257240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5301BAE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10179400">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409F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6D9BDF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4BD604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5C3DCD2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BEB89C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A4326F9">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E275D3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35E43769">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2691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790073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4B9F54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641CED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DFB9D0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3908C7B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861E0B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DB92E24">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B16B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E12CBB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7291762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089BA0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13E2639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017DE83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D991BA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5390C56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767A0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E56208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0A2E4B4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061901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44D9CD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B5AE30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DDF6DCE">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2B468A7C">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11C9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52BA98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56594EC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CB6915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C4A3EA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11E6B4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7365A23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7882555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6AD6B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A328C1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2A33CA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17EEE7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29C05D86">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11CD335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4390FF0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1D7E7880">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3521F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EB3792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73B4F61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695A5C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46FABCFD">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214D84F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1580128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41F52D3">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A3C9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E87152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93CDB2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166C6F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3E1BBB6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5CBB240">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74CD4EC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7E896A34">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A0D5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AF2FBA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192BB9FA">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03EC6918">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2AF3FD0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7EF1B86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6EC4E24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0795B8E8">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1130D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A3DA31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32830CA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36D600C2">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51D186E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4487C9E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79520A54">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4D23282B">
            <w:pPr>
              <w:pStyle w:val="9"/>
              <w:keepNext/>
              <w:spacing w:after="0" w:line="440" w:lineRule="exact"/>
              <w:ind w:left="63" w:right="63"/>
              <w:rPr>
                <w:rFonts w:ascii="等线" w:hAnsi="等线" w:eastAsia="仿宋_GB2312"/>
                <w:color w:val="auto"/>
                <w:kern w:val="2"/>
                <w:sz w:val="24"/>
                <w:szCs w:val="24"/>
                <w:highlight w:val="none"/>
                <w:lang w:val="en-US" w:eastAsia="zh-CN"/>
              </w:rPr>
            </w:pPr>
          </w:p>
        </w:tc>
      </w:tr>
      <w:tr w14:paraId="5D836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AB3DEC5">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984" w:type="dxa"/>
            <w:vAlign w:val="top"/>
          </w:tcPr>
          <w:p w14:paraId="21122383">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851" w:type="dxa"/>
            <w:vAlign w:val="top"/>
          </w:tcPr>
          <w:p w14:paraId="49CDB10F">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774" w:type="dxa"/>
            <w:vAlign w:val="top"/>
          </w:tcPr>
          <w:p w14:paraId="23F57BE7">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52" w:type="dxa"/>
            <w:vAlign w:val="top"/>
          </w:tcPr>
          <w:p w14:paraId="6DB1DE1C">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418" w:type="dxa"/>
            <w:vAlign w:val="top"/>
          </w:tcPr>
          <w:p w14:paraId="2DF1005B">
            <w:pPr>
              <w:pStyle w:val="9"/>
              <w:keepNext/>
              <w:spacing w:after="0" w:line="440" w:lineRule="exact"/>
              <w:ind w:left="63" w:right="63"/>
              <w:rPr>
                <w:rFonts w:ascii="等线" w:hAnsi="等线" w:eastAsia="仿宋_GB2312"/>
                <w:color w:val="auto"/>
                <w:kern w:val="2"/>
                <w:sz w:val="24"/>
                <w:szCs w:val="24"/>
                <w:highlight w:val="none"/>
                <w:lang w:val="en-US" w:eastAsia="zh-CN"/>
              </w:rPr>
            </w:pPr>
          </w:p>
        </w:tc>
        <w:tc>
          <w:tcPr>
            <w:tcW w:w="1303" w:type="dxa"/>
            <w:vAlign w:val="top"/>
          </w:tcPr>
          <w:p w14:paraId="6959DC6D">
            <w:pPr>
              <w:pStyle w:val="9"/>
              <w:keepNext/>
              <w:spacing w:after="0" w:line="440" w:lineRule="exact"/>
              <w:ind w:left="63" w:right="63"/>
              <w:rPr>
                <w:rFonts w:ascii="等线" w:hAnsi="等线" w:eastAsia="仿宋_GB2312"/>
                <w:color w:val="auto"/>
                <w:kern w:val="2"/>
                <w:sz w:val="24"/>
                <w:szCs w:val="24"/>
                <w:highlight w:val="none"/>
                <w:lang w:val="en-US" w:eastAsia="zh-CN"/>
              </w:rPr>
            </w:pPr>
          </w:p>
        </w:tc>
      </w:tr>
    </w:tbl>
    <w:p w14:paraId="7EBEB503">
      <w:pPr>
        <w:spacing w:line="440" w:lineRule="exact"/>
        <w:rPr>
          <w:rFonts w:eastAsia="仿宋_GB2312"/>
          <w:color w:val="auto"/>
          <w:sz w:val="30"/>
          <w:szCs w:val="30"/>
          <w:highlight w:val="none"/>
        </w:rPr>
      </w:pPr>
    </w:p>
    <w:p w14:paraId="7695B4CF">
      <w:pPr>
        <w:spacing w:before="120" w:beforeLines="50" w:after="120" w:afterLines="50" w:line="440" w:lineRule="exact"/>
        <w:jc w:val="center"/>
        <w:rPr>
          <w:rFonts w:eastAsia="黑体"/>
          <w:color w:val="auto"/>
          <w:sz w:val="30"/>
          <w:szCs w:val="30"/>
          <w:highlight w:val="none"/>
        </w:rPr>
      </w:pPr>
      <w:r>
        <w:rPr>
          <w:rFonts w:eastAsia="仿宋_GB2312"/>
          <w:color w:val="auto"/>
          <w:sz w:val="30"/>
          <w:szCs w:val="30"/>
          <w:highlight w:val="none"/>
        </w:rPr>
        <w:br w:type="page"/>
      </w:r>
      <w:r>
        <w:rPr>
          <w:rFonts w:hint="eastAsia" w:ascii="宋体" w:hAnsi="宋体" w:eastAsia="宋体" w:cs="宋体"/>
          <w:color w:val="auto"/>
          <w:sz w:val="21"/>
          <w:szCs w:val="21"/>
          <w:highlight w:val="none"/>
        </w:rPr>
        <w:t>11-3：专业工程暂估价表</w:t>
      </w:r>
    </w:p>
    <w:tbl>
      <w:tblPr>
        <w:tblStyle w:val="27"/>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54CAD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14:paraId="6293342A">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序号</w:t>
            </w:r>
          </w:p>
        </w:tc>
        <w:tc>
          <w:tcPr>
            <w:tcW w:w="1984" w:type="dxa"/>
            <w:tcBorders>
              <w:top w:val="single" w:color="auto" w:sz="12" w:space="0"/>
              <w:bottom w:val="double" w:color="auto" w:sz="6" w:space="0"/>
            </w:tcBorders>
            <w:vAlign w:val="top"/>
          </w:tcPr>
          <w:p w14:paraId="43B9D539">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专业工程名称</w:t>
            </w:r>
          </w:p>
        </w:tc>
        <w:tc>
          <w:tcPr>
            <w:tcW w:w="4395" w:type="dxa"/>
            <w:tcBorders>
              <w:top w:val="single" w:color="auto" w:sz="12" w:space="0"/>
              <w:bottom w:val="double" w:color="auto" w:sz="6" w:space="0"/>
            </w:tcBorders>
            <w:vAlign w:val="top"/>
          </w:tcPr>
          <w:p w14:paraId="6F333E52">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工程内容</w:t>
            </w:r>
          </w:p>
        </w:tc>
        <w:tc>
          <w:tcPr>
            <w:tcW w:w="1417" w:type="dxa"/>
            <w:tcBorders>
              <w:top w:val="single" w:color="auto" w:sz="12" w:space="0"/>
              <w:bottom w:val="double" w:color="auto" w:sz="6" w:space="0"/>
            </w:tcBorders>
            <w:vAlign w:val="top"/>
          </w:tcPr>
          <w:p w14:paraId="4BC0DFFA">
            <w:pPr>
              <w:pStyle w:val="9"/>
              <w:keepNext/>
              <w:spacing w:after="0" w:line="440" w:lineRule="exact"/>
              <w:ind w:left="63" w:right="63"/>
              <w:rPr>
                <w:rFonts w:ascii="等线" w:hAnsi="等线" w:eastAsia="仿宋_GB2312"/>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金额</w:t>
            </w:r>
          </w:p>
        </w:tc>
      </w:tr>
      <w:tr w14:paraId="73E91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14:paraId="5F27C3D4">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tcBorders>
              <w:top w:val="double" w:color="auto" w:sz="6" w:space="0"/>
              <w:bottom w:val="single" w:color="auto" w:sz="6" w:space="0"/>
            </w:tcBorders>
            <w:vAlign w:val="top"/>
          </w:tcPr>
          <w:p w14:paraId="63B05191">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tcBorders>
              <w:top w:val="double" w:color="auto" w:sz="6" w:space="0"/>
              <w:bottom w:val="single" w:color="auto" w:sz="6" w:space="0"/>
            </w:tcBorders>
            <w:vAlign w:val="top"/>
          </w:tcPr>
          <w:p w14:paraId="2C41CEBE">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tcBorders>
              <w:top w:val="double" w:color="auto" w:sz="6" w:space="0"/>
              <w:bottom w:val="single" w:color="auto" w:sz="6" w:space="0"/>
            </w:tcBorders>
            <w:vAlign w:val="top"/>
          </w:tcPr>
          <w:p w14:paraId="71E6AC22">
            <w:pPr>
              <w:pStyle w:val="9"/>
              <w:keepNext/>
              <w:spacing w:after="0" w:line="440" w:lineRule="exact"/>
              <w:ind w:left="63" w:right="63"/>
              <w:rPr>
                <w:rFonts w:ascii="等线" w:hAnsi="等线"/>
                <w:color w:val="auto"/>
                <w:kern w:val="2"/>
                <w:sz w:val="24"/>
                <w:szCs w:val="24"/>
                <w:highlight w:val="none"/>
                <w:lang w:val="en-US" w:eastAsia="zh-CN"/>
              </w:rPr>
            </w:pPr>
          </w:p>
        </w:tc>
      </w:tr>
      <w:tr w14:paraId="171A2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35BCF157">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tcBorders>
              <w:top w:val="nil"/>
            </w:tcBorders>
            <w:vAlign w:val="top"/>
          </w:tcPr>
          <w:p w14:paraId="400FCAF7">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tcBorders>
              <w:top w:val="nil"/>
            </w:tcBorders>
            <w:vAlign w:val="top"/>
          </w:tcPr>
          <w:p w14:paraId="177FA3F0">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tcBorders>
              <w:top w:val="nil"/>
            </w:tcBorders>
            <w:vAlign w:val="top"/>
          </w:tcPr>
          <w:p w14:paraId="535B44ED">
            <w:pPr>
              <w:pStyle w:val="9"/>
              <w:keepNext/>
              <w:spacing w:after="0" w:line="440" w:lineRule="exact"/>
              <w:ind w:left="63" w:right="63"/>
              <w:rPr>
                <w:rFonts w:ascii="等线" w:hAnsi="等线"/>
                <w:color w:val="auto"/>
                <w:kern w:val="2"/>
                <w:sz w:val="24"/>
                <w:szCs w:val="24"/>
                <w:highlight w:val="none"/>
                <w:lang w:val="en-US" w:eastAsia="zh-CN"/>
              </w:rPr>
            </w:pPr>
          </w:p>
        </w:tc>
      </w:tr>
      <w:tr w14:paraId="74F4D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44DBC5BC">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tcBorders>
              <w:top w:val="nil"/>
            </w:tcBorders>
            <w:vAlign w:val="top"/>
          </w:tcPr>
          <w:p w14:paraId="338CABBD">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tcBorders>
              <w:top w:val="nil"/>
            </w:tcBorders>
            <w:vAlign w:val="top"/>
          </w:tcPr>
          <w:p w14:paraId="689F0F58">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tcBorders>
              <w:top w:val="nil"/>
            </w:tcBorders>
            <w:vAlign w:val="top"/>
          </w:tcPr>
          <w:p w14:paraId="79A1E400">
            <w:pPr>
              <w:pStyle w:val="9"/>
              <w:keepNext/>
              <w:spacing w:after="0" w:line="440" w:lineRule="exact"/>
              <w:ind w:left="63" w:right="63"/>
              <w:rPr>
                <w:rFonts w:ascii="等线" w:hAnsi="等线"/>
                <w:color w:val="auto"/>
                <w:kern w:val="2"/>
                <w:sz w:val="24"/>
                <w:szCs w:val="24"/>
                <w:highlight w:val="none"/>
                <w:lang w:val="en-US" w:eastAsia="zh-CN"/>
              </w:rPr>
            </w:pPr>
          </w:p>
        </w:tc>
      </w:tr>
      <w:tr w14:paraId="20D2E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FDF5991">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78D67A46">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609F6BF">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1177DCFD">
            <w:pPr>
              <w:pStyle w:val="9"/>
              <w:keepNext/>
              <w:spacing w:after="0" w:line="440" w:lineRule="exact"/>
              <w:ind w:left="63" w:right="63"/>
              <w:rPr>
                <w:rFonts w:ascii="等线" w:hAnsi="等线"/>
                <w:color w:val="auto"/>
                <w:kern w:val="2"/>
                <w:sz w:val="24"/>
                <w:szCs w:val="24"/>
                <w:highlight w:val="none"/>
                <w:lang w:val="en-US" w:eastAsia="zh-CN"/>
              </w:rPr>
            </w:pPr>
          </w:p>
        </w:tc>
      </w:tr>
      <w:tr w14:paraId="51EE9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9E661F8">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5D226C2E">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79C363F7">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291FC698">
            <w:pPr>
              <w:pStyle w:val="9"/>
              <w:keepNext/>
              <w:spacing w:after="0" w:line="440" w:lineRule="exact"/>
              <w:ind w:left="63" w:right="63"/>
              <w:rPr>
                <w:rFonts w:ascii="等线" w:hAnsi="等线"/>
                <w:color w:val="auto"/>
                <w:kern w:val="2"/>
                <w:sz w:val="24"/>
                <w:szCs w:val="24"/>
                <w:highlight w:val="none"/>
                <w:lang w:val="en-US" w:eastAsia="zh-CN"/>
              </w:rPr>
            </w:pPr>
          </w:p>
        </w:tc>
      </w:tr>
      <w:tr w14:paraId="38FDC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E93D9B1">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63DD759F">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A46502F">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6A273F64">
            <w:pPr>
              <w:pStyle w:val="9"/>
              <w:keepNext/>
              <w:spacing w:after="0" w:line="440" w:lineRule="exact"/>
              <w:ind w:left="63" w:right="63"/>
              <w:rPr>
                <w:rFonts w:ascii="等线" w:hAnsi="等线"/>
                <w:color w:val="auto"/>
                <w:kern w:val="2"/>
                <w:sz w:val="24"/>
                <w:szCs w:val="24"/>
                <w:highlight w:val="none"/>
                <w:lang w:val="en-US" w:eastAsia="zh-CN"/>
              </w:rPr>
            </w:pPr>
          </w:p>
        </w:tc>
      </w:tr>
      <w:tr w14:paraId="778D9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C8656D2">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333C375A">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AA46E65">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7200CB96">
            <w:pPr>
              <w:pStyle w:val="9"/>
              <w:keepNext/>
              <w:spacing w:after="0" w:line="440" w:lineRule="exact"/>
              <w:ind w:left="63" w:right="63"/>
              <w:rPr>
                <w:rFonts w:ascii="等线" w:hAnsi="等线"/>
                <w:color w:val="auto"/>
                <w:kern w:val="2"/>
                <w:sz w:val="24"/>
                <w:szCs w:val="24"/>
                <w:highlight w:val="none"/>
                <w:lang w:val="en-US" w:eastAsia="zh-CN"/>
              </w:rPr>
            </w:pPr>
          </w:p>
        </w:tc>
      </w:tr>
      <w:tr w14:paraId="7535C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410A863">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2F7288AA">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5D6EBFD">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7E725C29">
            <w:pPr>
              <w:pStyle w:val="9"/>
              <w:keepNext/>
              <w:spacing w:after="0" w:line="440" w:lineRule="exact"/>
              <w:ind w:left="63" w:right="63"/>
              <w:rPr>
                <w:rFonts w:ascii="等线" w:hAnsi="等线"/>
                <w:color w:val="auto"/>
                <w:kern w:val="2"/>
                <w:sz w:val="24"/>
                <w:szCs w:val="24"/>
                <w:highlight w:val="none"/>
                <w:lang w:val="en-US" w:eastAsia="zh-CN"/>
              </w:rPr>
            </w:pPr>
          </w:p>
        </w:tc>
      </w:tr>
      <w:tr w14:paraId="527BB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C212588">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46660906">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B21CB8C">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1BAB7E6D">
            <w:pPr>
              <w:pStyle w:val="9"/>
              <w:keepNext/>
              <w:spacing w:after="0" w:line="440" w:lineRule="exact"/>
              <w:ind w:left="63" w:right="63"/>
              <w:rPr>
                <w:rFonts w:ascii="等线" w:hAnsi="等线"/>
                <w:color w:val="auto"/>
                <w:kern w:val="2"/>
                <w:sz w:val="24"/>
                <w:szCs w:val="24"/>
                <w:highlight w:val="none"/>
                <w:lang w:val="en-US" w:eastAsia="zh-CN"/>
              </w:rPr>
            </w:pPr>
          </w:p>
        </w:tc>
      </w:tr>
      <w:tr w14:paraId="55BBC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78359A7">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4B3D6B44">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77A87C03">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1BA645F1">
            <w:pPr>
              <w:pStyle w:val="9"/>
              <w:keepNext/>
              <w:spacing w:after="0" w:line="440" w:lineRule="exact"/>
              <w:ind w:left="63" w:right="63"/>
              <w:rPr>
                <w:rFonts w:ascii="等线" w:hAnsi="等线"/>
                <w:color w:val="auto"/>
                <w:kern w:val="2"/>
                <w:sz w:val="24"/>
                <w:szCs w:val="24"/>
                <w:highlight w:val="none"/>
                <w:lang w:val="en-US" w:eastAsia="zh-CN"/>
              </w:rPr>
            </w:pPr>
          </w:p>
        </w:tc>
      </w:tr>
      <w:tr w14:paraId="41BD1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6C1E59C">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37F35447">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607C7F08">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2FD0129A">
            <w:pPr>
              <w:pStyle w:val="9"/>
              <w:keepNext/>
              <w:spacing w:after="0" w:line="440" w:lineRule="exact"/>
              <w:ind w:left="63" w:right="63"/>
              <w:rPr>
                <w:rFonts w:ascii="等线" w:hAnsi="等线"/>
                <w:color w:val="auto"/>
                <w:kern w:val="2"/>
                <w:sz w:val="24"/>
                <w:szCs w:val="24"/>
                <w:highlight w:val="none"/>
                <w:lang w:val="en-US" w:eastAsia="zh-CN"/>
              </w:rPr>
            </w:pPr>
          </w:p>
        </w:tc>
      </w:tr>
      <w:tr w14:paraId="7961A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A03B2FA">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560513A8">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50DF8327">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4D59471D">
            <w:pPr>
              <w:pStyle w:val="9"/>
              <w:keepNext/>
              <w:spacing w:after="0" w:line="440" w:lineRule="exact"/>
              <w:ind w:left="63" w:right="63"/>
              <w:rPr>
                <w:rFonts w:ascii="等线" w:hAnsi="等线"/>
                <w:color w:val="auto"/>
                <w:kern w:val="2"/>
                <w:sz w:val="24"/>
                <w:szCs w:val="24"/>
                <w:highlight w:val="none"/>
                <w:lang w:val="en-US" w:eastAsia="zh-CN"/>
              </w:rPr>
            </w:pPr>
          </w:p>
        </w:tc>
      </w:tr>
      <w:tr w14:paraId="32872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91C666E">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46356A44">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2F1086FE">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2700A54D">
            <w:pPr>
              <w:pStyle w:val="9"/>
              <w:keepNext/>
              <w:spacing w:after="0" w:line="440" w:lineRule="exact"/>
              <w:ind w:left="63" w:right="63"/>
              <w:rPr>
                <w:rFonts w:ascii="等线" w:hAnsi="等线"/>
                <w:color w:val="auto"/>
                <w:kern w:val="2"/>
                <w:sz w:val="24"/>
                <w:szCs w:val="24"/>
                <w:highlight w:val="none"/>
                <w:lang w:val="en-US" w:eastAsia="zh-CN"/>
              </w:rPr>
            </w:pPr>
          </w:p>
        </w:tc>
      </w:tr>
      <w:tr w14:paraId="317C8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322522D">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401D2AD4">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29D0763A">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51681659">
            <w:pPr>
              <w:pStyle w:val="9"/>
              <w:keepNext/>
              <w:spacing w:after="0" w:line="440" w:lineRule="exact"/>
              <w:ind w:left="63" w:right="63"/>
              <w:rPr>
                <w:rFonts w:ascii="等线" w:hAnsi="等线"/>
                <w:color w:val="auto"/>
                <w:kern w:val="2"/>
                <w:sz w:val="24"/>
                <w:szCs w:val="24"/>
                <w:highlight w:val="none"/>
                <w:lang w:val="en-US" w:eastAsia="zh-CN"/>
              </w:rPr>
            </w:pPr>
          </w:p>
        </w:tc>
      </w:tr>
      <w:tr w14:paraId="39AC2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4CAAF915">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01DF64D1">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5DBBD9D2">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5E0BB06F">
            <w:pPr>
              <w:pStyle w:val="9"/>
              <w:keepNext/>
              <w:spacing w:after="0" w:line="440" w:lineRule="exact"/>
              <w:ind w:left="63" w:right="63"/>
              <w:rPr>
                <w:rFonts w:ascii="等线" w:hAnsi="等线"/>
                <w:color w:val="auto"/>
                <w:kern w:val="2"/>
                <w:sz w:val="24"/>
                <w:szCs w:val="24"/>
                <w:highlight w:val="none"/>
                <w:lang w:val="en-US" w:eastAsia="zh-CN"/>
              </w:rPr>
            </w:pPr>
          </w:p>
        </w:tc>
      </w:tr>
      <w:tr w14:paraId="7ACB6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5D98FC4">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471E35D0">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557511E4">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6A59828B">
            <w:pPr>
              <w:pStyle w:val="9"/>
              <w:keepNext/>
              <w:spacing w:after="0" w:line="440" w:lineRule="exact"/>
              <w:ind w:left="63" w:right="63"/>
              <w:rPr>
                <w:rFonts w:ascii="等线" w:hAnsi="等线"/>
                <w:color w:val="auto"/>
                <w:kern w:val="2"/>
                <w:sz w:val="24"/>
                <w:szCs w:val="24"/>
                <w:highlight w:val="none"/>
                <w:lang w:val="en-US" w:eastAsia="zh-CN"/>
              </w:rPr>
            </w:pPr>
          </w:p>
        </w:tc>
      </w:tr>
      <w:tr w14:paraId="1900B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5DEC26B">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33A475CA">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4D9D6506">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04A5B979">
            <w:pPr>
              <w:pStyle w:val="9"/>
              <w:keepNext/>
              <w:spacing w:after="0" w:line="440" w:lineRule="exact"/>
              <w:ind w:left="63" w:right="63"/>
              <w:rPr>
                <w:rFonts w:ascii="等线" w:hAnsi="等线"/>
                <w:color w:val="auto"/>
                <w:kern w:val="2"/>
                <w:sz w:val="24"/>
                <w:szCs w:val="24"/>
                <w:highlight w:val="none"/>
                <w:lang w:val="en-US" w:eastAsia="zh-CN"/>
              </w:rPr>
            </w:pPr>
          </w:p>
        </w:tc>
      </w:tr>
      <w:tr w14:paraId="20F8B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C58B746">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6945B19A">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4F7F2E78">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697E8626">
            <w:pPr>
              <w:pStyle w:val="9"/>
              <w:keepNext/>
              <w:spacing w:after="0" w:line="440" w:lineRule="exact"/>
              <w:ind w:left="63" w:right="63"/>
              <w:rPr>
                <w:rFonts w:ascii="等线" w:hAnsi="等线"/>
                <w:color w:val="auto"/>
                <w:kern w:val="2"/>
                <w:sz w:val="24"/>
                <w:szCs w:val="24"/>
                <w:highlight w:val="none"/>
                <w:lang w:val="en-US" w:eastAsia="zh-CN"/>
              </w:rPr>
            </w:pPr>
          </w:p>
        </w:tc>
      </w:tr>
      <w:tr w14:paraId="7DE76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5E0FE5E">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0E0534F2">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663C55E6">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0D7B1B3D">
            <w:pPr>
              <w:pStyle w:val="9"/>
              <w:keepNext/>
              <w:spacing w:after="0" w:line="440" w:lineRule="exact"/>
              <w:ind w:left="63" w:right="63"/>
              <w:rPr>
                <w:rFonts w:ascii="等线" w:hAnsi="等线"/>
                <w:color w:val="auto"/>
                <w:kern w:val="2"/>
                <w:sz w:val="24"/>
                <w:szCs w:val="24"/>
                <w:highlight w:val="none"/>
                <w:lang w:val="en-US" w:eastAsia="zh-CN"/>
              </w:rPr>
            </w:pPr>
          </w:p>
        </w:tc>
      </w:tr>
      <w:tr w14:paraId="2B248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01A8741">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2A1D7AD2">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6B937E81">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54B6F571">
            <w:pPr>
              <w:pStyle w:val="9"/>
              <w:keepNext/>
              <w:spacing w:after="0" w:line="440" w:lineRule="exact"/>
              <w:ind w:left="63" w:right="63"/>
              <w:rPr>
                <w:rFonts w:ascii="等线" w:hAnsi="等线"/>
                <w:color w:val="auto"/>
                <w:kern w:val="2"/>
                <w:sz w:val="24"/>
                <w:szCs w:val="24"/>
                <w:highlight w:val="none"/>
                <w:lang w:val="en-US" w:eastAsia="zh-CN"/>
              </w:rPr>
            </w:pPr>
          </w:p>
        </w:tc>
      </w:tr>
      <w:tr w14:paraId="73811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41B43D3A">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38E4C581">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693D7BC5">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2921931A">
            <w:pPr>
              <w:pStyle w:val="9"/>
              <w:keepNext/>
              <w:spacing w:after="0" w:line="440" w:lineRule="exact"/>
              <w:ind w:left="63" w:right="63"/>
              <w:rPr>
                <w:rFonts w:ascii="等线" w:hAnsi="等线"/>
                <w:color w:val="auto"/>
                <w:kern w:val="2"/>
                <w:sz w:val="24"/>
                <w:szCs w:val="24"/>
                <w:highlight w:val="none"/>
                <w:lang w:val="en-US" w:eastAsia="zh-CN"/>
              </w:rPr>
            </w:pPr>
          </w:p>
        </w:tc>
      </w:tr>
      <w:tr w14:paraId="0901C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C56B12C">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07BAD1AF">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097BCF50">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64352FCB">
            <w:pPr>
              <w:pStyle w:val="9"/>
              <w:keepNext/>
              <w:spacing w:after="0" w:line="440" w:lineRule="exact"/>
              <w:ind w:left="63" w:right="63"/>
              <w:rPr>
                <w:rFonts w:ascii="等线" w:hAnsi="等线"/>
                <w:color w:val="auto"/>
                <w:kern w:val="2"/>
                <w:sz w:val="24"/>
                <w:szCs w:val="24"/>
                <w:highlight w:val="none"/>
                <w:lang w:val="en-US" w:eastAsia="zh-CN"/>
              </w:rPr>
            </w:pPr>
          </w:p>
        </w:tc>
      </w:tr>
      <w:tr w14:paraId="77131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C65D151">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7E3027F4">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6E48D42">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7EC5A708">
            <w:pPr>
              <w:pStyle w:val="9"/>
              <w:keepNext/>
              <w:spacing w:after="0" w:line="440" w:lineRule="exact"/>
              <w:ind w:left="63" w:right="63"/>
              <w:rPr>
                <w:rFonts w:ascii="等线" w:hAnsi="等线"/>
                <w:color w:val="auto"/>
                <w:kern w:val="2"/>
                <w:sz w:val="24"/>
                <w:szCs w:val="24"/>
                <w:highlight w:val="none"/>
                <w:lang w:val="en-US" w:eastAsia="zh-CN"/>
              </w:rPr>
            </w:pPr>
          </w:p>
        </w:tc>
      </w:tr>
      <w:tr w14:paraId="6243B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446CCED">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69922E5A">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205E02B4">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5591703F">
            <w:pPr>
              <w:pStyle w:val="9"/>
              <w:keepNext/>
              <w:spacing w:after="0" w:line="440" w:lineRule="exact"/>
              <w:ind w:left="63" w:right="63"/>
              <w:rPr>
                <w:rFonts w:ascii="等线" w:hAnsi="等线"/>
                <w:color w:val="auto"/>
                <w:kern w:val="2"/>
                <w:sz w:val="24"/>
                <w:szCs w:val="24"/>
                <w:highlight w:val="none"/>
                <w:lang w:val="en-US" w:eastAsia="zh-CN"/>
              </w:rPr>
            </w:pPr>
          </w:p>
        </w:tc>
      </w:tr>
      <w:tr w14:paraId="5A092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3CE38E9">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23285CB5">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3E552327">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5285F78D">
            <w:pPr>
              <w:pStyle w:val="9"/>
              <w:keepNext/>
              <w:spacing w:after="0" w:line="440" w:lineRule="exact"/>
              <w:ind w:left="63" w:right="63"/>
              <w:rPr>
                <w:rFonts w:ascii="等线" w:hAnsi="等线"/>
                <w:color w:val="auto"/>
                <w:kern w:val="2"/>
                <w:sz w:val="24"/>
                <w:szCs w:val="24"/>
                <w:highlight w:val="none"/>
                <w:lang w:val="en-US" w:eastAsia="zh-CN"/>
              </w:rPr>
            </w:pPr>
          </w:p>
        </w:tc>
      </w:tr>
      <w:tr w14:paraId="4E1CF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9767F41">
            <w:pPr>
              <w:pStyle w:val="9"/>
              <w:keepNext/>
              <w:spacing w:after="0" w:line="440" w:lineRule="exact"/>
              <w:ind w:left="63" w:right="63"/>
              <w:rPr>
                <w:rFonts w:ascii="等线" w:hAnsi="等线"/>
                <w:color w:val="auto"/>
                <w:kern w:val="2"/>
                <w:sz w:val="24"/>
                <w:szCs w:val="24"/>
                <w:highlight w:val="none"/>
                <w:lang w:val="en-US" w:eastAsia="zh-CN"/>
              </w:rPr>
            </w:pPr>
          </w:p>
        </w:tc>
        <w:tc>
          <w:tcPr>
            <w:tcW w:w="1984" w:type="dxa"/>
            <w:vAlign w:val="top"/>
          </w:tcPr>
          <w:p w14:paraId="1036282C">
            <w:pPr>
              <w:pStyle w:val="9"/>
              <w:keepNext/>
              <w:spacing w:after="0" w:line="440" w:lineRule="exact"/>
              <w:ind w:left="63" w:right="63"/>
              <w:rPr>
                <w:rFonts w:ascii="等线" w:hAnsi="等线"/>
                <w:color w:val="auto"/>
                <w:kern w:val="2"/>
                <w:sz w:val="24"/>
                <w:szCs w:val="24"/>
                <w:highlight w:val="none"/>
                <w:lang w:val="en-US" w:eastAsia="zh-CN"/>
              </w:rPr>
            </w:pPr>
          </w:p>
        </w:tc>
        <w:tc>
          <w:tcPr>
            <w:tcW w:w="4395" w:type="dxa"/>
            <w:vAlign w:val="top"/>
          </w:tcPr>
          <w:p w14:paraId="48CCAAD4">
            <w:pPr>
              <w:pStyle w:val="9"/>
              <w:keepNext/>
              <w:spacing w:after="0" w:line="440" w:lineRule="exact"/>
              <w:ind w:left="63" w:right="63"/>
              <w:rPr>
                <w:rFonts w:ascii="等线" w:hAnsi="等线"/>
                <w:color w:val="auto"/>
                <w:kern w:val="2"/>
                <w:sz w:val="24"/>
                <w:szCs w:val="24"/>
                <w:highlight w:val="none"/>
                <w:lang w:val="en-US" w:eastAsia="zh-CN"/>
              </w:rPr>
            </w:pPr>
          </w:p>
        </w:tc>
        <w:tc>
          <w:tcPr>
            <w:tcW w:w="1417" w:type="dxa"/>
            <w:vAlign w:val="top"/>
          </w:tcPr>
          <w:p w14:paraId="79456C79">
            <w:pPr>
              <w:pStyle w:val="9"/>
              <w:keepNext/>
              <w:spacing w:after="0" w:line="440" w:lineRule="exact"/>
              <w:ind w:left="63" w:right="63"/>
              <w:rPr>
                <w:rFonts w:ascii="等线" w:hAnsi="等线"/>
                <w:color w:val="auto"/>
                <w:kern w:val="2"/>
                <w:sz w:val="24"/>
                <w:szCs w:val="24"/>
                <w:highlight w:val="none"/>
                <w:lang w:val="en-US" w:eastAsia="zh-CN"/>
              </w:rPr>
            </w:pPr>
          </w:p>
        </w:tc>
      </w:tr>
      <w:tr w14:paraId="353D4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14:paraId="77E7A8B3">
            <w:pPr>
              <w:pStyle w:val="9"/>
              <w:keepNext/>
              <w:spacing w:after="0" w:line="440" w:lineRule="exact"/>
              <w:ind w:left="63" w:right="63"/>
              <w:rPr>
                <w:rFonts w:ascii="等线" w:hAnsi="等线"/>
                <w:color w:val="auto"/>
                <w:kern w:val="2"/>
                <w:sz w:val="24"/>
                <w:szCs w:val="24"/>
                <w:highlight w:val="none"/>
                <w:lang w:val="en-US" w:eastAsia="zh-CN"/>
              </w:rPr>
            </w:pPr>
            <w:r>
              <w:rPr>
                <w:rFonts w:ascii="等线" w:hAnsi="等线" w:eastAsia="仿宋_GB2312"/>
                <w:color w:val="auto"/>
                <w:kern w:val="2"/>
                <w:sz w:val="24"/>
                <w:szCs w:val="24"/>
                <w:highlight w:val="none"/>
                <w:lang w:val="en-US" w:eastAsia="zh-CN"/>
              </w:rPr>
              <w:t>小计：</w:t>
            </w:r>
          </w:p>
        </w:tc>
      </w:tr>
    </w:tbl>
    <w:p w14:paraId="00D89DDA">
      <w:pPr>
        <w:spacing w:line="480" w:lineRule="auto"/>
        <w:rPr>
          <w:rFonts w:hAnsi="宋体"/>
          <w:color w:val="auto"/>
          <w:highlight w:val="none"/>
        </w:rPr>
      </w:pPr>
    </w:p>
    <w:p w14:paraId="0BF644B3">
      <w:pPr>
        <w:pStyle w:val="3"/>
        <w:tabs>
          <w:tab w:val="left" w:pos="567"/>
        </w:tabs>
        <w:ind w:left="0" w:leftChars="0" w:firstLine="0" w:firstLineChars="0"/>
        <w:jc w:val="center"/>
        <w:rPr>
          <w:rFonts w:hint="eastAsia" w:ascii="宋体" w:hAnsi="宋体" w:eastAsia="宋体" w:cs="宋体"/>
          <w:b/>
          <w:bCs/>
          <w:color w:val="auto"/>
          <w:highlight w:val="none"/>
        </w:rPr>
      </w:pPr>
      <w:bookmarkStart w:id="2358" w:name="_Toc32030"/>
      <w:bookmarkStart w:id="2359" w:name="_Toc2274"/>
      <w:r>
        <w:rPr>
          <w:rFonts w:hint="eastAsia" w:ascii="宋体" w:hAnsi="宋体" w:eastAsia="宋体" w:cs="宋体"/>
          <w:b/>
          <w:bCs/>
          <w:color w:val="auto"/>
          <w:kern w:val="44"/>
          <w:sz w:val="32"/>
          <w:szCs w:val="32"/>
          <w:highlight w:val="none"/>
        </w:rPr>
        <w:t xml:space="preserve">第六章  </w:t>
      </w:r>
      <w:bookmarkEnd w:id="145"/>
      <w:bookmarkEnd w:id="146"/>
      <w:bookmarkStart w:id="2360" w:name="_Toc13185"/>
      <w:r>
        <w:rPr>
          <w:rFonts w:hint="eastAsia" w:ascii="宋体" w:hAnsi="宋体" w:eastAsia="宋体" w:cs="宋体"/>
          <w:b/>
          <w:bCs/>
          <w:color w:val="auto"/>
          <w:sz w:val="32"/>
          <w:szCs w:val="32"/>
          <w:highlight w:val="none"/>
        </w:rPr>
        <w:t>响应文件（格式）</w:t>
      </w:r>
      <w:bookmarkEnd w:id="2358"/>
      <w:bookmarkEnd w:id="2359"/>
      <w:bookmarkEnd w:id="2360"/>
    </w:p>
    <w:p w14:paraId="79B20ED3">
      <w:pPr>
        <w:rPr>
          <w:rFonts w:hint="eastAsia" w:ascii="宋体" w:hAnsi="宋体" w:eastAsia="宋体" w:cs="宋体"/>
          <w:color w:val="auto"/>
          <w:highlight w:val="none"/>
        </w:rPr>
      </w:pPr>
    </w:p>
    <w:p w14:paraId="4FFBD473">
      <w:pPr>
        <w:pStyle w:val="12"/>
        <w:jc w:val="both"/>
        <w:rPr>
          <w:rFonts w:hint="eastAsia" w:ascii="宋体" w:hAnsi="宋体" w:eastAsia="宋体" w:cs="宋体"/>
          <w:b/>
          <w:color w:val="auto"/>
          <w:sz w:val="32"/>
          <w:highlight w:val="none"/>
          <w:lang w:eastAsia="zh-CN"/>
        </w:rPr>
      </w:pPr>
      <w:bookmarkStart w:id="2361" w:name="_Toc497927069"/>
      <w:bookmarkStart w:id="2362" w:name="_Toc21496"/>
      <w:bookmarkStart w:id="2363" w:name="_Toc18351"/>
      <w:r>
        <w:rPr>
          <w:rFonts w:hint="eastAsia" w:ascii="宋体" w:hAnsi="宋体" w:eastAsia="宋体" w:cs="宋体"/>
          <w:b/>
          <w:color w:val="auto"/>
          <w:sz w:val="32"/>
          <w:highlight w:val="none"/>
          <w:lang w:eastAsia="zh-CN"/>
        </w:rPr>
        <w:t>一、响应文件标记</w:t>
      </w:r>
      <w:bookmarkEnd w:id="2361"/>
      <w:bookmarkEnd w:id="2362"/>
      <w:bookmarkEnd w:id="2363"/>
    </w:p>
    <w:p w14:paraId="1C1956A0">
      <w:pPr>
        <w:adjustRightInd w:val="0"/>
        <w:snapToGrid w:val="0"/>
        <w:rPr>
          <w:rFonts w:hint="eastAsia" w:ascii="宋体" w:hAnsi="宋体" w:eastAsia="宋体" w:cs="宋体"/>
          <w:b/>
          <w:color w:val="auto"/>
          <w:sz w:val="44"/>
          <w:szCs w:val="44"/>
          <w:highlight w:val="none"/>
        </w:rPr>
      </w:pPr>
    </w:p>
    <w:p w14:paraId="70F1282A">
      <w:pPr>
        <w:pStyle w:val="30"/>
        <w:rPr>
          <w:rFonts w:hint="eastAsia" w:ascii="宋体" w:hAnsi="宋体" w:eastAsia="宋体" w:cs="宋体"/>
          <w:color w:val="auto"/>
          <w:highlight w:val="none"/>
        </w:rPr>
      </w:pPr>
    </w:p>
    <w:p w14:paraId="2D146FCB">
      <w:pPr>
        <w:snapToGrid w:val="0"/>
        <w:spacing w:before="156" w:beforeLines="50" w:after="5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响 应 文 件</w:t>
      </w:r>
    </w:p>
    <w:p w14:paraId="0BA5ACEF">
      <w:pPr>
        <w:snapToGrid w:val="0"/>
        <w:spacing w:before="156" w:beforeLines="50" w:after="50"/>
        <w:ind w:firstLine="480" w:firstLineChars="150"/>
        <w:jc w:val="both"/>
        <w:rPr>
          <w:rFonts w:hint="eastAsia" w:ascii="宋体" w:hAnsi="宋体" w:eastAsia="宋体" w:cs="宋体"/>
          <w:b/>
          <w:color w:val="auto"/>
          <w:sz w:val="28"/>
          <w:szCs w:val="28"/>
          <w:highlight w:val="none"/>
        </w:rPr>
      </w:pPr>
      <w:r>
        <w:rPr>
          <w:rFonts w:hint="eastAsia" w:ascii="宋体" w:hAnsi="宋体" w:eastAsia="宋体" w:cs="宋体"/>
          <w:color w:val="auto"/>
          <w:sz w:val="32"/>
          <w:szCs w:val="32"/>
          <w:highlight w:val="none"/>
          <w:lang w:val="en-US" w:eastAsia="zh-CN"/>
        </w:rPr>
        <w:t xml:space="preserve">                       </w:t>
      </w:r>
    </w:p>
    <w:p w14:paraId="0890763B">
      <w:pPr>
        <w:snapToGrid w:val="0"/>
        <w:spacing w:before="156" w:beforeLines="50" w:after="50"/>
        <w:ind w:firstLine="422" w:firstLineChars="150"/>
        <w:rPr>
          <w:rFonts w:hint="eastAsia" w:ascii="宋体" w:hAnsi="宋体" w:eastAsia="宋体" w:cs="宋体"/>
          <w:b/>
          <w:color w:val="auto"/>
          <w:sz w:val="28"/>
          <w:szCs w:val="28"/>
          <w:highlight w:val="none"/>
        </w:rPr>
      </w:pPr>
    </w:p>
    <w:p w14:paraId="68463D91">
      <w:pPr>
        <w:snapToGrid w:val="0"/>
        <w:spacing w:before="156" w:beforeLines="50" w:after="50"/>
        <w:ind w:firstLine="422" w:firstLineChars="150"/>
        <w:rPr>
          <w:rFonts w:hint="eastAsia" w:ascii="宋体" w:hAnsi="宋体" w:eastAsia="宋体" w:cs="宋体"/>
          <w:b/>
          <w:color w:val="auto"/>
          <w:sz w:val="28"/>
          <w:szCs w:val="28"/>
          <w:highlight w:val="none"/>
        </w:rPr>
      </w:pPr>
    </w:p>
    <w:p w14:paraId="7151A0DB">
      <w:pPr>
        <w:snapToGrid w:val="0"/>
        <w:spacing w:before="156" w:beforeLines="50" w:after="50"/>
        <w:ind w:left="4317" w:leftChars="1330" w:hanging="1524" w:hangingChars="542"/>
        <w:rPr>
          <w:rFonts w:hint="eastAsia" w:ascii="宋体" w:hAnsi="宋体" w:eastAsia="宋体" w:cs="宋体"/>
          <w:b/>
          <w:bCs w:val="0"/>
          <w:color w:val="auto"/>
          <w:sz w:val="28"/>
          <w:szCs w:val="28"/>
          <w:highlight w:val="none"/>
          <w:u w:val="single"/>
          <w:lang w:eastAsia="zh-CN"/>
        </w:rPr>
      </w:pPr>
      <w:r>
        <w:rPr>
          <w:rFonts w:hint="eastAsia" w:ascii="宋体" w:hAnsi="宋体" w:eastAsia="宋体" w:cs="宋体"/>
          <w:b/>
          <w:bCs w:val="0"/>
          <w:color w:val="auto"/>
          <w:sz w:val="28"/>
          <w:szCs w:val="28"/>
          <w:highlight w:val="none"/>
        </w:rPr>
        <w:t>项目名称：</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color w:val="auto"/>
          <w:sz w:val="18"/>
          <w:szCs w:val="18"/>
          <w:highlight w:val="none"/>
        </w:rPr>
        <w:t xml:space="preserve">  </w:t>
      </w:r>
    </w:p>
    <w:p w14:paraId="328DCA7C">
      <w:pPr>
        <w:snapToGrid w:val="0"/>
        <w:spacing w:before="156" w:beforeLines="50" w:after="50"/>
        <w:ind w:firstLine="2704" w:firstLineChars="962"/>
        <w:rPr>
          <w:rFonts w:hint="eastAsia" w:ascii="宋体" w:hAnsi="宋体" w:eastAsia="宋体" w:cs="宋体"/>
          <w:b/>
          <w:bCs w:val="0"/>
          <w:color w:val="auto"/>
          <w:sz w:val="28"/>
          <w:szCs w:val="28"/>
          <w:highlight w:val="none"/>
        </w:rPr>
      </w:pPr>
    </w:p>
    <w:p w14:paraId="5C4B5926">
      <w:pPr>
        <w:snapToGrid w:val="0"/>
        <w:spacing w:before="156" w:beforeLines="50" w:after="50"/>
        <w:ind w:firstLine="2704" w:firstLineChars="962"/>
        <w:rPr>
          <w:rFonts w:hint="default"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rPr>
        <w:t>项目编号：</w:t>
      </w:r>
      <w:r>
        <w:rPr>
          <w:rFonts w:hint="eastAsia" w:ascii="宋体" w:hAnsi="宋体" w:cs="宋体"/>
          <w:b/>
          <w:bCs w:val="0"/>
          <w:color w:val="auto"/>
          <w:sz w:val="28"/>
          <w:szCs w:val="28"/>
          <w:highlight w:val="none"/>
          <w:u w:val="single"/>
          <w:lang w:val="en-US" w:eastAsia="zh-CN"/>
        </w:rPr>
        <w:t xml:space="preserve">                       </w:t>
      </w:r>
    </w:p>
    <w:p w14:paraId="22003CE8">
      <w:pPr>
        <w:rPr>
          <w:rFonts w:hint="eastAsia" w:ascii="宋体" w:hAnsi="宋体" w:eastAsia="宋体" w:cs="宋体"/>
          <w:b/>
          <w:color w:val="auto"/>
          <w:highlight w:val="none"/>
        </w:rPr>
      </w:pPr>
    </w:p>
    <w:p w14:paraId="13E64E44">
      <w:pPr>
        <w:spacing w:line="400" w:lineRule="exact"/>
        <w:ind w:firstLine="2704" w:firstLineChars="962"/>
        <w:rPr>
          <w:rFonts w:hint="eastAsia" w:ascii="宋体" w:hAnsi="宋体" w:eastAsia="宋体" w:cs="宋体"/>
          <w:b/>
          <w:color w:val="auto"/>
          <w:sz w:val="28"/>
          <w:szCs w:val="28"/>
          <w:highlight w:val="none"/>
        </w:rPr>
      </w:pPr>
    </w:p>
    <w:p w14:paraId="3738E2F0">
      <w:pPr>
        <w:pStyle w:val="30"/>
        <w:rPr>
          <w:rFonts w:hint="eastAsia" w:ascii="宋体" w:hAnsi="宋体" w:eastAsia="宋体" w:cs="宋体"/>
          <w:b/>
          <w:color w:val="auto"/>
          <w:sz w:val="28"/>
          <w:szCs w:val="28"/>
          <w:highlight w:val="none"/>
        </w:rPr>
      </w:pPr>
    </w:p>
    <w:p w14:paraId="227C20C0">
      <w:pPr>
        <w:pStyle w:val="30"/>
        <w:rPr>
          <w:rFonts w:hint="eastAsia" w:ascii="宋体" w:hAnsi="宋体" w:eastAsia="宋体" w:cs="宋体"/>
          <w:b/>
          <w:color w:val="auto"/>
          <w:sz w:val="28"/>
          <w:szCs w:val="28"/>
          <w:highlight w:val="none"/>
        </w:rPr>
      </w:pPr>
    </w:p>
    <w:p w14:paraId="7319A7A6">
      <w:pPr>
        <w:pStyle w:val="30"/>
        <w:rPr>
          <w:rFonts w:hint="eastAsia" w:ascii="宋体" w:hAnsi="宋体" w:eastAsia="宋体" w:cs="宋体"/>
          <w:b/>
          <w:color w:val="auto"/>
          <w:sz w:val="28"/>
          <w:szCs w:val="28"/>
          <w:highlight w:val="none"/>
        </w:rPr>
      </w:pPr>
    </w:p>
    <w:p w14:paraId="6106488D">
      <w:pPr>
        <w:snapToGrid w:val="0"/>
        <w:spacing w:before="156" w:beforeLines="50" w:after="50"/>
        <w:ind w:firstLine="2704" w:firstLineChars="962"/>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采购代理机构：</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eastAsia="zh-CN"/>
        </w:rPr>
        <w:t xml:space="preserve">广西龙珂建设工程集团有限公司 </w:t>
      </w:r>
      <w:r>
        <w:rPr>
          <w:rFonts w:hint="eastAsia" w:ascii="宋体" w:hAnsi="宋体" w:eastAsia="宋体" w:cs="宋体"/>
          <w:b/>
          <w:color w:val="auto"/>
          <w:sz w:val="28"/>
          <w:szCs w:val="28"/>
          <w:highlight w:val="none"/>
          <w:u w:val="single"/>
        </w:rPr>
        <w:t xml:space="preserve">  </w:t>
      </w:r>
    </w:p>
    <w:p w14:paraId="102358DB">
      <w:pPr>
        <w:pStyle w:val="5"/>
        <w:rPr>
          <w:rFonts w:hint="eastAsia"/>
          <w:color w:val="auto"/>
          <w:highlight w:val="none"/>
        </w:rPr>
      </w:pPr>
    </w:p>
    <w:p w14:paraId="42F10D65">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bookmarkStart w:id="2364" w:name="_Toc4932_WPSOffice_Level2"/>
      <w:bookmarkStart w:id="2365"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2364"/>
      <w:bookmarkEnd w:id="2365"/>
      <w:r>
        <w:rPr>
          <w:rFonts w:hint="eastAsia" w:ascii="宋体" w:hAnsi="宋体" w:eastAsia="宋体" w:cs="宋体"/>
          <w:bCs/>
          <w:color w:val="auto"/>
          <w:sz w:val="24"/>
          <w:szCs w:val="24"/>
          <w:highlight w:val="none"/>
          <w:u w:val="single"/>
        </w:rPr>
        <w:t xml:space="preserve">       </w:t>
      </w:r>
    </w:p>
    <w:p w14:paraId="3D02368B">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sz w:val="24"/>
          <w:szCs w:val="24"/>
          <w:highlight w:val="none"/>
          <w:lang w:val="en-US" w:eastAsia="zh-CN"/>
        </w:rPr>
      </w:pPr>
      <w:bookmarkStart w:id="2366" w:name="_Toc32056_WPSOffice_Level2"/>
      <w:bookmarkStart w:id="2367" w:name="_Toc9622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2ECD4088">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7A075207">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bookmarkEnd w:id="2366"/>
      <w:bookmarkEnd w:id="2367"/>
      <w:r>
        <w:rPr>
          <w:rFonts w:hint="eastAsia" w:ascii="宋体" w:hAnsi="宋体" w:eastAsia="宋体" w:cs="宋体"/>
          <w:bCs/>
          <w:color w:val="auto"/>
          <w:sz w:val="24"/>
          <w:szCs w:val="24"/>
          <w:highlight w:val="none"/>
          <w:u w:val="single"/>
        </w:rPr>
        <w:t xml:space="preserve">                                                </w:t>
      </w:r>
    </w:p>
    <w:p w14:paraId="78D3FF6C">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bookmarkStart w:id="2368" w:name="_Toc15933_WPSOffice_Level2"/>
      <w:bookmarkStart w:id="2369" w:name="_Toc26465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2368"/>
      <w:bookmarkEnd w:id="2369"/>
    </w:p>
    <w:p w14:paraId="6473462F">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00EFE3DE">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3EDDEEDE">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560154D4">
      <w:pPr>
        <w:pStyle w:val="10"/>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1495E663">
      <w:pPr>
        <w:numPr>
          <w:ilvl w:val="0"/>
          <w:numId w:val="14"/>
        </w:numPr>
        <w:rPr>
          <w:rFonts w:hint="eastAsia" w:ascii="宋体" w:hAnsi="宋体" w:eastAsia="宋体" w:cs="宋体"/>
          <w:b/>
          <w:bCs/>
          <w:color w:val="auto"/>
          <w:sz w:val="32"/>
          <w:szCs w:val="32"/>
          <w:highlight w:val="none"/>
        </w:rPr>
      </w:pPr>
      <w:bookmarkStart w:id="2370" w:name="_Toc497927070"/>
      <w:bookmarkStart w:id="2371" w:name="_Toc19430"/>
      <w:bookmarkStart w:id="2372" w:name="_Toc21615"/>
      <w:r>
        <w:rPr>
          <w:rFonts w:hint="eastAsia" w:ascii="宋体" w:hAnsi="宋体" w:eastAsia="宋体" w:cs="宋体"/>
          <w:b/>
          <w:bCs/>
          <w:color w:val="auto"/>
          <w:sz w:val="32"/>
          <w:szCs w:val="32"/>
          <w:highlight w:val="none"/>
        </w:rPr>
        <w:t>响应文件组成</w:t>
      </w:r>
      <w:bookmarkEnd w:id="2370"/>
      <w:bookmarkEnd w:id="2371"/>
      <w:bookmarkEnd w:id="2372"/>
    </w:p>
    <w:p w14:paraId="3393B2A4">
      <w:pPr>
        <w:pStyle w:val="9"/>
        <w:numPr>
          <w:ilvl w:val="0"/>
          <w:numId w:val="0"/>
        </w:numPr>
        <w:rPr>
          <w:rFonts w:hint="eastAsia" w:ascii="宋体" w:hAnsi="宋体" w:eastAsia="宋体" w:cs="宋体"/>
          <w:color w:val="auto"/>
          <w:highlight w:val="none"/>
        </w:rPr>
      </w:pPr>
    </w:p>
    <w:p w14:paraId="2B4D0851">
      <w:pPr>
        <w:pStyle w:val="9"/>
        <w:numPr>
          <w:ilvl w:val="0"/>
          <w:numId w:val="0"/>
        </w:numPr>
        <w:rPr>
          <w:rFonts w:hint="eastAsia" w:ascii="宋体" w:hAnsi="宋体" w:eastAsia="宋体" w:cs="宋体"/>
          <w:color w:val="auto"/>
          <w:highlight w:val="none"/>
        </w:rPr>
      </w:pPr>
    </w:p>
    <w:p w14:paraId="164A1BC3">
      <w:pPr>
        <w:numPr>
          <w:ilvl w:val="0"/>
          <w:numId w:val="0"/>
        </w:numPr>
        <w:spacing w:line="400" w:lineRule="exact"/>
        <w:rPr>
          <w:rFonts w:hint="eastAsia" w:ascii="宋体" w:hAnsi="宋体" w:eastAsia="宋体" w:cs="宋体"/>
          <w:b/>
          <w:bCs/>
          <w:color w:val="auto"/>
          <w:sz w:val="28"/>
          <w:szCs w:val="28"/>
          <w:highlight w:val="none"/>
        </w:rPr>
      </w:pPr>
    </w:p>
    <w:p w14:paraId="5BD93649">
      <w:pPr>
        <w:pStyle w:val="9"/>
        <w:rPr>
          <w:rFonts w:hint="eastAsia" w:ascii="宋体" w:hAnsi="宋体" w:eastAsia="宋体" w:cs="宋体"/>
          <w:b/>
          <w:bCs/>
          <w:color w:val="auto"/>
          <w:sz w:val="28"/>
          <w:szCs w:val="28"/>
          <w:highlight w:val="none"/>
          <w:lang w:eastAsia="zh-CN"/>
        </w:rPr>
      </w:pPr>
    </w:p>
    <w:p w14:paraId="5551DBFA">
      <w:pPr>
        <w:numPr>
          <w:ilvl w:val="0"/>
          <w:numId w:val="9"/>
        </w:numPr>
        <w:spacing w:line="400" w:lineRule="exact"/>
        <w:ind w:firstLine="568" w:firstLineChars="20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资格性响应证明材料</w:t>
      </w:r>
    </w:p>
    <w:p w14:paraId="0E4E2E2C">
      <w:pPr>
        <w:pStyle w:val="9"/>
        <w:rPr>
          <w:rFonts w:hint="eastAsia" w:ascii="宋体" w:hAnsi="宋体" w:eastAsia="宋体" w:cs="宋体"/>
          <w:b/>
          <w:bCs/>
          <w:color w:val="auto"/>
          <w:sz w:val="28"/>
          <w:szCs w:val="28"/>
          <w:highlight w:val="none"/>
        </w:rPr>
      </w:pPr>
    </w:p>
    <w:p w14:paraId="3BDE831E">
      <w:pPr>
        <w:pStyle w:val="9"/>
        <w:rPr>
          <w:rFonts w:hint="eastAsia" w:ascii="宋体" w:hAnsi="宋体" w:eastAsia="宋体" w:cs="宋体"/>
          <w:b/>
          <w:bCs/>
          <w:color w:val="auto"/>
          <w:sz w:val="28"/>
          <w:szCs w:val="28"/>
          <w:highlight w:val="none"/>
        </w:rPr>
      </w:pPr>
    </w:p>
    <w:p w14:paraId="1B67D9AB">
      <w:pPr>
        <w:numPr>
          <w:ilvl w:val="0"/>
          <w:numId w:val="9"/>
        </w:numPr>
        <w:spacing w:line="400" w:lineRule="exact"/>
        <w:ind w:firstLine="568" w:firstLineChars="20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符合性响应证明材料</w:t>
      </w:r>
    </w:p>
    <w:p w14:paraId="52CD5F20">
      <w:pPr>
        <w:pStyle w:val="9"/>
        <w:rPr>
          <w:rFonts w:hint="eastAsia" w:ascii="宋体" w:hAnsi="宋体" w:eastAsia="宋体" w:cs="宋体"/>
          <w:b/>
          <w:bCs/>
          <w:color w:val="auto"/>
          <w:sz w:val="28"/>
          <w:szCs w:val="28"/>
          <w:highlight w:val="none"/>
        </w:rPr>
      </w:pPr>
    </w:p>
    <w:p w14:paraId="521FA835">
      <w:pPr>
        <w:pStyle w:val="9"/>
        <w:rPr>
          <w:rFonts w:hint="eastAsia" w:ascii="宋体" w:hAnsi="宋体" w:eastAsia="宋体" w:cs="宋体"/>
          <w:b/>
          <w:bCs/>
          <w:color w:val="auto"/>
          <w:sz w:val="28"/>
          <w:szCs w:val="28"/>
          <w:highlight w:val="none"/>
        </w:rPr>
      </w:pPr>
    </w:p>
    <w:p w14:paraId="75CEC9C4">
      <w:pPr>
        <w:numPr>
          <w:ilvl w:val="0"/>
          <w:numId w:val="9"/>
        </w:numPr>
        <w:spacing w:line="400" w:lineRule="exact"/>
        <w:ind w:firstLine="568" w:firstLineChars="20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其</w:t>
      </w:r>
      <w:r>
        <w:rPr>
          <w:rFonts w:hint="eastAsia" w:ascii="宋体" w:hAnsi="宋体" w:eastAsia="宋体" w:cs="宋体"/>
          <w:b/>
          <w:bCs/>
          <w:color w:val="auto"/>
          <w:sz w:val="28"/>
          <w:szCs w:val="28"/>
          <w:highlight w:val="none"/>
          <w:lang w:eastAsia="zh-CN"/>
        </w:rPr>
        <w:t>他</w:t>
      </w:r>
      <w:r>
        <w:rPr>
          <w:rFonts w:hint="eastAsia" w:ascii="宋体" w:hAnsi="宋体" w:eastAsia="宋体" w:cs="宋体"/>
          <w:b/>
          <w:bCs/>
          <w:color w:val="auto"/>
          <w:sz w:val="28"/>
          <w:szCs w:val="28"/>
          <w:highlight w:val="none"/>
        </w:rPr>
        <w:t>有效证明材料</w:t>
      </w:r>
    </w:p>
    <w:p w14:paraId="0A9ACA57">
      <w:pPr>
        <w:pStyle w:val="30"/>
        <w:rPr>
          <w:rFonts w:hint="eastAsia" w:ascii="宋体" w:hAnsi="宋体" w:eastAsia="宋体" w:cs="宋体"/>
          <w:color w:val="auto"/>
          <w:highlight w:val="none"/>
        </w:rPr>
      </w:pPr>
    </w:p>
    <w:p w14:paraId="4412EF60">
      <w:pPr>
        <w:tabs>
          <w:tab w:val="left" w:pos="5040"/>
        </w:tabs>
        <w:spacing w:line="400" w:lineRule="exact"/>
        <w:rPr>
          <w:rFonts w:hint="eastAsia" w:ascii="宋体" w:hAnsi="宋体" w:eastAsia="宋体" w:cs="宋体"/>
          <w:color w:val="auto"/>
          <w:szCs w:val="21"/>
          <w:highlight w:val="none"/>
        </w:rPr>
      </w:pPr>
    </w:p>
    <w:p w14:paraId="212C2E86">
      <w:pPr>
        <w:pStyle w:val="9"/>
        <w:rPr>
          <w:rFonts w:hint="eastAsia" w:ascii="宋体" w:hAnsi="宋体" w:eastAsia="宋体" w:cs="宋体"/>
          <w:color w:val="auto"/>
          <w:szCs w:val="21"/>
          <w:highlight w:val="none"/>
        </w:rPr>
      </w:pPr>
    </w:p>
    <w:p w14:paraId="7D4A8278">
      <w:pPr>
        <w:pStyle w:val="9"/>
        <w:rPr>
          <w:rFonts w:hint="eastAsia" w:ascii="宋体" w:hAnsi="宋体" w:eastAsia="宋体" w:cs="宋体"/>
          <w:color w:val="auto"/>
          <w:szCs w:val="21"/>
          <w:highlight w:val="none"/>
        </w:rPr>
      </w:pPr>
    </w:p>
    <w:p w14:paraId="36445A5D">
      <w:pPr>
        <w:pStyle w:val="9"/>
        <w:rPr>
          <w:rFonts w:hint="eastAsia" w:ascii="宋体" w:hAnsi="宋体" w:eastAsia="宋体" w:cs="宋体"/>
          <w:color w:val="auto"/>
          <w:szCs w:val="21"/>
          <w:highlight w:val="none"/>
        </w:rPr>
      </w:pPr>
    </w:p>
    <w:p w14:paraId="05FA2088">
      <w:pPr>
        <w:pStyle w:val="9"/>
        <w:rPr>
          <w:rFonts w:hint="eastAsia" w:ascii="宋体" w:hAnsi="宋体" w:eastAsia="宋体" w:cs="宋体"/>
          <w:color w:val="auto"/>
          <w:szCs w:val="21"/>
          <w:highlight w:val="none"/>
        </w:rPr>
      </w:pPr>
    </w:p>
    <w:p w14:paraId="25405B32">
      <w:pPr>
        <w:rPr>
          <w:rFonts w:hint="eastAsia" w:ascii="宋体" w:hAnsi="宋体" w:eastAsia="宋体" w:cs="宋体"/>
          <w:color w:val="auto"/>
          <w:szCs w:val="21"/>
          <w:highlight w:val="none"/>
        </w:rPr>
      </w:pPr>
    </w:p>
    <w:p w14:paraId="27B70F4A">
      <w:pPr>
        <w:pStyle w:val="30"/>
        <w:rPr>
          <w:rFonts w:hint="eastAsia" w:ascii="宋体" w:hAnsi="宋体" w:eastAsia="宋体" w:cs="宋体"/>
          <w:color w:val="auto"/>
          <w:szCs w:val="21"/>
          <w:highlight w:val="none"/>
        </w:rPr>
      </w:pPr>
    </w:p>
    <w:p w14:paraId="659C7773">
      <w:pPr>
        <w:pStyle w:val="30"/>
        <w:rPr>
          <w:rFonts w:hint="eastAsia" w:ascii="宋体" w:hAnsi="宋体" w:eastAsia="宋体" w:cs="宋体"/>
          <w:color w:val="auto"/>
          <w:szCs w:val="21"/>
          <w:highlight w:val="none"/>
        </w:rPr>
      </w:pPr>
    </w:p>
    <w:p w14:paraId="0A7973AA">
      <w:pPr>
        <w:pStyle w:val="30"/>
        <w:rPr>
          <w:rFonts w:hint="eastAsia" w:ascii="宋体" w:hAnsi="宋体" w:eastAsia="宋体" w:cs="宋体"/>
          <w:color w:val="auto"/>
          <w:szCs w:val="21"/>
          <w:highlight w:val="none"/>
        </w:rPr>
      </w:pPr>
    </w:p>
    <w:p w14:paraId="3555447B">
      <w:pPr>
        <w:pStyle w:val="30"/>
        <w:rPr>
          <w:rFonts w:hint="eastAsia" w:ascii="宋体" w:hAnsi="宋体" w:eastAsia="宋体" w:cs="宋体"/>
          <w:color w:val="auto"/>
          <w:szCs w:val="21"/>
          <w:highlight w:val="none"/>
        </w:rPr>
      </w:pPr>
    </w:p>
    <w:p w14:paraId="0DDD3C33">
      <w:pPr>
        <w:pStyle w:val="30"/>
        <w:rPr>
          <w:rFonts w:hint="eastAsia" w:ascii="宋体" w:hAnsi="宋体" w:eastAsia="宋体" w:cs="宋体"/>
          <w:color w:val="auto"/>
          <w:szCs w:val="21"/>
          <w:highlight w:val="none"/>
        </w:rPr>
      </w:pPr>
    </w:p>
    <w:p w14:paraId="2C67EEE6">
      <w:pPr>
        <w:pStyle w:val="30"/>
        <w:rPr>
          <w:rFonts w:hint="eastAsia" w:ascii="宋体" w:hAnsi="宋体" w:eastAsia="宋体" w:cs="宋体"/>
          <w:color w:val="auto"/>
          <w:szCs w:val="21"/>
          <w:highlight w:val="none"/>
        </w:rPr>
      </w:pPr>
    </w:p>
    <w:p w14:paraId="6F3FAFC1">
      <w:pPr>
        <w:pStyle w:val="30"/>
        <w:rPr>
          <w:rFonts w:hint="eastAsia" w:ascii="宋体" w:hAnsi="宋体" w:eastAsia="宋体" w:cs="宋体"/>
          <w:color w:val="auto"/>
          <w:szCs w:val="21"/>
          <w:highlight w:val="none"/>
        </w:rPr>
      </w:pPr>
    </w:p>
    <w:p w14:paraId="56EA65E5">
      <w:pPr>
        <w:pStyle w:val="30"/>
        <w:rPr>
          <w:rFonts w:hint="eastAsia" w:ascii="宋体" w:hAnsi="宋体" w:eastAsia="宋体" w:cs="宋体"/>
          <w:color w:val="auto"/>
          <w:szCs w:val="21"/>
          <w:highlight w:val="none"/>
        </w:rPr>
      </w:pPr>
    </w:p>
    <w:p w14:paraId="4D068DB5">
      <w:pPr>
        <w:pStyle w:val="30"/>
        <w:rPr>
          <w:rFonts w:hint="eastAsia" w:ascii="宋体" w:hAnsi="宋体" w:eastAsia="宋体" w:cs="宋体"/>
          <w:color w:val="auto"/>
          <w:szCs w:val="21"/>
          <w:highlight w:val="none"/>
        </w:rPr>
      </w:pPr>
    </w:p>
    <w:p w14:paraId="2F038702">
      <w:pPr>
        <w:pStyle w:val="30"/>
        <w:rPr>
          <w:rFonts w:hint="eastAsia" w:ascii="宋体" w:hAnsi="宋体" w:eastAsia="宋体" w:cs="宋体"/>
          <w:color w:val="auto"/>
          <w:szCs w:val="21"/>
          <w:highlight w:val="none"/>
        </w:rPr>
      </w:pPr>
    </w:p>
    <w:p w14:paraId="28753A59">
      <w:pPr>
        <w:pStyle w:val="30"/>
        <w:rPr>
          <w:rFonts w:hint="eastAsia" w:ascii="宋体" w:hAnsi="宋体" w:eastAsia="宋体" w:cs="宋体"/>
          <w:color w:val="auto"/>
          <w:szCs w:val="21"/>
          <w:highlight w:val="none"/>
        </w:rPr>
      </w:pPr>
    </w:p>
    <w:p w14:paraId="7AC11EAB">
      <w:pPr>
        <w:pStyle w:val="30"/>
        <w:rPr>
          <w:rFonts w:hint="eastAsia" w:ascii="宋体" w:hAnsi="宋体" w:eastAsia="宋体" w:cs="宋体"/>
          <w:color w:val="auto"/>
          <w:szCs w:val="21"/>
          <w:highlight w:val="none"/>
        </w:rPr>
      </w:pPr>
    </w:p>
    <w:p w14:paraId="351841E7">
      <w:pPr>
        <w:pStyle w:val="30"/>
        <w:rPr>
          <w:rFonts w:hint="eastAsia" w:ascii="宋体" w:hAnsi="宋体" w:eastAsia="宋体" w:cs="宋体"/>
          <w:color w:val="auto"/>
          <w:szCs w:val="21"/>
          <w:highlight w:val="none"/>
        </w:rPr>
      </w:pPr>
    </w:p>
    <w:p w14:paraId="035DC4FE">
      <w:pPr>
        <w:pStyle w:val="30"/>
        <w:rPr>
          <w:rFonts w:hint="eastAsia" w:ascii="宋体" w:hAnsi="宋体" w:eastAsia="宋体" w:cs="宋体"/>
          <w:color w:val="auto"/>
          <w:szCs w:val="21"/>
          <w:highlight w:val="none"/>
        </w:rPr>
      </w:pPr>
    </w:p>
    <w:p w14:paraId="4223239F">
      <w:pPr>
        <w:pStyle w:val="30"/>
        <w:rPr>
          <w:rFonts w:hint="eastAsia" w:ascii="宋体" w:hAnsi="宋体" w:eastAsia="宋体" w:cs="宋体"/>
          <w:color w:val="auto"/>
          <w:szCs w:val="21"/>
          <w:highlight w:val="none"/>
        </w:rPr>
      </w:pPr>
    </w:p>
    <w:p w14:paraId="70B337FE">
      <w:pPr>
        <w:pStyle w:val="30"/>
        <w:rPr>
          <w:rFonts w:hint="eastAsia" w:ascii="宋体" w:hAnsi="宋体" w:eastAsia="宋体" w:cs="宋体"/>
          <w:color w:val="auto"/>
          <w:szCs w:val="21"/>
          <w:highlight w:val="none"/>
        </w:rPr>
      </w:pPr>
    </w:p>
    <w:p w14:paraId="22B8DA02">
      <w:pPr>
        <w:pStyle w:val="30"/>
        <w:rPr>
          <w:rFonts w:hint="eastAsia" w:ascii="宋体" w:hAnsi="宋体" w:eastAsia="宋体" w:cs="宋体"/>
          <w:color w:val="auto"/>
          <w:szCs w:val="21"/>
          <w:highlight w:val="none"/>
        </w:rPr>
      </w:pPr>
    </w:p>
    <w:p w14:paraId="2F26E378">
      <w:pPr>
        <w:pStyle w:val="30"/>
        <w:rPr>
          <w:rFonts w:hint="eastAsia" w:ascii="宋体" w:hAnsi="宋体" w:eastAsia="宋体" w:cs="宋体"/>
          <w:color w:val="auto"/>
          <w:szCs w:val="21"/>
          <w:highlight w:val="none"/>
        </w:rPr>
      </w:pPr>
    </w:p>
    <w:p w14:paraId="1655D51D">
      <w:pPr>
        <w:pStyle w:val="5"/>
        <w:numPr>
          <w:ilvl w:val="0"/>
          <w:numId w:val="0"/>
        </w:numPr>
        <w:jc w:val="center"/>
        <w:rPr>
          <w:rFonts w:hint="eastAsia" w:ascii="宋体" w:hAnsi="宋体" w:eastAsia="宋体" w:cs="宋体"/>
          <w:color w:val="auto"/>
          <w:sz w:val="32"/>
          <w:szCs w:val="32"/>
          <w:highlight w:val="none"/>
          <w:lang w:eastAsia="zh-CN"/>
        </w:rPr>
      </w:pPr>
      <w:bookmarkStart w:id="2373" w:name="_Toc7185"/>
      <w:bookmarkStart w:id="2374" w:name="_Toc11067"/>
      <w:bookmarkStart w:id="2375" w:name="_Toc497927071"/>
      <w:r>
        <w:rPr>
          <w:rFonts w:hint="eastAsia" w:ascii="宋体" w:hAnsi="宋体" w:eastAsia="宋体" w:cs="宋体"/>
          <w:color w:val="auto"/>
          <w:sz w:val="32"/>
          <w:szCs w:val="32"/>
          <w:highlight w:val="none"/>
          <w:lang w:eastAsia="zh-CN"/>
        </w:rPr>
        <w:t>（</w:t>
      </w:r>
      <w:r>
        <w:rPr>
          <w:rFonts w:hint="eastAsia" w:ascii="宋体" w:hAnsi="宋体" w:cs="宋体"/>
          <w:color w:val="auto"/>
          <w:sz w:val="32"/>
          <w:szCs w:val="32"/>
          <w:highlight w:val="none"/>
          <w:lang w:eastAsia="zh-CN"/>
        </w:rPr>
        <w:t>一</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rPr>
        <w:t>资格性响应证明材料目录</w:t>
      </w:r>
      <w:bookmarkEnd w:id="2373"/>
      <w:bookmarkEnd w:id="2374"/>
      <w:bookmarkEnd w:id="2375"/>
      <w:r>
        <w:rPr>
          <w:rFonts w:hint="eastAsia" w:ascii="宋体" w:hAnsi="宋体" w:eastAsia="宋体" w:cs="宋体"/>
          <w:color w:val="auto"/>
          <w:sz w:val="32"/>
          <w:szCs w:val="32"/>
          <w:highlight w:val="none"/>
          <w:lang w:eastAsia="zh-CN"/>
        </w:rPr>
        <w:t>（根据所提供内容自行编写）</w:t>
      </w:r>
    </w:p>
    <w:p w14:paraId="5AAE9D3D">
      <w:pPr>
        <w:rPr>
          <w:rFonts w:hint="eastAsia" w:ascii="宋体" w:hAnsi="宋体" w:eastAsia="宋体" w:cs="宋体"/>
          <w:color w:val="auto"/>
          <w:highlight w:val="none"/>
        </w:rPr>
      </w:pPr>
    </w:p>
    <w:p w14:paraId="0B1D6DCD">
      <w:pPr>
        <w:keepLines w:val="0"/>
        <w:pageBreakBefore w:val="0"/>
        <w:widowControl w:val="0"/>
        <w:tabs>
          <w:tab w:val="left" w:pos="3570"/>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03AB014">
      <w:pPr>
        <w:tabs>
          <w:tab w:val="left" w:pos="3570"/>
        </w:tabs>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w:t>
      </w:r>
      <w:r>
        <w:rPr>
          <w:rFonts w:hint="eastAsia" w:ascii="宋体" w:hAnsi="宋体" w:eastAsia="宋体" w:cs="宋体"/>
          <w:color w:val="auto"/>
          <w:sz w:val="21"/>
          <w:szCs w:val="21"/>
          <w:highlight w:val="none"/>
          <w:lang w:eastAsia="zh-CN"/>
        </w:rPr>
        <w:t>原件</w:t>
      </w:r>
      <w:r>
        <w:rPr>
          <w:rFonts w:hint="eastAsia" w:ascii="宋体" w:hAnsi="宋体" w:eastAsia="宋体" w:cs="宋体"/>
          <w:color w:val="auto"/>
          <w:sz w:val="21"/>
          <w:szCs w:val="21"/>
          <w:highlight w:val="none"/>
        </w:rPr>
        <w:t>、委托代理人身份证正反面复印件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color w:val="auto"/>
          <w:sz w:val="21"/>
          <w:szCs w:val="21"/>
          <w:highlight w:val="none"/>
          <w:lang w:eastAsia="zh-CN"/>
        </w:rPr>
        <w:t>；</w:t>
      </w:r>
    </w:p>
    <w:p w14:paraId="7E2FDE67">
      <w:pPr>
        <w:keepLines w:val="0"/>
        <w:pageBreakBefore w:val="0"/>
        <w:widowControl w:val="0"/>
        <w:tabs>
          <w:tab w:val="left" w:pos="3570"/>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C804632">
      <w:pPr>
        <w:numPr>
          <w:ilvl w:val="0"/>
          <w:numId w:val="0"/>
        </w:numPr>
        <w:spacing w:line="360" w:lineRule="auto"/>
        <w:ind w:leftChars="200"/>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4.</w:t>
      </w:r>
      <w:r>
        <w:rPr>
          <w:rFonts w:hint="eastAsia" w:ascii="宋体" w:hAnsi="宋体" w:eastAsia="宋体" w:cs="宋体"/>
          <w:bCs/>
          <w:color w:val="auto"/>
          <w:kern w:val="0"/>
          <w:szCs w:val="21"/>
          <w:highlight w:val="none"/>
        </w:rPr>
        <w:t>供应商的法人或者其他组织营业执照等证明文件复印件</w:t>
      </w:r>
      <w:r>
        <w:rPr>
          <w:rFonts w:hint="eastAsia" w:ascii="宋体" w:hAnsi="宋体" w:eastAsia="宋体" w:cs="宋体"/>
          <w:b/>
          <w:bCs w:val="0"/>
          <w:color w:val="auto"/>
          <w:kern w:val="0"/>
          <w:szCs w:val="21"/>
          <w:highlight w:val="none"/>
        </w:rPr>
        <w:t>（必须提供，自然人除外）</w:t>
      </w:r>
      <w:r>
        <w:rPr>
          <w:rFonts w:hint="eastAsia" w:ascii="宋体" w:hAnsi="宋体" w:eastAsia="宋体" w:cs="宋体"/>
          <w:bCs/>
          <w:color w:val="auto"/>
          <w:kern w:val="0"/>
          <w:szCs w:val="21"/>
          <w:highlight w:val="none"/>
        </w:rPr>
        <w:t>；</w:t>
      </w:r>
    </w:p>
    <w:p w14:paraId="7A3548BF">
      <w:pPr>
        <w:numPr>
          <w:ilvl w:val="0"/>
          <w:numId w:val="0"/>
        </w:numPr>
        <w:spacing w:line="360" w:lineRule="auto"/>
        <w:ind w:leftChars="200"/>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rPr>
        <w:t>供应商有效的资质证书复印件</w:t>
      </w:r>
      <w:r>
        <w:rPr>
          <w:rFonts w:hint="eastAsia" w:ascii="宋体" w:hAnsi="宋体" w:eastAsia="宋体" w:cs="宋体"/>
          <w:b/>
          <w:bCs w:val="0"/>
          <w:color w:val="auto"/>
          <w:kern w:val="0"/>
          <w:szCs w:val="21"/>
          <w:highlight w:val="none"/>
          <w:lang w:val="en-US" w:eastAsia="zh-CN"/>
        </w:rPr>
        <w:t>（必须提供）</w:t>
      </w:r>
      <w:r>
        <w:rPr>
          <w:rFonts w:hint="eastAsia" w:ascii="宋体" w:hAnsi="宋体" w:eastAsia="宋体" w:cs="宋体"/>
          <w:bCs/>
          <w:color w:val="auto"/>
          <w:kern w:val="0"/>
          <w:szCs w:val="21"/>
          <w:highlight w:val="none"/>
          <w:lang w:val="en-US" w:eastAsia="zh-CN"/>
        </w:rPr>
        <w:t>；</w:t>
      </w:r>
    </w:p>
    <w:p w14:paraId="2FAEC9F0">
      <w:pPr>
        <w:numPr>
          <w:ilvl w:val="0"/>
          <w:numId w:val="0"/>
        </w:numPr>
        <w:spacing w:line="360" w:lineRule="auto"/>
        <w:ind w:leftChars="200"/>
        <w:rPr>
          <w:rFonts w:hint="eastAsia" w:ascii="宋体" w:hAnsi="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6.</w:t>
      </w:r>
      <w:r>
        <w:rPr>
          <w:rFonts w:hint="eastAsia" w:ascii="宋体" w:hAnsi="宋体" w:eastAsia="宋体" w:cs="宋体"/>
          <w:bCs/>
          <w:color w:val="auto"/>
          <w:kern w:val="0"/>
          <w:sz w:val="21"/>
          <w:szCs w:val="21"/>
          <w:highlight w:val="none"/>
          <w:lang w:val="en-US" w:eastAsia="zh-CN"/>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rPr>
        <w:t>（必须提供其中一项）</w:t>
      </w:r>
      <w:r>
        <w:rPr>
          <w:rFonts w:hint="eastAsia" w:ascii="宋体" w:hAnsi="宋体" w:eastAsia="宋体" w:cs="宋体"/>
          <w:bCs/>
          <w:color w:val="auto"/>
          <w:kern w:val="0"/>
          <w:szCs w:val="21"/>
          <w:highlight w:val="none"/>
        </w:rPr>
        <w:t>；</w:t>
      </w:r>
    </w:p>
    <w:p w14:paraId="26177455">
      <w:pPr>
        <w:numPr>
          <w:ilvl w:val="0"/>
          <w:numId w:val="0"/>
        </w:numPr>
        <w:spacing w:line="360" w:lineRule="auto"/>
        <w:ind w:leftChars="200"/>
        <w:rPr>
          <w:rFonts w:hint="eastAsia" w:ascii="宋体" w:hAnsi="宋体" w:cs="宋体"/>
          <w:color w:val="auto"/>
          <w:sz w:val="21"/>
          <w:szCs w:val="21"/>
          <w:highlight w:val="none"/>
          <w:lang w:val="en-US" w:eastAsia="zh-CN"/>
        </w:rPr>
      </w:pPr>
      <w:r>
        <w:rPr>
          <w:rFonts w:hint="eastAsia" w:ascii="宋体" w:hAnsi="宋体" w:cs="宋体"/>
          <w:bCs/>
          <w:color w:val="auto"/>
          <w:kern w:val="0"/>
          <w:szCs w:val="21"/>
          <w:highlight w:val="none"/>
          <w:lang w:val="en-US" w:eastAsia="zh-CN"/>
        </w:rPr>
        <w:t>7.</w:t>
      </w:r>
      <w:r>
        <w:rPr>
          <w:rFonts w:hint="eastAsia" w:ascii="宋体" w:hAnsi="宋体" w:cs="宋体"/>
          <w:bCs/>
          <w:color w:val="auto"/>
          <w:kern w:val="0"/>
          <w:szCs w:val="21"/>
          <w:highlight w:val="none"/>
        </w:rPr>
        <w:t>供应商有效的安全生产许可证书复印件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val="0"/>
          <w:bCs w:val="0"/>
          <w:color w:val="auto"/>
          <w:sz w:val="21"/>
          <w:szCs w:val="21"/>
          <w:highlight w:val="none"/>
          <w:lang w:val="en-US" w:eastAsia="zh-CN"/>
        </w:rPr>
        <w:t>；</w:t>
      </w:r>
    </w:p>
    <w:p w14:paraId="64C8DCE9">
      <w:pPr>
        <w:numPr>
          <w:ilvl w:val="0"/>
          <w:numId w:val="0"/>
        </w:numPr>
        <w:spacing w:line="360" w:lineRule="auto"/>
        <w:ind w:leftChars="200"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cs="宋体"/>
          <w:bCs/>
          <w:color w:val="auto"/>
          <w:kern w:val="0"/>
          <w:szCs w:val="21"/>
          <w:highlight w:val="none"/>
          <w:lang w:eastAsia="zh-CN"/>
        </w:rPr>
        <w:t>贵港市政府采购项目投标资格承诺函（</w:t>
      </w:r>
      <w:r>
        <w:rPr>
          <w:rFonts w:hint="eastAsia" w:ascii="宋体" w:hAnsi="宋体" w:cs="宋体"/>
          <w:bCs/>
          <w:color w:val="auto"/>
          <w:kern w:val="0"/>
          <w:szCs w:val="21"/>
          <w:highlight w:val="none"/>
          <w:lang w:val="en-US" w:eastAsia="zh-CN"/>
        </w:rPr>
        <w:t>格式后附</w:t>
      </w:r>
      <w:r>
        <w:rPr>
          <w:rFonts w:hint="eastAsia" w:ascii="宋体" w:hAnsi="宋体" w:cs="宋体"/>
          <w:bCs/>
          <w:color w:val="auto"/>
          <w:kern w:val="0"/>
          <w:szCs w:val="21"/>
          <w:highlight w:val="none"/>
          <w:lang w:eastAsia="zh-CN"/>
        </w:rPr>
        <w:t>）</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val="0"/>
          <w:bCs w:val="0"/>
          <w:color w:val="auto"/>
          <w:sz w:val="21"/>
          <w:szCs w:val="21"/>
          <w:highlight w:val="none"/>
          <w:lang w:val="en-US" w:eastAsia="zh-CN"/>
        </w:rPr>
        <w:t>；</w:t>
      </w:r>
    </w:p>
    <w:p w14:paraId="0153640F">
      <w:pPr>
        <w:spacing w:line="440" w:lineRule="atLeast"/>
        <w:rPr>
          <w:rFonts w:hint="eastAsia" w:ascii="宋体" w:hAnsi="宋体" w:eastAsia="宋体" w:cs="宋体"/>
          <w:b/>
          <w:color w:val="auto"/>
          <w:sz w:val="28"/>
          <w:szCs w:val="28"/>
          <w:highlight w:val="none"/>
          <w:lang w:val="en-US" w:eastAsia="zh-CN"/>
        </w:rPr>
      </w:pPr>
    </w:p>
    <w:p w14:paraId="104E30D2">
      <w:pPr>
        <w:spacing w:line="440" w:lineRule="atLeast"/>
        <w:rPr>
          <w:rFonts w:hint="eastAsia" w:ascii="宋体" w:hAnsi="宋体" w:eastAsia="宋体" w:cs="宋体"/>
          <w:b/>
          <w:color w:val="auto"/>
          <w:sz w:val="28"/>
          <w:szCs w:val="28"/>
          <w:highlight w:val="none"/>
          <w:lang w:val="en-US" w:eastAsia="zh-CN"/>
        </w:rPr>
      </w:pPr>
    </w:p>
    <w:p w14:paraId="6466BC3F">
      <w:pPr>
        <w:spacing w:line="440" w:lineRule="atLeast"/>
        <w:rPr>
          <w:rFonts w:hint="eastAsia" w:ascii="宋体" w:hAnsi="宋体" w:eastAsia="宋体" w:cs="宋体"/>
          <w:b/>
          <w:color w:val="auto"/>
          <w:sz w:val="28"/>
          <w:szCs w:val="28"/>
          <w:highlight w:val="none"/>
          <w:lang w:val="en-US" w:eastAsia="zh-CN"/>
        </w:rPr>
      </w:pPr>
    </w:p>
    <w:p w14:paraId="4BFE7138">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5FF3211E">
      <w:pPr>
        <w:numPr>
          <w:ilvl w:val="0"/>
          <w:numId w:val="15"/>
        </w:numPr>
        <w:spacing w:line="440" w:lineRule="atLeas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供应商相应的法定代表人、负责人、自然人身份证正反两面复印件（必须提供）；</w:t>
      </w:r>
    </w:p>
    <w:p w14:paraId="20880020">
      <w:pPr>
        <w:pStyle w:val="3"/>
        <w:numPr>
          <w:ilvl w:val="0"/>
          <w:numId w:val="0"/>
        </w:numPr>
        <w:rPr>
          <w:rFonts w:hint="eastAsia"/>
          <w:color w:val="auto"/>
          <w:highlight w:val="none"/>
        </w:rPr>
      </w:pPr>
    </w:p>
    <w:p w14:paraId="7A78A853">
      <w:pPr>
        <w:rPr>
          <w:rFonts w:hint="eastAsia"/>
          <w:color w:val="auto"/>
          <w:highlight w:val="none"/>
        </w:rPr>
      </w:pPr>
    </w:p>
    <w:p w14:paraId="3CA76A7D">
      <w:pPr>
        <w:spacing w:line="440" w:lineRule="atLeast"/>
        <w:rPr>
          <w:rFonts w:hint="eastAsia" w:ascii="宋体" w:hAnsi="宋体" w:eastAsia="宋体" w:cs="宋体"/>
          <w:b/>
          <w:color w:val="auto"/>
          <w:sz w:val="28"/>
          <w:szCs w:val="28"/>
          <w:highlight w:val="none"/>
        </w:rPr>
      </w:pPr>
    </w:p>
    <w:p w14:paraId="1FF79A21">
      <w:pPr>
        <w:pStyle w:val="12"/>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.供应商的授权委托书</w:t>
      </w:r>
      <w:r>
        <w:rPr>
          <w:rFonts w:hint="eastAsia" w:ascii="宋体" w:hAnsi="宋体" w:eastAsia="宋体" w:cs="宋体"/>
          <w:b/>
          <w:color w:val="auto"/>
          <w:sz w:val="28"/>
          <w:szCs w:val="28"/>
          <w:highlight w:val="none"/>
          <w:lang w:eastAsia="zh-CN"/>
        </w:rPr>
        <w:t>原件</w:t>
      </w:r>
      <w:r>
        <w:rPr>
          <w:rFonts w:hint="eastAsia" w:ascii="宋体" w:hAnsi="宋体" w:eastAsia="宋体" w:cs="宋体"/>
          <w:b/>
          <w:color w:val="auto"/>
          <w:sz w:val="28"/>
          <w:szCs w:val="28"/>
          <w:highlight w:val="none"/>
        </w:rPr>
        <w:t>、委托代理人身份证正反面复印件</w:t>
      </w:r>
      <w:r>
        <w:rPr>
          <w:rFonts w:hint="eastAsia" w:ascii="宋体" w:hAnsi="宋体" w:eastAsia="宋体" w:cs="宋体"/>
          <w:b/>
          <w:color w:val="auto"/>
          <w:sz w:val="28"/>
          <w:szCs w:val="28"/>
          <w:highlight w:val="none"/>
          <w:lang w:eastAsia="zh-CN"/>
        </w:rPr>
        <w:t>（委托代理时必须提供）</w:t>
      </w:r>
    </w:p>
    <w:p w14:paraId="064B4AA4">
      <w:pPr>
        <w:rPr>
          <w:rFonts w:hint="eastAsia" w:ascii="宋体" w:hAnsi="宋体" w:eastAsia="宋体" w:cs="宋体"/>
          <w:b/>
          <w:color w:val="auto"/>
          <w:sz w:val="32"/>
          <w:highlight w:val="none"/>
        </w:rPr>
      </w:pPr>
    </w:p>
    <w:p w14:paraId="069428B1">
      <w:pPr>
        <w:pStyle w:val="3"/>
        <w:tabs>
          <w:tab w:val="left" w:pos="567"/>
        </w:tabs>
        <w:rPr>
          <w:rFonts w:hint="eastAsia"/>
          <w:color w:val="auto"/>
          <w:highlight w:val="none"/>
        </w:rPr>
      </w:pPr>
    </w:p>
    <w:p w14:paraId="25F8AB41">
      <w:pPr>
        <w:rPr>
          <w:rFonts w:hint="eastAsia"/>
          <w:color w:val="auto"/>
          <w:highlight w:val="none"/>
        </w:rPr>
      </w:pPr>
    </w:p>
    <w:p w14:paraId="7ADE6DBB">
      <w:pPr>
        <w:pStyle w:val="3"/>
        <w:rPr>
          <w:rFonts w:hint="eastAsia"/>
          <w:color w:val="auto"/>
          <w:highlight w:val="none"/>
        </w:rPr>
      </w:pPr>
    </w:p>
    <w:p w14:paraId="640EFDF9">
      <w:pPr>
        <w:rPr>
          <w:rFonts w:hint="eastAsia"/>
          <w:color w:val="auto"/>
          <w:highlight w:val="none"/>
        </w:rPr>
      </w:pPr>
    </w:p>
    <w:p w14:paraId="0A6B7864">
      <w:pPr>
        <w:pStyle w:val="12"/>
        <w:rPr>
          <w:rFonts w:hint="eastAsia" w:ascii="宋体" w:hAnsi="宋体" w:eastAsia="宋体" w:cs="宋体"/>
          <w:b/>
          <w:color w:val="auto"/>
          <w:sz w:val="32"/>
          <w:highlight w:val="none"/>
        </w:rPr>
      </w:pPr>
    </w:p>
    <w:p w14:paraId="1454B418">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14:paraId="7A0EB77E">
      <w:pPr>
        <w:pStyle w:val="7"/>
        <w:rPr>
          <w:rFonts w:hint="eastAsia"/>
          <w:color w:val="auto"/>
          <w:highlight w:val="none"/>
        </w:rPr>
      </w:pPr>
    </w:p>
    <w:p w14:paraId="6320D124">
      <w:pPr>
        <w:pStyle w:val="12"/>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附件：            </w:t>
      </w:r>
    </w:p>
    <w:p w14:paraId="2221B551">
      <w:pPr>
        <w:pStyle w:val="12"/>
        <w:ind w:firstLine="630" w:firstLineChars="196"/>
        <w:jc w:val="center"/>
        <w:rPr>
          <w:rFonts w:hint="eastAsia" w:ascii="宋体" w:hAnsi="宋体" w:eastAsia="宋体" w:cs="宋体"/>
          <w:b/>
          <w:color w:val="auto"/>
          <w:sz w:val="32"/>
          <w:highlight w:val="none"/>
        </w:rPr>
      </w:pPr>
      <w:bookmarkStart w:id="2376" w:name="_Toc5420_WPSOffice_Level1"/>
      <w:bookmarkStart w:id="2377" w:name="_Toc964_WPSOffice_Level1"/>
      <w:r>
        <w:rPr>
          <w:rFonts w:hint="eastAsia" w:ascii="宋体" w:hAnsi="宋体" w:eastAsia="宋体" w:cs="宋体"/>
          <w:b/>
          <w:color w:val="auto"/>
          <w:sz w:val="32"/>
          <w:highlight w:val="none"/>
        </w:rPr>
        <w:t>授权委托书（格式一）</w:t>
      </w:r>
      <w:bookmarkEnd w:id="2376"/>
      <w:bookmarkEnd w:id="2377"/>
    </w:p>
    <w:p w14:paraId="488AA78B">
      <w:pPr>
        <w:pStyle w:val="12"/>
        <w:rPr>
          <w:rFonts w:hint="eastAsia" w:ascii="宋体" w:hAnsi="宋体" w:eastAsia="宋体" w:cs="宋体"/>
          <w:color w:val="auto"/>
          <w:highlight w:val="none"/>
        </w:rPr>
      </w:pPr>
    </w:p>
    <w:p w14:paraId="34707C38">
      <w:pPr>
        <w:spacing w:line="4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eastAsia="zh-CN"/>
        </w:rPr>
        <w:t xml:space="preserve">广西龙珂建设工程集团有限公司 </w:t>
      </w:r>
    </w:p>
    <w:p w14:paraId="52B3D729">
      <w:pPr>
        <w:spacing w:line="400" w:lineRule="exact"/>
        <w:rPr>
          <w:rFonts w:hint="eastAsia" w:ascii="宋体" w:hAnsi="宋体" w:eastAsia="宋体" w:cs="宋体"/>
          <w:color w:val="auto"/>
          <w:szCs w:val="21"/>
          <w:highlight w:val="none"/>
        </w:rPr>
      </w:pPr>
    </w:p>
    <w:p w14:paraId="549EB787">
      <w:pPr>
        <w:pStyle w:val="12"/>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（供应商名称）的法定代表人（负责人），现授权委托本单位在职职工</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名）以我公司名义参加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项目的磋商活动，并代表我方全权办理针对上述项目的磋商、签约等具体事务和签署相关文件。</w:t>
      </w:r>
    </w:p>
    <w:p w14:paraId="0C763452">
      <w:pPr>
        <w:pStyle w:val="12"/>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我方对被授权人的签字事项负全部责任。</w:t>
      </w:r>
    </w:p>
    <w:p w14:paraId="5FE6E3E9">
      <w:pPr>
        <w:pStyle w:val="12"/>
        <w:spacing w:line="40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日起至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日止。</w:t>
      </w:r>
    </w:p>
    <w:p w14:paraId="6F313D83">
      <w:pPr>
        <w:pStyle w:val="12"/>
        <w:spacing w:line="40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37615BE5">
      <w:pPr>
        <w:spacing w:line="40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14:paraId="66AD6776">
      <w:pPr>
        <w:spacing w:line="400" w:lineRule="exact"/>
        <w:ind w:firstLine="420" w:firstLineChars="200"/>
        <w:rPr>
          <w:rFonts w:hint="eastAsia" w:ascii="宋体" w:hAnsi="宋体" w:eastAsia="宋体" w:cs="宋体"/>
          <w:color w:val="auto"/>
          <w:kern w:val="0"/>
          <w:highlight w:val="none"/>
        </w:rPr>
      </w:pPr>
    </w:p>
    <w:p w14:paraId="6C37FC0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541EDDE6">
      <w:pPr>
        <w:spacing w:line="400" w:lineRule="exact"/>
        <w:ind w:firstLine="420" w:firstLineChars="200"/>
        <w:rPr>
          <w:rFonts w:hint="eastAsia" w:ascii="宋体" w:hAnsi="宋体" w:eastAsia="宋体" w:cs="宋体"/>
          <w:color w:val="auto"/>
          <w:szCs w:val="21"/>
          <w:highlight w:val="none"/>
        </w:rPr>
      </w:pPr>
    </w:p>
    <w:p w14:paraId="74C7C419">
      <w:pPr>
        <w:spacing w:line="400" w:lineRule="exact"/>
        <w:ind w:firstLine="420" w:firstLineChars="200"/>
        <w:rPr>
          <w:rFonts w:hint="eastAsia" w:ascii="宋体" w:hAnsi="宋体" w:eastAsia="宋体" w:cs="宋体"/>
          <w:color w:val="auto"/>
          <w:szCs w:val="21"/>
          <w:highlight w:val="none"/>
        </w:rPr>
      </w:pPr>
    </w:p>
    <w:p w14:paraId="00E3782D">
      <w:pPr>
        <w:snapToGrid w:val="0"/>
        <w:spacing w:line="400" w:lineRule="exact"/>
        <w:ind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111C010">
      <w:pPr>
        <w:snapToGrid w:val="0"/>
        <w:spacing w:line="400" w:lineRule="exact"/>
        <w:ind w:firstLine="420"/>
        <w:rPr>
          <w:rFonts w:hint="eastAsia" w:ascii="宋体" w:hAnsi="宋体" w:eastAsia="宋体" w:cs="宋体"/>
          <w:color w:val="auto"/>
          <w:szCs w:val="21"/>
          <w:highlight w:val="none"/>
        </w:rPr>
      </w:pPr>
    </w:p>
    <w:p w14:paraId="3570A1C4">
      <w:pPr>
        <w:snapToGrid w:val="0"/>
        <w:spacing w:line="40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法定代表人（负责人）签字（或</w:t>
      </w:r>
      <w:r>
        <w:rPr>
          <w:rFonts w:hint="eastAsia" w:ascii="宋体" w:hAnsi="宋体" w:eastAsia="宋体" w:cs="宋体"/>
          <w:color w:val="auto"/>
          <w:szCs w:val="21"/>
          <w:highlight w:val="none"/>
          <w:lang w:eastAsia="zh-CN"/>
        </w:rPr>
        <w:t>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8EE0E89">
      <w:pPr>
        <w:snapToGrid w:val="0"/>
        <w:spacing w:line="400" w:lineRule="exact"/>
        <w:ind w:firstLine="420"/>
        <w:rPr>
          <w:rFonts w:hint="eastAsia" w:ascii="宋体" w:hAnsi="宋体" w:eastAsia="宋体" w:cs="宋体"/>
          <w:color w:val="auto"/>
          <w:szCs w:val="21"/>
          <w:highlight w:val="none"/>
        </w:rPr>
      </w:pPr>
    </w:p>
    <w:p w14:paraId="296D6CCC">
      <w:pPr>
        <w:pStyle w:val="9"/>
        <w:rPr>
          <w:rFonts w:hint="eastAsia" w:ascii="宋体" w:hAnsi="宋体" w:eastAsia="宋体" w:cs="宋体"/>
          <w:color w:val="auto"/>
          <w:highlight w:val="none"/>
        </w:rPr>
      </w:pPr>
    </w:p>
    <w:p w14:paraId="2E8E73D2">
      <w:pPr>
        <w:spacing w:line="440" w:lineRule="atLeas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附：供应商的授权委托书</w:t>
      </w:r>
      <w:r>
        <w:rPr>
          <w:rFonts w:hint="eastAsia" w:ascii="宋体" w:hAnsi="宋体" w:eastAsia="宋体" w:cs="宋体"/>
          <w:b/>
          <w:color w:val="auto"/>
          <w:szCs w:val="21"/>
          <w:highlight w:val="none"/>
          <w:lang w:eastAsia="zh-CN"/>
        </w:rPr>
        <w:t>原件</w:t>
      </w:r>
      <w:r>
        <w:rPr>
          <w:rFonts w:hint="eastAsia" w:ascii="宋体" w:hAnsi="宋体" w:eastAsia="宋体" w:cs="宋体"/>
          <w:b/>
          <w:color w:val="auto"/>
          <w:szCs w:val="21"/>
          <w:highlight w:val="none"/>
        </w:rPr>
        <w:t>、委托代理人身份证正反面复印件以及由县级以上（含县级）社会养老保险经办机构出具的供应商为委托代理人交纳的响应文件递交截止时间前半年内任意连续三个月社保证明复印件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除供应商为以下三种情形的：</w:t>
      </w:r>
    </w:p>
    <w:p w14:paraId="1ADDF6B1">
      <w:pPr>
        <w:spacing w:line="440" w:lineRule="atLeas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 如供应商为截标时间前60日以内成立的公司，可以提供供应商与委托代理人签订的劳动合同复印件代替社保证明复印件；</w:t>
      </w:r>
    </w:p>
    <w:p w14:paraId="0B83D91E">
      <w:pPr>
        <w:spacing w:line="440" w:lineRule="atLeas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（2）如供应商为事业单位，可以提供事业单位机构编制管理证复印件或事业单位机构为其发放工资的工资条复印件代替社保证明复印件；</w:t>
      </w:r>
    </w:p>
    <w:p w14:paraId="596CE457">
      <w:pPr>
        <w:spacing w:line="440" w:lineRule="atLeas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（3）如委托代理人为免缴纳社保人员，提供免缴纳社保的证明材料复印件及供应商与委托代理人签订的劳动合同复印件代替社保证明复印件。</w:t>
      </w:r>
    </w:p>
    <w:p w14:paraId="395317D5">
      <w:pPr>
        <w:pStyle w:val="12"/>
        <w:spacing w:line="340" w:lineRule="exact"/>
        <w:ind w:firstLine="420" w:firstLineChars="200"/>
        <w:rPr>
          <w:rFonts w:hint="eastAsia" w:ascii="宋体" w:hAnsi="宋体" w:eastAsia="宋体" w:cs="宋体"/>
          <w:color w:val="auto"/>
          <w:highlight w:val="none"/>
        </w:rPr>
      </w:pPr>
    </w:p>
    <w:p w14:paraId="7BE7E386">
      <w:pPr>
        <w:pStyle w:val="7"/>
        <w:rPr>
          <w:rFonts w:hint="eastAsia"/>
          <w:color w:val="auto"/>
          <w:highlight w:val="none"/>
        </w:rPr>
      </w:pPr>
    </w:p>
    <w:p w14:paraId="0D03F610">
      <w:pPr>
        <w:pStyle w:val="12"/>
        <w:jc w:val="center"/>
        <w:rPr>
          <w:rFonts w:hint="eastAsia" w:ascii="宋体" w:hAnsi="宋体" w:eastAsia="宋体" w:cs="宋体"/>
          <w:b/>
          <w:color w:val="auto"/>
          <w:sz w:val="32"/>
          <w:highlight w:val="none"/>
        </w:rPr>
      </w:pPr>
      <w:bookmarkStart w:id="2378" w:name="_Toc21370_WPSOffice_Level1"/>
      <w:bookmarkStart w:id="2379" w:name="_Toc6975_WPSOffice_Level1"/>
      <w:r>
        <w:rPr>
          <w:rFonts w:hint="eastAsia" w:ascii="宋体" w:hAnsi="宋体" w:eastAsia="宋体" w:cs="宋体"/>
          <w:b/>
          <w:color w:val="auto"/>
          <w:sz w:val="32"/>
          <w:highlight w:val="none"/>
        </w:rPr>
        <w:t>授权委托书（格式二）</w:t>
      </w:r>
      <w:bookmarkEnd w:id="2378"/>
      <w:bookmarkEnd w:id="2379"/>
    </w:p>
    <w:p w14:paraId="3E71A1E3">
      <w:pPr>
        <w:pStyle w:val="12"/>
        <w:jc w:val="both"/>
        <w:rPr>
          <w:rFonts w:hint="eastAsia" w:ascii="宋体" w:hAnsi="宋体" w:eastAsia="宋体" w:cs="宋体"/>
          <w:b/>
          <w:color w:val="auto"/>
          <w:sz w:val="32"/>
          <w:highlight w:val="none"/>
        </w:rPr>
      </w:pPr>
    </w:p>
    <w:p w14:paraId="3639D7CD">
      <w:pPr>
        <w:pStyle w:val="12"/>
        <w:jc w:val="both"/>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hAnsi="宋体" w:cs="宋体"/>
          <w:color w:val="auto"/>
          <w:szCs w:val="21"/>
          <w:highlight w:val="none"/>
          <w:u w:val="single"/>
          <w:lang w:eastAsia="zh-CN"/>
        </w:rPr>
        <w:t xml:space="preserve">广西龙珂建设工程集团有限公司 </w:t>
      </w:r>
    </w:p>
    <w:p w14:paraId="21BE4C66">
      <w:pPr>
        <w:rPr>
          <w:rFonts w:hint="eastAsia" w:ascii="宋体" w:hAnsi="宋体" w:eastAsia="宋体" w:cs="宋体"/>
          <w:color w:val="auto"/>
          <w:highlight w:val="none"/>
        </w:rPr>
      </w:pPr>
    </w:p>
    <w:p w14:paraId="0428578C">
      <w:pPr>
        <w:pStyle w:val="12"/>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（姓名）系自然人，现授权委托</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名）以本人名义参加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项目的磋商活动，并代表本人全权办理针对上述项目的磋商、签约等具体事务和签署相关文件。</w:t>
      </w:r>
    </w:p>
    <w:p w14:paraId="10B355F1">
      <w:pPr>
        <w:pStyle w:val="12"/>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本人对被授权人的签字事项负全部责任。</w:t>
      </w:r>
    </w:p>
    <w:p w14:paraId="0E26E1AD">
      <w:pPr>
        <w:pStyle w:val="12"/>
        <w:spacing w:line="34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日起至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日止。</w:t>
      </w:r>
    </w:p>
    <w:p w14:paraId="111E80E4">
      <w:pPr>
        <w:pStyle w:val="12"/>
        <w:spacing w:line="3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0F9A97F6">
      <w:pPr>
        <w:spacing w:line="34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14:paraId="2F1A578D">
      <w:pPr>
        <w:spacing w:line="340" w:lineRule="exact"/>
        <w:ind w:firstLine="420" w:firstLineChars="200"/>
        <w:rPr>
          <w:rFonts w:hint="eastAsia" w:ascii="宋体" w:hAnsi="宋体" w:eastAsia="宋体" w:cs="宋体"/>
          <w:color w:val="auto"/>
          <w:kern w:val="0"/>
          <w:highlight w:val="none"/>
        </w:rPr>
      </w:pPr>
    </w:p>
    <w:p w14:paraId="352B2C79">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0913340E">
      <w:pPr>
        <w:spacing w:line="340" w:lineRule="exact"/>
        <w:ind w:firstLine="420" w:firstLineChars="200"/>
        <w:rPr>
          <w:rFonts w:hint="eastAsia" w:ascii="宋体" w:hAnsi="宋体" w:eastAsia="宋体" w:cs="宋体"/>
          <w:color w:val="auto"/>
          <w:szCs w:val="21"/>
          <w:highlight w:val="none"/>
        </w:rPr>
      </w:pPr>
    </w:p>
    <w:p w14:paraId="1D8C5D90">
      <w:pPr>
        <w:snapToGrid w:val="0"/>
        <w:spacing w:line="3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自然人签字并在签名处加盖大拇指指印</w:t>
      </w:r>
      <w:r>
        <w:rPr>
          <w:rFonts w:hint="eastAsia" w:ascii="宋体" w:hAnsi="宋体" w:eastAsia="宋体" w:cs="宋体"/>
          <w:color w:val="auto"/>
          <w:szCs w:val="21"/>
          <w:highlight w:val="none"/>
          <w:lang w:eastAsia="zh-CN"/>
        </w:rPr>
        <w:t>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850F75F">
      <w:pPr>
        <w:pStyle w:val="12"/>
        <w:spacing w:line="400" w:lineRule="exact"/>
        <w:ind w:left="420" w:leftChars="200"/>
        <w:rPr>
          <w:rFonts w:hint="eastAsia" w:ascii="宋体" w:hAnsi="宋体" w:eastAsia="宋体" w:cs="宋体"/>
          <w:color w:val="auto"/>
          <w:szCs w:val="21"/>
          <w:highlight w:val="none"/>
        </w:rPr>
      </w:pPr>
    </w:p>
    <w:p w14:paraId="40E822D9">
      <w:pPr>
        <w:pStyle w:val="12"/>
        <w:spacing w:line="40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附：委托代理人身份证正反面复印件</w:t>
      </w:r>
    </w:p>
    <w:p w14:paraId="2204F1D3">
      <w:pPr>
        <w:rPr>
          <w:rFonts w:hint="eastAsia" w:ascii="宋体" w:hAnsi="宋体" w:eastAsia="宋体" w:cs="宋体"/>
          <w:b/>
          <w:color w:val="auto"/>
          <w:szCs w:val="21"/>
          <w:highlight w:val="none"/>
        </w:rPr>
      </w:pPr>
    </w:p>
    <w:p w14:paraId="2EB764B1">
      <w:pPr>
        <w:pStyle w:val="9"/>
        <w:rPr>
          <w:rFonts w:hint="eastAsia" w:ascii="宋体" w:hAnsi="宋体" w:eastAsia="宋体" w:cs="宋体"/>
          <w:b/>
          <w:color w:val="auto"/>
          <w:szCs w:val="21"/>
          <w:highlight w:val="none"/>
        </w:rPr>
      </w:pPr>
    </w:p>
    <w:p w14:paraId="562B5EB9">
      <w:pPr>
        <w:pStyle w:val="9"/>
        <w:rPr>
          <w:rFonts w:hint="eastAsia" w:ascii="宋体" w:hAnsi="宋体" w:eastAsia="宋体" w:cs="宋体"/>
          <w:b/>
          <w:color w:val="auto"/>
          <w:szCs w:val="21"/>
          <w:highlight w:val="none"/>
        </w:rPr>
      </w:pPr>
    </w:p>
    <w:p w14:paraId="60101032">
      <w:pPr>
        <w:pStyle w:val="9"/>
        <w:rPr>
          <w:rFonts w:hint="eastAsia" w:ascii="宋体" w:hAnsi="宋体" w:eastAsia="宋体" w:cs="宋体"/>
          <w:b/>
          <w:color w:val="auto"/>
          <w:szCs w:val="21"/>
          <w:highlight w:val="none"/>
        </w:rPr>
      </w:pPr>
    </w:p>
    <w:p w14:paraId="5A132406">
      <w:pPr>
        <w:pStyle w:val="9"/>
        <w:rPr>
          <w:rFonts w:hint="eastAsia" w:ascii="宋体" w:hAnsi="宋体" w:eastAsia="宋体" w:cs="宋体"/>
          <w:b/>
          <w:color w:val="auto"/>
          <w:szCs w:val="21"/>
          <w:highlight w:val="none"/>
        </w:rPr>
      </w:pPr>
    </w:p>
    <w:p w14:paraId="5162A789">
      <w:pPr>
        <w:pStyle w:val="9"/>
        <w:rPr>
          <w:rFonts w:hint="eastAsia" w:ascii="宋体" w:hAnsi="宋体" w:eastAsia="宋体" w:cs="宋体"/>
          <w:b/>
          <w:color w:val="auto"/>
          <w:szCs w:val="21"/>
          <w:highlight w:val="none"/>
        </w:rPr>
      </w:pPr>
    </w:p>
    <w:p w14:paraId="718D7946">
      <w:pPr>
        <w:pStyle w:val="9"/>
        <w:rPr>
          <w:rFonts w:hint="eastAsia" w:ascii="宋体" w:hAnsi="宋体" w:eastAsia="宋体" w:cs="宋体"/>
          <w:b/>
          <w:color w:val="auto"/>
          <w:szCs w:val="21"/>
          <w:highlight w:val="none"/>
        </w:rPr>
      </w:pPr>
    </w:p>
    <w:p w14:paraId="013FF4EB">
      <w:pPr>
        <w:pStyle w:val="9"/>
        <w:rPr>
          <w:rFonts w:hint="eastAsia" w:ascii="宋体" w:hAnsi="宋体" w:eastAsia="宋体" w:cs="宋体"/>
          <w:b/>
          <w:color w:val="auto"/>
          <w:szCs w:val="21"/>
          <w:highlight w:val="none"/>
        </w:rPr>
      </w:pPr>
    </w:p>
    <w:p w14:paraId="26FFF47E">
      <w:pPr>
        <w:pStyle w:val="9"/>
        <w:rPr>
          <w:rFonts w:hint="eastAsia" w:ascii="宋体" w:hAnsi="宋体" w:eastAsia="宋体" w:cs="宋体"/>
          <w:b/>
          <w:color w:val="auto"/>
          <w:szCs w:val="21"/>
          <w:highlight w:val="none"/>
        </w:rPr>
      </w:pPr>
    </w:p>
    <w:p w14:paraId="59F6AC64">
      <w:pPr>
        <w:pStyle w:val="9"/>
        <w:rPr>
          <w:rFonts w:hint="eastAsia" w:ascii="宋体" w:hAnsi="宋体" w:eastAsia="宋体" w:cs="宋体"/>
          <w:b/>
          <w:color w:val="auto"/>
          <w:szCs w:val="21"/>
          <w:highlight w:val="none"/>
        </w:rPr>
      </w:pPr>
    </w:p>
    <w:p w14:paraId="46CB63BD">
      <w:pPr>
        <w:pStyle w:val="9"/>
        <w:rPr>
          <w:rFonts w:hint="eastAsia" w:ascii="宋体" w:hAnsi="宋体" w:eastAsia="宋体" w:cs="宋体"/>
          <w:b/>
          <w:color w:val="auto"/>
          <w:szCs w:val="21"/>
          <w:highlight w:val="none"/>
        </w:rPr>
      </w:pPr>
    </w:p>
    <w:p w14:paraId="28E63705">
      <w:pPr>
        <w:pStyle w:val="9"/>
        <w:rPr>
          <w:rFonts w:hint="eastAsia" w:ascii="宋体" w:hAnsi="宋体" w:eastAsia="宋体" w:cs="宋体"/>
          <w:b/>
          <w:color w:val="auto"/>
          <w:szCs w:val="21"/>
          <w:highlight w:val="none"/>
        </w:rPr>
      </w:pPr>
    </w:p>
    <w:p w14:paraId="26371FED">
      <w:pPr>
        <w:pStyle w:val="9"/>
        <w:rPr>
          <w:rFonts w:hint="eastAsia" w:ascii="宋体" w:hAnsi="宋体" w:eastAsia="宋体" w:cs="宋体"/>
          <w:b/>
          <w:color w:val="auto"/>
          <w:szCs w:val="21"/>
          <w:highlight w:val="none"/>
        </w:rPr>
      </w:pPr>
    </w:p>
    <w:p w14:paraId="37CDB4FE">
      <w:pPr>
        <w:pStyle w:val="9"/>
        <w:rPr>
          <w:rFonts w:hint="eastAsia" w:ascii="宋体" w:hAnsi="宋体" w:eastAsia="宋体" w:cs="宋体"/>
          <w:b/>
          <w:color w:val="auto"/>
          <w:szCs w:val="21"/>
          <w:highlight w:val="none"/>
        </w:rPr>
      </w:pPr>
    </w:p>
    <w:p w14:paraId="5716DA65">
      <w:pPr>
        <w:pStyle w:val="9"/>
        <w:rPr>
          <w:rFonts w:hint="eastAsia" w:ascii="宋体" w:hAnsi="宋体" w:eastAsia="宋体" w:cs="宋体"/>
          <w:b/>
          <w:color w:val="auto"/>
          <w:szCs w:val="21"/>
          <w:highlight w:val="none"/>
        </w:rPr>
      </w:pPr>
    </w:p>
    <w:p w14:paraId="05549F4A">
      <w:pPr>
        <w:rPr>
          <w:rFonts w:hint="eastAsia" w:ascii="宋体" w:hAnsi="宋体" w:eastAsia="宋体" w:cs="宋体"/>
          <w:b/>
          <w:color w:val="auto"/>
          <w:szCs w:val="21"/>
          <w:highlight w:val="none"/>
        </w:rPr>
      </w:pPr>
    </w:p>
    <w:p w14:paraId="65316BF7">
      <w:pPr>
        <w:pStyle w:val="3"/>
        <w:rPr>
          <w:rFonts w:hint="eastAsia"/>
          <w:color w:val="auto"/>
          <w:highlight w:val="none"/>
        </w:rPr>
      </w:pPr>
    </w:p>
    <w:p w14:paraId="2701EC78">
      <w:pPr>
        <w:pStyle w:val="9"/>
        <w:rPr>
          <w:rFonts w:hint="eastAsia" w:ascii="宋体" w:hAnsi="宋体" w:eastAsia="宋体" w:cs="宋体"/>
          <w:b/>
          <w:color w:val="auto"/>
          <w:szCs w:val="21"/>
          <w:highlight w:val="none"/>
        </w:rPr>
      </w:pPr>
    </w:p>
    <w:p w14:paraId="6D46CA08">
      <w:pPr>
        <w:spacing w:line="440" w:lineRule="atLeas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.供应商参加政府采购活动前3年内在经营活动中没有重大违法记录及有关信用信息的书面声明（必须提供）；</w:t>
      </w:r>
    </w:p>
    <w:p w14:paraId="3B9F07A7">
      <w:pPr>
        <w:pStyle w:val="12"/>
        <w:spacing w:line="400" w:lineRule="exact"/>
        <w:ind w:left="42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6B501EEC">
      <w:pPr>
        <w:pStyle w:val="12"/>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w:t>
      </w:r>
    </w:p>
    <w:p w14:paraId="3E4F39F5">
      <w:pPr>
        <w:pStyle w:val="12"/>
        <w:spacing w:line="400" w:lineRule="exact"/>
        <w:jc w:val="center"/>
        <w:rPr>
          <w:rFonts w:hint="eastAsia" w:ascii="宋体" w:hAnsi="宋体" w:eastAsia="宋体" w:cs="宋体"/>
          <w:b/>
          <w:color w:val="auto"/>
          <w:sz w:val="32"/>
          <w:szCs w:val="32"/>
          <w:highlight w:val="none"/>
        </w:rPr>
      </w:pPr>
      <w:bookmarkStart w:id="2380" w:name="_Toc30304_WPSOffice_Level1"/>
      <w:bookmarkStart w:id="2381" w:name="_Toc30890_WPSOffice_Level1"/>
      <w:r>
        <w:rPr>
          <w:rFonts w:hint="eastAsia" w:ascii="宋体" w:hAnsi="宋体" w:eastAsia="宋体" w:cs="宋体"/>
          <w:b/>
          <w:color w:val="auto"/>
          <w:sz w:val="32"/>
          <w:szCs w:val="32"/>
          <w:highlight w:val="none"/>
        </w:rPr>
        <w:t>声   明</w:t>
      </w:r>
      <w:bookmarkEnd w:id="2380"/>
      <w:bookmarkEnd w:id="2381"/>
    </w:p>
    <w:p w14:paraId="1635D77D">
      <w:pPr>
        <w:pStyle w:val="12"/>
        <w:spacing w:line="400" w:lineRule="exact"/>
        <w:jc w:val="both"/>
        <w:rPr>
          <w:rFonts w:hint="eastAsia" w:ascii="宋体" w:hAnsi="宋体" w:eastAsia="宋体" w:cs="宋体"/>
          <w:b/>
          <w:color w:val="auto"/>
          <w:sz w:val="32"/>
          <w:szCs w:val="32"/>
          <w:highlight w:val="none"/>
        </w:rPr>
      </w:pPr>
    </w:p>
    <w:p w14:paraId="6461586C">
      <w:pPr>
        <w:pStyle w:val="12"/>
        <w:spacing w:line="400" w:lineRule="exact"/>
        <w:jc w:val="both"/>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hAnsi="宋体" w:cs="宋体"/>
          <w:color w:val="auto"/>
          <w:szCs w:val="21"/>
          <w:highlight w:val="none"/>
          <w:u w:val="single"/>
          <w:lang w:eastAsia="zh-CN"/>
        </w:rPr>
        <w:t xml:space="preserve">广西龙珂建设工程集团有限公司 </w:t>
      </w:r>
    </w:p>
    <w:p w14:paraId="1839DAB3">
      <w:pPr>
        <w:rPr>
          <w:rFonts w:hint="eastAsia" w:ascii="宋体" w:hAnsi="宋体" w:eastAsia="宋体" w:cs="宋体"/>
          <w:color w:val="auto"/>
          <w:szCs w:val="21"/>
          <w:highlight w:val="none"/>
          <w:u w:val="single"/>
        </w:rPr>
      </w:pPr>
    </w:p>
    <w:p w14:paraId="14E6694B">
      <w:pPr>
        <w:pStyle w:val="9"/>
        <w:rPr>
          <w:rFonts w:hint="eastAsia" w:ascii="宋体" w:hAnsi="宋体" w:eastAsia="宋体" w:cs="宋体"/>
          <w:color w:val="auto"/>
          <w:highlight w:val="none"/>
        </w:rPr>
      </w:pPr>
    </w:p>
    <w:p w14:paraId="385E1A33">
      <w:pPr>
        <w:pStyle w:val="12"/>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7747F85">
      <w:pPr>
        <w:rPr>
          <w:rFonts w:hint="eastAsia" w:ascii="宋体" w:hAnsi="宋体" w:eastAsia="宋体" w:cs="宋体"/>
          <w:color w:val="auto"/>
          <w:highlight w:val="none"/>
        </w:rPr>
      </w:pPr>
    </w:p>
    <w:p w14:paraId="5B545887">
      <w:pPr>
        <w:snapToGrid w:val="0"/>
        <w:spacing w:line="400" w:lineRule="exact"/>
        <w:ind w:firstLine="1890" w:firstLineChars="900"/>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C7B4D44">
      <w:pPr>
        <w:pStyle w:val="12"/>
        <w:ind w:firstLine="3990" w:firstLineChars="1900"/>
        <w:rPr>
          <w:rFonts w:hint="eastAsia" w:ascii="宋体" w:hAnsi="宋体" w:eastAsia="宋体" w:cs="宋体"/>
          <w:color w:val="auto"/>
          <w:highlight w:val="none"/>
        </w:rPr>
      </w:pPr>
    </w:p>
    <w:p w14:paraId="0BF9B2A0">
      <w:pPr>
        <w:pStyle w:val="12"/>
        <w:ind w:firstLine="3990" w:firstLineChars="19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744E7465">
      <w:pPr>
        <w:pStyle w:val="12"/>
        <w:spacing w:line="340" w:lineRule="exact"/>
        <w:rPr>
          <w:rFonts w:hint="eastAsia" w:ascii="宋体" w:hAnsi="宋体" w:eastAsia="宋体" w:cs="宋体"/>
          <w:b/>
          <w:color w:val="auto"/>
          <w:sz w:val="28"/>
          <w:szCs w:val="28"/>
          <w:highlight w:val="none"/>
        </w:rPr>
      </w:pPr>
    </w:p>
    <w:p w14:paraId="3ECD1DDF">
      <w:pPr>
        <w:pStyle w:val="12"/>
        <w:spacing w:line="340" w:lineRule="exact"/>
        <w:rPr>
          <w:rFonts w:hint="eastAsia" w:ascii="宋体" w:hAnsi="宋体" w:eastAsia="宋体" w:cs="宋体"/>
          <w:b/>
          <w:color w:val="auto"/>
          <w:sz w:val="28"/>
          <w:szCs w:val="28"/>
          <w:highlight w:val="none"/>
          <w:lang w:val="en-US" w:eastAsia="zh-CN"/>
        </w:rPr>
      </w:pPr>
    </w:p>
    <w:p w14:paraId="71DD12CE">
      <w:pPr>
        <w:pStyle w:val="12"/>
        <w:spacing w:line="340" w:lineRule="exact"/>
        <w:rPr>
          <w:rFonts w:hint="eastAsia" w:ascii="宋体" w:hAnsi="宋体" w:eastAsia="宋体" w:cs="宋体"/>
          <w:b/>
          <w:color w:val="auto"/>
          <w:sz w:val="28"/>
          <w:szCs w:val="28"/>
          <w:highlight w:val="none"/>
          <w:lang w:val="en-US" w:eastAsia="zh-CN"/>
        </w:rPr>
      </w:pPr>
    </w:p>
    <w:p w14:paraId="1BFA518D">
      <w:pPr>
        <w:pStyle w:val="12"/>
        <w:spacing w:line="3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4</w:t>
      </w:r>
      <w:r>
        <w:rPr>
          <w:rFonts w:hint="eastAsia" w:ascii="宋体" w:hAnsi="宋体" w:eastAsia="宋体" w:cs="宋体"/>
          <w:b/>
          <w:color w:val="auto"/>
          <w:sz w:val="28"/>
          <w:szCs w:val="28"/>
          <w:highlight w:val="none"/>
        </w:rPr>
        <w:t>.供应商的法人或者其他组织营业执照等证明文件复印件（必须提供，自然人除外）；</w:t>
      </w:r>
    </w:p>
    <w:p w14:paraId="1DB6022C">
      <w:pPr>
        <w:tabs>
          <w:tab w:val="left" w:pos="1305"/>
        </w:tabs>
        <w:spacing w:line="340" w:lineRule="exact"/>
        <w:rPr>
          <w:rFonts w:hint="eastAsia" w:ascii="宋体" w:hAnsi="宋体" w:eastAsia="宋体" w:cs="宋体"/>
          <w:b/>
          <w:color w:val="auto"/>
          <w:szCs w:val="21"/>
          <w:highlight w:val="none"/>
        </w:rPr>
      </w:pPr>
    </w:p>
    <w:p w14:paraId="658F429F">
      <w:pPr>
        <w:tabs>
          <w:tab w:val="left" w:pos="1305"/>
        </w:tabs>
        <w:spacing w:line="40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1E52D8F">
      <w:pPr>
        <w:rPr>
          <w:rFonts w:hint="eastAsia" w:ascii="宋体" w:hAnsi="宋体" w:eastAsia="宋体" w:cs="宋体"/>
          <w:b/>
          <w:bCs/>
          <w:color w:val="auto"/>
          <w:sz w:val="28"/>
          <w:szCs w:val="28"/>
          <w:highlight w:val="none"/>
        </w:rPr>
      </w:pPr>
    </w:p>
    <w:p w14:paraId="58DDBBB4">
      <w:pPr>
        <w:pStyle w:val="12"/>
        <w:numPr>
          <w:ilvl w:val="0"/>
          <w:numId w:val="0"/>
        </w:numPr>
        <w:spacing w:line="340" w:lineRule="exact"/>
        <w:rPr>
          <w:rFonts w:hint="eastAsia" w:ascii="宋体" w:hAnsi="宋体" w:eastAsia="宋体" w:cs="宋体"/>
          <w:b/>
          <w:color w:val="auto"/>
          <w:sz w:val="28"/>
          <w:szCs w:val="28"/>
          <w:highlight w:val="none"/>
          <w:lang w:val="en-US" w:eastAsia="zh-CN"/>
        </w:rPr>
      </w:pPr>
    </w:p>
    <w:p w14:paraId="76C3DAEF">
      <w:pPr>
        <w:pStyle w:val="12"/>
        <w:numPr>
          <w:ilvl w:val="0"/>
          <w:numId w:val="0"/>
        </w:numPr>
        <w:spacing w:line="34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5.供应商有效的资质证书复印件（必须提供）；</w:t>
      </w:r>
    </w:p>
    <w:p w14:paraId="6C463C4A">
      <w:pPr>
        <w:pStyle w:val="7"/>
        <w:numPr>
          <w:ilvl w:val="0"/>
          <w:numId w:val="0"/>
        </w:numPr>
        <w:ind w:leftChars="200"/>
        <w:rPr>
          <w:rFonts w:hint="eastAsia"/>
          <w:color w:val="auto"/>
          <w:highlight w:val="none"/>
          <w:lang w:val="en-US" w:eastAsia="zh-CN"/>
        </w:rPr>
      </w:pPr>
    </w:p>
    <w:p w14:paraId="19B2440C">
      <w:pPr>
        <w:pStyle w:val="12"/>
        <w:spacing w:line="340" w:lineRule="exact"/>
        <w:rPr>
          <w:rFonts w:hint="eastAsia" w:ascii="宋体" w:hAnsi="宋体" w:eastAsia="宋体" w:cs="宋体"/>
          <w:b/>
          <w:color w:val="auto"/>
          <w:sz w:val="28"/>
          <w:szCs w:val="28"/>
          <w:highlight w:val="none"/>
          <w:lang w:val="en-US" w:eastAsia="zh-CN"/>
        </w:rPr>
      </w:pPr>
    </w:p>
    <w:p w14:paraId="05ABFB50">
      <w:pPr>
        <w:pStyle w:val="12"/>
        <w:spacing w:line="340" w:lineRule="exact"/>
        <w:rPr>
          <w:rFonts w:hint="eastAsia" w:ascii="宋体" w:hAnsi="宋体" w:eastAsia="宋体" w:cs="宋体"/>
          <w:b/>
          <w:color w:val="auto"/>
          <w:sz w:val="28"/>
          <w:szCs w:val="28"/>
          <w:highlight w:val="none"/>
          <w:lang w:val="en-US" w:eastAsia="zh-CN"/>
        </w:rPr>
      </w:pPr>
    </w:p>
    <w:p w14:paraId="633E1903">
      <w:pPr>
        <w:pStyle w:val="12"/>
        <w:spacing w:line="340" w:lineRule="exact"/>
        <w:rPr>
          <w:rFonts w:hint="eastAsia" w:ascii="宋体" w:hAnsi="宋体" w:eastAsia="宋体" w:cs="宋体"/>
          <w:b/>
          <w:color w:val="auto"/>
          <w:sz w:val="28"/>
          <w:szCs w:val="28"/>
          <w:highlight w:val="none"/>
          <w:lang w:val="en-US" w:eastAsia="zh-CN"/>
        </w:rPr>
      </w:pPr>
    </w:p>
    <w:p w14:paraId="211323E7">
      <w:pPr>
        <w:pStyle w:val="12"/>
        <w:spacing w:line="340" w:lineRule="exact"/>
        <w:rPr>
          <w:rFonts w:hint="eastAsia" w:ascii="宋体" w:hAnsi="宋体" w:eastAsia="宋体" w:cs="宋体"/>
          <w:b/>
          <w:color w:val="auto"/>
          <w:sz w:val="28"/>
          <w:szCs w:val="28"/>
          <w:highlight w:val="none"/>
          <w:lang w:val="en-US" w:eastAsia="zh-CN"/>
        </w:rPr>
      </w:pPr>
    </w:p>
    <w:p w14:paraId="6667D723">
      <w:pPr>
        <w:pStyle w:val="12"/>
        <w:spacing w:line="340" w:lineRule="exact"/>
        <w:rPr>
          <w:rFonts w:hint="eastAsia" w:ascii="宋体" w:hAnsi="宋体" w:eastAsia="宋体" w:cs="宋体"/>
          <w:b/>
          <w:color w:val="auto"/>
          <w:sz w:val="28"/>
          <w:szCs w:val="28"/>
          <w:highlight w:val="none"/>
          <w:lang w:val="en-US" w:eastAsia="zh-CN"/>
        </w:rPr>
      </w:pPr>
    </w:p>
    <w:p w14:paraId="0361CCAD">
      <w:pPr>
        <w:spacing w:line="240" w:lineRule="auto"/>
        <w:rPr>
          <w:rFonts w:hint="eastAsia" w:ascii="宋体" w:hAnsi="宋体" w:eastAsia="宋体" w:cs="宋体"/>
          <w:b/>
          <w:bCs/>
          <w:iCs/>
          <w:color w:val="auto"/>
          <w:kern w:val="2"/>
          <w:sz w:val="28"/>
          <w:szCs w:val="28"/>
          <w:highlight w:val="none"/>
          <w:lang w:val="en-US" w:eastAsia="zh-CN" w:bidi="ar-SA"/>
        </w:rPr>
      </w:pPr>
      <w:r>
        <w:rPr>
          <w:rFonts w:hint="eastAsia" w:ascii="宋体" w:hAnsi="宋体" w:eastAsia="宋体" w:cs="宋体"/>
          <w:b/>
          <w:bCs/>
          <w:iCs/>
          <w:color w:val="auto"/>
          <w:kern w:val="2"/>
          <w:sz w:val="28"/>
          <w:szCs w:val="28"/>
          <w:highlight w:val="none"/>
          <w:lang w:val="en-US" w:eastAsia="zh-CN" w:bidi="ar-SA"/>
        </w:rPr>
        <w:t>6.《中小企业声明函》或《残疾人福利性单位声明函》或省级以上监狱管理局、戒毒管理局（含新疆生产建设兵团）出具的属于监狱企业的证明文件复印件（必须提供其中一项）；</w:t>
      </w:r>
    </w:p>
    <w:p w14:paraId="1604E33E">
      <w:pPr>
        <w:jc w:val="center"/>
        <w:outlineLvl w:val="9"/>
        <w:rPr>
          <w:rStyle w:val="47"/>
          <w:rFonts w:ascii="宋体" w:hAnsi="宋体" w:cs="宋体"/>
          <w:b/>
          <w:bCs/>
          <w:color w:val="auto"/>
          <w:kern w:val="0"/>
          <w:sz w:val="21"/>
          <w:szCs w:val="21"/>
          <w:highlight w:val="none"/>
        </w:rPr>
      </w:pPr>
    </w:p>
    <w:p w14:paraId="0C5C1205">
      <w:pPr>
        <w:jc w:val="center"/>
        <w:outlineLvl w:val="9"/>
        <w:rPr>
          <w:rStyle w:val="47"/>
          <w:rFonts w:ascii="宋体" w:hAnsi="宋体" w:cs="宋体"/>
          <w:b/>
          <w:bCs/>
          <w:color w:val="auto"/>
          <w:kern w:val="0"/>
          <w:sz w:val="24"/>
          <w:szCs w:val="24"/>
          <w:highlight w:val="none"/>
        </w:rPr>
      </w:pPr>
      <w:r>
        <w:rPr>
          <w:rStyle w:val="47"/>
          <w:rFonts w:hint="eastAsia" w:ascii="宋体" w:hAnsi="宋体" w:cs="宋体"/>
          <w:b/>
          <w:bCs/>
          <w:color w:val="auto"/>
          <w:kern w:val="0"/>
          <w:sz w:val="24"/>
          <w:szCs w:val="24"/>
          <w:highlight w:val="none"/>
          <w:lang w:eastAsia="zh-CN"/>
        </w:rPr>
        <w:t>（</w:t>
      </w:r>
      <w:r>
        <w:rPr>
          <w:rStyle w:val="47"/>
          <w:rFonts w:hint="eastAsia" w:ascii="宋体" w:hAnsi="宋体" w:cs="宋体"/>
          <w:b/>
          <w:bCs/>
          <w:color w:val="auto"/>
          <w:kern w:val="0"/>
          <w:sz w:val="24"/>
          <w:szCs w:val="24"/>
          <w:highlight w:val="none"/>
          <w:lang w:val="en-US" w:eastAsia="zh-CN"/>
        </w:rPr>
        <w:t>1</w:t>
      </w:r>
      <w:r>
        <w:rPr>
          <w:rStyle w:val="47"/>
          <w:rFonts w:hint="eastAsia" w:ascii="宋体" w:hAnsi="宋体" w:cs="宋体"/>
          <w:b/>
          <w:bCs/>
          <w:color w:val="auto"/>
          <w:kern w:val="0"/>
          <w:sz w:val="24"/>
          <w:szCs w:val="24"/>
          <w:highlight w:val="none"/>
          <w:lang w:eastAsia="zh-CN"/>
        </w:rPr>
        <w:t>）</w:t>
      </w:r>
      <w:r>
        <w:rPr>
          <w:rStyle w:val="47"/>
          <w:rFonts w:ascii="宋体" w:hAnsi="宋体" w:cs="宋体"/>
          <w:b/>
          <w:bCs/>
          <w:color w:val="auto"/>
          <w:kern w:val="0"/>
          <w:sz w:val="24"/>
          <w:szCs w:val="24"/>
          <w:highlight w:val="none"/>
        </w:rPr>
        <w:t>中小企业声明函（</w:t>
      </w:r>
      <w:r>
        <w:rPr>
          <w:rStyle w:val="47"/>
          <w:rFonts w:hint="eastAsia" w:ascii="宋体" w:hAnsi="宋体" w:cs="宋体"/>
          <w:b/>
          <w:bCs/>
          <w:color w:val="auto"/>
          <w:kern w:val="0"/>
          <w:sz w:val="24"/>
          <w:szCs w:val="24"/>
          <w:highlight w:val="none"/>
        </w:rPr>
        <w:t>工程</w:t>
      </w:r>
      <w:r>
        <w:rPr>
          <w:rStyle w:val="47"/>
          <w:rFonts w:ascii="宋体" w:hAnsi="宋体" w:cs="宋体"/>
          <w:b/>
          <w:bCs/>
          <w:color w:val="auto"/>
          <w:kern w:val="0"/>
          <w:sz w:val="24"/>
          <w:szCs w:val="24"/>
          <w:highlight w:val="none"/>
        </w:rPr>
        <w:t>）</w:t>
      </w:r>
    </w:p>
    <w:p w14:paraId="53E76CC9">
      <w:pPr>
        <w:pStyle w:val="48"/>
        <w:ind w:left="63" w:right="63"/>
        <w:rPr>
          <w:color w:val="auto"/>
          <w:sz w:val="21"/>
          <w:szCs w:val="21"/>
          <w:highlight w:val="none"/>
        </w:rPr>
      </w:pPr>
    </w:p>
    <w:p w14:paraId="2C2A891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r>
        <w:rPr>
          <w:rStyle w:val="47"/>
          <w:rFonts w:ascii="宋体" w:hAnsi="宋体"/>
          <w:color w:val="auto"/>
          <w:kern w:val="0"/>
          <w:sz w:val="21"/>
          <w:szCs w:val="21"/>
          <w:highlight w:val="none"/>
        </w:rPr>
        <w:t>本公司郑重声明，根据《政府采购促进中小企业发展管理办法》（财库﹝2020﹞46 号）的规定，本公司参加</w:t>
      </w:r>
      <w:r>
        <w:rPr>
          <w:rStyle w:val="47"/>
          <w:rFonts w:ascii="宋体" w:hAnsi="宋体"/>
          <w:color w:val="auto"/>
          <w:kern w:val="0"/>
          <w:sz w:val="21"/>
          <w:szCs w:val="21"/>
          <w:highlight w:val="none"/>
          <w:u w:val="single" w:color="000000"/>
        </w:rPr>
        <w:t>（单位名称）</w:t>
      </w:r>
      <w:r>
        <w:rPr>
          <w:rStyle w:val="47"/>
          <w:rFonts w:ascii="宋体" w:hAnsi="宋体"/>
          <w:color w:val="auto"/>
          <w:kern w:val="0"/>
          <w:sz w:val="21"/>
          <w:szCs w:val="21"/>
          <w:highlight w:val="none"/>
        </w:rPr>
        <w:t>的</w:t>
      </w:r>
      <w:r>
        <w:rPr>
          <w:rStyle w:val="47"/>
          <w:rFonts w:ascii="宋体" w:hAnsi="宋体"/>
          <w:color w:val="auto"/>
          <w:kern w:val="0"/>
          <w:sz w:val="21"/>
          <w:szCs w:val="21"/>
          <w:highlight w:val="none"/>
          <w:u w:val="single" w:color="000000"/>
        </w:rPr>
        <w:t>（项目名称）</w:t>
      </w:r>
      <w:r>
        <w:rPr>
          <w:rStyle w:val="47"/>
          <w:rFonts w:ascii="宋体" w:hAnsi="宋体"/>
          <w:color w:val="auto"/>
          <w:kern w:val="0"/>
          <w:sz w:val="21"/>
          <w:szCs w:val="21"/>
          <w:highlight w:val="none"/>
        </w:rPr>
        <w:t>采购活动，</w:t>
      </w:r>
      <w:r>
        <w:rPr>
          <w:rStyle w:val="47"/>
          <w:rFonts w:hint="eastAsia" w:ascii="宋体" w:hAnsi="宋体" w:eastAsia="宋体"/>
          <w:color w:val="auto"/>
          <w:kern w:val="0"/>
          <w:sz w:val="21"/>
          <w:szCs w:val="21"/>
          <w:highlight w:val="none"/>
          <w:lang w:val="en-US" w:eastAsia="zh-CN"/>
        </w:rPr>
        <w:t>工程的施工单位</w:t>
      </w:r>
      <w:r>
        <w:rPr>
          <w:rStyle w:val="47"/>
          <w:rFonts w:ascii="宋体" w:hAnsi="宋体"/>
          <w:color w:val="auto"/>
          <w:kern w:val="0"/>
          <w:sz w:val="21"/>
          <w:szCs w:val="21"/>
          <w:highlight w:val="none"/>
        </w:rPr>
        <w:t>全部</w:t>
      </w:r>
      <w:r>
        <w:rPr>
          <w:rStyle w:val="47"/>
          <w:rFonts w:hint="eastAsia" w:ascii="宋体" w:hAnsi="宋体" w:eastAsia="宋体"/>
          <w:color w:val="auto"/>
          <w:kern w:val="0"/>
          <w:sz w:val="21"/>
          <w:szCs w:val="21"/>
          <w:highlight w:val="none"/>
          <w:lang w:val="en-US" w:eastAsia="zh-CN"/>
        </w:rPr>
        <w:t>为</w:t>
      </w:r>
      <w:r>
        <w:rPr>
          <w:rStyle w:val="47"/>
          <w:rFonts w:ascii="宋体" w:hAnsi="宋体"/>
          <w:color w:val="auto"/>
          <w:kern w:val="0"/>
          <w:sz w:val="21"/>
          <w:szCs w:val="21"/>
          <w:highlight w:val="none"/>
        </w:rPr>
        <w:t>符合政策要求的中小企业。相关企业（含联合体中的中小企业、签订分包意向协议的中小企业）的具体情况如下：</w:t>
      </w:r>
    </w:p>
    <w:p w14:paraId="7F3E4A42">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r>
        <w:rPr>
          <w:rStyle w:val="47"/>
          <w:rFonts w:ascii="宋体" w:hAnsi="宋体"/>
          <w:color w:val="auto"/>
          <w:kern w:val="0"/>
          <w:sz w:val="21"/>
          <w:szCs w:val="21"/>
          <w:highlight w:val="none"/>
        </w:rPr>
        <w:t xml:space="preserve">1. </w:t>
      </w:r>
      <w:r>
        <w:rPr>
          <w:rStyle w:val="47"/>
          <w:rFonts w:ascii="宋体" w:hAnsi="宋体"/>
          <w:color w:val="auto"/>
          <w:kern w:val="0"/>
          <w:sz w:val="21"/>
          <w:szCs w:val="21"/>
          <w:highlight w:val="none"/>
          <w:u w:val="single" w:color="000000"/>
        </w:rPr>
        <w:t xml:space="preserve">（标的名称） </w:t>
      </w:r>
      <w:r>
        <w:rPr>
          <w:rStyle w:val="47"/>
          <w:rFonts w:ascii="宋体" w:hAnsi="宋体"/>
          <w:color w:val="auto"/>
          <w:kern w:val="0"/>
          <w:sz w:val="21"/>
          <w:szCs w:val="21"/>
          <w:highlight w:val="none"/>
        </w:rPr>
        <w:t xml:space="preserve">，属于 </w:t>
      </w:r>
      <w:r>
        <w:rPr>
          <w:rStyle w:val="47"/>
          <w:rFonts w:ascii="宋体" w:hAnsi="宋体"/>
          <w:color w:val="auto"/>
          <w:kern w:val="0"/>
          <w:sz w:val="21"/>
          <w:szCs w:val="21"/>
          <w:highlight w:val="none"/>
          <w:u w:val="single" w:color="000000"/>
        </w:rPr>
        <w:t>（</w:t>
      </w:r>
      <w:r>
        <w:rPr>
          <w:rStyle w:val="47"/>
          <w:rFonts w:hint="eastAsia" w:ascii="宋体" w:hAnsi="宋体"/>
          <w:color w:val="auto"/>
          <w:kern w:val="0"/>
          <w:sz w:val="21"/>
          <w:szCs w:val="21"/>
          <w:highlight w:val="none"/>
          <w:u w:val="single" w:color="000000"/>
        </w:rPr>
        <w:t>招标</w:t>
      </w:r>
      <w:r>
        <w:rPr>
          <w:rStyle w:val="47"/>
          <w:rFonts w:ascii="宋体" w:hAnsi="宋体"/>
          <w:color w:val="auto"/>
          <w:kern w:val="0"/>
          <w:sz w:val="21"/>
          <w:szCs w:val="21"/>
          <w:highlight w:val="none"/>
          <w:u w:val="single" w:color="000000"/>
        </w:rPr>
        <w:t xml:space="preserve">文件中明确的所属行业） </w:t>
      </w:r>
      <w:r>
        <w:rPr>
          <w:rStyle w:val="47"/>
          <w:rFonts w:ascii="宋体" w:hAnsi="宋体"/>
          <w:color w:val="auto"/>
          <w:kern w:val="0"/>
          <w:sz w:val="21"/>
          <w:szCs w:val="21"/>
          <w:highlight w:val="none"/>
        </w:rPr>
        <w:t>； 承接企业为</w:t>
      </w:r>
      <w:r>
        <w:rPr>
          <w:rStyle w:val="47"/>
          <w:rFonts w:ascii="宋体" w:hAnsi="宋体"/>
          <w:color w:val="auto"/>
          <w:kern w:val="0"/>
          <w:sz w:val="21"/>
          <w:szCs w:val="21"/>
          <w:highlight w:val="none"/>
          <w:u w:val="single" w:color="000000"/>
        </w:rPr>
        <w:t>（企业名称）</w:t>
      </w:r>
      <w:r>
        <w:rPr>
          <w:rStyle w:val="47"/>
          <w:rFonts w:ascii="宋体" w:hAnsi="宋体"/>
          <w:color w:val="auto"/>
          <w:kern w:val="0"/>
          <w:sz w:val="21"/>
          <w:szCs w:val="21"/>
          <w:highlight w:val="none"/>
        </w:rPr>
        <w:t>，从业人员</w:t>
      </w:r>
      <w:r>
        <w:rPr>
          <w:rStyle w:val="47"/>
          <w:rFonts w:ascii="宋体" w:hAnsi="宋体"/>
          <w:color w:val="auto"/>
          <w:kern w:val="0"/>
          <w:sz w:val="21"/>
          <w:szCs w:val="21"/>
          <w:highlight w:val="none"/>
          <w:u w:val="single" w:color="000000"/>
        </w:rPr>
        <w:t xml:space="preserve">    </w:t>
      </w:r>
      <w:r>
        <w:rPr>
          <w:rStyle w:val="47"/>
          <w:rFonts w:ascii="宋体" w:hAnsi="宋体"/>
          <w:color w:val="auto"/>
          <w:kern w:val="0"/>
          <w:sz w:val="21"/>
          <w:szCs w:val="21"/>
          <w:highlight w:val="none"/>
        </w:rPr>
        <w:t>人，营业收入为</w:t>
      </w:r>
      <w:r>
        <w:rPr>
          <w:rStyle w:val="47"/>
          <w:rFonts w:ascii="宋体" w:hAnsi="宋体"/>
          <w:color w:val="auto"/>
          <w:kern w:val="0"/>
          <w:sz w:val="21"/>
          <w:szCs w:val="21"/>
          <w:highlight w:val="none"/>
          <w:u w:val="single" w:color="000000"/>
        </w:rPr>
        <w:t xml:space="preserve">    </w:t>
      </w:r>
      <w:r>
        <w:rPr>
          <w:rStyle w:val="47"/>
          <w:rFonts w:ascii="宋体" w:hAnsi="宋体"/>
          <w:color w:val="auto"/>
          <w:kern w:val="0"/>
          <w:sz w:val="21"/>
          <w:szCs w:val="21"/>
          <w:highlight w:val="none"/>
        </w:rPr>
        <w:t>万元，资产总额为</w:t>
      </w:r>
      <w:r>
        <w:rPr>
          <w:rStyle w:val="47"/>
          <w:rFonts w:ascii="宋体" w:hAnsi="宋体"/>
          <w:color w:val="auto"/>
          <w:kern w:val="0"/>
          <w:sz w:val="21"/>
          <w:szCs w:val="21"/>
          <w:highlight w:val="none"/>
          <w:u w:val="single" w:color="000000"/>
        </w:rPr>
        <w:t xml:space="preserve">    </w:t>
      </w:r>
      <w:r>
        <w:rPr>
          <w:rStyle w:val="47"/>
          <w:rFonts w:ascii="宋体" w:hAnsi="宋体"/>
          <w:color w:val="auto"/>
          <w:kern w:val="0"/>
          <w:sz w:val="21"/>
          <w:szCs w:val="21"/>
          <w:highlight w:val="none"/>
        </w:rPr>
        <w:t>万元，属于</w:t>
      </w:r>
      <w:r>
        <w:rPr>
          <w:rStyle w:val="47"/>
          <w:rFonts w:ascii="宋体" w:hAnsi="宋体"/>
          <w:color w:val="auto"/>
          <w:kern w:val="0"/>
          <w:sz w:val="21"/>
          <w:szCs w:val="21"/>
          <w:highlight w:val="none"/>
          <w:u w:val="single" w:color="000000"/>
        </w:rPr>
        <w:t>（中型企业、 小型企业、微型企业）</w:t>
      </w:r>
      <w:r>
        <w:rPr>
          <w:rStyle w:val="47"/>
          <w:rFonts w:ascii="宋体" w:hAnsi="宋体"/>
          <w:color w:val="auto"/>
          <w:kern w:val="0"/>
          <w:sz w:val="21"/>
          <w:szCs w:val="21"/>
          <w:highlight w:val="none"/>
        </w:rPr>
        <w:t xml:space="preserve">； </w:t>
      </w:r>
    </w:p>
    <w:p w14:paraId="5AED88B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r>
        <w:rPr>
          <w:rStyle w:val="47"/>
          <w:rFonts w:ascii="宋体" w:hAnsi="宋体"/>
          <w:color w:val="auto"/>
          <w:kern w:val="0"/>
          <w:sz w:val="21"/>
          <w:szCs w:val="21"/>
          <w:highlight w:val="none"/>
        </w:rPr>
        <w:t>以上企业，不属于大企业的分支机构，不存在控股股东 为大企业的情形，也不存在与大企业的负责人为同一人的情形。</w:t>
      </w:r>
    </w:p>
    <w:p w14:paraId="6C1C6D9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r>
        <w:rPr>
          <w:rStyle w:val="47"/>
          <w:rFonts w:ascii="宋体" w:hAnsi="宋体"/>
          <w:color w:val="auto"/>
          <w:kern w:val="0"/>
          <w:sz w:val="21"/>
          <w:szCs w:val="21"/>
          <w:highlight w:val="none"/>
        </w:rPr>
        <w:t xml:space="preserve">本企业对上述声明内容的真实性负责。如有虚假，将依法承担相应责任。 </w:t>
      </w:r>
    </w:p>
    <w:p w14:paraId="07ED59F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p>
    <w:p w14:paraId="6691CF54">
      <w:pPr>
        <w:widowControl/>
        <w:ind w:firstLine="2310" w:firstLineChars="1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0F6A6791">
      <w:pPr>
        <w:pStyle w:val="12"/>
        <w:spacing w:line="300" w:lineRule="exact"/>
        <w:ind w:left="2940" w:leftChars="1400" w:firstLine="630" w:firstLineChars="300"/>
        <w:rPr>
          <w:rFonts w:hint="eastAsia" w:ascii="宋体" w:hAnsi="宋体" w:eastAsia="宋体" w:cs="宋体"/>
          <w:color w:val="auto"/>
          <w:highlight w:val="none"/>
        </w:rPr>
      </w:pPr>
    </w:p>
    <w:p w14:paraId="0A73DCF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488DB8B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7"/>
          <w:rFonts w:ascii="宋体" w:hAnsi="宋体"/>
          <w:color w:val="auto"/>
          <w:kern w:val="0"/>
          <w:sz w:val="21"/>
          <w:szCs w:val="21"/>
          <w:highlight w:val="none"/>
        </w:rPr>
      </w:pPr>
    </w:p>
    <w:p w14:paraId="7837F6A8">
      <w:pPr>
        <w:pStyle w:val="17"/>
        <w:rPr>
          <w:rFonts w:hint="eastAsia" w:ascii="宋体" w:hAnsi="宋体" w:eastAsia="宋体" w:cs="宋体"/>
          <w:b/>
          <w:color w:val="auto"/>
          <w:sz w:val="21"/>
          <w:szCs w:val="21"/>
          <w:highlight w:val="none"/>
        </w:rPr>
      </w:pPr>
    </w:p>
    <w:p w14:paraId="1039F59B">
      <w:pPr>
        <w:pStyle w:val="17"/>
        <w:rPr>
          <w:rFonts w:hint="eastAsia" w:ascii="宋体" w:hAnsi="宋体" w:eastAsia="宋体" w:cs="宋体"/>
          <w:b/>
          <w:bCs/>
          <w:color w:val="auto"/>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532765E0">
      <w:pPr>
        <w:spacing w:line="360" w:lineRule="auto"/>
        <w:rPr>
          <w:rFonts w:hint="eastAsia" w:ascii="宋体" w:hAnsi="宋体" w:eastAsia="宋体" w:cs="宋体"/>
          <w:b/>
          <w:color w:val="auto"/>
          <w:kern w:val="0"/>
          <w:sz w:val="28"/>
          <w:szCs w:val="28"/>
          <w:highlight w:val="none"/>
        </w:rPr>
      </w:pPr>
    </w:p>
    <w:p w14:paraId="56F2ED7B">
      <w:pPr>
        <w:spacing w:line="460" w:lineRule="exact"/>
        <w:rPr>
          <w:rFonts w:hint="eastAsia" w:ascii="宋体" w:hAnsi="宋体" w:eastAsia="宋体" w:cs="宋体"/>
          <w:b/>
          <w:color w:val="auto"/>
          <w:kern w:val="0"/>
          <w:sz w:val="28"/>
          <w:szCs w:val="28"/>
          <w:highlight w:val="none"/>
        </w:rPr>
      </w:pPr>
    </w:p>
    <w:p w14:paraId="4EFE643F">
      <w:pPr>
        <w:pStyle w:val="9"/>
        <w:rPr>
          <w:rFonts w:hint="eastAsia" w:ascii="宋体" w:hAnsi="宋体" w:eastAsia="宋体" w:cs="宋体"/>
          <w:b/>
          <w:color w:val="auto"/>
          <w:kern w:val="0"/>
          <w:sz w:val="28"/>
          <w:szCs w:val="28"/>
          <w:highlight w:val="none"/>
        </w:rPr>
      </w:pPr>
    </w:p>
    <w:p w14:paraId="5291D2FA">
      <w:pPr>
        <w:rPr>
          <w:rFonts w:hint="eastAsia"/>
          <w:color w:val="auto"/>
          <w:highlight w:val="none"/>
        </w:rPr>
      </w:pPr>
    </w:p>
    <w:p w14:paraId="633AC8C1">
      <w:pPr>
        <w:rPr>
          <w:rStyle w:val="47"/>
          <w:rFonts w:ascii="宋体" w:hAnsi="宋体" w:cs="宋体"/>
          <w:b/>
          <w:bCs/>
          <w:color w:val="auto"/>
          <w:sz w:val="30"/>
          <w:szCs w:val="30"/>
          <w:highlight w:val="none"/>
        </w:rPr>
      </w:pPr>
    </w:p>
    <w:p w14:paraId="07322FDB">
      <w:pPr>
        <w:rPr>
          <w:rStyle w:val="47"/>
          <w:rFonts w:ascii="宋体" w:hAnsi="宋体" w:cs="宋体"/>
          <w:b/>
          <w:bCs/>
          <w:color w:val="auto"/>
          <w:sz w:val="30"/>
          <w:szCs w:val="30"/>
          <w:highlight w:val="none"/>
        </w:rPr>
      </w:pPr>
    </w:p>
    <w:p w14:paraId="5A88F0D2">
      <w:pPr>
        <w:rPr>
          <w:rStyle w:val="47"/>
          <w:rFonts w:ascii="宋体" w:hAnsi="宋体" w:cs="宋体"/>
          <w:b/>
          <w:bCs/>
          <w:color w:val="auto"/>
          <w:sz w:val="30"/>
          <w:szCs w:val="30"/>
          <w:highlight w:val="none"/>
        </w:rPr>
      </w:pPr>
    </w:p>
    <w:p w14:paraId="53D970C5">
      <w:pPr>
        <w:rPr>
          <w:rStyle w:val="47"/>
          <w:rFonts w:ascii="宋体" w:hAnsi="宋体" w:cs="宋体"/>
          <w:b/>
          <w:bCs/>
          <w:color w:val="auto"/>
          <w:sz w:val="30"/>
          <w:szCs w:val="30"/>
          <w:highlight w:val="none"/>
        </w:rPr>
      </w:pPr>
    </w:p>
    <w:p w14:paraId="78BA68DC">
      <w:pPr>
        <w:rPr>
          <w:rStyle w:val="47"/>
          <w:rFonts w:ascii="宋体" w:hAnsi="宋体" w:cs="宋体"/>
          <w:b/>
          <w:bCs/>
          <w:color w:val="auto"/>
          <w:sz w:val="30"/>
          <w:szCs w:val="30"/>
          <w:highlight w:val="none"/>
        </w:rPr>
      </w:pPr>
    </w:p>
    <w:p w14:paraId="34C6E3B4">
      <w:pPr>
        <w:rPr>
          <w:rStyle w:val="47"/>
          <w:rFonts w:ascii="宋体" w:hAnsi="宋体" w:cs="宋体"/>
          <w:b/>
          <w:bCs/>
          <w:color w:val="auto"/>
          <w:sz w:val="30"/>
          <w:szCs w:val="30"/>
          <w:highlight w:val="none"/>
        </w:rPr>
      </w:pPr>
    </w:p>
    <w:p w14:paraId="3F06B4C9">
      <w:pPr>
        <w:rPr>
          <w:rStyle w:val="47"/>
          <w:rFonts w:ascii="宋体" w:hAnsi="宋体" w:cs="宋体"/>
          <w:b/>
          <w:bCs/>
          <w:color w:val="auto"/>
          <w:sz w:val="30"/>
          <w:szCs w:val="30"/>
          <w:highlight w:val="none"/>
        </w:rPr>
      </w:pPr>
    </w:p>
    <w:p w14:paraId="33E9D732">
      <w:pPr>
        <w:rPr>
          <w:rStyle w:val="47"/>
          <w:rFonts w:ascii="宋体" w:hAnsi="宋体" w:cs="宋体"/>
          <w:b/>
          <w:bCs/>
          <w:color w:val="auto"/>
          <w:sz w:val="30"/>
          <w:szCs w:val="30"/>
          <w:highlight w:val="none"/>
        </w:rPr>
      </w:pPr>
      <w:r>
        <w:rPr>
          <w:rStyle w:val="47"/>
          <w:rFonts w:ascii="宋体" w:hAnsi="宋体" w:cs="宋体"/>
          <w:b/>
          <w:bCs/>
          <w:color w:val="auto"/>
          <w:sz w:val="30"/>
          <w:szCs w:val="30"/>
          <w:highlight w:val="none"/>
        </w:rPr>
        <w:br w:type="page"/>
      </w:r>
    </w:p>
    <w:p w14:paraId="1F96002E">
      <w:pPr>
        <w:rPr>
          <w:rStyle w:val="47"/>
          <w:rFonts w:ascii="宋体" w:hAnsi="宋体" w:cs="宋体"/>
          <w:b/>
          <w:bCs/>
          <w:color w:val="auto"/>
          <w:highlight w:val="none"/>
        </w:rPr>
      </w:pPr>
      <w:r>
        <w:rPr>
          <w:rStyle w:val="47"/>
          <w:rFonts w:ascii="宋体" w:hAnsi="宋体" w:cs="宋体"/>
          <w:b/>
          <w:bCs/>
          <w:color w:val="auto"/>
          <w:sz w:val="30"/>
          <w:szCs w:val="30"/>
          <w:highlight w:val="none"/>
        </w:rPr>
        <w:t>附表</w:t>
      </w:r>
    </w:p>
    <w:p w14:paraId="4197F19F">
      <w:pPr>
        <w:spacing w:before="120" w:after="120" w:line="400" w:lineRule="exact"/>
        <w:jc w:val="center"/>
        <w:rPr>
          <w:rStyle w:val="47"/>
          <w:rFonts w:ascii="宋体" w:hAnsi="宋体" w:cs="宋体"/>
          <w:b/>
          <w:bCs/>
          <w:color w:val="auto"/>
          <w:kern w:val="0"/>
          <w:sz w:val="30"/>
          <w:szCs w:val="30"/>
          <w:highlight w:val="none"/>
        </w:rPr>
      </w:pPr>
      <w:r>
        <w:rPr>
          <w:rStyle w:val="47"/>
          <w:rFonts w:ascii="宋体" w:hAnsi="宋体" w:cs="宋体"/>
          <w:b/>
          <w:bCs/>
          <w:color w:val="auto"/>
          <w:kern w:val="0"/>
          <w:sz w:val="30"/>
          <w:szCs w:val="30"/>
          <w:highlight w:val="none"/>
        </w:rPr>
        <w:t>统计上大中小微型企业划分标准</w:t>
      </w:r>
    </w:p>
    <w:tbl>
      <w:tblPr>
        <w:tblStyle w:val="27"/>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2CA7B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05549BA">
            <w:pPr>
              <w:spacing w:line="240" w:lineRule="exact"/>
              <w:jc w:val="center"/>
              <w:rPr>
                <w:rStyle w:val="47"/>
                <w:rFonts w:ascii="宋体" w:hAnsi="宋体" w:cs="宋体"/>
                <w:b/>
                <w:bCs/>
                <w:color w:val="auto"/>
                <w:kern w:val="0"/>
                <w:sz w:val="18"/>
                <w:szCs w:val="21"/>
                <w:highlight w:val="none"/>
              </w:rPr>
            </w:pPr>
            <w:r>
              <w:rPr>
                <w:rStyle w:val="47"/>
                <w:rFonts w:ascii="宋体" w:hAnsi="宋体" w:cs="宋体"/>
                <w:b/>
                <w:bCs/>
                <w:color w:val="auto"/>
                <w:kern w:val="0"/>
                <w:sz w:val="18"/>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FE1638A">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A2C8964">
            <w:pPr>
              <w:jc w:val="center"/>
              <w:rPr>
                <w:rStyle w:val="47"/>
                <w:rFonts w:hint="eastAsia" w:ascii="宋体" w:hAnsi="宋体" w:eastAsia="宋体" w:cs="宋体"/>
                <w:b/>
                <w:bCs/>
                <w:color w:val="auto"/>
                <w:kern w:val="0"/>
                <w:sz w:val="18"/>
                <w:szCs w:val="18"/>
                <w:highlight w:val="none"/>
                <w:lang w:eastAsia="zh-CN"/>
              </w:rPr>
            </w:pPr>
            <w:r>
              <w:rPr>
                <w:rStyle w:val="47"/>
                <w:rFonts w:ascii="宋体" w:hAnsi="宋体" w:cs="宋体"/>
                <w:b/>
                <w:bCs/>
                <w:color w:val="auto"/>
                <w:kern w:val="0"/>
                <w:sz w:val="18"/>
                <w:szCs w:val="18"/>
                <w:highlight w:val="none"/>
              </w:rPr>
              <w:t>计量</w:t>
            </w:r>
          </w:p>
          <w:p w14:paraId="4D7022EB">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54A8A655">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3D04F98">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27B9AB91">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53319CA">
            <w:pPr>
              <w:jc w:val="center"/>
              <w:rPr>
                <w:rStyle w:val="47"/>
                <w:rFonts w:ascii="宋体" w:hAnsi="宋体" w:cs="宋体"/>
                <w:b/>
                <w:bCs/>
                <w:color w:val="auto"/>
                <w:kern w:val="0"/>
                <w:sz w:val="18"/>
                <w:szCs w:val="18"/>
                <w:highlight w:val="none"/>
              </w:rPr>
            </w:pPr>
            <w:r>
              <w:rPr>
                <w:rStyle w:val="47"/>
                <w:rFonts w:ascii="宋体" w:hAnsi="宋体" w:cs="宋体"/>
                <w:b/>
                <w:bCs/>
                <w:color w:val="auto"/>
                <w:kern w:val="0"/>
                <w:sz w:val="18"/>
                <w:szCs w:val="18"/>
                <w:highlight w:val="none"/>
              </w:rPr>
              <w:t>微型</w:t>
            </w:r>
          </w:p>
        </w:tc>
      </w:tr>
      <w:tr w14:paraId="0799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5E859D70">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4C2031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C5D7B6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BF6150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67531E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607A30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7EB3CB8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Y＜50</w:t>
            </w:r>
          </w:p>
        </w:tc>
      </w:tr>
      <w:tr w14:paraId="5A1AC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121DBAD">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F1AE4D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D736A1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F9F59A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ADA29A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6AA51B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2BC019B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w:t>
            </w:r>
          </w:p>
        </w:tc>
      </w:tr>
      <w:tr w14:paraId="5E998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E69589A">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13161C1">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933CBE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5A9A16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DC3C29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4C9550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582692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Y＜300</w:t>
            </w:r>
          </w:p>
        </w:tc>
      </w:tr>
      <w:tr w14:paraId="17F72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2284FAE">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D48BDE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2BD436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D72089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E5C4B9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DC13A4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3BDDF8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Y＜300</w:t>
            </w:r>
          </w:p>
        </w:tc>
      </w:tr>
      <w:tr w14:paraId="4DBF7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468FC4B">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5C09C9F">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6C1B461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1B5B72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A59D5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D9D83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2B0124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Z＜300</w:t>
            </w:r>
          </w:p>
        </w:tc>
      </w:tr>
      <w:tr w14:paraId="32D87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FBF3E95">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E5E532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C96825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9A1A0A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125C14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B73175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626567B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X＜5</w:t>
            </w:r>
          </w:p>
        </w:tc>
      </w:tr>
      <w:tr w14:paraId="21CDB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1FE47D1">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0F0B2A6">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3A03EC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2197AE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F9E31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19D6C95">
            <w:pPr>
              <w:ind w:left="-1" w:leftChars="-1" w:hanging="1"/>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202F58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Y＜1000</w:t>
            </w:r>
          </w:p>
        </w:tc>
      </w:tr>
      <w:tr w14:paraId="5467B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5AD17A">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ED84F1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A20C0A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15D63A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8D9C3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A739A05">
            <w:pPr>
              <w:ind w:left="-1" w:leftChars="-1" w:hanging="1"/>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0FB9BAE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0AD7A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987588D">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DAA88D0">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C61F7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53EA0B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CFE79A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4D10BC4">
            <w:pPr>
              <w:ind w:left="-1" w:leftChars="-1" w:hanging="1"/>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6C14C73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6BD52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5592671">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5998197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022B2F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FD8E51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67423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5BFB08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7ECCDC2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w:t>
            </w:r>
          </w:p>
        </w:tc>
      </w:tr>
      <w:tr w14:paraId="695D8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EACAE81">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A9D346D">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423CFE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0C1EF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924F2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88D62C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C2368C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Y＜200</w:t>
            </w:r>
          </w:p>
        </w:tc>
      </w:tr>
      <w:tr w14:paraId="720C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97F5859">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D0C50A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0B053C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77D0FB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1E74683">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27B37E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7C2402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w:t>
            </w:r>
          </w:p>
        </w:tc>
      </w:tr>
      <w:tr w14:paraId="65FB1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A62DFB0">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25A851F">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C20A2B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74B095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00FB1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896A1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DE054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2B40D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AD6FA29">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33AEEB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740CC1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D2D0F6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D71575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B56CA9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7939A54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w:t>
            </w:r>
          </w:p>
        </w:tc>
      </w:tr>
      <w:tr w14:paraId="0BE1B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215C2E">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EF1738D">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A7DF9B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1778A5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D004F9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7601A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03E217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6D239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CBDC386">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40962E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64B39F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4A6912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E21C2D5">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A03C22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BDAE12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77290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C53DFCE">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C5AA35E">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C2359F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235461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83C1F8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99EF2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AF100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2BA3E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84F703B">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CA82A1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E53091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00B9C4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5EECAC6">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4D39C8D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6D2B63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378A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6D355B5">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A050FE4">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2CFB37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FB6047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8CC8B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7E96B2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91E294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1D7F9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8281459">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EED092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E3CDA0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68198D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D5A54E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CBF799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5B057E5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74884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BFAC1EB">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C65A0C4">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764FAC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1E6495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15BA34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E680FE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B650C1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1332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0C830D3">
            <w:pPr>
              <w:spacing w:line="240" w:lineRule="exact"/>
              <w:jc w:val="left"/>
              <w:rPr>
                <w:rStyle w:val="47"/>
                <w:rFonts w:ascii="宋体" w:hAnsi="宋体"/>
                <w:color w:val="auto"/>
                <w:spacing w:val="-12"/>
                <w:kern w:val="0"/>
                <w:sz w:val="18"/>
                <w:szCs w:val="18"/>
                <w:highlight w:val="none"/>
              </w:rPr>
            </w:pPr>
            <w:r>
              <w:rPr>
                <w:rStyle w:val="47"/>
                <w:rFonts w:ascii="宋体" w:hAnsi="宋体"/>
                <w:color w:val="auto"/>
                <w:spacing w:val="-12"/>
                <w:kern w:val="0"/>
                <w:sz w:val="18"/>
                <w:szCs w:val="18"/>
                <w:highlight w:val="none"/>
              </w:rPr>
              <w:t>软件和信息技术服</w:t>
            </w:r>
            <w:r>
              <w:rPr>
                <w:rStyle w:val="47"/>
                <w:rFonts w:ascii="宋体" w:hAnsi="宋体"/>
                <w:color w:val="auto"/>
                <w:kern w:val="0"/>
                <w:sz w:val="18"/>
                <w:szCs w:val="18"/>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DAA4BB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5581AC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B0B2FC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B556C6">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776853A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5C637BE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51429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98B5EF0">
            <w:pPr>
              <w:jc w:val="left"/>
              <w:rPr>
                <w:rStyle w:val="47"/>
                <w:rFonts w:ascii="宋体" w:hAnsi="宋体"/>
                <w:color w:val="auto"/>
                <w:spacing w:val="-12"/>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7D38D9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089EE7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14BCB0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FCDFE3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B0B46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0E0277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Y＜50</w:t>
            </w:r>
          </w:p>
        </w:tc>
      </w:tr>
      <w:tr w14:paraId="4FAF0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E94DA28">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1C0A38D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8F1A1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1E3A79D">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C88840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9002862">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612B98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Y＜100</w:t>
            </w:r>
          </w:p>
        </w:tc>
      </w:tr>
      <w:tr w14:paraId="74539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B000BA7">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9DA4E02">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37FB705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6F331F5">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AEF3F4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66117EA">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E5EEA8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Z＜2000</w:t>
            </w:r>
          </w:p>
        </w:tc>
      </w:tr>
      <w:tr w14:paraId="22917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52BA0E8">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3213375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5437C1B">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EFF1447">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79A532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79B3EA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C9724D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X＜100</w:t>
            </w:r>
          </w:p>
        </w:tc>
      </w:tr>
      <w:tr w14:paraId="146A6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904E69B">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B7F30E2">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C19EBD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B452A3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09D282D">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DF6DC1">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EBBD8A4">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Y＜500</w:t>
            </w:r>
          </w:p>
        </w:tc>
      </w:tr>
      <w:tr w14:paraId="47FE7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611FBA1">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10E4A8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F9B643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BBCF65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A272448">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79945AE">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D02DBA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r w14:paraId="6A732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E004638">
            <w:pPr>
              <w:jc w:val="left"/>
              <w:rPr>
                <w:rStyle w:val="4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4D1D444">
            <w:pPr>
              <w:spacing w:line="240" w:lineRule="exact"/>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045182D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C86403F">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3D5D68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A209D29">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A463C6">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Z＜100</w:t>
            </w:r>
          </w:p>
        </w:tc>
      </w:tr>
      <w:tr w14:paraId="1F6B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3972D5F6">
            <w:pPr>
              <w:spacing w:line="240" w:lineRule="exact"/>
              <w:jc w:val="left"/>
              <w:rPr>
                <w:rStyle w:val="47"/>
                <w:rFonts w:ascii="宋体" w:hAnsi="宋体"/>
                <w:color w:val="auto"/>
                <w:kern w:val="0"/>
                <w:sz w:val="18"/>
                <w:szCs w:val="18"/>
                <w:highlight w:val="none"/>
              </w:rPr>
            </w:pPr>
            <w:r>
              <w:rPr>
                <w:rStyle w:val="47"/>
                <w:rFonts w:ascii="宋体" w:hAnsi="宋体"/>
                <w:color w:val="auto"/>
                <w:kern w:val="0"/>
                <w:sz w:val="18"/>
                <w:szCs w:val="18"/>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6E6ACF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785B4A3">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A6A46B0">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545CD9">
            <w:pPr>
              <w:ind w:left="1" w:leftChars="-51" w:hanging="108"/>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FF197C">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E5A0D38">
            <w:pPr>
              <w:jc w:val="center"/>
              <w:rPr>
                <w:rStyle w:val="47"/>
                <w:rFonts w:ascii="宋体" w:hAnsi="宋体"/>
                <w:color w:val="auto"/>
                <w:kern w:val="0"/>
                <w:sz w:val="18"/>
                <w:szCs w:val="18"/>
                <w:highlight w:val="none"/>
              </w:rPr>
            </w:pPr>
            <w:r>
              <w:rPr>
                <w:rStyle w:val="47"/>
                <w:rFonts w:ascii="宋体" w:hAnsi="宋体"/>
                <w:color w:val="auto"/>
                <w:kern w:val="0"/>
                <w:sz w:val="18"/>
                <w:szCs w:val="18"/>
                <w:highlight w:val="none"/>
              </w:rPr>
              <w:t>X＜10</w:t>
            </w:r>
          </w:p>
        </w:tc>
      </w:tr>
    </w:tbl>
    <w:p w14:paraId="7BE40876">
      <w:pPr>
        <w:spacing w:line="540" w:lineRule="exact"/>
        <w:rPr>
          <w:rStyle w:val="47"/>
          <w:rFonts w:ascii="宋体" w:hAnsi="宋体"/>
          <w:color w:val="auto"/>
          <w:spacing w:val="8"/>
          <w:kern w:val="0"/>
          <w:szCs w:val="21"/>
          <w:highlight w:val="none"/>
        </w:rPr>
      </w:pPr>
    </w:p>
    <w:p w14:paraId="64CF32C2">
      <w:pPr>
        <w:spacing w:line="540" w:lineRule="exact"/>
        <w:rPr>
          <w:rStyle w:val="47"/>
          <w:rFonts w:ascii="宋体" w:hAnsi="宋体"/>
          <w:color w:val="auto"/>
          <w:spacing w:val="8"/>
          <w:kern w:val="0"/>
          <w:szCs w:val="21"/>
          <w:highlight w:val="none"/>
        </w:rPr>
      </w:pPr>
      <w:r>
        <w:rPr>
          <w:rStyle w:val="47"/>
          <w:rFonts w:ascii="宋体" w:hAnsi="宋体"/>
          <w:color w:val="auto"/>
          <w:spacing w:val="8"/>
          <w:kern w:val="0"/>
          <w:szCs w:val="21"/>
          <w:highlight w:val="none"/>
        </w:rPr>
        <w:t>说明：</w:t>
      </w:r>
    </w:p>
    <w:p w14:paraId="53F51829">
      <w:pPr>
        <w:pStyle w:val="49"/>
        <w:spacing w:line="380" w:lineRule="exact"/>
        <w:ind w:firstLine="452" w:firstLineChars="200"/>
        <w:rPr>
          <w:rStyle w:val="47"/>
          <w:rFonts w:hAnsi="宋体"/>
          <w:color w:val="auto"/>
          <w:spacing w:val="8"/>
          <w:szCs w:val="21"/>
          <w:highlight w:val="none"/>
        </w:rPr>
      </w:pPr>
      <w:r>
        <w:rPr>
          <w:rStyle w:val="47"/>
          <w:rFonts w:hAnsi="宋体"/>
          <w:color w:val="auto"/>
          <w:spacing w:val="8"/>
          <w:szCs w:val="21"/>
          <w:highlight w:val="none"/>
        </w:rPr>
        <w:t>1.大型、中型和小型企业须同时满足所列指标的下限，否则下划一档；微型企业只须满足所列指标中的一项即可。</w:t>
      </w:r>
    </w:p>
    <w:p w14:paraId="603BDE2C">
      <w:pPr>
        <w:pStyle w:val="49"/>
        <w:spacing w:line="380" w:lineRule="exact"/>
        <w:ind w:firstLine="452" w:firstLineChars="200"/>
        <w:rPr>
          <w:rStyle w:val="47"/>
          <w:rFonts w:hAnsi="宋体"/>
          <w:color w:val="auto"/>
          <w:spacing w:val="8"/>
          <w:szCs w:val="21"/>
          <w:highlight w:val="none"/>
        </w:rPr>
      </w:pPr>
      <w:r>
        <w:rPr>
          <w:rStyle w:val="47"/>
          <w:rFonts w:hAnsi="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159CD55">
      <w:pPr>
        <w:pStyle w:val="12"/>
        <w:spacing w:line="340" w:lineRule="exact"/>
        <w:rPr>
          <w:rFonts w:hint="eastAsia" w:ascii="宋体" w:hAnsi="宋体" w:eastAsia="宋体" w:cs="宋体"/>
          <w:b/>
          <w:color w:val="auto"/>
          <w:sz w:val="28"/>
          <w:szCs w:val="28"/>
          <w:highlight w:val="none"/>
          <w:lang w:val="en-US" w:eastAsia="zh-CN"/>
        </w:rPr>
      </w:pPr>
      <w:r>
        <w:rPr>
          <w:rStyle w:val="47"/>
          <w:rFonts w:hAnsi="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CDFE2E9">
      <w:pPr>
        <w:pStyle w:val="12"/>
        <w:spacing w:line="340" w:lineRule="exact"/>
        <w:rPr>
          <w:rFonts w:hint="eastAsia" w:ascii="宋体" w:hAnsi="宋体" w:eastAsia="宋体" w:cs="宋体"/>
          <w:b/>
          <w:color w:val="auto"/>
          <w:sz w:val="28"/>
          <w:szCs w:val="28"/>
          <w:highlight w:val="none"/>
          <w:lang w:val="en-US" w:eastAsia="zh-CN"/>
        </w:rPr>
      </w:pPr>
    </w:p>
    <w:p w14:paraId="74BB93EC">
      <w:pPr>
        <w:pStyle w:val="5"/>
        <w:rPr>
          <w:rFonts w:hint="eastAsia" w:hAnsi="宋体" w:eastAsia="宋体" w:cs="宋体"/>
          <w:b/>
          <w:color w:val="auto"/>
          <w:sz w:val="28"/>
          <w:szCs w:val="28"/>
          <w:highlight w:val="none"/>
          <w:lang w:val="en-US" w:eastAsia="zh-CN"/>
        </w:rPr>
      </w:pPr>
    </w:p>
    <w:p w14:paraId="75B33A77">
      <w:pPr>
        <w:rPr>
          <w:rFonts w:hint="eastAsia"/>
          <w:color w:val="auto"/>
          <w:highlight w:val="none"/>
          <w:lang w:val="en-US" w:eastAsia="zh-CN"/>
        </w:rPr>
      </w:pPr>
    </w:p>
    <w:p w14:paraId="0122B30C">
      <w:pPr>
        <w:rPr>
          <w:rFonts w:hint="eastAsia" w:hAnsi="宋体" w:eastAsia="宋体" w:cs="宋体"/>
          <w:b/>
          <w:color w:val="auto"/>
          <w:sz w:val="28"/>
          <w:szCs w:val="28"/>
          <w:highlight w:val="none"/>
          <w:lang w:val="en-US" w:eastAsia="zh-CN"/>
        </w:rPr>
      </w:pPr>
      <w:r>
        <w:rPr>
          <w:rFonts w:hint="eastAsia" w:hAnsi="宋体" w:eastAsia="宋体" w:cs="宋体"/>
          <w:b/>
          <w:color w:val="auto"/>
          <w:sz w:val="28"/>
          <w:szCs w:val="28"/>
          <w:highlight w:val="none"/>
          <w:lang w:val="en-US" w:eastAsia="zh-CN"/>
        </w:rPr>
        <w:br w:type="page"/>
      </w:r>
    </w:p>
    <w:p w14:paraId="05B4587D">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p w14:paraId="421E5954">
      <w:pPr>
        <w:spacing w:line="588" w:lineRule="exact"/>
        <w:rPr>
          <w:rFonts w:hint="eastAsia" w:ascii="宋体" w:hAnsi="宋体" w:eastAsia="宋体" w:cs="宋体"/>
          <w:b/>
          <w:color w:val="auto"/>
          <w:kern w:val="0"/>
          <w:sz w:val="21"/>
          <w:szCs w:val="21"/>
          <w:highlight w:val="none"/>
        </w:rPr>
      </w:pPr>
    </w:p>
    <w:p w14:paraId="6876BE47">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C8E4B11">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27862D3F">
      <w:pPr>
        <w:spacing w:line="588" w:lineRule="exact"/>
        <w:ind w:firstLine="420" w:firstLineChars="200"/>
        <w:rPr>
          <w:rFonts w:hint="eastAsia" w:ascii="宋体" w:hAnsi="宋体" w:eastAsia="宋体" w:cs="宋体"/>
          <w:color w:val="auto"/>
          <w:kern w:val="0"/>
          <w:sz w:val="21"/>
          <w:szCs w:val="21"/>
          <w:highlight w:val="none"/>
        </w:rPr>
      </w:pPr>
    </w:p>
    <w:p w14:paraId="0B6CFF29">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517FF57E">
      <w:pPr>
        <w:pStyle w:val="12"/>
        <w:spacing w:line="300" w:lineRule="exact"/>
        <w:ind w:left="2940" w:leftChars="1400" w:firstLine="630" w:firstLineChars="300"/>
        <w:rPr>
          <w:rFonts w:hint="eastAsia" w:ascii="宋体" w:hAnsi="宋体" w:eastAsia="宋体" w:cs="宋体"/>
          <w:color w:val="auto"/>
          <w:sz w:val="21"/>
          <w:szCs w:val="21"/>
          <w:highlight w:val="none"/>
        </w:rPr>
      </w:pPr>
    </w:p>
    <w:p w14:paraId="23EE927B">
      <w:pPr>
        <w:ind w:firstLine="4200" w:firstLineChars="20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8E706B9">
      <w:pPr>
        <w:pStyle w:val="3"/>
        <w:rPr>
          <w:rFonts w:hint="eastAsia" w:ascii="宋体" w:hAnsi="宋体" w:eastAsia="宋体" w:cs="宋体"/>
          <w:color w:val="auto"/>
          <w:sz w:val="21"/>
          <w:szCs w:val="21"/>
          <w:highlight w:val="none"/>
          <w:u w:val="single"/>
        </w:rPr>
      </w:pPr>
    </w:p>
    <w:p w14:paraId="5F228B70">
      <w:pPr>
        <w:rPr>
          <w:rFonts w:hint="eastAsia" w:ascii="宋体" w:hAnsi="宋体" w:eastAsia="宋体" w:cs="宋体"/>
          <w:color w:val="auto"/>
          <w:sz w:val="21"/>
          <w:szCs w:val="21"/>
          <w:highlight w:val="none"/>
          <w:u w:val="single"/>
        </w:rPr>
      </w:pPr>
    </w:p>
    <w:p w14:paraId="3E137EE7">
      <w:pPr>
        <w:pStyle w:val="3"/>
        <w:rPr>
          <w:rFonts w:hint="eastAsia" w:ascii="宋体" w:hAnsi="宋体" w:eastAsia="宋体" w:cs="宋体"/>
          <w:color w:val="auto"/>
          <w:sz w:val="21"/>
          <w:szCs w:val="21"/>
          <w:highlight w:val="none"/>
          <w:u w:val="single"/>
        </w:rPr>
      </w:pPr>
    </w:p>
    <w:p w14:paraId="147CB989">
      <w:pPr>
        <w:rPr>
          <w:rFonts w:hint="eastAsia" w:ascii="宋体" w:hAnsi="宋体" w:eastAsia="宋体" w:cs="宋体"/>
          <w:color w:val="auto"/>
          <w:sz w:val="21"/>
          <w:szCs w:val="21"/>
          <w:highlight w:val="none"/>
          <w:u w:val="single"/>
        </w:rPr>
      </w:pPr>
    </w:p>
    <w:p w14:paraId="0D87C47B">
      <w:pPr>
        <w:pStyle w:val="3"/>
        <w:rPr>
          <w:rFonts w:hint="eastAsia" w:ascii="宋体" w:hAnsi="宋体" w:eastAsia="宋体" w:cs="宋体"/>
          <w:b/>
          <w:bCs w:val="0"/>
          <w:color w:val="auto"/>
          <w:kern w:val="0"/>
          <w:sz w:val="21"/>
          <w:szCs w:val="21"/>
          <w:highlight w:val="none"/>
          <w:lang w:val="en-US" w:eastAsia="zh-CN" w:bidi="ar-SA"/>
        </w:rPr>
      </w:pPr>
      <w:bookmarkStart w:id="2382" w:name="_Toc5077"/>
      <w:r>
        <w:rPr>
          <w:rFonts w:hint="eastAsia" w:ascii="宋体" w:hAnsi="宋体" w:eastAsia="宋体" w:cs="宋体"/>
          <w:b/>
          <w:bCs w:val="0"/>
          <w:color w:val="auto"/>
          <w:kern w:val="0"/>
          <w:sz w:val="21"/>
          <w:szCs w:val="21"/>
          <w:highlight w:val="none"/>
          <w:lang w:val="en-US" w:eastAsia="zh-CN" w:bidi="ar-SA"/>
        </w:rPr>
        <w:t>（3）监狱企业的证明文件复印件[供应商如为监狱企业的，应当提供由省级以上监狱管理局、戒毒管理局（含新疆生产建设兵团）出具的属于监狱企业的证明文件, 否则不予享受优惠政策]</w:t>
      </w:r>
      <w:bookmarkEnd w:id="2382"/>
    </w:p>
    <w:p w14:paraId="3E425736">
      <w:pPr>
        <w:pStyle w:val="3"/>
        <w:rPr>
          <w:rFonts w:hint="eastAsia" w:ascii="宋体" w:hAnsi="宋体" w:eastAsia="宋体" w:cs="宋体"/>
          <w:color w:val="auto"/>
          <w:sz w:val="21"/>
          <w:szCs w:val="21"/>
          <w:highlight w:val="none"/>
          <w:u w:val="single"/>
        </w:rPr>
      </w:pPr>
    </w:p>
    <w:p w14:paraId="1282056B">
      <w:pPr>
        <w:rPr>
          <w:rFonts w:hint="eastAsia" w:ascii="宋体" w:hAnsi="宋体" w:eastAsia="宋体" w:cs="宋体"/>
          <w:color w:val="auto"/>
          <w:sz w:val="21"/>
          <w:szCs w:val="21"/>
          <w:highlight w:val="none"/>
          <w:u w:val="single"/>
        </w:rPr>
      </w:pPr>
    </w:p>
    <w:p w14:paraId="41C4688E">
      <w:pPr>
        <w:pStyle w:val="3"/>
        <w:rPr>
          <w:rFonts w:hint="eastAsia" w:ascii="宋体" w:hAnsi="宋体" w:eastAsia="宋体" w:cs="宋体"/>
          <w:color w:val="auto"/>
          <w:sz w:val="21"/>
          <w:szCs w:val="21"/>
          <w:highlight w:val="none"/>
          <w:u w:val="single"/>
        </w:rPr>
      </w:pPr>
    </w:p>
    <w:p w14:paraId="71EBE6F9">
      <w:pPr>
        <w:rPr>
          <w:rFonts w:hint="eastAsia" w:ascii="宋体" w:hAnsi="宋体" w:eastAsia="宋体" w:cs="宋体"/>
          <w:color w:val="auto"/>
          <w:sz w:val="21"/>
          <w:szCs w:val="21"/>
          <w:highlight w:val="none"/>
          <w:u w:val="single"/>
        </w:rPr>
      </w:pPr>
    </w:p>
    <w:p w14:paraId="69D43EB1">
      <w:pPr>
        <w:pStyle w:val="3"/>
        <w:rPr>
          <w:rFonts w:hint="eastAsia" w:ascii="宋体" w:hAnsi="宋体" w:eastAsia="宋体" w:cs="宋体"/>
          <w:color w:val="auto"/>
          <w:sz w:val="21"/>
          <w:szCs w:val="21"/>
          <w:highlight w:val="none"/>
          <w:u w:val="single"/>
        </w:rPr>
      </w:pPr>
    </w:p>
    <w:p w14:paraId="169A838C">
      <w:pPr>
        <w:rPr>
          <w:rFonts w:hint="eastAsia" w:ascii="宋体" w:hAnsi="宋体" w:eastAsia="宋体" w:cs="宋体"/>
          <w:color w:val="auto"/>
          <w:sz w:val="21"/>
          <w:szCs w:val="21"/>
          <w:highlight w:val="none"/>
          <w:u w:val="single"/>
        </w:rPr>
      </w:pPr>
    </w:p>
    <w:p w14:paraId="411C94A8">
      <w:pPr>
        <w:rPr>
          <w:rFonts w:hint="eastAsia"/>
          <w:color w:val="auto"/>
          <w:highlight w:val="none"/>
          <w:lang w:val="en-US" w:eastAsia="zh-CN"/>
        </w:rPr>
      </w:pPr>
      <w:r>
        <w:rPr>
          <w:rFonts w:hint="eastAsia"/>
          <w:color w:val="auto"/>
          <w:highlight w:val="none"/>
          <w:lang w:val="en-US" w:eastAsia="zh-CN"/>
        </w:rPr>
        <w:br w:type="page"/>
      </w:r>
    </w:p>
    <w:p w14:paraId="282FA684">
      <w:pPr>
        <w:pStyle w:val="12"/>
        <w:spacing w:line="340" w:lineRule="exact"/>
        <w:rPr>
          <w:rFonts w:hint="default" w:ascii="宋体" w:hAnsi="宋体" w:eastAsia="宋体" w:cs="宋体"/>
          <w:b/>
          <w:color w:val="auto"/>
          <w:sz w:val="28"/>
          <w:szCs w:val="28"/>
          <w:highlight w:val="none"/>
          <w:lang w:val="en-US" w:eastAsia="zh-CN"/>
        </w:rPr>
      </w:pPr>
      <w:r>
        <w:rPr>
          <w:rFonts w:hint="eastAsia"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lang w:val="en-US" w:eastAsia="zh-CN"/>
        </w:rPr>
        <w:t>.供应商有效的安全生产许可证书复印件（必须提供）；</w:t>
      </w:r>
    </w:p>
    <w:p w14:paraId="31B53D97">
      <w:pPr>
        <w:pStyle w:val="12"/>
        <w:spacing w:line="340" w:lineRule="exact"/>
        <w:rPr>
          <w:rFonts w:hint="eastAsia" w:ascii="宋体" w:hAnsi="宋体" w:eastAsia="宋体" w:cs="宋体"/>
          <w:b/>
          <w:color w:val="auto"/>
          <w:sz w:val="28"/>
          <w:szCs w:val="28"/>
          <w:highlight w:val="none"/>
          <w:lang w:val="en-US" w:eastAsia="zh-CN"/>
        </w:rPr>
      </w:pPr>
    </w:p>
    <w:p w14:paraId="1D3D5A97">
      <w:pPr>
        <w:rPr>
          <w:rFonts w:hint="eastAsia"/>
          <w:color w:val="auto"/>
          <w:highlight w:val="none"/>
          <w:lang w:val="en-US" w:eastAsia="zh-CN"/>
        </w:rPr>
      </w:pPr>
    </w:p>
    <w:p w14:paraId="48502682">
      <w:pPr>
        <w:pStyle w:val="12"/>
        <w:spacing w:line="340" w:lineRule="exact"/>
        <w:rPr>
          <w:rFonts w:hint="eastAsia" w:hAnsi="宋体" w:eastAsia="宋体" w:cs="宋体"/>
          <w:b/>
          <w:color w:val="auto"/>
          <w:sz w:val="28"/>
          <w:szCs w:val="28"/>
          <w:highlight w:val="none"/>
          <w:lang w:val="en-US" w:eastAsia="zh-CN"/>
        </w:rPr>
      </w:pPr>
    </w:p>
    <w:p w14:paraId="34DB199C">
      <w:pPr>
        <w:rPr>
          <w:rFonts w:hint="eastAsia" w:hAnsi="宋体" w:eastAsia="宋体" w:cs="宋体"/>
          <w:b/>
          <w:color w:val="auto"/>
          <w:sz w:val="28"/>
          <w:szCs w:val="28"/>
          <w:highlight w:val="none"/>
          <w:lang w:val="en-US" w:eastAsia="zh-CN"/>
        </w:rPr>
      </w:pPr>
      <w:r>
        <w:rPr>
          <w:rFonts w:hint="eastAsia" w:hAnsi="宋体" w:eastAsia="宋体" w:cs="宋体"/>
          <w:b/>
          <w:color w:val="auto"/>
          <w:sz w:val="28"/>
          <w:szCs w:val="28"/>
          <w:highlight w:val="none"/>
          <w:lang w:val="en-US" w:eastAsia="zh-CN"/>
        </w:rPr>
        <w:br w:type="page"/>
      </w:r>
    </w:p>
    <w:p w14:paraId="57274AB2">
      <w:pPr>
        <w:pStyle w:val="12"/>
        <w:spacing w:line="340" w:lineRule="exact"/>
        <w:rPr>
          <w:rFonts w:hint="eastAsia" w:ascii="宋体" w:hAnsi="宋体" w:eastAsia="宋体" w:cs="宋体"/>
          <w:b/>
          <w:color w:val="auto"/>
          <w:sz w:val="28"/>
          <w:szCs w:val="28"/>
          <w:highlight w:val="none"/>
          <w:lang w:val="en-US" w:eastAsia="zh-CN"/>
        </w:rPr>
      </w:pPr>
      <w:r>
        <w:rPr>
          <w:rFonts w:hint="eastAsia" w:hAnsi="宋体" w:eastAsia="宋体" w:cs="宋体"/>
          <w:b/>
          <w:color w:val="auto"/>
          <w:sz w:val="28"/>
          <w:szCs w:val="28"/>
          <w:highlight w:val="none"/>
          <w:lang w:val="en-US" w:eastAsia="zh-CN"/>
        </w:rPr>
        <w:t>8</w:t>
      </w:r>
      <w:r>
        <w:rPr>
          <w:rFonts w:hint="eastAsia" w:ascii="宋体" w:hAnsi="宋体" w:eastAsia="宋体" w:cs="宋体"/>
          <w:b/>
          <w:color w:val="auto"/>
          <w:sz w:val="28"/>
          <w:szCs w:val="28"/>
          <w:highlight w:val="none"/>
          <w:lang w:val="en-US" w:eastAsia="zh-CN"/>
        </w:rPr>
        <w:t>.贵港市政府采购项目投标资格承诺函</w:t>
      </w:r>
      <w:r>
        <w:rPr>
          <w:rFonts w:hint="eastAsia" w:hAnsi="宋体" w:cs="宋体"/>
          <w:b/>
          <w:color w:val="auto"/>
          <w:sz w:val="28"/>
          <w:szCs w:val="28"/>
          <w:highlight w:val="none"/>
          <w:lang w:val="en-US" w:eastAsia="zh-CN"/>
        </w:rPr>
        <w:t>（必须提供）</w:t>
      </w:r>
      <w:r>
        <w:rPr>
          <w:rFonts w:hint="eastAsia" w:ascii="宋体" w:hAnsi="宋体" w:eastAsia="宋体" w:cs="宋体"/>
          <w:b/>
          <w:color w:val="auto"/>
          <w:sz w:val="28"/>
          <w:szCs w:val="28"/>
          <w:highlight w:val="none"/>
          <w:lang w:val="en-US" w:eastAsia="zh-CN"/>
        </w:rPr>
        <w:t>；</w:t>
      </w:r>
    </w:p>
    <w:p w14:paraId="047A9F25">
      <w:pPr>
        <w:widowControl/>
        <w:jc w:val="center"/>
        <w:rPr>
          <w:rFonts w:hint="eastAsia" w:ascii="宋体" w:hAnsi="宋体" w:cs="宋体"/>
          <w:b/>
          <w:color w:val="auto"/>
          <w:sz w:val="32"/>
          <w:szCs w:val="32"/>
          <w:highlight w:val="none"/>
        </w:rPr>
      </w:pPr>
    </w:p>
    <w:p w14:paraId="2D2491E8">
      <w:pPr>
        <w:widowControl/>
        <w:jc w:val="center"/>
        <w:rPr>
          <w:rFonts w:hint="eastAsia" w:ascii="宋体" w:hAnsi="宋体" w:cs="宋体"/>
          <w:color w:val="auto"/>
          <w:highlight w:val="none"/>
        </w:rPr>
      </w:pPr>
      <w:r>
        <w:rPr>
          <w:rFonts w:hint="eastAsia" w:ascii="宋体" w:hAnsi="宋体" w:cs="宋体"/>
          <w:b/>
          <w:color w:val="auto"/>
          <w:sz w:val="32"/>
          <w:szCs w:val="32"/>
          <w:highlight w:val="none"/>
        </w:rPr>
        <w:t>贵港市政府采购项目投标资格承诺函</w:t>
      </w:r>
    </w:p>
    <w:p w14:paraId="44EDE5ED">
      <w:pPr>
        <w:widowControl/>
        <w:spacing w:line="360" w:lineRule="auto"/>
        <w:ind w:firstLine="420" w:firstLineChars="200"/>
        <w:jc w:val="left"/>
        <w:rPr>
          <w:rFonts w:hint="eastAsia" w:ascii="宋体" w:hAnsi="宋体" w:cs="宋体"/>
          <w:color w:val="auto"/>
          <w:kern w:val="0"/>
          <w:szCs w:val="21"/>
          <w:highlight w:val="none"/>
        </w:rPr>
      </w:pPr>
    </w:p>
    <w:p w14:paraId="298704BF">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本公司郑重承诺，根据《中华人民共和国政府采购法》第二十二条的规定，本公司为参加政府采购活动的合格供应商。即本公司同时满足以下条件： </w:t>
      </w:r>
    </w:p>
    <w:p w14:paraId="27C8021A">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1.具有独立承担民事责任的能力。 </w:t>
      </w:r>
    </w:p>
    <w:p w14:paraId="3F30DCC0">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2.具有良好的商业信誉和健全的财务会计制度。 </w:t>
      </w:r>
    </w:p>
    <w:p w14:paraId="7DBC3CAE">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3.具有履行合同所必需的设备和专业技术能力。 </w:t>
      </w:r>
    </w:p>
    <w:p w14:paraId="5A7F8402">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4.有依法缴纳税收和社会保障资金的良好记录。 </w:t>
      </w:r>
    </w:p>
    <w:p w14:paraId="77BD8DCD">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5. 提交响应文件截止日期前三年内，在经营活动中没有重大违法记录。 </w:t>
      </w:r>
    </w:p>
    <w:p w14:paraId="0AD37024">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本公司对上述承诺的真实性负责，并接受政府采购、税务、社会保障等监督管理部门、采购文件规定的资格审查机构、社会公众的监督和检查。如有虚假，将依法承担相应责任。</w:t>
      </w:r>
    </w:p>
    <w:p w14:paraId="20E93877">
      <w:pPr>
        <w:spacing w:line="320" w:lineRule="exact"/>
        <w:jc w:val="center"/>
        <w:rPr>
          <w:rFonts w:hint="eastAsia" w:ascii="宋体" w:hAnsi="宋体" w:cs="宋体"/>
          <w:b/>
          <w:color w:val="auto"/>
          <w:sz w:val="24"/>
          <w:highlight w:val="none"/>
        </w:rPr>
      </w:pPr>
    </w:p>
    <w:p w14:paraId="526BDBBF">
      <w:pPr>
        <w:spacing w:line="320" w:lineRule="exact"/>
        <w:jc w:val="center"/>
        <w:rPr>
          <w:rFonts w:hint="eastAsia" w:ascii="宋体" w:hAnsi="宋体" w:cs="宋体"/>
          <w:b/>
          <w:color w:val="auto"/>
          <w:sz w:val="24"/>
          <w:highlight w:val="none"/>
        </w:rPr>
      </w:pPr>
    </w:p>
    <w:p w14:paraId="38187E62">
      <w:pPr>
        <w:spacing w:line="320" w:lineRule="exact"/>
        <w:jc w:val="center"/>
        <w:rPr>
          <w:rFonts w:hint="eastAsia" w:ascii="宋体" w:hAnsi="宋体" w:cs="宋体"/>
          <w:b/>
          <w:color w:val="auto"/>
          <w:sz w:val="24"/>
          <w:highlight w:val="none"/>
        </w:rPr>
      </w:pPr>
    </w:p>
    <w:p w14:paraId="3AA67B51">
      <w:pPr>
        <w:spacing w:line="320" w:lineRule="exact"/>
        <w:jc w:val="center"/>
        <w:rPr>
          <w:rFonts w:hint="eastAsia" w:ascii="宋体" w:hAnsi="宋体" w:cs="宋体"/>
          <w:b/>
          <w:color w:val="auto"/>
          <w:sz w:val="24"/>
          <w:highlight w:val="none"/>
        </w:rPr>
      </w:pPr>
    </w:p>
    <w:p w14:paraId="0A65B9FD">
      <w:pPr>
        <w:spacing w:line="360" w:lineRule="auto"/>
        <w:ind w:right="-817" w:rightChars="-389"/>
        <w:contextualSpacing/>
        <w:jc w:val="center"/>
        <w:rPr>
          <w:rFonts w:hint="eastAsia" w:ascii="宋体" w:hAnsi="宋体" w:cs="宋体"/>
          <w:color w:val="auto"/>
          <w:sz w:val="24"/>
          <w:highlight w:val="none"/>
        </w:rPr>
      </w:pPr>
      <w:r>
        <w:rPr>
          <w:rFonts w:hint="eastAsia" w:ascii="宋体" w:hAnsi="宋体" w:cs="宋体"/>
          <w:color w:val="auto"/>
          <w:sz w:val="24"/>
          <w:highlight w:val="none"/>
        </w:rPr>
        <w:t>法定代表人（签字或盖章或电子签名）：</w:t>
      </w:r>
    </w:p>
    <w:p w14:paraId="010B3CAB">
      <w:pPr>
        <w:spacing w:line="320" w:lineRule="exact"/>
        <w:jc w:val="center"/>
        <w:rPr>
          <w:rFonts w:hint="eastAsia" w:ascii="宋体" w:hAnsi="宋体" w:cs="宋体"/>
          <w:b/>
          <w:color w:val="auto"/>
          <w:sz w:val="24"/>
          <w:highlight w:val="none"/>
        </w:rPr>
      </w:pPr>
      <w:r>
        <w:rPr>
          <w:rFonts w:hint="eastAsia" w:ascii="宋体" w:hAnsi="宋体" w:cs="宋体"/>
          <w:color w:val="auto"/>
          <w:sz w:val="24"/>
          <w:highlight w:val="none"/>
        </w:rPr>
        <w:t>供应商（公章或电子签章）：</w:t>
      </w:r>
    </w:p>
    <w:p w14:paraId="7B0B879A">
      <w:pPr>
        <w:pStyle w:val="7"/>
        <w:numPr>
          <w:ilvl w:val="0"/>
          <w:numId w:val="0"/>
        </w:numPr>
        <w:rPr>
          <w:rFonts w:hint="eastAsia" w:ascii="宋体" w:hAnsi="宋体" w:eastAsia="宋体" w:cs="宋体"/>
          <w:b/>
          <w:color w:val="auto"/>
          <w:sz w:val="28"/>
          <w:szCs w:val="28"/>
          <w:highlight w:val="none"/>
          <w:lang w:val="en-US" w:eastAsia="zh-CN"/>
        </w:rPr>
      </w:pPr>
    </w:p>
    <w:p w14:paraId="69A29F0A">
      <w:pPr>
        <w:pStyle w:val="9"/>
        <w:rPr>
          <w:rFonts w:hint="eastAsia"/>
          <w:color w:val="auto"/>
          <w:highlight w:val="none"/>
          <w:lang w:val="en-US" w:eastAsia="zh-CN"/>
        </w:rPr>
      </w:pPr>
    </w:p>
    <w:p w14:paraId="0929DB46">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3FFEB214">
      <w:pPr>
        <w:numPr>
          <w:ilvl w:val="0"/>
          <w:numId w:val="0"/>
        </w:numPr>
        <w:jc w:val="center"/>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eastAsia="zh-CN"/>
        </w:rPr>
        <w:t>（二）</w:t>
      </w:r>
      <w:r>
        <w:rPr>
          <w:rFonts w:hint="eastAsia" w:ascii="宋体" w:hAnsi="宋体" w:eastAsia="宋体" w:cs="宋体"/>
          <w:b/>
          <w:bCs/>
          <w:color w:val="auto"/>
          <w:sz w:val="32"/>
          <w:szCs w:val="32"/>
          <w:highlight w:val="none"/>
        </w:rPr>
        <w:t>符合性响应证明材料目录</w:t>
      </w:r>
    </w:p>
    <w:p w14:paraId="0C87F910">
      <w:pPr>
        <w:numPr>
          <w:ilvl w:val="0"/>
          <w:numId w:val="0"/>
        </w:numPr>
        <w:spacing w:line="360" w:lineRule="auto"/>
        <w:ind w:left="420" w:leftChars="0"/>
        <w:rPr>
          <w:rFonts w:hint="eastAsia" w:ascii="宋体" w:hAnsi="宋体" w:eastAsia="宋体" w:cs="宋体"/>
          <w:color w:val="auto"/>
          <w:sz w:val="24"/>
          <w:highlight w:val="none"/>
          <w:lang w:val="en-US" w:eastAsia="zh-CN"/>
        </w:rPr>
      </w:pPr>
    </w:p>
    <w:p w14:paraId="6DAB6528">
      <w:pPr>
        <w:numPr>
          <w:ilvl w:val="0"/>
          <w:numId w:val="0"/>
        </w:numPr>
        <w:spacing w:line="360" w:lineRule="auto"/>
        <w:ind w:left="420" w:leftChars="200" w:firstLine="0" w:firstLineChars="0"/>
        <w:rPr>
          <w:rFonts w:hint="eastAsia" w:ascii="宋体" w:hAnsi="宋体" w:eastAsia="宋体" w:cs="宋体"/>
          <w:b/>
          <w:bCs/>
          <w:color w:val="auto"/>
          <w:sz w:val="24"/>
          <w:highlight w:val="none"/>
          <w:lang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响应函</w:t>
      </w:r>
      <w:r>
        <w:rPr>
          <w:rFonts w:hint="eastAsia" w:ascii="宋体" w:hAnsi="宋体" w:eastAsia="宋体" w:cs="宋体"/>
          <w:b/>
          <w:bCs/>
          <w:color w:val="auto"/>
          <w:sz w:val="24"/>
          <w:highlight w:val="none"/>
        </w:rPr>
        <w:t>（格式见附件）（必须提供</w:t>
      </w:r>
      <w:r>
        <w:rPr>
          <w:color w:val="auto"/>
          <w:highlight w:val="none"/>
        </w:rPr>
        <w:t>）</w:t>
      </w:r>
      <w:r>
        <w:rPr>
          <w:rFonts w:hint="eastAsia" w:ascii="宋体" w:hAnsi="宋体" w:eastAsia="宋体" w:cs="宋体"/>
          <w:b/>
          <w:bCs/>
          <w:color w:val="auto"/>
          <w:sz w:val="24"/>
          <w:highlight w:val="none"/>
          <w:lang w:eastAsia="zh-CN"/>
        </w:rPr>
        <w:t>；</w:t>
      </w:r>
    </w:p>
    <w:p w14:paraId="2C40F0E1">
      <w:pPr>
        <w:numPr>
          <w:ilvl w:val="0"/>
          <w:numId w:val="0"/>
        </w:numPr>
        <w:spacing w:line="360" w:lineRule="auto"/>
        <w:ind w:left="420" w:leftChars="200" w:firstLine="0" w:firstLineChars="0"/>
        <w:rPr>
          <w:rFonts w:hint="eastAsia" w:ascii="宋体" w:hAnsi="宋体" w:eastAsia="宋体" w:cs="宋体"/>
          <w:color w:val="auto"/>
          <w:sz w:val="24"/>
          <w:highlight w:val="none"/>
          <w:lang w:val="en-US" w:eastAsia="zh-CN"/>
        </w:rPr>
      </w:pPr>
    </w:p>
    <w:p w14:paraId="5503D2A6">
      <w:pPr>
        <w:numPr>
          <w:ilvl w:val="0"/>
          <w:numId w:val="0"/>
        </w:numPr>
        <w:spacing w:line="360" w:lineRule="auto"/>
        <w:ind w:leftChars="0"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工程报价汇总表</w:t>
      </w:r>
      <w:r>
        <w:rPr>
          <w:rFonts w:hint="eastAsia" w:ascii="宋体" w:hAnsi="宋体" w:eastAsia="宋体" w:cs="宋体"/>
          <w:b/>
          <w:bCs/>
          <w:color w:val="auto"/>
          <w:sz w:val="24"/>
          <w:highlight w:val="none"/>
        </w:rPr>
        <w:t>（格式见附件）（必须提供）；</w:t>
      </w:r>
    </w:p>
    <w:p w14:paraId="0DA03377">
      <w:pPr>
        <w:numPr>
          <w:ilvl w:val="0"/>
          <w:numId w:val="0"/>
        </w:numPr>
        <w:spacing w:line="360" w:lineRule="auto"/>
        <w:ind w:leftChars="0" w:firstLine="480" w:firstLineChars="200"/>
        <w:rPr>
          <w:rFonts w:hint="eastAsia" w:ascii="宋体" w:hAnsi="宋体" w:eastAsia="宋体" w:cs="宋体"/>
          <w:color w:val="auto"/>
          <w:sz w:val="24"/>
          <w:highlight w:val="none"/>
          <w:lang w:val="en-US" w:eastAsia="zh-CN"/>
        </w:rPr>
      </w:pPr>
    </w:p>
    <w:p w14:paraId="27C334B1">
      <w:pPr>
        <w:numPr>
          <w:ilvl w:val="0"/>
          <w:numId w:val="0"/>
        </w:numPr>
        <w:spacing w:line="360" w:lineRule="auto"/>
        <w:ind w:leftChars="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3.标价工程量清单</w:t>
      </w:r>
      <w:r>
        <w:rPr>
          <w:rFonts w:hint="eastAsia" w:ascii="宋体" w:hAnsi="宋体" w:eastAsia="宋体" w:cs="宋体"/>
          <w:b/>
          <w:bCs/>
          <w:color w:val="auto"/>
          <w:sz w:val="24"/>
          <w:highlight w:val="none"/>
          <w:lang w:val="en-US" w:eastAsia="zh-CN"/>
        </w:rPr>
        <w:t>（必须提供）</w:t>
      </w:r>
      <w:r>
        <w:rPr>
          <w:rFonts w:hint="eastAsia" w:ascii="宋体" w:hAnsi="宋体" w:eastAsia="宋体" w:cs="宋体"/>
          <w:b w:val="0"/>
          <w:bCs w:val="0"/>
          <w:color w:val="auto"/>
          <w:sz w:val="24"/>
          <w:highlight w:val="none"/>
          <w:lang w:val="en-US" w:eastAsia="zh-CN"/>
        </w:rPr>
        <w:t>；</w:t>
      </w:r>
    </w:p>
    <w:p w14:paraId="1604CF1D">
      <w:pPr>
        <w:pStyle w:val="9"/>
        <w:rPr>
          <w:rFonts w:hint="eastAsia" w:ascii="宋体" w:hAnsi="宋体" w:eastAsia="宋体" w:cs="宋体"/>
          <w:color w:val="auto"/>
          <w:highlight w:val="none"/>
        </w:rPr>
      </w:pPr>
    </w:p>
    <w:p w14:paraId="77BDAB8D">
      <w:pPr>
        <w:numPr>
          <w:ilvl w:val="0"/>
          <w:numId w:val="0"/>
        </w:num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rPr>
        <w:t>拟投入本工程主要施工管理人员表</w:t>
      </w:r>
      <w:r>
        <w:rPr>
          <w:rFonts w:hint="eastAsia" w:ascii="宋体" w:hAnsi="宋体" w:eastAsia="宋体" w:cs="宋体"/>
          <w:b/>
          <w:bCs/>
          <w:color w:val="auto"/>
          <w:sz w:val="24"/>
          <w:highlight w:val="none"/>
        </w:rPr>
        <w:t>（必须提供）；</w:t>
      </w:r>
    </w:p>
    <w:p w14:paraId="61D48054">
      <w:pPr>
        <w:pStyle w:val="9"/>
        <w:rPr>
          <w:rFonts w:hint="eastAsia" w:ascii="宋体" w:hAnsi="宋体" w:eastAsia="宋体" w:cs="宋体"/>
          <w:color w:val="auto"/>
          <w:highlight w:val="none"/>
        </w:rPr>
      </w:pPr>
    </w:p>
    <w:p w14:paraId="10E8C265">
      <w:pPr>
        <w:numPr>
          <w:ilvl w:val="0"/>
          <w:numId w:val="0"/>
        </w:numPr>
        <w:spacing w:line="360" w:lineRule="auto"/>
        <w:ind w:left="420" w:leftChars="0"/>
        <w:rPr>
          <w:rFonts w:hint="eastAsia" w:ascii="宋体" w:hAnsi="宋体" w:eastAsia="宋体" w:cs="宋体"/>
          <w:color w:val="auto"/>
          <w:sz w:val="24"/>
          <w:highlight w:val="none"/>
          <w:lang w:eastAsia="zh-CN"/>
        </w:rPr>
      </w:pP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lang w:eastAsia="zh-CN"/>
        </w:rPr>
        <w:t>担任本工程的项目经理简历表（应附相关证书、身份证复印件）</w:t>
      </w:r>
      <w:r>
        <w:rPr>
          <w:rFonts w:hint="eastAsia" w:ascii="宋体" w:hAnsi="宋体" w:eastAsia="宋体" w:cs="宋体"/>
          <w:b/>
          <w:bCs/>
          <w:color w:val="auto"/>
          <w:sz w:val="24"/>
          <w:highlight w:val="none"/>
          <w:lang w:eastAsia="zh-CN"/>
        </w:rPr>
        <w:t>（必须提供）</w:t>
      </w:r>
      <w:r>
        <w:rPr>
          <w:rFonts w:hint="eastAsia" w:ascii="宋体" w:hAnsi="宋体" w:eastAsia="宋体" w:cs="宋体"/>
          <w:color w:val="auto"/>
          <w:sz w:val="24"/>
          <w:highlight w:val="none"/>
          <w:lang w:eastAsia="zh-CN"/>
        </w:rPr>
        <w:t>；</w:t>
      </w:r>
    </w:p>
    <w:p w14:paraId="52FF5E7B">
      <w:pPr>
        <w:numPr>
          <w:ilvl w:val="0"/>
          <w:numId w:val="0"/>
        </w:numPr>
        <w:spacing w:line="360" w:lineRule="auto"/>
        <w:ind w:left="420" w:leftChars="0"/>
        <w:rPr>
          <w:rFonts w:hint="eastAsia" w:ascii="宋体" w:hAnsi="宋体" w:eastAsia="宋体" w:cs="宋体"/>
          <w:color w:val="auto"/>
          <w:sz w:val="24"/>
          <w:highlight w:val="none"/>
          <w:lang w:eastAsia="zh-CN"/>
        </w:rPr>
      </w:pPr>
    </w:p>
    <w:p w14:paraId="6EA8C766">
      <w:pPr>
        <w:numPr>
          <w:ilvl w:val="0"/>
          <w:numId w:val="0"/>
        </w:numPr>
        <w:spacing w:line="360" w:lineRule="auto"/>
        <w:ind w:left="420" w:leftChars="0"/>
        <w:rPr>
          <w:rFonts w:hint="default"/>
          <w:b w:val="0"/>
          <w:bCs w:val="0"/>
          <w:color w:val="auto"/>
          <w:highlight w:val="none"/>
          <w:lang w:val="en-US" w:eastAsia="zh-CN"/>
        </w:rPr>
      </w:pPr>
      <w:r>
        <w:rPr>
          <w:rFonts w:hint="eastAsia" w:ascii="宋体" w:hAnsi="宋体" w:eastAsia="宋体" w:cs="宋体"/>
          <w:b w:val="0"/>
          <w:bCs w:val="0"/>
          <w:color w:val="auto"/>
          <w:sz w:val="24"/>
          <w:highlight w:val="none"/>
          <w:lang w:val="en-US" w:eastAsia="zh-CN"/>
        </w:rPr>
        <w:t>6.</w:t>
      </w:r>
      <w:r>
        <w:rPr>
          <w:rFonts w:hint="eastAsia" w:ascii="宋体" w:hAnsi="宋体" w:eastAsia="宋体" w:cs="宋体"/>
          <w:b w:val="0"/>
          <w:bCs w:val="0"/>
          <w:color w:val="auto"/>
          <w:sz w:val="24"/>
          <w:highlight w:val="none"/>
          <w:lang w:eastAsia="zh-CN"/>
        </w:rPr>
        <w:t>施工组织设计方案</w:t>
      </w:r>
      <w:r>
        <w:rPr>
          <w:rFonts w:hint="eastAsia" w:ascii="宋体" w:hAnsi="宋体" w:eastAsia="宋体" w:cs="宋体"/>
          <w:b/>
          <w:bCs/>
          <w:color w:val="auto"/>
          <w:sz w:val="24"/>
          <w:highlight w:val="none"/>
          <w:lang w:eastAsia="zh-CN"/>
        </w:rPr>
        <w:t>（必须提供）</w:t>
      </w:r>
      <w:r>
        <w:rPr>
          <w:rFonts w:hint="eastAsia" w:ascii="宋体" w:hAnsi="宋体" w:eastAsia="宋体" w:cs="宋体"/>
          <w:color w:val="auto"/>
          <w:sz w:val="24"/>
          <w:highlight w:val="none"/>
          <w:lang w:eastAsia="zh-CN"/>
        </w:rPr>
        <w:t>；</w:t>
      </w:r>
    </w:p>
    <w:p w14:paraId="7FBA6ACE">
      <w:pPr>
        <w:numPr>
          <w:ilvl w:val="0"/>
          <w:numId w:val="0"/>
        </w:numPr>
        <w:spacing w:line="360" w:lineRule="auto"/>
        <w:ind w:left="420" w:leftChars="0"/>
        <w:rPr>
          <w:rFonts w:hint="eastAsia" w:ascii="宋体" w:hAnsi="宋体" w:eastAsia="宋体" w:cs="宋体"/>
          <w:color w:val="auto"/>
          <w:sz w:val="24"/>
          <w:highlight w:val="none"/>
          <w:lang w:eastAsia="zh-CN"/>
        </w:rPr>
      </w:pPr>
    </w:p>
    <w:p w14:paraId="0084D69D">
      <w:pPr>
        <w:numPr>
          <w:ilvl w:val="0"/>
          <w:numId w:val="0"/>
        </w:numPr>
        <w:spacing w:line="360" w:lineRule="auto"/>
        <w:ind w:left="420" w:leftChars="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7.工程完工服务承诺书</w:t>
      </w:r>
      <w:r>
        <w:rPr>
          <w:rFonts w:hint="eastAsia" w:ascii="宋体" w:hAnsi="宋体" w:eastAsia="宋体" w:cs="宋体"/>
          <w:b/>
          <w:bCs/>
          <w:color w:val="auto"/>
          <w:sz w:val="24"/>
          <w:highlight w:val="none"/>
          <w:lang w:val="en-US" w:eastAsia="zh-CN"/>
        </w:rPr>
        <w:t>（必须提供）</w:t>
      </w:r>
      <w:r>
        <w:rPr>
          <w:rFonts w:hint="eastAsia" w:ascii="宋体" w:hAnsi="宋体" w:eastAsia="宋体" w:cs="宋体"/>
          <w:b w:val="0"/>
          <w:bCs w:val="0"/>
          <w:color w:val="auto"/>
          <w:sz w:val="24"/>
          <w:highlight w:val="none"/>
          <w:lang w:val="en-US" w:eastAsia="zh-CN"/>
        </w:rPr>
        <w:t>；</w:t>
      </w:r>
    </w:p>
    <w:p w14:paraId="16E7B6B3">
      <w:pPr>
        <w:pStyle w:val="3"/>
        <w:numPr>
          <w:ilvl w:val="0"/>
          <w:numId w:val="0"/>
        </w:numPr>
        <w:ind w:left="420" w:leftChars="0"/>
        <w:rPr>
          <w:rFonts w:hint="eastAsia" w:ascii="宋体" w:hAnsi="宋体" w:eastAsia="宋体" w:cs="宋体"/>
          <w:b/>
          <w:bCs/>
          <w:color w:val="auto"/>
          <w:kern w:val="2"/>
          <w:sz w:val="24"/>
          <w:szCs w:val="24"/>
          <w:highlight w:val="none"/>
          <w:lang w:val="en-US" w:eastAsia="zh-CN" w:bidi="ar-SA"/>
        </w:rPr>
      </w:pPr>
      <w:bookmarkStart w:id="2383" w:name="_Toc1014"/>
      <w:bookmarkStart w:id="2384" w:name="_Toc32505"/>
      <w:bookmarkStart w:id="2385" w:name="_Toc6633"/>
      <w:r>
        <w:rPr>
          <w:rFonts w:hint="eastAsia" w:ascii="宋体" w:hAnsi="宋体" w:eastAsia="宋体" w:cs="宋体"/>
          <w:b w:val="0"/>
          <w:bCs w:val="0"/>
          <w:color w:val="auto"/>
          <w:kern w:val="2"/>
          <w:sz w:val="24"/>
          <w:szCs w:val="24"/>
          <w:highlight w:val="none"/>
          <w:lang w:val="en-US" w:eastAsia="zh-CN" w:bidi="ar-SA"/>
        </w:rPr>
        <w:t>8.农民工工资保障金交纳与使用承诺书</w:t>
      </w:r>
      <w:r>
        <w:rPr>
          <w:rFonts w:hint="eastAsia" w:ascii="宋体" w:hAnsi="宋体" w:eastAsia="宋体" w:cs="宋体"/>
          <w:b/>
          <w:bCs/>
          <w:color w:val="auto"/>
          <w:kern w:val="2"/>
          <w:sz w:val="24"/>
          <w:szCs w:val="24"/>
          <w:highlight w:val="none"/>
          <w:lang w:val="en-US" w:eastAsia="zh-CN" w:bidi="ar-SA"/>
        </w:rPr>
        <w:t>（必须提供）</w:t>
      </w:r>
      <w:r>
        <w:rPr>
          <w:rFonts w:hint="eastAsia" w:ascii="宋体" w:hAnsi="宋体" w:eastAsia="宋体" w:cs="宋体"/>
          <w:b w:val="0"/>
          <w:bCs w:val="0"/>
          <w:color w:val="auto"/>
          <w:kern w:val="2"/>
          <w:sz w:val="24"/>
          <w:szCs w:val="24"/>
          <w:highlight w:val="none"/>
          <w:lang w:val="en-US" w:eastAsia="zh-CN" w:bidi="ar-SA"/>
        </w:rPr>
        <w:t>；</w:t>
      </w:r>
      <w:bookmarkEnd w:id="2383"/>
      <w:bookmarkEnd w:id="2384"/>
      <w:bookmarkEnd w:id="2385"/>
    </w:p>
    <w:p w14:paraId="722075AE">
      <w:pPr>
        <w:pStyle w:val="3"/>
        <w:numPr>
          <w:ilvl w:val="0"/>
          <w:numId w:val="0"/>
        </w:numPr>
        <w:ind w:left="420" w:leftChars="0"/>
        <w:rPr>
          <w:rFonts w:hint="default"/>
          <w:color w:val="auto"/>
          <w:highlight w:val="none"/>
          <w:lang w:val="en-US" w:eastAsia="zh-CN"/>
        </w:rPr>
      </w:pPr>
      <w:bookmarkStart w:id="2386" w:name="_Toc13958"/>
      <w:bookmarkStart w:id="2387" w:name="_Toc6752"/>
      <w:bookmarkStart w:id="2388" w:name="_Toc9702"/>
      <w:r>
        <w:rPr>
          <w:rFonts w:hint="eastAsia" w:ascii="宋体" w:hAnsi="宋体" w:eastAsia="宋体" w:cs="宋体"/>
          <w:b w:val="0"/>
          <w:bCs w:val="0"/>
          <w:color w:val="auto"/>
          <w:kern w:val="2"/>
          <w:sz w:val="24"/>
          <w:szCs w:val="24"/>
          <w:highlight w:val="none"/>
          <w:lang w:val="en-US" w:eastAsia="zh-CN" w:bidi="ar-SA"/>
        </w:rPr>
        <w:t>9.城乡清洁工程渣土清运承诺书</w:t>
      </w:r>
      <w:r>
        <w:rPr>
          <w:rFonts w:hint="eastAsia" w:ascii="宋体" w:hAnsi="宋体" w:eastAsia="宋体" w:cs="宋体"/>
          <w:b/>
          <w:bCs/>
          <w:color w:val="auto"/>
          <w:kern w:val="2"/>
          <w:sz w:val="24"/>
          <w:szCs w:val="24"/>
          <w:highlight w:val="none"/>
          <w:lang w:val="en-US" w:eastAsia="zh-CN" w:bidi="ar-SA"/>
        </w:rPr>
        <w:t>（必须提供）</w:t>
      </w:r>
      <w:bookmarkEnd w:id="2386"/>
      <w:bookmarkEnd w:id="2387"/>
      <w:bookmarkEnd w:id="2388"/>
      <w:r>
        <w:rPr>
          <w:rFonts w:hint="eastAsia" w:ascii="宋体" w:hAnsi="宋体" w:cs="宋体"/>
          <w:b w:val="0"/>
          <w:bCs w:val="0"/>
          <w:color w:val="auto"/>
          <w:kern w:val="2"/>
          <w:sz w:val="24"/>
          <w:szCs w:val="24"/>
          <w:highlight w:val="none"/>
          <w:lang w:val="en-US" w:eastAsia="zh-CN" w:bidi="ar-SA"/>
        </w:rPr>
        <w:t>；</w:t>
      </w:r>
    </w:p>
    <w:p w14:paraId="38C90BA2">
      <w:pPr>
        <w:pStyle w:val="30"/>
        <w:rPr>
          <w:rFonts w:hint="eastAsia" w:ascii="宋体" w:hAnsi="宋体" w:eastAsia="宋体" w:cs="宋体"/>
          <w:color w:val="auto"/>
          <w:highlight w:val="none"/>
        </w:rPr>
      </w:pPr>
    </w:p>
    <w:p w14:paraId="718421DD">
      <w:pPr>
        <w:pStyle w:val="30"/>
        <w:rPr>
          <w:rFonts w:hint="eastAsia" w:ascii="宋体" w:hAnsi="宋体" w:eastAsia="宋体" w:cs="宋体"/>
          <w:color w:val="auto"/>
          <w:highlight w:val="none"/>
        </w:rPr>
      </w:pPr>
    </w:p>
    <w:p w14:paraId="4847C693">
      <w:pPr>
        <w:pStyle w:val="30"/>
        <w:rPr>
          <w:rFonts w:hint="eastAsia" w:ascii="宋体" w:hAnsi="宋体" w:eastAsia="宋体" w:cs="宋体"/>
          <w:color w:val="auto"/>
          <w:highlight w:val="none"/>
        </w:rPr>
      </w:pPr>
    </w:p>
    <w:p w14:paraId="42945180">
      <w:pPr>
        <w:pStyle w:val="30"/>
        <w:rPr>
          <w:rFonts w:hint="eastAsia" w:ascii="宋体" w:hAnsi="宋体" w:eastAsia="宋体" w:cs="宋体"/>
          <w:color w:val="auto"/>
          <w:highlight w:val="none"/>
        </w:rPr>
      </w:pPr>
    </w:p>
    <w:p w14:paraId="2C7F256F">
      <w:pPr>
        <w:pStyle w:val="9"/>
        <w:rPr>
          <w:rFonts w:hint="eastAsia" w:ascii="宋体" w:hAnsi="宋体" w:eastAsia="宋体" w:cs="宋体"/>
          <w:color w:val="auto"/>
          <w:highlight w:val="none"/>
        </w:rPr>
      </w:pPr>
    </w:p>
    <w:p w14:paraId="0C52E57C">
      <w:pPr>
        <w:rPr>
          <w:rFonts w:hint="eastAsia" w:ascii="宋体" w:hAnsi="宋体" w:cs="宋体"/>
          <w:b/>
          <w:bCs/>
          <w:color w:val="auto"/>
          <w:sz w:val="28"/>
          <w:szCs w:val="28"/>
          <w:highlight w:val="none"/>
          <w:lang w:val="en-US" w:eastAsia="zh-CN"/>
        </w:rPr>
      </w:pPr>
      <w:bookmarkStart w:id="2389" w:name="_Toc497927072"/>
      <w:bookmarkStart w:id="2390" w:name="_Toc17617"/>
      <w:bookmarkStart w:id="2391" w:name="_Toc12920"/>
      <w:r>
        <w:rPr>
          <w:rFonts w:hint="eastAsia" w:ascii="宋体" w:hAnsi="宋体" w:cs="宋体"/>
          <w:b/>
          <w:bCs/>
          <w:color w:val="auto"/>
          <w:sz w:val="28"/>
          <w:szCs w:val="28"/>
          <w:highlight w:val="none"/>
          <w:lang w:val="en-US" w:eastAsia="zh-CN"/>
        </w:rPr>
        <w:br w:type="page"/>
      </w:r>
    </w:p>
    <w:p w14:paraId="13A7C4A0">
      <w:pPr>
        <w:numPr>
          <w:ilvl w:val="0"/>
          <w:numId w:val="0"/>
        </w:numPr>
        <w:spacing w:line="400" w:lineRule="exact"/>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响应函（格式见附件）（必须提供）</w:t>
      </w:r>
      <w:bookmarkEnd w:id="2389"/>
      <w:bookmarkEnd w:id="2390"/>
      <w:bookmarkEnd w:id="2391"/>
    </w:p>
    <w:p w14:paraId="6187B235">
      <w:pPr>
        <w:pStyle w:val="30"/>
        <w:rPr>
          <w:rFonts w:hint="eastAsia" w:ascii="宋体" w:hAnsi="宋体" w:eastAsia="宋体" w:cs="宋体"/>
          <w:color w:val="auto"/>
          <w:highlight w:val="none"/>
        </w:rPr>
      </w:pPr>
    </w:p>
    <w:p w14:paraId="1E204A25">
      <w:pPr>
        <w:pStyle w:val="12"/>
        <w:rPr>
          <w:rFonts w:hint="eastAsia" w:ascii="宋体" w:hAnsi="宋体" w:eastAsia="宋体" w:cs="宋体"/>
          <w:b/>
          <w:color w:val="auto"/>
          <w:sz w:val="32"/>
          <w:highlight w:val="none"/>
        </w:rPr>
      </w:pPr>
      <w:r>
        <w:rPr>
          <w:rFonts w:hint="eastAsia" w:ascii="宋体" w:hAnsi="宋体" w:eastAsia="宋体" w:cs="宋体"/>
          <w:b/>
          <w:color w:val="auto"/>
          <w:sz w:val="32"/>
          <w:highlight w:val="none"/>
        </w:rPr>
        <w:t>附件：</w:t>
      </w:r>
    </w:p>
    <w:p w14:paraId="3729DECD">
      <w:pPr>
        <w:pStyle w:val="12"/>
        <w:ind w:firstLine="803" w:firstLineChars="250"/>
        <w:jc w:val="center"/>
        <w:rPr>
          <w:rFonts w:hint="eastAsia" w:ascii="宋体" w:hAnsi="宋体" w:eastAsia="宋体" w:cs="宋体"/>
          <w:b/>
          <w:color w:val="auto"/>
          <w:sz w:val="32"/>
          <w:highlight w:val="none"/>
        </w:rPr>
      </w:pPr>
      <w:bookmarkStart w:id="2392" w:name="_Toc17832_WPSOffice_Level1"/>
      <w:bookmarkStart w:id="2393" w:name="_Toc7273_WPSOffice_Level1"/>
      <w:r>
        <w:rPr>
          <w:rFonts w:hint="eastAsia" w:ascii="宋体" w:hAnsi="宋体" w:eastAsia="宋体" w:cs="宋体"/>
          <w:b/>
          <w:color w:val="auto"/>
          <w:sz w:val="32"/>
          <w:highlight w:val="none"/>
        </w:rPr>
        <w:t>响 应 函 （格 式）</w:t>
      </w:r>
      <w:bookmarkEnd w:id="2392"/>
      <w:bookmarkEnd w:id="2393"/>
    </w:p>
    <w:p w14:paraId="119F8DA1">
      <w:pPr>
        <w:spacing w:line="240" w:lineRule="exact"/>
        <w:jc w:val="center"/>
        <w:rPr>
          <w:rFonts w:hint="eastAsia" w:ascii="宋体" w:hAnsi="宋体" w:eastAsia="宋体" w:cs="宋体"/>
          <w:color w:val="auto"/>
          <w:sz w:val="32"/>
          <w:highlight w:val="none"/>
        </w:rPr>
      </w:pPr>
    </w:p>
    <w:p w14:paraId="5DB566E1">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eastAsia="zh-CN"/>
        </w:rPr>
        <w:t>广西龙珂建设工程集团有限公司</w:t>
      </w:r>
    </w:p>
    <w:p w14:paraId="3678E9A2">
      <w:pPr>
        <w:pStyle w:val="12"/>
        <w:spacing w:line="360" w:lineRule="exact"/>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根据贵方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项目竞争性磋商文件，项目编号：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，签字代表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（姓名）经正式授权并代表供应商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供应商单位名称），提交</w:t>
      </w:r>
      <w:r>
        <w:rPr>
          <w:rFonts w:hint="eastAsia" w:ascii="宋体" w:hAnsi="宋体" w:eastAsia="宋体" w:cs="宋体"/>
          <w:color w:val="auto"/>
          <w:highlight w:val="none"/>
          <w:lang w:eastAsia="zh-CN"/>
        </w:rPr>
        <w:t>电子</w:t>
      </w:r>
      <w:r>
        <w:rPr>
          <w:rFonts w:hint="eastAsia" w:ascii="宋体" w:hAnsi="宋体" w:eastAsia="宋体" w:cs="宋体"/>
          <w:color w:val="auto"/>
          <w:highlight w:val="none"/>
        </w:rPr>
        <w:t>响应文件</w:t>
      </w:r>
      <w:r>
        <w:rPr>
          <w:rFonts w:hint="eastAsia" w:ascii="宋体" w:hAnsi="宋体" w:eastAsia="宋体" w:cs="宋体"/>
          <w:color w:val="auto"/>
          <w:highlight w:val="none"/>
          <w:lang w:eastAsia="zh-CN"/>
        </w:rPr>
        <w:t>。</w:t>
      </w:r>
    </w:p>
    <w:p w14:paraId="0132FA80">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据此函，签字代表宣布同意如下：</w:t>
      </w:r>
    </w:p>
    <w:p w14:paraId="62D59E54">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 按磋商文件采购需求和磋商报价表：</w:t>
      </w:r>
    </w:p>
    <w:p w14:paraId="1DAA7703">
      <w:pPr>
        <w:pStyle w:val="12"/>
        <w:spacing w:line="360" w:lineRule="exact"/>
        <w:ind w:firstLine="420"/>
        <w:rPr>
          <w:rFonts w:hint="eastAsia" w:ascii="宋体" w:hAnsi="宋体" w:eastAsia="宋体" w:cs="宋体"/>
          <w:color w:val="auto"/>
          <w:highlight w:val="none"/>
        </w:rPr>
      </w:pPr>
      <w:r>
        <w:rPr>
          <w:rFonts w:hint="eastAsia" w:ascii="宋体" w:hAnsi="宋体" w:cs="宋体"/>
          <w:color w:val="auto"/>
          <w:sz w:val="21"/>
          <w:szCs w:val="21"/>
          <w:highlight w:val="none"/>
        </w:rPr>
        <w:t>按采购项目内容和报价表，</w:t>
      </w:r>
      <w:r>
        <w:rPr>
          <w:rFonts w:hint="eastAsia" w:hAnsi="宋体" w:cs="宋体"/>
          <w:color w:val="auto"/>
          <w:sz w:val="21"/>
          <w:szCs w:val="21"/>
          <w:highlight w:val="none"/>
          <w:lang w:eastAsia="zh-CN"/>
        </w:rPr>
        <w:t>磋商</w:t>
      </w:r>
      <w:r>
        <w:rPr>
          <w:rFonts w:hint="eastAsia" w:ascii="宋体" w:hAnsi="宋体" w:cs="宋体"/>
          <w:color w:val="auto"/>
          <w:sz w:val="21"/>
          <w:szCs w:val="21"/>
          <w:highlight w:val="none"/>
        </w:rPr>
        <w:t>报价为(大写)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hAnsi="宋体" w:cs="宋体"/>
          <w:color w:val="auto"/>
          <w:sz w:val="21"/>
          <w:szCs w:val="21"/>
          <w:highlight w:val="none"/>
          <w:lang w:val="en-US" w:eastAsia="zh-CN"/>
        </w:rPr>
        <w:t>预算价</w:t>
      </w:r>
      <w:r>
        <w:rPr>
          <w:rFonts w:hint="eastAsia" w:ascii="宋体" w:hAnsi="宋体" w:cs="宋体"/>
          <w:color w:val="auto"/>
          <w:sz w:val="21"/>
          <w:szCs w:val="21"/>
          <w:highlight w:val="none"/>
        </w:rPr>
        <w:t>为（大写）：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)（不含安全文明施工费</w:t>
      </w:r>
      <w:r>
        <w:rPr>
          <w:rFonts w:hint="eastAsia" w:ascii="宋体" w:hAnsi="宋体" w:cs="宋体"/>
          <w:b w:val="0"/>
          <w:bCs w:val="0"/>
          <w:color w:val="auto"/>
          <w:sz w:val="21"/>
          <w:szCs w:val="21"/>
          <w:highlight w:val="none"/>
          <w:u w:val="single"/>
          <w:lang w:val="en-US" w:eastAsia="zh-CN"/>
        </w:rPr>
        <w:t xml:space="preserve">       </w:t>
      </w:r>
      <w:r>
        <w:rPr>
          <w:rFonts w:hint="eastAsia" w:ascii="宋体" w:hAnsi="宋体" w:cs="宋体"/>
          <w:b w:val="0"/>
          <w:bCs w:val="0"/>
          <w:color w:val="auto"/>
          <w:sz w:val="21"/>
          <w:szCs w:val="21"/>
          <w:highlight w:val="none"/>
          <w:u w:val="none"/>
          <w:lang w:eastAsia="zh-CN"/>
        </w:rPr>
        <w:t>元</w:t>
      </w:r>
      <w:r>
        <w:rPr>
          <w:rFonts w:hint="eastAsia" w:ascii="宋体" w:hAnsi="宋体" w:cs="宋体"/>
          <w:color w:val="auto"/>
          <w:sz w:val="21"/>
          <w:szCs w:val="21"/>
          <w:highlight w:val="none"/>
        </w:rPr>
        <w:t>、规费</w:t>
      </w:r>
      <w:r>
        <w:rPr>
          <w:rFonts w:hint="eastAsia" w:ascii="宋体" w:hAnsi="宋体" w:cs="宋体"/>
          <w:b w:val="0"/>
          <w:bCs w:val="0"/>
          <w:color w:val="auto"/>
          <w:sz w:val="21"/>
          <w:szCs w:val="21"/>
          <w:highlight w:val="none"/>
          <w:u w:val="single"/>
          <w:lang w:val="en-US" w:eastAsia="zh-CN"/>
        </w:rPr>
        <w:t xml:space="preserve">       </w:t>
      </w:r>
      <w:r>
        <w:rPr>
          <w:rFonts w:hint="eastAsia" w:ascii="宋体" w:hAnsi="宋体" w:cs="宋体"/>
          <w:b w:val="0"/>
          <w:bCs w:val="0"/>
          <w:color w:val="auto"/>
          <w:sz w:val="21"/>
          <w:szCs w:val="21"/>
          <w:highlight w:val="none"/>
          <w:u w:val="none"/>
          <w:lang w:eastAsia="zh-CN"/>
        </w:rPr>
        <w:t>元</w:t>
      </w:r>
      <w:r>
        <w:rPr>
          <w:rFonts w:hint="eastAsia" w:ascii="宋体" w:hAnsi="宋体" w:cs="宋体"/>
          <w:color w:val="auto"/>
          <w:sz w:val="21"/>
          <w:szCs w:val="21"/>
          <w:highlight w:val="none"/>
        </w:rPr>
        <w:t>、增值税</w:t>
      </w:r>
      <w:r>
        <w:rPr>
          <w:rFonts w:hint="eastAsia" w:hAnsi="宋体" w:cs="宋体"/>
          <w:color w:val="auto"/>
          <w:sz w:val="21"/>
          <w:szCs w:val="21"/>
          <w:highlight w:val="none"/>
          <w:lang w:val="en-US" w:eastAsia="zh-CN"/>
        </w:rPr>
        <w:t>/税金</w:t>
      </w:r>
      <w:r>
        <w:rPr>
          <w:rFonts w:hint="eastAsia" w:ascii="宋体" w:hAnsi="宋体" w:cs="宋体"/>
          <w:b w:val="0"/>
          <w:bCs w:val="0"/>
          <w:color w:val="auto"/>
          <w:sz w:val="21"/>
          <w:szCs w:val="21"/>
          <w:highlight w:val="none"/>
          <w:u w:val="single"/>
          <w:lang w:val="en-US" w:eastAsia="zh-CN"/>
        </w:rPr>
        <w:t xml:space="preserve">       </w:t>
      </w:r>
      <w:r>
        <w:rPr>
          <w:rFonts w:hint="eastAsia" w:ascii="宋体" w:hAnsi="宋体" w:cs="宋体"/>
          <w:b w:val="0"/>
          <w:bCs w:val="0"/>
          <w:color w:val="auto"/>
          <w:sz w:val="21"/>
          <w:szCs w:val="21"/>
          <w:highlight w:val="none"/>
          <w:u w:val="none"/>
          <w:lang w:eastAsia="zh-CN"/>
        </w:rPr>
        <w:t>元</w:t>
      </w:r>
      <w:r>
        <w:rPr>
          <w:rFonts w:hint="eastAsia" w:ascii="宋体" w:hAnsi="宋体" w:cs="宋体"/>
          <w:color w:val="auto"/>
          <w:sz w:val="21"/>
          <w:szCs w:val="21"/>
          <w:highlight w:val="none"/>
        </w:rPr>
        <w:t>）；工程完工期：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none"/>
        </w:rPr>
        <w:t>；</w:t>
      </w:r>
      <w:r>
        <w:rPr>
          <w:rFonts w:hint="eastAsia" w:ascii="宋体" w:hAnsi="宋体" w:cs="宋体"/>
          <w:color w:val="auto"/>
          <w:sz w:val="21"/>
          <w:szCs w:val="21"/>
          <w:highlight w:val="none"/>
        </w:rPr>
        <w:t>质量</w:t>
      </w:r>
      <w:r>
        <w:rPr>
          <w:rFonts w:hint="eastAsia" w:hAnsi="宋体" w:cs="宋体"/>
          <w:color w:val="auto"/>
          <w:sz w:val="21"/>
          <w:szCs w:val="21"/>
          <w:highlight w:val="none"/>
          <w:lang w:val="en-US" w:eastAsia="zh-CN"/>
        </w:rPr>
        <w:t>标准</w:t>
      </w:r>
      <w:r>
        <w:rPr>
          <w:rFonts w:hint="eastAsia" w:ascii="宋体" w:hAnsi="宋体" w:cs="宋体"/>
          <w:color w:val="auto"/>
          <w:sz w:val="21"/>
          <w:szCs w:val="21"/>
          <w:highlight w:val="none"/>
          <w:u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4E8707E2">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2.我方承诺已具备磋商文件规定的供应商资格条件。</w:t>
      </w:r>
    </w:p>
    <w:p w14:paraId="10982E32">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3.我方已详细审核磋商文件，包括修改文件（如有的话）和有关附件，将自行承担因对全部磋商文件理解不正确或误解而产生的相应后果。</w:t>
      </w:r>
    </w:p>
    <w:p w14:paraId="44F1CEC4">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4. 响应文件有效期为</w:t>
      </w:r>
      <w:r>
        <w:rPr>
          <w:rFonts w:hint="eastAsia" w:ascii="宋体" w:hAnsi="宋体" w:eastAsia="宋体" w:cs="宋体"/>
          <w:color w:val="auto"/>
          <w:szCs w:val="21"/>
          <w:highlight w:val="none"/>
        </w:rPr>
        <w:t>响应文件递交截止时间之日起90天。</w:t>
      </w:r>
    </w:p>
    <w:p w14:paraId="733D2527">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5. 如我方成交：</w:t>
      </w:r>
    </w:p>
    <w:p w14:paraId="63099276">
      <w:pPr>
        <w:pStyle w:val="12"/>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（1）我方承诺在收到成交通知书后，在成交通知书规定的期限内与采购人签订合同。</w:t>
      </w:r>
    </w:p>
    <w:p w14:paraId="595D5718">
      <w:pPr>
        <w:pStyle w:val="12"/>
        <w:spacing w:line="36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（2）我方承诺按照磋商文件规定递交履约担保。</w:t>
      </w:r>
    </w:p>
    <w:p w14:paraId="18CFE861">
      <w:pPr>
        <w:pStyle w:val="12"/>
        <w:spacing w:line="36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（3）我方承诺本响应文件至本项目合同履行完毕止均保持有效，按磋商文件及政府采购法律、法规的规定履行合同责任和义务。</w:t>
      </w:r>
    </w:p>
    <w:p w14:paraId="3239CA98">
      <w:pPr>
        <w:pStyle w:val="12"/>
        <w:spacing w:line="36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与本项目有关的正式通讯地址为：</w:t>
      </w:r>
    </w:p>
    <w:p w14:paraId="6563764B">
      <w:pPr>
        <w:rPr>
          <w:rFonts w:hint="eastAsia" w:ascii="宋体" w:hAnsi="宋体" w:eastAsia="宋体" w:cs="宋体"/>
          <w:color w:val="auto"/>
          <w:sz w:val="21"/>
          <w:szCs w:val="21"/>
          <w:highlight w:val="none"/>
        </w:rPr>
      </w:pPr>
    </w:p>
    <w:p w14:paraId="0B82C4F0">
      <w:pPr>
        <w:pStyle w:val="12"/>
        <w:spacing w:line="32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邮编：</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电话、传真：</w:t>
      </w:r>
      <w:r>
        <w:rPr>
          <w:rFonts w:hint="eastAsia" w:ascii="宋体" w:hAnsi="宋体" w:eastAsia="宋体" w:cs="宋体"/>
          <w:color w:val="auto"/>
          <w:sz w:val="21"/>
          <w:szCs w:val="21"/>
          <w:highlight w:val="none"/>
          <w:u w:val="single"/>
        </w:rPr>
        <w:t xml:space="preserve">            </w:t>
      </w:r>
    </w:p>
    <w:p w14:paraId="084A08BD">
      <w:pPr>
        <w:pStyle w:val="12"/>
        <w:spacing w:line="32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006B74EB">
      <w:pPr>
        <w:pStyle w:val="12"/>
        <w:spacing w:line="32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225C3B4">
      <w:pPr>
        <w:pStyle w:val="12"/>
        <w:spacing w:line="32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w:t>
      </w:r>
    </w:p>
    <w:p w14:paraId="416DF585">
      <w:pPr>
        <w:pStyle w:val="12"/>
        <w:spacing w:line="320" w:lineRule="exact"/>
        <w:ind w:firstLine="42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val="en-US" w:eastAsia="zh-CN"/>
        </w:rPr>
        <w:t>(CA签章)</w:t>
      </w:r>
      <w:r>
        <w:rPr>
          <w:rFonts w:hint="eastAsia" w:ascii="宋体" w:hAnsi="宋体" w:eastAsia="宋体" w:cs="宋体"/>
          <w:bCs/>
          <w:color w:val="auto"/>
          <w:sz w:val="21"/>
          <w:szCs w:val="21"/>
          <w:highlight w:val="none"/>
        </w:rPr>
        <w:t>、自然人除外</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u w:val="single"/>
        </w:rPr>
        <w:t xml:space="preserve">                              </w:t>
      </w:r>
    </w:p>
    <w:p w14:paraId="684A415E">
      <w:pPr>
        <w:pStyle w:val="12"/>
        <w:spacing w:line="32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或盖章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（属自然人的应在签名处加盖大拇指指印</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7505784">
      <w:pPr>
        <w:pStyle w:val="12"/>
        <w:spacing w:line="32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响应</w:t>
      </w: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p>
    <w:p w14:paraId="06BFD434">
      <w:pPr>
        <w:pStyle w:val="7"/>
        <w:rPr>
          <w:rFonts w:hint="eastAsia" w:ascii="宋体" w:hAnsi="宋体" w:eastAsia="宋体" w:cs="宋体"/>
          <w:color w:val="auto"/>
          <w:sz w:val="21"/>
          <w:szCs w:val="21"/>
          <w:highlight w:val="none"/>
          <w:u w:val="single"/>
        </w:rPr>
      </w:pPr>
    </w:p>
    <w:p w14:paraId="05359B31">
      <w:pPr>
        <w:rPr>
          <w:rFonts w:hint="eastAsia" w:ascii="宋体" w:hAnsi="宋体" w:eastAsia="宋体" w:cs="宋体"/>
          <w:color w:val="auto"/>
          <w:sz w:val="21"/>
          <w:szCs w:val="21"/>
          <w:highlight w:val="none"/>
          <w:u w:val="single"/>
        </w:rPr>
      </w:pPr>
    </w:p>
    <w:p w14:paraId="2BA06041">
      <w:pPr>
        <w:pStyle w:val="7"/>
        <w:rPr>
          <w:rFonts w:hint="eastAsia"/>
          <w:color w:val="auto"/>
          <w:highlight w:val="none"/>
          <w:lang w:val="en-US" w:eastAsia="zh-CN"/>
        </w:rPr>
      </w:pPr>
    </w:p>
    <w:p w14:paraId="31CBB0B8">
      <w:pPr>
        <w:rPr>
          <w:rFonts w:hint="eastAsia"/>
          <w:color w:val="auto"/>
          <w:highlight w:val="none"/>
          <w:lang w:val="en-US" w:eastAsia="zh-CN"/>
        </w:rPr>
      </w:pPr>
    </w:p>
    <w:p w14:paraId="2726EC4D">
      <w:pPr>
        <w:rPr>
          <w:rFonts w:hint="eastAsia"/>
          <w:color w:val="auto"/>
          <w:highlight w:val="none"/>
          <w:lang w:val="en-US" w:eastAsia="zh-CN"/>
        </w:rPr>
      </w:pPr>
    </w:p>
    <w:p w14:paraId="4C06DCBC">
      <w:pPr>
        <w:pStyle w:val="12"/>
        <w:numPr>
          <w:ilvl w:val="0"/>
          <w:numId w:val="0"/>
        </w:numPr>
        <w:spacing w:line="340" w:lineRule="exact"/>
        <w:rPr>
          <w:rFonts w:hint="eastAsia" w:hAnsi="宋体" w:cs="宋体"/>
          <w:b/>
          <w:color w:val="auto"/>
          <w:sz w:val="28"/>
          <w:szCs w:val="28"/>
          <w:highlight w:val="none"/>
          <w:lang w:val="en-US" w:eastAsia="zh-CN"/>
        </w:rPr>
      </w:pPr>
    </w:p>
    <w:p w14:paraId="20AF0E1F">
      <w:pPr>
        <w:pStyle w:val="12"/>
        <w:numPr>
          <w:ilvl w:val="0"/>
          <w:numId w:val="0"/>
        </w:numPr>
        <w:spacing w:line="340" w:lineRule="exact"/>
        <w:rPr>
          <w:rFonts w:hint="eastAsia" w:hAnsi="宋体" w:cs="宋体"/>
          <w:b/>
          <w:color w:val="auto"/>
          <w:sz w:val="28"/>
          <w:szCs w:val="28"/>
          <w:highlight w:val="none"/>
          <w:lang w:val="en-US" w:eastAsia="zh-CN"/>
        </w:rPr>
      </w:pPr>
    </w:p>
    <w:p w14:paraId="5DE61842">
      <w:pPr>
        <w:pStyle w:val="5"/>
        <w:rPr>
          <w:rFonts w:hint="eastAsia"/>
          <w:color w:val="auto"/>
          <w:highlight w:val="none"/>
          <w:lang w:val="en-US" w:eastAsia="zh-CN"/>
        </w:rPr>
      </w:pPr>
    </w:p>
    <w:p w14:paraId="21274D5E">
      <w:pPr>
        <w:pStyle w:val="12"/>
        <w:numPr>
          <w:ilvl w:val="0"/>
          <w:numId w:val="0"/>
        </w:numPr>
        <w:spacing w:line="340" w:lineRule="exact"/>
        <w:rPr>
          <w:rFonts w:hint="eastAsia" w:ascii="宋体" w:hAnsi="宋体" w:eastAsia="宋体" w:cs="宋体"/>
          <w:color w:val="auto"/>
          <w:highlight w:val="none"/>
        </w:rPr>
      </w:pPr>
      <w:r>
        <w:rPr>
          <w:rFonts w:hint="eastAsia" w:hAnsi="宋体" w:cs="宋体"/>
          <w:b/>
          <w:color w:val="auto"/>
          <w:sz w:val="28"/>
          <w:szCs w:val="28"/>
          <w:highlight w:val="none"/>
          <w:lang w:val="en-US" w:eastAsia="zh-CN"/>
        </w:rPr>
        <w:t>2</w:t>
      </w:r>
      <w:r>
        <w:rPr>
          <w:rFonts w:hint="eastAsia" w:ascii="宋体" w:hAnsi="宋体" w:eastAsia="宋体" w:cs="宋体"/>
          <w:b/>
          <w:color w:val="auto"/>
          <w:sz w:val="28"/>
          <w:szCs w:val="28"/>
          <w:highlight w:val="none"/>
          <w:lang w:val="en-US" w:eastAsia="zh-CN"/>
        </w:rPr>
        <w:t>. 工程报价汇总表</w:t>
      </w:r>
      <w:r>
        <w:rPr>
          <w:rFonts w:hint="eastAsia" w:ascii="宋体" w:hAnsi="宋体" w:eastAsia="宋体" w:cs="宋体"/>
          <w:b/>
          <w:color w:val="auto"/>
          <w:sz w:val="28"/>
          <w:szCs w:val="28"/>
          <w:highlight w:val="none"/>
        </w:rPr>
        <w:t>（必须提供）；</w:t>
      </w:r>
    </w:p>
    <w:p w14:paraId="125F4D30">
      <w:pPr>
        <w:pStyle w:val="12"/>
        <w:spacing w:line="320" w:lineRule="exact"/>
        <w:jc w:val="left"/>
        <w:rPr>
          <w:rFonts w:hint="eastAsia" w:ascii="宋体" w:hAnsi="宋体" w:eastAsia="宋体" w:cs="宋体"/>
          <w:b/>
          <w:color w:val="auto"/>
          <w:sz w:val="28"/>
          <w:szCs w:val="28"/>
          <w:highlight w:val="none"/>
        </w:rPr>
      </w:pPr>
    </w:p>
    <w:p w14:paraId="2FBD277C">
      <w:pPr>
        <w:widowControl/>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工程报价汇总表</w:t>
      </w:r>
      <w:r>
        <w:rPr>
          <w:rFonts w:hint="eastAsia" w:ascii="宋体" w:hAnsi="宋体" w:eastAsia="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lang w:val="en-US" w:eastAsia="zh-CN"/>
        </w:rPr>
        <w:t>格式</w:t>
      </w:r>
      <w:r>
        <w:rPr>
          <w:rFonts w:hint="eastAsia" w:ascii="宋体" w:hAnsi="宋体" w:eastAsia="宋体" w:cs="宋体"/>
          <w:b/>
          <w:color w:val="auto"/>
          <w:kern w:val="0"/>
          <w:sz w:val="24"/>
          <w:szCs w:val="24"/>
          <w:highlight w:val="none"/>
          <w:lang w:eastAsia="zh-CN"/>
        </w:rPr>
        <w:t>）</w:t>
      </w:r>
    </w:p>
    <w:p w14:paraId="25CB5B2D">
      <w:pPr>
        <w:widowControl/>
        <w:jc w:val="center"/>
        <w:rPr>
          <w:rFonts w:hint="eastAsia" w:ascii="宋体" w:hAnsi="宋体" w:cs="宋体"/>
          <w:color w:val="auto"/>
          <w:kern w:val="0"/>
          <w:sz w:val="24"/>
          <w:highlight w:val="none"/>
        </w:rPr>
      </w:pPr>
    </w:p>
    <w:p w14:paraId="2497DE7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工程名称: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0"/>
          <w:sz w:val="21"/>
          <w:szCs w:val="21"/>
          <w:highlight w:val="none"/>
        </w:rPr>
        <w:t>币种：人民币</w:t>
      </w:r>
    </w:p>
    <w:tbl>
      <w:tblPr>
        <w:tblStyle w:val="27"/>
        <w:tblW w:w="9184" w:type="dxa"/>
        <w:tblInd w:w="108" w:type="dxa"/>
        <w:tblLayout w:type="fixed"/>
        <w:tblCellMar>
          <w:top w:w="0" w:type="dxa"/>
          <w:left w:w="108" w:type="dxa"/>
          <w:bottom w:w="0" w:type="dxa"/>
          <w:right w:w="108" w:type="dxa"/>
        </w:tblCellMar>
      </w:tblPr>
      <w:tblGrid>
        <w:gridCol w:w="720"/>
        <w:gridCol w:w="540"/>
        <w:gridCol w:w="5404"/>
        <w:gridCol w:w="2520"/>
      </w:tblGrid>
      <w:tr w14:paraId="75B36073">
        <w:tblPrEx>
          <w:tblCellMar>
            <w:top w:w="0" w:type="dxa"/>
            <w:left w:w="108" w:type="dxa"/>
            <w:bottom w:w="0" w:type="dxa"/>
            <w:right w:w="108" w:type="dxa"/>
          </w:tblCellMar>
        </w:tblPrEx>
        <w:trPr>
          <w:trHeight w:val="454" w:hRule="atLeast"/>
        </w:trPr>
        <w:tc>
          <w:tcPr>
            <w:tcW w:w="720" w:type="dxa"/>
            <w:tcBorders>
              <w:top w:val="single" w:color="auto" w:sz="4" w:space="0"/>
              <w:left w:val="single" w:color="auto" w:sz="8" w:space="0"/>
              <w:bottom w:val="single" w:color="auto" w:sz="4" w:space="0"/>
              <w:right w:val="single" w:color="auto" w:sz="4" w:space="0"/>
            </w:tcBorders>
            <w:vAlign w:val="center"/>
          </w:tcPr>
          <w:p w14:paraId="43BED93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w:t>
            </w:r>
          </w:p>
        </w:tc>
        <w:tc>
          <w:tcPr>
            <w:tcW w:w="5944" w:type="dxa"/>
            <w:gridSpan w:val="2"/>
            <w:tcBorders>
              <w:top w:val="single" w:color="auto" w:sz="8" w:space="0"/>
              <w:left w:val="nil"/>
              <w:bottom w:val="single" w:color="auto" w:sz="4" w:space="0"/>
              <w:right w:val="single" w:color="000000" w:sz="4" w:space="0"/>
            </w:tcBorders>
            <w:vAlign w:val="center"/>
          </w:tcPr>
          <w:p w14:paraId="02F9C85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磋商报价</w:t>
            </w:r>
            <w:r>
              <w:rPr>
                <w:rFonts w:hint="eastAsia" w:ascii="宋体" w:hAnsi="宋体" w:eastAsia="宋体" w:cs="宋体"/>
                <w:color w:val="auto"/>
                <w:kern w:val="0"/>
                <w:sz w:val="21"/>
                <w:szCs w:val="21"/>
                <w:highlight w:val="none"/>
              </w:rPr>
              <w:t>：二＋三＋四＋五</w:t>
            </w:r>
          </w:p>
        </w:tc>
        <w:tc>
          <w:tcPr>
            <w:tcW w:w="2520" w:type="dxa"/>
            <w:tcBorders>
              <w:top w:val="single" w:color="auto" w:sz="8" w:space="0"/>
              <w:left w:val="nil"/>
              <w:bottom w:val="single" w:color="auto" w:sz="4" w:space="0"/>
              <w:right w:val="single" w:color="auto" w:sz="8" w:space="0"/>
            </w:tcBorders>
            <w:vAlign w:val="center"/>
          </w:tcPr>
          <w:p w14:paraId="687B5AD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4C632E9D">
        <w:tblPrEx>
          <w:tblCellMar>
            <w:top w:w="0" w:type="dxa"/>
            <w:left w:w="108" w:type="dxa"/>
            <w:bottom w:w="0" w:type="dxa"/>
            <w:right w:w="108" w:type="dxa"/>
          </w:tblCellMar>
        </w:tblPrEx>
        <w:trPr>
          <w:trHeight w:val="454" w:hRule="atLeast"/>
        </w:trPr>
        <w:tc>
          <w:tcPr>
            <w:tcW w:w="720" w:type="dxa"/>
            <w:tcBorders>
              <w:top w:val="nil"/>
              <w:left w:val="single" w:color="auto" w:sz="8" w:space="0"/>
              <w:bottom w:val="single" w:color="auto" w:sz="4" w:space="0"/>
              <w:right w:val="single" w:color="auto" w:sz="4" w:space="0"/>
            </w:tcBorders>
            <w:vAlign w:val="center"/>
          </w:tcPr>
          <w:p w14:paraId="0D09DE3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w:t>
            </w:r>
          </w:p>
        </w:tc>
        <w:tc>
          <w:tcPr>
            <w:tcW w:w="5944" w:type="dxa"/>
            <w:gridSpan w:val="2"/>
            <w:tcBorders>
              <w:top w:val="single" w:color="auto" w:sz="4" w:space="0"/>
              <w:left w:val="nil"/>
              <w:bottom w:val="single" w:color="auto" w:sz="4" w:space="0"/>
              <w:right w:val="single" w:color="auto" w:sz="4" w:space="0"/>
            </w:tcBorders>
            <w:vAlign w:val="center"/>
          </w:tcPr>
          <w:p w14:paraId="0B343BA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预算价</w:t>
            </w:r>
            <w:r>
              <w:rPr>
                <w:rFonts w:hint="eastAsia" w:ascii="宋体" w:hAnsi="宋体" w:eastAsia="宋体" w:cs="宋体"/>
                <w:color w:val="auto"/>
                <w:kern w:val="0"/>
                <w:sz w:val="21"/>
                <w:szCs w:val="21"/>
                <w:highlight w:val="none"/>
              </w:rPr>
              <w:t>：（不含安全文明施工费、规费、增值税）</w:t>
            </w:r>
          </w:p>
        </w:tc>
        <w:tc>
          <w:tcPr>
            <w:tcW w:w="2520" w:type="dxa"/>
            <w:tcBorders>
              <w:top w:val="nil"/>
              <w:left w:val="nil"/>
              <w:bottom w:val="single" w:color="auto" w:sz="4" w:space="0"/>
              <w:right w:val="single" w:color="auto" w:sz="8" w:space="0"/>
            </w:tcBorders>
            <w:vAlign w:val="center"/>
          </w:tcPr>
          <w:p w14:paraId="4A9A4FA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71FA1F36">
        <w:tblPrEx>
          <w:tblCellMar>
            <w:top w:w="0" w:type="dxa"/>
            <w:left w:w="108" w:type="dxa"/>
            <w:bottom w:w="0" w:type="dxa"/>
            <w:right w:w="108" w:type="dxa"/>
          </w:tblCellMar>
        </w:tblPrEx>
        <w:trPr>
          <w:trHeight w:val="454" w:hRule="atLeast"/>
        </w:trPr>
        <w:tc>
          <w:tcPr>
            <w:tcW w:w="720" w:type="dxa"/>
            <w:tcBorders>
              <w:top w:val="single" w:color="auto" w:sz="4" w:space="0"/>
              <w:left w:val="single" w:color="auto" w:sz="8" w:space="0"/>
              <w:bottom w:val="single" w:color="auto" w:sz="4" w:space="0"/>
              <w:right w:val="single" w:color="auto" w:sz="4" w:space="0"/>
            </w:tcBorders>
            <w:vAlign w:val="center"/>
          </w:tcPr>
          <w:p w14:paraId="6CF2FE1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w:t>
            </w:r>
          </w:p>
        </w:tc>
        <w:tc>
          <w:tcPr>
            <w:tcW w:w="5944" w:type="dxa"/>
            <w:gridSpan w:val="2"/>
            <w:tcBorders>
              <w:top w:val="single" w:color="auto" w:sz="4" w:space="0"/>
              <w:left w:val="nil"/>
              <w:bottom w:val="single" w:color="auto" w:sz="4" w:space="0"/>
              <w:right w:val="single" w:color="auto" w:sz="4" w:space="0"/>
            </w:tcBorders>
            <w:vAlign w:val="center"/>
          </w:tcPr>
          <w:p w14:paraId="2DAEA8C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安全文明施工费</w:t>
            </w:r>
          </w:p>
        </w:tc>
        <w:tc>
          <w:tcPr>
            <w:tcW w:w="2520" w:type="dxa"/>
            <w:tcBorders>
              <w:top w:val="nil"/>
              <w:left w:val="nil"/>
              <w:bottom w:val="single" w:color="auto" w:sz="4" w:space="0"/>
              <w:right w:val="single" w:color="auto" w:sz="8" w:space="0"/>
            </w:tcBorders>
            <w:vAlign w:val="center"/>
          </w:tcPr>
          <w:p w14:paraId="42F4F54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0F0080CD">
        <w:tblPrEx>
          <w:tblCellMar>
            <w:top w:w="0" w:type="dxa"/>
            <w:left w:w="108" w:type="dxa"/>
            <w:bottom w:w="0" w:type="dxa"/>
            <w:right w:w="108" w:type="dxa"/>
          </w:tblCellMar>
        </w:tblPrEx>
        <w:trPr>
          <w:trHeight w:val="454" w:hRule="atLeast"/>
        </w:trPr>
        <w:tc>
          <w:tcPr>
            <w:tcW w:w="720" w:type="dxa"/>
            <w:tcBorders>
              <w:top w:val="nil"/>
              <w:left w:val="single" w:color="auto" w:sz="8" w:space="0"/>
              <w:bottom w:val="single" w:color="auto" w:sz="4" w:space="0"/>
              <w:right w:val="single" w:color="auto" w:sz="4" w:space="0"/>
            </w:tcBorders>
            <w:vAlign w:val="center"/>
          </w:tcPr>
          <w:p w14:paraId="0FE7233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w:t>
            </w:r>
          </w:p>
        </w:tc>
        <w:tc>
          <w:tcPr>
            <w:tcW w:w="5944" w:type="dxa"/>
            <w:gridSpan w:val="2"/>
            <w:tcBorders>
              <w:top w:val="single" w:color="auto" w:sz="4" w:space="0"/>
              <w:left w:val="nil"/>
              <w:bottom w:val="single" w:color="auto" w:sz="4" w:space="0"/>
              <w:right w:val="single" w:color="auto" w:sz="4" w:space="0"/>
            </w:tcBorders>
            <w:vAlign w:val="center"/>
          </w:tcPr>
          <w:p w14:paraId="5FA9916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规费：</w:t>
            </w:r>
          </w:p>
        </w:tc>
        <w:tc>
          <w:tcPr>
            <w:tcW w:w="2520" w:type="dxa"/>
            <w:tcBorders>
              <w:top w:val="nil"/>
              <w:left w:val="nil"/>
              <w:bottom w:val="single" w:color="auto" w:sz="4" w:space="0"/>
              <w:right w:val="single" w:color="auto" w:sz="8" w:space="0"/>
            </w:tcBorders>
            <w:vAlign w:val="center"/>
          </w:tcPr>
          <w:p w14:paraId="67AA544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39DDF741">
        <w:tblPrEx>
          <w:tblCellMar>
            <w:top w:w="0" w:type="dxa"/>
            <w:left w:w="108" w:type="dxa"/>
            <w:bottom w:w="0" w:type="dxa"/>
            <w:right w:w="108" w:type="dxa"/>
          </w:tblCellMar>
        </w:tblPrEx>
        <w:trPr>
          <w:trHeight w:val="454" w:hRule="atLeast"/>
        </w:trPr>
        <w:tc>
          <w:tcPr>
            <w:tcW w:w="720" w:type="dxa"/>
            <w:vMerge w:val="restart"/>
            <w:tcBorders>
              <w:top w:val="nil"/>
              <w:left w:val="single" w:color="auto" w:sz="8" w:space="0"/>
              <w:right w:val="single" w:color="auto" w:sz="4" w:space="0"/>
            </w:tcBorders>
            <w:vAlign w:val="center"/>
          </w:tcPr>
          <w:p w14:paraId="1B28B16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w:t>
            </w:r>
          </w:p>
          <w:p w14:paraId="39499AE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w:t>
            </w:r>
          </w:p>
        </w:tc>
        <w:tc>
          <w:tcPr>
            <w:tcW w:w="540" w:type="dxa"/>
            <w:tcBorders>
              <w:top w:val="nil"/>
              <w:left w:val="nil"/>
              <w:bottom w:val="single" w:color="auto" w:sz="4" w:space="0"/>
              <w:right w:val="single" w:color="auto" w:sz="4" w:space="0"/>
            </w:tcBorders>
            <w:vAlign w:val="bottom"/>
          </w:tcPr>
          <w:p w14:paraId="4FB5B8F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404" w:type="dxa"/>
            <w:tcBorders>
              <w:top w:val="single" w:color="auto" w:sz="4" w:space="0"/>
              <w:left w:val="nil"/>
              <w:bottom w:val="single" w:color="auto" w:sz="4" w:space="0"/>
              <w:right w:val="single" w:color="auto" w:sz="4" w:space="0"/>
            </w:tcBorders>
            <w:vAlign w:val="center"/>
          </w:tcPr>
          <w:p w14:paraId="119166F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社会保险费</w:t>
            </w:r>
          </w:p>
        </w:tc>
        <w:tc>
          <w:tcPr>
            <w:tcW w:w="2520" w:type="dxa"/>
            <w:tcBorders>
              <w:top w:val="nil"/>
              <w:left w:val="nil"/>
              <w:bottom w:val="single" w:color="auto" w:sz="4" w:space="0"/>
              <w:right w:val="single" w:color="auto" w:sz="8" w:space="0"/>
            </w:tcBorders>
            <w:vAlign w:val="center"/>
          </w:tcPr>
          <w:p w14:paraId="024D454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2D550478">
        <w:tblPrEx>
          <w:tblCellMar>
            <w:top w:w="0" w:type="dxa"/>
            <w:left w:w="108" w:type="dxa"/>
            <w:bottom w:w="0" w:type="dxa"/>
            <w:right w:w="108" w:type="dxa"/>
          </w:tblCellMar>
        </w:tblPrEx>
        <w:trPr>
          <w:trHeight w:val="454" w:hRule="atLeast"/>
        </w:trPr>
        <w:tc>
          <w:tcPr>
            <w:tcW w:w="720" w:type="dxa"/>
            <w:vMerge w:val="continue"/>
            <w:tcBorders>
              <w:left w:val="single" w:color="auto" w:sz="8" w:space="0"/>
              <w:right w:val="single" w:color="auto" w:sz="4" w:space="0"/>
            </w:tcBorders>
            <w:vAlign w:val="center"/>
          </w:tcPr>
          <w:p w14:paraId="35174B2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p>
        </w:tc>
        <w:tc>
          <w:tcPr>
            <w:tcW w:w="540" w:type="dxa"/>
            <w:tcBorders>
              <w:top w:val="nil"/>
              <w:left w:val="nil"/>
              <w:bottom w:val="single" w:color="auto" w:sz="4" w:space="0"/>
              <w:right w:val="single" w:color="auto" w:sz="4" w:space="0"/>
            </w:tcBorders>
            <w:vAlign w:val="bottom"/>
          </w:tcPr>
          <w:p w14:paraId="5C057D4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404" w:type="dxa"/>
            <w:tcBorders>
              <w:top w:val="single" w:color="auto" w:sz="4" w:space="0"/>
              <w:left w:val="nil"/>
              <w:bottom w:val="single" w:color="auto" w:sz="4" w:space="0"/>
              <w:right w:val="single" w:color="auto" w:sz="4" w:space="0"/>
            </w:tcBorders>
            <w:vAlign w:val="center"/>
          </w:tcPr>
          <w:p w14:paraId="46082E0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tc>
        <w:tc>
          <w:tcPr>
            <w:tcW w:w="2520" w:type="dxa"/>
            <w:tcBorders>
              <w:top w:val="nil"/>
              <w:left w:val="nil"/>
              <w:bottom w:val="single" w:color="auto" w:sz="4" w:space="0"/>
              <w:right w:val="single" w:color="auto" w:sz="8" w:space="0"/>
            </w:tcBorders>
            <w:vAlign w:val="center"/>
          </w:tcPr>
          <w:p w14:paraId="2BEE197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34E70188">
        <w:tblPrEx>
          <w:tblCellMar>
            <w:top w:w="0" w:type="dxa"/>
            <w:left w:w="108" w:type="dxa"/>
            <w:bottom w:w="0" w:type="dxa"/>
            <w:right w:w="108" w:type="dxa"/>
          </w:tblCellMar>
        </w:tblPrEx>
        <w:trPr>
          <w:trHeight w:val="454" w:hRule="atLeast"/>
        </w:trPr>
        <w:tc>
          <w:tcPr>
            <w:tcW w:w="720" w:type="dxa"/>
            <w:tcBorders>
              <w:top w:val="single" w:color="auto" w:sz="4" w:space="0"/>
              <w:left w:val="single" w:color="auto" w:sz="8" w:space="0"/>
              <w:bottom w:val="single" w:color="auto" w:sz="4" w:space="0"/>
              <w:right w:val="single" w:color="auto" w:sz="4" w:space="0"/>
            </w:tcBorders>
            <w:vAlign w:val="center"/>
          </w:tcPr>
          <w:p w14:paraId="40432D5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w:t>
            </w:r>
          </w:p>
        </w:tc>
        <w:tc>
          <w:tcPr>
            <w:tcW w:w="5944" w:type="dxa"/>
            <w:gridSpan w:val="2"/>
            <w:tcBorders>
              <w:top w:val="single" w:color="auto" w:sz="4" w:space="0"/>
              <w:left w:val="nil"/>
              <w:bottom w:val="single" w:color="auto" w:sz="4" w:space="0"/>
              <w:right w:val="single" w:color="auto" w:sz="4" w:space="0"/>
            </w:tcBorders>
            <w:vAlign w:val="center"/>
          </w:tcPr>
          <w:p w14:paraId="671AF7C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增值税</w:t>
            </w:r>
            <w:r>
              <w:rPr>
                <w:rFonts w:hint="eastAsia" w:ascii="宋体" w:hAnsi="宋体" w:eastAsia="宋体" w:cs="宋体"/>
                <w:color w:val="auto"/>
                <w:kern w:val="0"/>
                <w:sz w:val="21"/>
                <w:szCs w:val="21"/>
                <w:highlight w:val="none"/>
                <w:lang w:val="en-US" w:eastAsia="zh-CN"/>
              </w:rPr>
              <w:t>/税金</w:t>
            </w:r>
          </w:p>
        </w:tc>
        <w:tc>
          <w:tcPr>
            <w:tcW w:w="2520" w:type="dxa"/>
            <w:tcBorders>
              <w:top w:val="nil"/>
              <w:left w:val="nil"/>
              <w:bottom w:val="single" w:color="auto" w:sz="4" w:space="0"/>
              <w:right w:val="single" w:color="auto" w:sz="8" w:space="0"/>
            </w:tcBorders>
            <w:vAlign w:val="center"/>
          </w:tcPr>
          <w:p w14:paraId="126DD8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（元）</w:t>
            </w:r>
          </w:p>
        </w:tc>
      </w:tr>
      <w:tr w14:paraId="657928BF">
        <w:tblPrEx>
          <w:tblCellMar>
            <w:top w:w="0" w:type="dxa"/>
            <w:left w:w="108" w:type="dxa"/>
            <w:bottom w:w="0" w:type="dxa"/>
            <w:right w:w="108" w:type="dxa"/>
          </w:tblCellMar>
        </w:tblPrEx>
        <w:trPr>
          <w:trHeight w:val="454" w:hRule="atLeast"/>
        </w:trPr>
        <w:tc>
          <w:tcPr>
            <w:tcW w:w="6664" w:type="dxa"/>
            <w:gridSpan w:val="3"/>
            <w:tcBorders>
              <w:top w:val="single" w:color="auto" w:sz="4" w:space="0"/>
              <w:left w:val="single" w:color="auto" w:sz="8" w:space="0"/>
              <w:bottom w:val="single" w:color="auto" w:sz="4" w:space="0"/>
              <w:right w:val="single" w:color="auto" w:sz="4" w:space="0"/>
            </w:tcBorders>
            <w:vAlign w:val="center"/>
          </w:tcPr>
          <w:p w14:paraId="0235F4B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承诺工期</w:t>
            </w:r>
          </w:p>
        </w:tc>
        <w:tc>
          <w:tcPr>
            <w:tcW w:w="2520" w:type="dxa"/>
            <w:tcBorders>
              <w:top w:val="nil"/>
              <w:left w:val="nil"/>
              <w:bottom w:val="single" w:color="auto" w:sz="4" w:space="0"/>
              <w:right w:val="single" w:color="auto" w:sz="8" w:space="0"/>
            </w:tcBorders>
            <w:vAlign w:val="center"/>
          </w:tcPr>
          <w:p w14:paraId="0F2546B6">
            <w:pPr>
              <w:keepNext w:val="0"/>
              <w:keepLines w:val="0"/>
              <w:pageBreakBefore w:val="0"/>
              <w:widowControl/>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天（日历日）</w:t>
            </w:r>
          </w:p>
        </w:tc>
      </w:tr>
      <w:tr w14:paraId="413E87C3">
        <w:tblPrEx>
          <w:tblCellMar>
            <w:top w:w="0" w:type="dxa"/>
            <w:left w:w="108" w:type="dxa"/>
            <w:bottom w:w="0" w:type="dxa"/>
            <w:right w:w="108" w:type="dxa"/>
          </w:tblCellMar>
        </w:tblPrEx>
        <w:trPr>
          <w:trHeight w:val="454" w:hRule="atLeast"/>
        </w:trPr>
        <w:tc>
          <w:tcPr>
            <w:tcW w:w="6664" w:type="dxa"/>
            <w:gridSpan w:val="3"/>
            <w:tcBorders>
              <w:top w:val="single" w:color="auto" w:sz="4" w:space="0"/>
              <w:left w:val="single" w:color="auto" w:sz="8" w:space="0"/>
              <w:bottom w:val="single" w:color="auto" w:sz="4" w:space="0"/>
              <w:right w:val="single" w:color="auto" w:sz="4" w:space="0"/>
            </w:tcBorders>
            <w:vAlign w:val="center"/>
          </w:tcPr>
          <w:p w14:paraId="73D2E92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承诺质量等级</w:t>
            </w:r>
          </w:p>
        </w:tc>
        <w:tc>
          <w:tcPr>
            <w:tcW w:w="2520" w:type="dxa"/>
            <w:tcBorders>
              <w:top w:val="nil"/>
              <w:left w:val="nil"/>
              <w:bottom w:val="single" w:color="auto" w:sz="4" w:space="0"/>
              <w:right w:val="single" w:color="auto" w:sz="8" w:space="0"/>
            </w:tcBorders>
            <w:vAlign w:val="center"/>
          </w:tcPr>
          <w:p w14:paraId="7C1923A6">
            <w:pPr>
              <w:keepNext w:val="0"/>
              <w:keepLines w:val="0"/>
              <w:pageBreakBefore w:val="0"/>
              <w:widowControl/>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14:paraId="6F1A6AF7">
        <w:tblPrEx>
          <w:tblCellMar>
            <w:top w:w="0" w:type="dxa"/>
            <w:left w:w="108" w:type="dxa"/>
            <w:bottom w:w="0" w:type="dxa"/>
            <w:right w:w="108" w:type="dxa"/>
          </w:tblCellMar>
        </w:tblPrEx>
        <w:trPr>
          <w:trHeight w:val="1104" w:hRule="atLeast"/>
        </w:trPr>
        <w:tc>
          <w:tcPr>
            <w:tcW w:w="9184" w:type="dxa"/>
            <w:gridSpan w:val="4"/>
            <w:tcBorders>
              <w:top w:val="single" w:color="auto" w:sz="4" w:space="0"/>
              <w:left w:val="single" w:color="auto" w:sz="4" w:space="0"/>
              <w:bottom w:val="single" w:color="auto" w:sz="4" w:space="0"/>
              <w:right w:val="single" w:color="000000" w:sz="4" w:space="0"/>
            </w:tcBorders>
            <w:vAlign w:val="center"/>
          </w:tcPr>
          <w:p w14:paraId="2DE9EC8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注：安全防护、文明施工措施费按市建规[2007]131号文和市建规[2008]224号文执行。均作为不可竞争费用单列。</w:t>
            </w:r>
          </w:p>
        </w:tc>
      </w:tr>
    </w:tbl>
    <w:p w14:paraId="72BC817D">
      <w:pPr>
        <w:spacing w:line="340" w:lineRule="exact"/>
        <w:rPr>
          <w:rFonts w:hint="eastAsia" w:ascii="宋体" w:hAnsi="宋体" w:eastAsia="宋体" w:cs="宋体"/>
          <w:color w:val="auto"/>
          <w:szCs w:val="21"/>
          <w:highlight w:val="none"/>
        </w:rPr>
      </w:pPr>
    </w:p>
    <w:p w14:paraId="1C54AC54">
      <w:pPr>
        <w:spacing w:line="340" w:lineRule="exact"/>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磋商供应商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2BA149B3">
      <w:pPr>
        <w:spacing w:line="340" w:lineRule="exact"/>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02C590DE">
      <w:pPr>
        <w:tabs>
          <w:tab w:val="left" w:pos="1305"/>
        </w:tabs>
        <w:spacing w:line="340" w:lineRule="exact"/>
        <w:rPr>
          <w:rFonts w:hint="eastAsia" w:ascii="宋体" w:hAnsi="宋体" w:eastAsia="宋体" w:cs="宋体"/>
          <w:bCs/>
          <w:color w:val="auto"/>
          <w:sz w:val="21"/>
          <w:szCs w:val="21"/>
          <w:highlight w:val="none"/>
        </w:rPr>
      </w:pPr>
    </w:p>
    <w:p w14:paraId="361D8B04">
      <w:pPr>
        <w:pStyle w:val="12"/>
        <w:numPr>
          <w:ilvl w:val="0"/>
          <w:numId w:val="0"/>
        </w:numPr>
        <w:spacing w:line="340" w:lineRule="exact"/>
        <w:rPr>
          <w:rFonts w:hint="eastAsia" w:hAnsi="宋体" w:cs="宋体"/>
          <w:b/>
          <w:color w:val="auto"/>
          <w:sz w:val="28"/>
          <w:szCs w:val="28"/>
          <w:highlight w:val="none"/>
          <w:lang w:val="en-US" w:eastAsia="zh-CN"/>
        </w:rPr>
      </w:pPr>
    </w:p>
    <w:p w14:paraId="6437E5A8">
      <w:pPr>
        <w:pStyle w:val="12"/>
        <w:numPr>
          <w:ilvl w:val="0"/>
          <w:numId w:val="0"/>
        </w:numPr>
        <w:spacing w:line="340" w:lineRule="exact"/>
        <w:rPr>
          <w:rFonts w:hint="eastAsia" w:hAnsi="宋体" w:cs="宋体"/>
          <w:b/>
          <w:color w:val="auto"/>
          <w:sz w:val="28"/>
          <w:szCs w:val="28"/>
          <w:highlight w:val="none"/>
          <w:lang w:val="en-US" w:eastAsia="zh-CN"/>
        </w:rPr>
      </w:pPr>
    </w:p>
    <w:p w14:paraId="4D8AC358">
      <w:pPr>
        <w:pStyle w:val="12"/>
        <w:numPr>
          <w:ilvl w:val="0"/>
          <w:numId w:val="0"/>
        </w:numPr>
        <w:spacing w:line="340" w:lineRule="exact"/>
        <w:rPr>
          <w:rFonts w:hint="eastAsia" w:hAnsi="宋体" w:cs="宋体"/>
          <w:b/>
          <w:color w:val="auto"/>
          <w:sz w:val="28"/>
          <w:szCs w:val="28"/>
          <w:highlight w:val="none"/>
          <w:lang w:val="en-US" w:eastAsia="zh-CN"/>
        </w:rPr>
      </w:pPr>
    </w:p>
    <w:p w14:paraId="456843EE">
      <w:pPr>
        <w:pStyle w:val="12"/>
        <w:numPr>
          <w:ilvl w:val="0"/>
          <w:numId w:val="0"/>
        </w:numPr>
        <w:spacing w:line="340" w:lineRule="exact"/>
        <w:rPr>
          <w:rFonts w:hint="eastAsia" w:hAnsi="宋体" w:cs="宋体"/>
          <w:b/>
          <w:color w:val="auto"/>
          <w:sz w:val="28"/>
          <w:szCs w:val="28"/>
          <w:highlight w:val="none"/>
          <w:lang w:val="en-US" w:eastAsia="zh-CN"/>
        </w:rPr>
      </w:pPr>
    </w:p>
    <w:p w14:paraId="40804C45">
      <w:pPr>
        <w:pStyle w:val="12"/>
        <w:numPr>
          <w:ilvl w:val="0"/>
          <w:numId w:val="0"/>
        </w:numPr>
        <w:spacing w:line="340" w:lineRule="exact"/>
        <w:rPr>
          <w:rFonts w:hint="eastAsia" w:hAnsi="宋体" w:cs="宋体"/>
          <w:b/>
          <w:color w:val="auto"/>
          <w:sz w:val="28"/>
          <w:szCs w:val="28"/>
          <w:highlight w:val="none"/>
          <w:lang w:val="en-US" w:eastAsia="zh-CN"/>
        </w:rPr>
      </w:pPr>
    </w:p>
    <w:p w14:paraId="1C5655D6">
      <w:pPr>
        <w:pStyle w:val="12"/>
        <w:numPr>
          <w:ilvl w:val="0"/>
          <w:numId w:val="0"/>
        </w:numPr>
        <w:spacing w:line="340" w:lineRule="exact"/>
        <w:rPr>
          <w:rFonts w:hint="eastAsia" w:hAnsi="宋体" w:cs="宋体"/>
          <w:b/>
          <w:color w:val="auto"/>
          <w:sz w:val="28"/>
          <w:szCs w:val="28"/>
          <w:highlight w:val="none"/>
          <w:lang w:val="en-US" w:eastAsia="zh-CN"/>
        </w:rPr>
      </w:pPr>
    </w:p>
    <w:p w14:paraId="4BE27362">
      <w:pPr>
        <w:pStyle w:val="12"/>
        <w:numPr>
          <w:ilvl w:val="0"/>
          <w:numId w:val="0"/>
        </w:numPr>
        <w:spacing w:line="340" w:lineRule="exact"/>
        <w:rPr>
          <w:rFonts w:hint="eastAsia" w:hAnsi="宋体" w:cs="宋体"/>
          <w:b/>
          <w:color w:val="auto"/>
          <w:sz w:val="28"/>
          <w:szCs w:val="28"/>
          <w:highlight w:val="none"/>
          <w:lang w:val="en-US" w:eastAsia="zh-CN"/>
        </w:rPr>
      </w:pPr>
    </w:p>
    <w:p w14:paraId="02F0F879">
      <w:pPr>
        <w:pStyle w:val="12"/>
        <w:numPr>
          <w:ilvl w:val="0"/>
          <w:numId w:val="0"/>
        </w:numPr>
        <w:spacing w:line="340" w:lineRule="exact"/>
        <w:rPr>
          <w:rFonts w:hint="eastAsia" w:hAnsi="宋体" w:cs="宋体"/>
          <w:b/>
          <w:color w:val="auto"/>
          <w:sz w:val="28"/>
          <w:szCs w:val="28"/>
          <w:highlight w:val="none"/>
          <w:lang w:val="en-US" w:eastAsia="zh-CN"/>
        </w:rPr>
      </w:pPr>
    </w:p>
    <w:p w14:paraId="2206F77E">
      <w:pPr>
        <w:pStyle w:val="12"/>
        <w:numPr>
          <w:ilvl w:val="0"/>
          <w:numId w:val="0"/>
        </w:numPr>
        <w:spacing w:line="340" w:lineRule="exact"/>
        <w:rPr>
          <w:rFonts w:hint="eastAsia" w:hAnsi="宋体" w:cs="宋体"/>
          <w:b/>
          <w:color w:val="auto"/>
          <w:sz w:val="28"/>
          <w:szCs w:val="28"/>
          <w:highlight w:val="none"/>
          <w:lang w:val="en-US" w:eastAsia="zh-CN"/>
        </w:rPr>
      </w:pPr>
    </w:p>
    <w:p w14:paraId="7165A9D8">
      <w:pPr>
        <w:pStyle w:val="12"/>
        <w:numPr>
          <w:ilvl w:val="0"/>
          <w:numId w:val="0"/>
        </w:numPr>
        <w:spacing w:line="340" w:lineRule="exact"/>
        <w:rPr>
          <w:rFonts w:hint="eastAsia" w:hAnsi="宋体" w:cs="宋体"/>
          <w:b/>
          <w:color w:val="auto"/>
          <w:sz w:val="28"/>
          <w:szCs w:val="28"/>
          <w:highlight w:val="none"/>
          <w:lang w:val="en-US" w:eastAsia="zh-CN"/>
        </w:rPr>
      </w:pPr>
    </w:p>
    <w:p w14:paraId="3F66A445">
      <w:pPr>
        <w:pStyle w:val="12"/>
        <w:numPr>
          <w:ilvl w:val="0"/>
          <w:numId w:val="0"/>
        </w:numPr>
        <w:spacing w:line="340" w:lineRule="exact"/>
        <w:rPr>
          <w:rFonts w:hint="eastAsia" w:hAnsi="宋体" w:cs="宋体"/>
          <w:b/>
          <w:color w:val="auto"/>
          <w:sz w:val="28"/>
          <w:szCs w:val="28"/>
          <w:highlight w:val="none"/>
          <w:lang w:val="en-US" w:eastAsia="zh-CN"/>
        </w:rPr>
      </w:pPr>
    </w:p>
    <w:p w14:paraId="68CFE28E">
      <w:pPr>
        <w:pStyle w:val="5"/>
        <w:rPr>
          <w:rFonts w:hint="eastAsia"/>
          <w:color w:val="auto"/>
          <w:highlight w:val="none"/>
          <w:lang w:val="en-US" w:eastAsia="zh-CN"/>
        </w:rPr>
      </w:pPr>
    </w:p>
    <w:p w14:paraId="5B35F7FD">
      <w:pPr>
        <w:pStyle w:val="12"/>
        <w:numPr>
          <w:ilvl w:val="0"/>
          <w:numId w:val="0"/>
        </w:numPr>
        <w:spacing w:line="340" w:lineRule="exact"/>
        <w:rPr>
          <w:rFonts w:hint="eastAsia" w:hAnsi="宋体" w:cs="宋体"/>
          <w:b/>
          <w:color w:val="auto"/>
          <w:sz w:val="28"/>
          <w:szCs w:val="28"/>
          <w:highlight w:val="none"/>
          <w:lang w:val="en-US" w:eastAsia="zh-CN"/>
        </w:rPr>
      </w:pPr>
    </w:p>
    <w:p w14:paraId="089BDCEF">
      <w:pPr>
        <w:pStyle w:val="12"/>
        <w:numPr>
          <w:ilvl w:val="0"/>
          <w:numId w:val="0"/>
        </w:numPr>
        <w:spacing w:line="340" w:lineRule="exact"/>
        <w:rPr>
          <w:rFonts w:hint="eastAsia" w:hAnsi="宋体" w:cs="宋体"/>
          <w:b/>
          <w:color w:val="auto"/>
          <w:sz w:val="28"/>
          <w:szCs w:val="28"/>
          <w:highlight w:val="none"/>
          <w:lang w:val="en-US" w:eastAsia="zh-CN"/>
        </w:rPr>
      </w:pPr>
    </w:p>
    <w:p w14:paraId="5DBB7D49">
      <w:pPr>
        <w:pStyle w:val="12"/>
        <w:numPr>
          <w:ilvl w:val="0"/>
          <w:numId w:val="0"/>
        </w:numPr>
        <w:spacing w:line="34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3.</w:t>
      </w:r>
      <w:r>
        <w:rPr>
          <w:rFonts w:hint="eastAsia" w:hAnsi="宋体" w:eastAsia="宋体" w:cs="宋体"/>
          <w:b/>
          <w:color w:val="auto"/>
          <w:sz w:val="28"/>
          <w:szCs w:val="28"/>
          <w:highlight w:val="none"/>
          <w:lang w:val="en-US" w:eastAsia="zh-CN"/>
        </w:rPr>
        <w:t>已</w:t>
      </w:r>
      <w:r>
        <w:rPr>
          <w:rFonts w:hint="eastAsia" w:ascii="宋体" w:hAnsi="宋体" w:eastAsia="宋体" w:cs="宋体"/>
          <w:b/>
          <w:color w:val="auto"/>
          <w:sz w:val="28"/>
          <w:szCs w:val="28"/>
          <w:highlight w:val="none"/>
          <w:lang w:val="en-US" w:eastAsia="zh-CN"/>
        </w:rPr>
        <w:t>标价工程量清单（必须提供）</w:t>
      </w:r>
    </w:p>
    <w:p w14:paraId="5BDAC95C">
      <w:pPr>
        <w:snapToGrid w:val="0"/>
        <w:spacing w:line="240" w:lineRule="auto"/>
        <w:ind w:firstLine="420"/>
        <w:jc w:val="right"/>
        <w:rPr>
          <w:rFonts w:hint="eastAsia" w:ascii="宋体" w:hAnsi="宋体" w:eastAsia="宋体" w:cs="宋体"/>
          <w:color w:val="auto"/>
          <w:highlight w:val="none"/>
        </w:rPr>
      </w:pPr>
    </w:p>
    <w:p w14:paraId="3E8486B9">
      <w:pPr>
        <w:pStyle w:val="5"/>
        <w:spacing w:line="240" w:lineRule="auto"/>
        <w:jc w:val="center"/>
        <w:rPr>
          <w:rFonts w:hint="eastAsia" w:ascii="宋体" w:hAnsi="宋体" w:eastAsia="宋体" w:cs="宋体"/>
          <w:color w:val="auto"/>
          <w:sz w:val="24"/>
          <w:szCs w:val="24"/>
          <w:highlight w:val="none"/>
        </w:rPr>
      </w:pPr>
      <w:bookmarkStart w:id="2394" w:name="_Toc271557289"/>
      <w:bookmarkStart w:id="2395" w:name="_Toc234659851"/>
      <w:bookmarkStart w:id="2396" w:name="_Toc394929435"/>
      <w:bookmarkStart w:id="2397" w:name="_Toc446943082"/>
      <w:r>
        <w:rPr>
          <w:rFonts w:hint="eastAsia" w:ascii="宋体" w:hAnsi="宋体" w:eastAsia="宋体" w:cs="宋体"/>
          <w:color w:val="auto"/>
          <w:sz w:val="24"/>
          <w:szCs w:val="24"/>
          <w:highlight w:val="none"/>
        </w:rPr>
        <w:t>已标价工程量清单</w:t>
      </w:r>
      <w:bookmarkEnd w:id="2394"/>
      <w:bookmarkEnd w:id="2395"/>
      <w:bookmarkEnd w:id="2396"/>
      <w:bookmarkEnd w:id="2397"/>
    </w:p>
    <w:p w14:paraId="476E9844">
      <w:pPr>
        <w:spacing w:line="240" w:lineRule="auto"/>
        <w:ind w:firstLine="420"/>
        <w:jc w:val="center"/>
        <w:rPr>
          <w:rFonts w:hint="eastAsia" w:ascii="宋体" w:hAnsi="宋体" w:eastAsia="宋体" w:cs="宋体"/>
          <w:color w:val="auto"/>
          <w:highlight w:val="none"/>
        </w:rPr>
      </w:pPr>
    </w:p>
    <w:p w14:paraId="7439FEF5">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应按照第</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章“工程量清单”的要求逐项填报工程量清单，包括工程量清单说明、</w:t>
      </w:r>
      <w:r>
        <w:rPr>
          <w:rFonts w:hint="eastAsia" w:ascii="宋体" w:hAnsi="宋体" w:eastAsia="宋体" w:cs="宋体"/>
          <w:color w:val="auto"/>
          <w:szCs w:val="21"/>
          <w:highlight w:val="none"/>
          <w:lang w:eastAsia="zh-CN"/>
        </w:rPr>
        <w:t>磋商报价</w:t>
      </w:r>
      <w:r>
        <w:rPr>
          <w:rFonts w:hint="eastAsia" w:ascii="宋体" w:hAnsi="宋体" w:eastAsia="宋体" w:cs="宋体"/>
          <w:color w:val="auto"/>
          <w:szCs w:val="21"/>
          <w:highlight w:val="none"/>
        </w:rPr>
        <w:t>说明及工程量清单各项表格</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采购人</w:t>
      </w:r>
      <w:r>
        <w:rPr>
          <w:rFonts w:hint="eastAsia" w:ascii="宋体" w:hAnsi="宋体" w:eastAsia="宋体" w:cs="宋体"/>
          <w:b/>
          <w:bCs/>
          <w:color w:val="auto"/>
          <w:highlight w:val="none"/>
        </w:rPr>
        <w:t>提供的工程量清单</w:t>
      </w:r>
      <w:r>
        <w:rPr>
          <w:rFonts w:hint="eastAsia" w:ascii="宋体" w:hAnsi="宋体" w:eastAsia="宋体" w:cs="宋体"/>
          <w:b/>
          <w:bCs/>
          <w:color w:val="auto"/>
          <w:szCs w:val="21"/>
          <w:highlight w:val="none"/>
        </w:rPr>
        <w:t>）。</w:t>
      </w:r>
    </w:p>
    <w:p w14:paraId="3C5BD0F6">
      <w:pPr>
        <w:spacing w:line="340" w:lineRule="exact"/>
        <w:rPr>
          <w:rFonts w:hint="eastAsia" w:ascii="宋体" w:hAnsi="宋体" w:eastAsia="宋体" w:cs="宋体"/>
          <w:color w:val="auto"/>
          <w:szCs w:val="21"/>
          <w:highlight w:val="none"/>
        </w:rPr>
      </w:pPr>
    </w:p>
    <w:p w14:paraId="5D58B40A">
      <w:pPr>
        <w:spacing w:line="40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注：</w:t>
      </w:r>
      <w:r>
        <w:rPr>
          <w:rFonts w:hint="eastAsia" w:ascii="宋体" w:hAnsi="宋体" w:eastAsia="宋体" w:cs="宋体"/>
          <w:b/>
          <w:color w:val="auto"/>
          <w:sz w:val="24"/>
          <w:highlight w:val="none"/>
        </w:rPr>
        <w:t>当本</w:t>
      </w:r>
      <w:r>
        <w:rPr>
          <w:rFonts w:hint="eastAsia" w:ascii="宋体" w:hAnsi="宋体" w:eastAsia="宋体" w:cs="宋体"/>
          <w:b/>
          <w:color w:val="auto"/>
          <w:sz w:val="24"/>
          <w:highlight w:val="none"/>
          <w:lang w:eastAsia="zh-CN"/>
        </w:rPr>
        <w:t>清单</w:t>
      </w:r>
      <w:r>
        <w:rPr>
          <w:rFonts w:hint="eastAsia" w:ascii="宋体" w:hAnsi="宋体" w:eastAsia="宋体" w:cs="宋体"/>
          <w:b/>
          <w:color w:val="auto"/>
          <w:sz w:val="24"/>
          <w:highlight w:val="none"/>
        </w:rPr>
        <w:t>由多页构成时，需逐页加盖</w:t>
      </w:r>
      <w:r>
        <w:rPr>
          <w:rFonts w:hint="eastAsia" w:ascii="宋体" w:hAnsi="宋体" w:eastAsia="宋体" w:cs="宋体"/>
          <w:b/>
          <w:color w:val="auto"/>
          <w:sz w:val="24"/>
          <w:highlight w:val="none"/>
          <w:lang w:eastAsia="zh-CN"/>
        </w:rPr>
        <w:t>磋商供应商</w:t>
      </w:r>
      <w:r>
        <w:rPr>
          <w:rFonts w:hint="eastAsia" w:ascii="宋体" w:hAnsi="宋体" w:eastAsia="宋体" w:cs="宋体"/>
          <w:b/>
          <w:color w:val="auto"/>
          <w:sz w:val="24"/>
          <w:highlight w:val="none"/>
        </w:rPr>
        <w:t>公章</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CA签章</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（属自然人的须逐页签字</w:t>
      </w:r>
      <w:r>
        <w:rPr>
          <w:rFonts w:hint="eastAsia" w:ascii="宋体" w:hAnsi="宋体" w:eastAsia="宋体" w:cs="宋体"/>
          <w:b/>
          <w:color w:val="auto"/>
          <w:sz w:val="24"/>
          <w:highlight w:val="none"/>
          <w:lang w:eastAsia="zh-CN"/>
        </w:rPr>
        <w:t>或</w:t>
      </w:r>
      <w:r>
        <w:rPr>
          <w:rFonts w:hint="eastAsia" w:ascii="宋体" w:hAnsi="宋体" w:eastAsia="宋体" w:cs="宋体"/>
          <w:b/>
          <w:color w:val="auto"/>
          <w:sz w:val="24"/>
          <w:highlight w:val="none"/>
          <w:lang w:val="en-US" w:eastAsia="zh-CN"/>
        </w:rPr>
        <w:t>个人CA签章</w:t>
      </w:r>
      <w:r>
        <w:rPr>
          <w:rFonts w:hint="eastAsia" w:ascii="宋体" w:hAnsi="宋体" w:eastAsia="宋体" w:cs="宋体"/>
          <w:b/>
          <w:color w:val="auto"/>
          <w:sz w:val="24"/>
          <w:highlight w:val="none"/>
        </w:rPr>
        <w:t>）。</w:t>
      </w:r>
    </w:p>
    <w:p w14:paraId="66976121">
      <w:pPr>
        <w:pStyle w:val="9"/>
        <w:rPr>
          <w:rFonts w:hint="eastAsia" w:ascii="宋体" w:hAnsi="宋体" w:eastAsia="宋体" w:cs="宋体"/>
          <w:color w:val="auto"/>
          <w:highlight w:val="none"/>
        </w:rPr>
      </w:pPr>
    </w:p>
    <w:p w14:paraId="542AD78D">
      <w:pPr>
        <w:pStyle w:val="9"/>
        <w:rPr>
          <w:rFonts w:hint="eastAsia" w:ascii="宋体" w:hAnsi="宋体" w:eastAsia="宋体" w:cs="宋体"/>
          <w:color w:val="auto"/>
          <w:highlight w:val="none"/>
        </w:rPr>
      </w:pPr>
    </w:p>
    <w:p w14:paraId="1E84A86F">
      <w:pPr>
        <w:pStyle w:val="9"/>
        <w:rPr>
          <w:rFonts w:hint="eastAsia" w:ascii="宋体" w:hAnsi="宋体" w:eastAsia="宋体" w:cs="宋体"/>
          <w:color w:val="auto"/>
          <w:highlight w:val="none"/>
        </w:rPr>
      </w:pPr>
    </w:p>
    <w:p w14:paraId="51B92F1D">
      <w:pPr>
        <w:pStyle w:val="9"/>
        <w:rPr>
          <w:rFonts w:hint="eastAsia" w:ascii="宋体" w:hAnsi="宋体" w:eastAsia="宋体" w:cs="宋体"/>
          <w:color w:val="auto"/>
          <w:highlight w:val="none"/>
        </w:rPr>
      </w:pPr>
    </w:p>
    <w:p w14:paraId="1DF57716">
      <w:pPr>
        <w:pStyle w:val="9"/>
        <w:rPr>
          <w:rFonts w:hint="eastAsia" w:ascii="宋体" w:hAnsi="宋体" w:eastAsia="宋体" w:cs="宋体"/>
          <w:color w:val="auto"/>
          <w:highlight w:val="none"/>
        </w:rPr>
      </w:pPr>
    </w:p>
    <w:p w14:paraId="6BD7EE8F">
      <w:pPr>
        <w:pStyle w:val="9"/>
        <w:rPr>
          <w:rFonts w:hint="eastAsia" w:ascii="宋体" w:hAnsi="宋体" w:eastAsia="宋体" w:cs="宋体"/>
          <w:color w:val="auto"/>
          <w:highlight w:val="none"/>
        </w:rPr>
      </w:pPr>
    </w:p>
    <w:p w14:paraId="76F06EF5">
      <w:pPr>
        <w:pStyle w:val="9"/>
        <w:rPr>
          <w:rFonts w:hint="eastAsia" w:ascii="宋体" w:hAnsi="宋体" w:eastAsia="宋体" w:cs="宋体"/>
          <w:color w:val="auto"/>
          <w:highlight w:val="none"/>
        </w:rPr>
      </w:pPr>
    </w:p>
    <w:p w14:paraId="45184CCB">
      <w:pPr>
        <w:rPr>
          <w:rFonts w:hint="eastAsia" w:ascii="宋体" w:hAnsi="宋体" w:eastAsia="宋体" w:cs="宋体"/>
          <w:color w:val="auto"/>
          <w:highlight w:val="none"/>
        </w:rPr>
      </w:pPr>
    </w:p>
    <w:p w14:paraId="19E47B57">
      <w:pPr>
        <w:pStyle w:val="30"/>
        <w:rPr>
          <w:rFonts w:hint="eastAsia" w:ascii="宋体" w:hAnsi="宋体" w:eastAsia="宋体" w:cs="宋体"/>
          <w:color w:val="auto"/>
          <w:highlight w:val="none"/>
        </w:rPr>
      </w:pPr>
    </w:p>
    <w:p w14:paraId="681D2780">
      <w:pPr>
        <w:pStyle w:val="30"/>
        <w:rPr>
          <w:rFonts w:hint="eastAsia" w:ascii="宋体" w:hAnsi="宋体" w:eastAsia="宋体" w:cs="宋体"/>
          <w:color w:val="auto"/>
          <w:highlight w:val="none"/>
        </w:rPr>
      </w:pPr>
    </w:p>
    <w:p w14:paraId="06A1F126">
      <w:pPr>
        <w:pStyle w:val="30"/>
        <w:rPr>
          <w:rFonts w:hint="eastAsia" w:ascii="宋体" w:hAnsi="宋体" w:eastAsia="宋体" w:cs="宋体"/>
          <w:color w:val="auto"/>
          <w:highlight w:val="none"/>
        </w:rPr>
      </w:pPr>
    </w:p>
    <w:p w14:paraId="2394642F">
      <w:pPr>
        <w:pStyle w:val="30"/>
        <w:rPr>
          <w:rFonts w:hint="eastAsia" w:ascii="宋体" w:hAnsi="宋体" w:eastAsia="宋体" w:cs="宋体"/>
          <w:color w:val="auto"/>
          <w:highlight w:val="none"/>
        </w:rPr>
      </w:pPr>
    </w:p>
    <w:p w14:paraId="1846F2A1">
      <w:pPr>
        <w:pStyle w:val="30"/>
        <w:rPr>
          <w:rFonts w:hint="eastAsia" w:ascii="宋体" w:hAnsi="宋体" w:eastAsia="宋体" w:cs="宋体"/>
          <w:color w:val="auto"/>
          <w:highlight w:val="none"/>
        </w:rPr>
      </w:pPr>
    </w:p>
    <w:p w14:paraId="6D7B90DF">
      <w:pPr>
        <w:pStyle w:val="30"/>
        <w:rPr>
          <w:rFonts w:hint="eastAsia" w:ascii="宋体" w:hAnsi="宋体" w:eastAsia="宋体" w:cs="宋体"/>
          <w:color w:val="auto"/>
          <w:highlight w:val="none"/>
        </w:rPr>
      </w:pPr>
    </w:p>
    <w:p w14:paraId="62058595">
      <w:pPr>
        <w:pStyle w:val="30"/>
        <w:rPr>
          <w:rFonts w:hint="eastAsia" w:ascii="宋体" w:hAnsi="宋体" w:eastAsia="宋体" w:cs="宋体"/>
          <w:color w:val="auto"/>
          <w:highlight w:val="none"/>
        </w:rPr>
      </w:pPr>
    </w:p>
    <w:p w14:paraId="5AEC8EBC">
      <w:pPr>
        <w:pStyle w:val="9"/>
        <w:rPr>
          <w:rFonts w:hint="eastAsia" w:ascii="宋体" w:hAnsi="宋体" w:eastAsia="宋体" w:cs="宋体"/>
          <w:color w:val="auto"/>
          <w:highlight w:val="none"/>
        </w:rPr>
      </w:pPr>
    </w:p>
    <w:p w14:paraId="1F342FBA">
      <w:pPr>
        <w:rPr>
          <w:rFonts w:hint="eastAsia" w:ascii="宋体" w:hAnsi="宋体" w:eastAsia="宋体" w:cs="宋体"/>
          <w:color w:val="auto"/>
          <w:highlight w:val="none"/>
        </w:rPr>
      </w:pPr>
    </w:p>
    <w:p w14:paraId="76574645">
      <w:pPr>
        <w:rPr>
          <w:rFonts w:hint="eastAsia" w:ascii="宋体" w:hAnsi="宋体" w:eastAsia="宋体" w:cs="宋体"/>
          <w:color w:val="auto"/>
          <w:highlight w:val="none"/>
        </w:rPr>
      </w:pPr>
    </w:p>
    <w:p w14:paraId="4DBD15AD">
      <w:pPr>
        <w:pStyle w:val="13"/>
        <w:rPr>
          <w:rFonts w:hint="eastAsia" w:ascii="宋体" w:hAnsi="宋体" w:eastAsia="宋体" w:cs="宋体"/>
          <w:color w:val="auto"/>
          <w:highlight w:val="none"/>
        </w:rPr>
      </w:pPr>
    </w:p>
    <w:p w14:paraId="6BC78B54">
      <w:pPr>
        <w:pStyle w:val="13"/>
        <w:rPr>
          <w:rFonts w:hint="eastAsia" w:ascii="宋体" w:hAnsi="宋体" w:eastAsia="宋体" w:cs="宋体"/>
          <w:color w:val="auto"/>
          <w:highlight w:val="none"/>
        </w:rPr>
      </w:pPr>
    </w:p>
    <w:p w14:paraId="0B57D98A">
      <w:pPr>
        <w:pStyle w:val="13"/>
        <w:rPr>
          <w:rFonts w:hint="eastAsia" w:ascii="宋体" w:hAnsi="宋体" w:eastAsia="宋体" w:cs="宋体"/>
          <w:color w:val="auto"/>
          <w:highlight w:val="none"/>
        </w:rPr>
      </w:pPr>
    </w:p>
    <w:p w14:paraId="50E9C2A9">
      <w:pPr>
        <w:pStyle w:val="13"/>
        <w:rPr>
          <w:rFonts w:hint="eastAsia" w:ascii="宋体" w:hAnsi="宋体" w:eastAsia="宋体" w:cs="宋体"/>
          <w:color w:val="auto"/>
          <w:highlight w:val="none"/>
        </w:rPr>
      </w:pPr>
    </w:p>
    <w:p w14:paraId="5FD9D812">
      <w:pPr>
        <w:pStyle w:val="13"/>
        <w:rPr>
          <w:rFonts w:hint="eastAsia" w:ascii="宋体" w:hAnsi="宋体" w:eastAsia="宋体" w:cs="宋体"/>
          <w:color w:val="auto"/>
          <w:highlight w:val="none"/>
        </w:rPr>
      </w:pPr>
    </w:p>
    <w:p w14:paraId="616F0EBC">
      <w:pPr>
        <w:pStyle w:val="13"/>
        <w:rPr>
          <w:rFonts w:hint="eastAsia" w:ascii="宋体" w:hAnsi="宋体" w:eastAsia="宋体" w:cs="宋体"/>
          <w:color w:val="auto"/>
          <w:highlight w:val="none"/>
        </w:rPr>
      </w:pPr>
    </w:p>
    <w:p w14:paraId="3212B67B">
      <w:pPr>
        <w:pStyle w:val="13"/>
        <w:rPr>
          <w:rFonts w:hint="eastAsia" w:ascii="宋体" w:hAnsi="宋体" w:eastAsia="宋体" w:cs="宋体"/>
          <w:color w:val="auto"/>
          <w:highlight w:val="none"/>
        </w:rPr>
      </w:pPr>
    </w:p>
    <w:p w14:paraId="645BC4F4">
      <w:pPr>
        <w:pStyle w:val="13"/>
        <w:rPr>
          <w:rFonts w:hint="eastAsia" w:ascii="宋体" w:hAnsi="宋体" w:eastAsia="宋体" w:cs="宋体"/>
          <w:color w:val="auto"/>
          <w:highlight w:val="none"/>
        </w:rPr>
      </w:pPr>
    </w:p>
    <w:p w14:paraId="72C052E9">
      <w:pPr>
        <w:pStyle w:val="13"/>
        <w:rPr>
          <w:rFonts w:hint="eastAsia" w:ascii="宋体" w:hAnsi="宋体" w:eastAsia="宋体" w:cs="宋体"/>
          <w:color w:val="auto"/>
          <w:highlight w:val="none"/>
        </w:rPr>
      </w:pPr>
    </w:p>
    <w:p w14:paraId="482CD9DE">
      <w:pPr>
        <w:pStyle w:val="13"/>
        <w:rPr>
          <w:rFonts w:hint="eastAsia" w:ascii="宋体" w:hAnsi="宋体" w:eastAsia="宋体" w:cs="宋体"/>
          <w:color w:val="auto"/>
          <w:highlight w:val="none"/>
        </w:rPr>
      </w:pPr>
    </w:p>
    <w:p w14:paraId="14396448">
      <w:pPr>
        <w:pStyle w:val="13"/>
        <w:rPr>
          <w:rFonts w:hint="eastAsia" w:ascii="宋体" w:hAnsi="宋体" w:eastAsia="宋体" w:cs="宋体"/>
          <w:color w:val="auto"/>
          <w:highlight w:val="none"/>
        </w:rPr>
      </w:pPr>
    </w:p>
    <w:p w14:paraId="43F955DC">
      <w:pPr>
        <w:pStyle w:val="13"/>
        <w:rPr>
          <w:rFonts w:hint="eastAsia" w:ascii="宋体" w:hAnsi="宋体" w:eastAsia="宋体" w:cs="宋体"/>
          <w:color w:val="auto"/>
          <w:highlight w:val="none"/>
        </w:rPr>
      </w:pPr>
    </w:p>
    <w:p w14:paraId="066F3D4C">
      <w:pPr>
        <w:pStyle w:val="13"/>
        <w:rPr>
          <w:rFonts w:hint="eastAsia" w:ascii="宋体" w:hAnsi="宋体" w:eastAsia="宋体" w:cs="宋体"/>
          <w:color w:val="auto"/>
          <w:highlight w:val="none"/>
        </w:rPr>
      </w:pPr>
    </w:p>
    <w:p w14:paraId="553F2CE4">
      <w:pPr>
        <w:pStyle w:val="13"/>
        <w:rPr>
          <w:rFonts w:hint="eastAsia" w:ascii="宋体" w:hAnsi="宋体" w:eastAsia="宋体" w:cs="宋体"/>
          <w:color w:val="auto"/>
          <w:highlight w:val="none"/>
        </w:rPr>
      </w:pPr>
    </w:p>
    <w:p w14:paraId="7B5BD5BF">
      <w:pPr>
        <w:pStyle w:val="9"/>
        <w:rPr>
          <w:rFonts w:hint="eastAsia" w:ascii="宋体" w:hAnsi="宋体" w:eastAsia="宋体" w:cs="宋体"/>
          <w:color w:val="auto"/>
          <w:highlight w:val="none"/>
        </w:rPr>
      </w:pPr>
    </w:p>
    <w:p w14:paraId="0EEF2D02">
      <w:pPr>
        <w:rPr>
          <w:rFonts w:hint="eastAsia" w:ascii="宋体" w:hAnsi="宋体" w:eastAsia="宋体" w:cs="宋体"/>
          <w:color w:val="auto"/>
          <w:highlight w:val="none"/>
        </w:rPr>
      </w:pPr>
    </w:p>
    <w:p w14:paraId="0E1C0023">
      <w:pPr>
        <w:pStyle w:val="11"/>
        <w:rPr>
          <w:rFonts w:hint="eastAsia"/>
          <w:color w:val="auto"/>
          <w:highlight w:val="none"/>
        </w:rPr>
      </w:pPr>
    </w:p>
    <w:p w14:paraId="20DD45B2">
      <w:pPr>
        <w:spacing w:line="240" w:lineRule="auto"/>
        <w:rPr>
          <w:rFonts w:hint="eastAsia" w:ascii="宋体" w:hAnsi="宋体" w:eastAsia="宋体" w:cs="宋体"/>
          <w:b/>
          <w:bCs/>
          <w:iCs/>
          <w:color w:val="auto"/>
          <w:kern w:val="2"/>
          <w:sz w:val="28"/>
          <w:szCs w:val="28"/>
          <w:highlight w:val="none"/>
          <w:lang w:val="en-US" w:eastAsia="zh-CN" w:bidi="ar-SA"/>
        </w:rPr>
      </w:pPr>
      <w:r>
        <w:rPr>
          <w:rFonts w:hint="eastAsia" w:hAnsi="宋体" w:cs="宋体"/>
          <w:b/>
          <w:color w:val="auto"/>
          <w:sz w:val="28"/>
          <w:szCs w:val="28"/>
          <w:highlight w:val="none"/>
          <w:lang w:val="en-US" w:eastAsia="zh-CN"/>
        </w:rPr>
        <w:t>4</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bCs/>
          <w:iCs/>
          <w:color w:val="auto"/>
          <w:kern w:val="2"/>
          <w:sz w:val="28"/>
          <w:szCs w:val="28"/>
          <w:highlight w:val="none"/>
          <w:lang w:val="en-US" w:eastAsia="zh-CN" w:bidi="ar-SA"/>
        </w:rPr>
        <w:t>拟投入本工程主要施工管理人员表（必须提供）；</w:t>
      </w:r>
    </w:p>
    <w:p w14:paraId="58F8B816">
      <w:pPr>
        <w:spacing w:line="500" w:lineRule="exact"/>
        <w:jc w:val="center"/>
        <w:rPr>
          <w:rFonts w:hint="eastAsia" w:ascii="宋体" w:hAnsi="宋体" w:eastAsia="宋体" w:cs="宋体"/>
          <w:b/>
          <w:color w:val="auto"/>
          <w:sz w:val="24"/>
          <w:szCs w:val="24"/>
          <w:highlight w:val="none"/>
          <w:lang w:val="en-US" w:eastAsia="zh-CN"/>
        </w:rPr>
      </w:pPr>
    </w:p>
    <w:p w14:paraId="39923272">
      <w:pPr>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主要施工管理人员表</w:t>
      </w:r>
    </w:p>
    <w:p w14:paraId="3746C5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2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4595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4E7AD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2D982B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184C40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709002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55818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4B27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D59BC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795448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53F84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51EB2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A5DBE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E7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6E393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4E85CB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EE18B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7BD61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14022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25A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050FE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314A64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C2C0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CAB80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96E22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8D4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65706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29471A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1EC2E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F0EC9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B27E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39F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ECC00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0DD39F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FFC43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1555E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8C16F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015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83C71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254629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EC926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539E5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E1CB0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389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01128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2066ED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66C1A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E5D83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CB939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B4D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36102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2BE56D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1A9F6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07DF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4410A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02F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988B4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54C04C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83B0F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08356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8FD67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CA3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3C57D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5.质检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员</w:t>
            </w:r>
          </w:p>
        </w:tc>
        <w:tc>
          <w:tcPr>
            <w:tcW w:w="793" w:type="dxa"/>
            <w:tcBorders>
              <w:top w:val="single" w:color="auto" w:sz="4" w:space="0"/>
              <w:left w:val="single" w:color="auto" w:sz="4" w:space="0"/>
              <w:bottom w:val="single" w:color="auto" w:sz="4" w:space="0"/>
              <w:right w:val="single" w:color="auto" w:sz="4" w:space="0"/>
            </w:tcBorders>
            <w:vAlign w:val="center"/>
          </w:tcPr>
          <w:p w14:paraId="569BA1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02BC3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65166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99E367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E1B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8125F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5C4A27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3B539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405A3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7A5A1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8D7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60B1C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7.材料员</w:t>
            </w:r>
          </w:p>
        </w:tc>
        <w:tc>
          <w:tcPr>
            <w:tcW w:w="793" w:type="dxa"/>
            <w:tcBorders>
              <w:top w:val="single" w:color="auto" w:sz="4" w:space="0"/>
              <w:left w:val="single" w:color="auto" w:sz="4" w:space="0"/>
              <w:bottom w:val="single" w:color="auto" w:sz="4" w:space="0"/>
              <w:right w:val="single" w:color="auto" w:sz="4" w:space="0"/>
            </w:tcBorders>
            <w:vAlign w:val="center"/>
          </w:tcPr>
          <w:p w14:paraId="413B9E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73E1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8371B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5FBCF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4F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E8EC55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793" w:type="dxa"/>
            <w:tcBorders>
              <w:top w:val="single" w:color="auto" w:sz="4" w:space="0"/>
              <w:left w:val="single" w:color="auto" w:sz="4" w:space="0"/>
              <w:bottom w:val="single" w:color="auto" w:sz="4" w:space="0"/>
              <w:right w:val="single" w:color="auto" w:sz="4" w:space="0"/>
            </w:tcBorders>
            <w:vAlign w:val="center"/>
          </w:tcPr>
          <w:p w14:paraId="4CFD35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16CA3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E8F7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CEA2A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12E064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w:t>
      </w:r>
      <w:r>
        <w:rPr>
          <w:rFonts w:hint="eastAsia" w:ascii="宋体" w:hAnsi="宋体" w:cs="宋体"/>
          <w:color w:val="auto"/>
          <w:spacing w:val="-2"/>
          <w:kern w:val="0"/>
          <w:sz w:val="21"/>
          <w:szCs w:val="21"/>
          <w:highlight w:val="none"/>
          <w:lang w:eastAsia="zh-CN"/>
        </w:rPr>
        <w:t>项目经理至少应附身份证复印件、责任工程师证书复印件、中级（含）以上职称证复印件</w:t>
      </w:r>
      <w:r>
        <w:rPr>
          <w:rFonts w:hint="eastAsia" w:ascii="宋体" w:hAnsi="宋体" w:eastAsia="宋体" w:cs="宋体"/>
          <w:color w:val="auto"/>
          <w:spacing w:val="-2"/>
          <w:kern w:val="0"/>
          <w:sz w:val="21"/>
          <w:szCs w:val="21"/>
          <w:highlight w:val="none"/>
        </w:rPr>
        <w:t>；技术负责人应附身份证复印件、职称证复印件</w:t>
      </w:r>
      <w:r>
        <w:rPr>
          <w:rFonts w:hint="eastAsia" w:ascii="宋体" w:hAnsi="宋体" w:cs="宋体"/>
          <w:color w:val="auto"/>
          <w:spacing w:val="-2"/>
          <w:kern w:val="0"/>
          <w:sz w:val="21"/>
          <w:szCs w:val="21"/>
          <w:highlight w:val="none"/>
          <w:lang w:eastAsia="zh-CN"/>
        </w:rPr>
        <w:t>（</w:t>
      </w:r>
      <w:r>
        <w:rPr>
          <w:rFonts w:hint="eastAsia" w:ascii="宋体" w:hAnsi="宋体" w:cs="宋体"/>
          <w:color w:val="auto"/>
          <w:spacing w:val="-2"/>
          <w:kern w:val="0"/>
          <w:sz w:val="21"/>
          <w:szCs w:val="21"/>
          <w:highlight w:val="none"/>
          <w:lang w:val="en-US" w:eastAsia="zh-CN"/>
        </w:rPr>
        <w:t>如有</w:t>
      </w:r>
      <w:r>
        <w:rPr>
          <w:rFonts w:hint="eastAsia" w:ascii="宋体" w:hAnsi="宋体" w:cs="宋体"/>
          <w:color w:val="auto"/>
          <w:spacing w:val="-2"/>
          <w:kern w:val="0"/>
          <w:sz w:val="21"/>
          <w:szCs w:val="21"/>
          <w:highlight w:val="none"/>
          <w:lang w:eastAsia="zh-CN"/>
        </w:rPr>
        <w:t>）</w:t>
      </w:r>
      <w:r>
        <w:rPr>
          <w:rFonts w:hint="eastAsia" w:ascii="宋体" w:hAnsi="宋体" w:eastAsia="宋体" w:cs="宋体"/>
          <w:color w:val="auto"/>
          <w:spacing w:val="-2"/>
          <w:kern w:val="0"/>
          <w:sz w:val="21"/>
          <w:szCs w:val="21"/>
          <w:highlight w:val="none"/>
        </w:rPr>
        <w:t>；专职安全生产管理人员至少应附身份证复印件、专职安全员安全生产考核合格证书（C类）复印件；其他主要人员（施工员、质检</w:t>
      </w:r>
      <w:r>
        <w:rPr>
          <w:rFonts w:hint="eastAsia" w:ascii="宋体" w:hAnsi="宋体" w:eastAsia="宋体" w:cs="宋体"/>
          <w:color w:val="auto"/>
          <w:spacing w:val="-2"/>
          <w:kern w:val="0"/>
          <w:sz w:val="21"/>
          <w:szCs w:val="21"/>
          <w:highlight w:val="none"/>
          <w:lang w:eastAsia="zh-CN"/>
        </w:rPr>
        <w:t>（</w:t>
      </w:r>
      <w:r>
        <w:rPr>
          <w:rFonts w:hint="eastAsia" w:ascii="宋体" w:hAnsi="宋体" w:eastAsia="宋体" w:cs="宋体"/>
          <w:color w:val="auto"/>
          <w:spacing w:val="-2"/>
          <w:kern w:val="0"/>
          <w:sz w:val="21"/>
          <w:szCs w:val="21"/>
          <w:highlight w:val="none"/>
          <w:lang w:val="en-US" w:eastAsia="zh-CN"/>
        </w:rPr>
        <w:t>量</w:t>
      </w:r>
      <w:r>
        <w:rPr>
          <w:rFonts w:hint="eastAsia" w:ascii="宋体" w:hAnsi="宋体" w:eastAsia="宋体" w:cs="宋体"/>
          <w:color w:val="auto"/>
          <w:spacing w:val="-2"/>
          <w:kern w:val="0"/>
          <w:sz w:val="21"/>
          <w:szCs w:val="21"/>
          <w:highlight w:val="none"/>
          <w:lang w:eastAsia="zh-CN"/>
        </w:rPr>
        <w:t>）</w:t>
      </w:r>
      <w:r>
        <w:rPr>
          <w:rFonts w:hint="eastAsia" w:ascii="宋体" w:hAnsi="宋体" w:eastAsia="宋体" w:cs="宋体"/>
          <w:color w:val="auto"/>
          <w:spacing w:val="-2"/>
          <w:kern w:val="0"/>
          <w:sz w:val="21"/>
          <w:szCs w:val="21"/>
          <w:highlight w:val="none"/>
        </w:rPr>
        <w:t>员、材料员）应附执业证或上岗证书复印件</w:t>
      </w:r>
      <w:r>
        <w:rPr>
          <w:rFonts w:hint="eastAsia" w:ascii="宋体" w:hAnsi="宋体" w:cs="宋体"/>
          <w:color w:val="auto"/>
          <w:spacing w:val="-2"/>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7E6F527D">
      <w:pPr>
        <w:pStyle w:val="12"/>
        <w:spacing w:line="340" w:lineRule="exact"/>
        <w:jc w:val="center"/>
        <w:rPr>
          <w:rFonts w:hint="eastAsia" w:ascii="宋体" w:hAnsi="宋体" w:eastAsia="宋体" w:cs="宋体"/>
          <w:b/>
          <w:color w:val="auto"/>
          <w:sz w:val="32"/>
          <w:szCs w:val="32"/>
          <w:highlight w:val="none"/>
        </w:rPr>
      </w:pPr>
    </w:p>
    <w:p w14:paraId="73F5E589">
      <w:pPr>
        <w:pStyle w:val="7"/>
        <w:rPr>
          <w:rFonts w:hint="eastAsia"/>
          <w:color w:val="auto"/>
          <w:highlight w:val="none"/>
        </w:rPr>
      </w:pPr>
    </w:p>
    <w:p w14:paraId="0AA497C2">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rPr>
        <w:t xml:space="preserve">               </w:t>
      </w:r>
    </w:p>
    <w:p w14:paraId="546B1B43">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b/>
          <w:bCs/>
          <w:color w:val="auto"/>
          <w:szCs w:val="21"/>
          <w:highlight w:val="none"/>
        </w:rPr>
      </w:pPr>
      <w:r>
        <w:rPr>
          <w:rFonts w:hint="eastAsia" w:ascii="宋体" w:hAnsi="宋体" w:eastAsia="宋体" w:cs="宋体"/>
          <w:color w:val="auto"/>
          <w:highlight w:val="none"/>
          <w:lang w:eastAsia="zh-CN"/>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rPr>
        <w:t xml:space="preserve">                            </w:t>
      </w:r>
    </w:p>
    <w:p w14:paraId="3A60BD48">
      <w:pPr>
        <w:pStyle w:val="9"/>
        <w:rPr>
          <w:rFonts w:hint="eastAsia" w:ascii="宋体" w:hAnsi="宋体" w:eastAsia="宋体" w:cs="宋体"/>
          <w:b/>
          <w:bCs/>
          <w:color w:val="auto"/>
          <w:szCs w:val="21"/>
          <w:highlight w:val="none"/>
        </w:rPr>
      </w:pPr>
    </w:p>
    <w:p w14:paraId="22277F61">
      <w:pPr>
        <w:pStyle w:val="9"/>
        <w:rPr>
          <w:rFonts w:hint="eastAsia" w:ascii="宋体" w:hAnsi="宋体" w:eastAsia="宋体" w:cs="宋体"/>
          <w:b/>
          <w:bCs/>
          <w:color w:val="auto"/>
          <w:szCs w:val="21"/>
          <w:highlight w:val="none"/>
        </w:rPr>
      </w:pPr>
    </w:p>
    <w:p w14:paraId="5FB5FAAA">
      <w:pPr>
        <w:pStyle w:val="9"/>
        <w:rPr>
          <w:rFonts w:hint="eastAsia" w:ascii="宋体" w:hAnsi="宋体" w:eastAsia="宋体" w:cs="宋体"/>
          <w:b/>
          <w:bCs/>
          <w:color w:val="auto"/>
          <w:szCs w:val="21"/>
          <w:highlight w:val="none"/>
        </w:rPr>
      </w:pPr>
    </w:p>
    <w:p w14:paraId="425656C4">
      <w:pPr>
        <w:pStyle w:val="51"/>
        <w:rPr>
          <w:rFonts w:hint="eastAsia"/>
          <w:color w:val="auto"/>
          <w:highlight w:val="none"/>
        </w:rPr>
      </w:pPr>
    </w:p>
    <w:p w14:paraId="2706BFF6">
      <w:pPr>
        <w:pStyle w:val="9"/>
        <w:rPr>
          <w:rFonts w:hint="eastAsia" w:ascii="宋体" w:hAnsi="宋体" w:eastAsia="宋体" w:cs="宋体"/>
          <w:b/>
          <w:bCs/>
          <w:color w:val="auto"/>
          <w:szCs w:val="21"/>
          <w:highlight w:val="none"/>
        </w:rPr>
      </w:pPr>
    </w:p>
    <w:p w14:paraId="7304896B">
      <w:pPr>
        <w:rPr>
          <w:rFonts w:hint="eastAsia" w:hAnsi="宋体" w:cs="宋体"/>
          <w:b/>
          <w:color w:val="auto"/>
          <w:sz w:val="28"/>
          <w:szCs w:val="28"/>
          <w:highlight w:val="none"/>
          <w:lang w:val="en-US" w:eastAsia="zh-CN"/>
        </w:rPr>
      </w:pPr>
      <w:r>
        <w:rPr>
          <w:rFonts w:hint="eastAsia" w:hAnsi="宋体" w:cs="宋体"/>
          <w:b/>
          <w:color w:val="auto"/>
          <w:sz w:val="28"/>
          <w:szCs w:val="28"/>
          <w:highlight w:val="none"/>
          <w:lang w:val="en-US" w:eastAsia="zh-CN"/>
        </w:rPr>
        <w:br w:type="page"/>
      </w:r>
    </w:p>
    <w:p w14:paraId="600E260C">
      <w:pPr>
        <w:pStyle w:val="12"/>
        <w:numPr>
          <w:ilvl w:val="0"/>
          <w:numId w:val="0"/>
        </w:numPr>
        <w:spacing w:line="340" w:lineRule="exact"/>
        <w:ind w:left="0" w:firstLine="0"/>
        <w:rPr>
          <w:rFonts w:hint="eastAsia" w:ascii="宋体" w:hAnsi="宋体" w:eastAsia="宋体" w:cs="宋体"/>
          <w:b/>
          <w:color w:val="auto"/>
          <w:sz w:val="28"/>
          <w:szCs w:val="28"/>
          <w:highlight w:val="none"/>
        </w:rPr>
      </w:pPr>
      <w:r>
        <w:rPr>
          <w:rFonts w:hint="eastAsia" w:hAnsi="宋体" w:cs="宋体"/>
          <w:b/>
          <w:color w:val="auto"/>
          <w:sz w:val="28"/>
          <w:szCs w:val="28"/>
          <w:highlight w:val="none"/>
          <w:lang w:val="en-US" w:eastAsia="zh-CN"/>
        </w:rPr>
        <w:t>5</w:t>
      </w:r>
      <w:r>
        <w:rPr>
          <w:rFonts w:hint="eastAsia" w:ascii="宋体" w:hAnsi="宋体" w:eastAsia="宋体" w:cs="宋体"/>
          <w:b/>
          <w:color w:val="auto"/>
          <w:sz w:val="28"/>
          <w:szCs w:val="28"/>
          <w:highlight w:val="none"/>
          <w:lang w:val="en-US" w:eastAsia="zh-CN"/>
        </w:rPr>
        <w:t>.担任本工程的</w:t>
      </w:r>
      <w:r>
        <w:rPr>
          <w:rFonts w:hint="eastAsia" w:hAnsi="宋体" w:eastAsia="宋体" w:cs="宋体"/>
          <w:b/>
          <w:color w:val="auto"/>
          <w:sz w:val="28"/>
          <w:szCs w:val="28"/>
          <w:highlight w:val="none"/>
          <w:lang w:val="en-US" w:eastAsia="zh-CN"/>
        </w:rPr>
        <w:t>项目经理</w:t>
      </w:r>
      <w:r>
        <w:rPr>
          <w:rFonts w:hint="eastAsia" w:ascii="宋体" w:hAnsi="宋体" w:eastAsia="宋体" w:cs="宋体"/>
          <w:b/>
          <w:color w:val="auto"/>
          <w:sz w:val="28"/>
          <w:szCs w:val="28"/>
          <w:highlight w:val="none"/>
          <w:lang w:val="en-US" w:eastAsia="zh-CN"/>
        </w:rPr>
        <w:t>简历表（应附相关证书、身份证复印件）（必须提供）</w:t>
      </w:r>
      <w:r>
        <w:rPr>
          <w:rFonts w:hint="eastAsia" w:ascii="宋体" w:hAnsi="宋体" w:eastAsia="宋体" w:cs="宋体"/>
          <w:b/>
          <w:color w:val="auto"/>
          <w:sz w:val="28"/>
          <w:szCs w:val="28"/>
          <w:highlight w:val="none"/>
        </w:rPr>
        <w:t>；</w:t>
      </w:r>
    </w:p>
    <w:p w14:paraId="28515A23">
      <w:pPr>
        <w:rPr>
          <w:rFonts w:hint="eastAsia" w:ascii="宋体" w:hAnsi="宋体" w:eastAsia="宋体" w:cs="宋体"/>
          <w:color w:val="auto"/>
          <w:highlight w:val="none"/>
        </w:rPr>
      </w:pPr>
    </w:p>
    <w:p w14:paraId="4F5DD8A3">
      <w:pPr>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担任本工程的项目经理简历表</w:t>
      </w:r>
    </w:p>
    <w:p w14:paraId="0AE5A369">
      <w:pPr>
        <w:jc w:val="center"/>
        <w:rPr>
          <w:rFonts w:hint="eastAsia" w:ascii="宋体" w:hAnsi="宋体" w:cs="宋体"/>
          <w:b/>
          <w:color w:val="auto"/>
          <w:sz w:val="32"/>
          <w:highlight w:val="none"/>
        </w:rPr>
      </w:pPr>
    </w:p>
    <w:tbl>
      <w:tblPr>
        <w:tblStyle w:val="27"/>
        <w:tblW w:w="841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08"/>
        <w:gridCol w:w="1072"/>
        <w:gridCol w:w="28"/>
        <w:gridCol w:w="508"/>
        <w:gridCol w:w="536"/>
        <w:gridCol w:w="1072"/>
        <w:gridCol w:w="268"/>
        <w:gridCol w:w="496"/>
        <w:gridCol w:w="442"/>
        <w:gridCol w:w="1206"/>
      </w:tblGrid>
      <w:tr w14:paraId="37DD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top w:val="single" w:color="auto" w:sz="8" w:space="0"/>
              <w:left w:val="single" w:color="auto" w:sz="8" w:space="0"/>
            </w:tcBorders>
            <w:vAlign w:val="top"/>
          </w:tcPr>
          <w:p w14:paraId="160EDC8E">
            <w:pPr>
              <w:spacing w:line="440" w:lineRule="exact"/>
              <w:jc w:val="center"/>
              <w:rPr>
                <w:rFonts w:hint="eastAsia" w:ascii="宋体" w:hAnsi="宋体" w:cs="宋体"/>
                <w:color w:val="auto"/>
                <w:highlight w:val="none"/>
              </w:rPr>
            </w:pPr>
            <w:r>
              <w:rPr>
                <w:rFonts w:hint="eastAsia" w:ascii="宋体" w:hAnsi="宋体" w:cs="宋体"/>
                <w:color w:val="auto"/>
                <w:highlight w:val="none"/>
              </w:rPr>
              <w:t>姓  名</w:t>
            </w:r>
          </w:p>
        </w:tc>
        <w:tc>
          <w:tcPr>
            <w:tcW w:w="1608" w:type="dxa"/>
            <w:tcBorders>
              <w:top w:val="single" w:color="auto" w:sz="8" w:space="0"/>
            </w:tcBorders>
            <w:vAlign w:val="top"/>
          </w:tcPr>
          <w:p w14:paraId="00654CED">
            <w:pPr>
              <w:spacing w:line="440" w:lineRule="exact"/>
              <w:jc w:val="center"/>
              <w:rPr>
                <w:rFonts w:hint="eastAsia" w:ascii="宋体" w:hAnsi="宋体" w:cs="宋体"/>
                <w:color w:val="auto"/>
                <w:highlight w:val="none"/>
              </w:rPr>
            </w:pPr>
          </w:p>
        </w:tc>
        <w:tc>
          <w:tcPr>
            <w:tcW w:w="1072" w:type="dxa"/>
            <w:tcBorders>
              <w:top w:val="single" w:color="auto" w:sz="8" w:space="0"/>
            </w:tcBorders>
            <w:vAlign w:val="top"/>
          </w:tcPr>
          <w:p w14:paraId="240A3287">
            <w:pPr>
              <w:spacing w:line="440" w:lineRule="exact"/>
              <w:jc w:val="center"/>
              <w:rPr>
                <w:rFonts w:hint="eastAsia" w:ascii="宋体" w:hAnsi="宋体" w:cs="宋体"/>
                <w:color w:val="auto"/>
                <w:highlight w:val="none"/>
              </w:rPr>
            </w:pPr>
            <w:r>
              <w:rPr>
                <w:rFonts w:hint="eastAsia" w:ascii="宋体" w:hAnsi="宋体" w:cs="宋体"/>
                <w:color w:val="auto"/>
                <w:highlight w:val="none"/>
              </w:rPr>
              <w:t>性  别</w:t>
            </w:r>
          </w:p>
        </w:tc>
        <w:tc>
          <w:tcPr>
            <w:tcW w:w="1072" w:type="dxa"/>
            <w:gridSpan w:val="3"/>
            <w:tcBorders>
              <w:top w:val="single" w:color="auto" w:sz="8" w:space="0"/>
            </w:tcBorders>
            <w:vAlign w:val="top"/>
          </w:tcPr>
          <w:p w14:paraId="14593B8C">
            <w:pPr>
              <w:spacing w:line="440" w:lineRule="exact"/>
              <w:jc w:val="center"/>
              <w:rPr>
                <w:rFonts w:hint="eastAsia" w:ascii="宋体" w:hAnsi="宋体" w:cs="宋体"/>
                <w:color w:val="auto"/>
                <w:highlight w:val="none"/>
              </w:rPr>
            </w:pPr>
          </w:p>
        </w:tc>
        <w:tc>
          <w:tcPr>
            <w:tcW w:w="1340" w:type="dxa"/>
            <w:gridSpan w:val="2"/>
            <w:tcBorders>
              <w:top w:val="single" w:color="auto" w:sz="8" w:space="0"/>
            </w:tcBorders>
            <w:vAlign w:val="top"/>
          </w:tcPr>
          <w:p w14:paraId="5D80125E">
            <w:pPr>
              <w:spacing w:line="440" w:lineRule="exact"/>
              <w:jc w:val="center"/>
              <w:rPr>
                <w:rFonts w:hint="eastAsia" w:ascii="宋体" w:hAnsi="宋体" w:cs="宋体"/>
                <w:color w:val="auto"/>
                <w:highlight w:val="none"/>
              </w:rPr>
            </w:pPr>
            <w:r>
              <w:rPr>
                <w:rFonts w:hint="eastAsia" w:ascii="宋体" w:hAnsi="宋体" w:cs="宋体"/>
                <w:color w:val="auto"/>
                <w:highlight w:val="none"/>
              </w:rPr>
              <w:t>年  龄</w:t>
            </w:r>
          </w:p>
        </w:tc>
        <w:tc>
          <w:tcPr>
            <w:tcW w:w="2144" w:type="dxa"/>
            <w:gridSpan w:val="3"/>
            <w:tcBorders>
              <w:top w:val="single" w:color="auto" w:sz="8" w:space="0"/>
              <w:right w:val="single" w:color="auto" w:sz="8" w:space="0"/>
            </w:tcBorders>
            <w:vAlign w:val="top"/>
          </w:tcPr>
          <w:p w14:paraId="0405EDD9">
            <w:pPr>
              <w:spacing w:line="440" w:lineRule="exact"/>
              <w:jc w:val="center"/>
              <w:rPr>
                <w:rFonts w:hint="eastAsia" w:ascii="宋体" w:hAnsi="宋体" w:cs="宋体"/>
                <w:color w:val="auto"/>
                <w:highlight w:val="none"/>
              </w:rPr>
            </w:pPr>
          </w:p>
        </w:tc>
      </w:tr>
      <w:tr w14:paraId="4687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489DF0AB">
            <w:pPr>
              <w:spacing w:line="440" w:lineRule="exact"/>
              <w:jc w:val="center"/>
              <w:rPr>
                <w:rFonts w:hint="eastAsia" w:ascii="宋体" w:hAnsi="宋体" w:cs="宋体"/>
                <w:color w:val="auto"/>
                <w:highlight w:val="none"/>
              </w:rPr>
            </w:pPr>
            <w:r>
              <w:rPr>
                <w:rFonts w:hint="eastAsia" w:ascii="宋体" w:hAnsi="宋体" w:cs="宋体"/>
                <w:color w:val="auto"/>
                <w:highlight w:val="none"/>
              </w:rPr>
              <w:t>职  务</w:t>
            </w:r>
          </w:p>
        </w:tc>
        <w:tc>
          <w:tcPr>
            <w:tcW w:w="1608" w:type="dxa"/>
            <w:vAlign w:val="top"/>
          </w:tcPr>
          <w:p w14:paraId="142257AF">
            <w:pPr>
              <w:spacing w:line="440" w:lineRule="exact"/>
              <w:jc w:val="center"/>
              <w:rPr>
                <w:rFonts w:hint="eastAsia" w:ascii="宋体" w:hAnsi="宋体" w:cs="宋体"/>
                <w:color w:val="auto"/>
                <w:highlight w:val="none"/>
              </w:rPr>
            </w:pPr>
          </w:p>
        </w:tc>
        <w:tc>
          <w:tcPr>
            <w:tcW w:w="1072" w:type="dxa"/>
            <w:vAlign w:val="top"/>
          </w:tcPr>
          <w:p w14:paraId="6FFC86AC">
            <w:pPr>
              <w:spacing w:line="440" w:lineRule="exact"/>
              <w:jc w:val="center"/>
              <w:rPr>
                <w:rFonts w:hint="eastAsia" w:ascii="宋体" w:hAnsi="宋体" w:cs="宋体"/>
                <w:color w:val="auto"/>
                <w:highlight w:val="none"/>
              </w:rPr>
            </w:pPr>
            <w:r>
              <w:rPr>
                <w:rFonts w:hint="eastAsia" w:ascii="宋体" w:hAnsi="宋体" w:cs="宋体"/>
                <w:color w:val="auto"/>
                <w:highlight w:val="none"/>
              </w:rPr>
              <w:t>职  称</w:t>
            </w:r>
          </w:p>
        </w:tc>
        <w:tc>
          <w:tcPr>
            <w:tcW w:w="1072" w:type="dxa"/>
            <w:gridSpan w:val="3"/>
            <w:vAlign w:val="top"/>
          </w:tcPr>
          <w:p w14:paraId="55704F8A">
            <w:pPr>
              <w:spacing w:line="440" w:lineRule="exact"/>
              <w:jc w:val="center"/>
              <w:rPr>
                <w:rFonts w:hint="eastAsia" w:ascii="宋体" w:hAnsi="宋体" w:cs="宋体"/>
                <w:color w:val="auto"/>
                <w:highlight w:val="none"/>
              </w:rPr>
            </w:pPr>
          </w:p>
        </w:tc>
        <w:tc>
          <w:tcPr>
            <w:tcW w:w="1340" w:type="dxa"/>
            <w:gridSpan w:val="2"/>
            <w:vAlign w:val="top"/>
          </w:tcPr>
          <w:p w14:paraId="2B81C794">
            <w:pPr>
              <w:spacing w:line="440" w:lineRule="exact"/>
              <w:jc w:val="center"/>
              <w:rPr>
                <w:rFonts w:hint="eastAsia" w:ascii="宋体" w:hAnsi="宋体" w:cs="宋体"/>
                <w:color w:val="auto"/>
                <w:highlight w:val="none"/>
              </w:rPr>
            </w:pPr>
            <w:r>
              <w:rPr>
                <w:rFonts w:hint="eastAsia" w:ascii="宋体" w:hAnsi="宋体" w:cs="宋体"/>
                <w:color w:val="auto"/>
                <w:highlight w:val="none"/>
              </w:rPr>
              <w:t>学  历</w:t>
            </w:r>
          </w:p>
        </w:tc>
        <w:tc>
          <w:tcPr>
            <w:tcW w:w="2144" w:type="dxa"/>
            <w:gridSpan w:val="3"/>
            <w:tcBorders>
              <w:right w:val="single" w:color="auto" w:sz="8" w:space="0"/>
            </w:tcBorders>
            <w:vAlign w:val="top"/>
          </w:tcPr>
          <w:p w14:paraId="66DE1075">
            <w:pPr>
              <w:spacing w:line="440" w:lineRule="exact"/>
              <w:jc w:val="center"/>
              <w:rPr>
                <w:rFonts w:hint="eastAsia" w:ascii="宋体" w:hAnsi="宋体" w:cs="宋体"/>
                <w:color w:val="auto"/>
                <w:highlight w:val="none"/>
              </w:rPr>
            </w:pPr>
          </w:p>
        </w:tc>
      </w:tr>
      <w:tr w14:paraId="6891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0" w:type="dxa"/>
            <w:tcBorders>
              <w:left w:val="single" w:color="auto" w:sz="8" w:space="0"/>
            </w:tcBorders>
            <w:vAlign w:val="top"/>
          </w:tcPr>
          <w:p w14:paraId="47C98DFA">
            <w:pPr>
              <w:spacing w:line="440" w:lineRule="exact"/>
              <w:jc w:val="center"/>
              <w:rPr>
                <w:rFonts w:hint="eastAsia" w:ascii="宋体" w:hAnsi="宋体" w:cs="宋体"/>
                <w:color w:val="auto"/>
                <w:highlight w:val="none"/>
              </w:rPr>
            </w:pPr>
            <w:r>
              <w:rPr>
                <w:rFonts w:hint="eastAsia" w:ascii="宋体" w:hAnsi="宋体" w:cs="宋体"/>
                <w:color w:val="auto"/>
                <w:highlight w:val="none"/>
              </w:rPr>
              <w:t>专  业</w:t>
            </w:r>
          </w:p>
        </w:tc>
        <w:tc>
          <w:tcPr>
            <w:tcW w:w="2708" w:type="dxa"/>
            <w:gridSpan w:val="3"/>
            <w:vAlign w:val="top"/>
          </w:tcPr>
          <w:p w14:paraId="69A02F7D">
            <w:pPr>
              <w:spacing w:line="440" w:lineRule="exact"/>
              <w:rPr>
                <w:rFonts w:hint="eastAsia" w:ascii="宋体" w:hAnsi="宋体" w:cs="宋体"/>
                <w:color w:val="auto"/>
                <w:highlight w:val="none"/>
              </w:rPr>
            </w:pPr>
          </w:p>
        </w:tc>
        <w:tc>
          <w:tcPr>
            <w:tcW w:w="2880" w:type="dxa"/>
            <w:gridSpan w:val="5"/>
            <w:vAlign w:val="top"/>
          </w:tcPr>
          <w:p w14:paraId="31661F22">
            <w:pPr>
              <w:spacing w:line="440" w:lineRule="exact"/>
              <w:rPr>
                <w:rFonts w:hint="eastAsia" w:ascii="宋体" w:hAnsi="宋体" w:cs="宋体"/>
                <w:color w:val="auto"/>
                <w:highlight w:val="none"/>
              </w:rPr>
            </w:pPr>
            <w:r>
              <w:rPr>
                <w:rFonts w:hint="eastAsia" w:ascii="宋体" w:hAnsi="宋体" w:cs="宋体"/>
                <w:color w:val="auto"/>
                <w:highlight w:val="none"/>
              </w:rPr>
              <w:t>从事项目经理年限</w:t>
            </w:r>
          </w:p>
        </w:tc>
        <w:tc>
          <w:tcPr>
            <w:tcW w:w="1648" w:type="dxa"/>
            <w:gridSpan w:val="2"/>
            <w:tcBorders>
              <w:right w:val="single" w:color="auto" w:sz="8" w:space="0"/>
            </w:tcBorders>
            <w:vAlign w:val="top"/>
          </w:tcPr>
          <w:p w14:paraId="70E210D2">
            <w:pPr>
              <w:spacing w:line="440" w:lineRule="exact"/>
              <w:jc w:val="center"/>
              <w:rPr>
                <w:rFonts w:hint="eastAsia" w:ascii="宋体" w:hAnsi="宋体" w:cs="宋体"/>
                <w:color w:val="auto"/>
                <w:highlight w:val="none"/>
              </w:rPr>
            </w:pPr>
            <w:r>
              <w:rPr>
                <w:rFonts w:hint="eastAsia" w:ascii="宋体" w:hAnsi="宋体" w:cs="宋体"/>
                <w:color w:val="auto"/>
                <w:highlight w:val="none"/>
              </w:rPr>
              <w:t xml:space="preserve">         (年)</w:t>
            </w:r>
          </w:p>
        </w:tc>
      </w:tr>
      <w:tr w14:paraId="6660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6" w:type="dxa"/>
            <w:gridSpan w:val="11"/>
            <w:tcBorders>
              <w:left w:val="single" w:color="auto" w:sz="8" w:space="0"/>
              <w:right w:val="single" w:color="auto" w:sz="8" w:space="0"/>
            </w:tcBorders>
            <w:vAlign w:val="top"/>
          </w:tcPr>
          <w:p w14:paraId="390EC77A">
            <w:pPr>
              <w:spacing w:line="440" w:lineRule="exact"/>
              <w:jc w:val="center"/>
              <w:rPr>
                <w:rFonts w:hint="eastAsia" w:ascii="宋体" w:hAnsi="宋体" w:cs="宋体"/>
                <w:color w:val="auto"/>
                <w:highlight w:val="none"/>
              </w:rPr>
            </w:pPr>
            <w:r>
              <w:rPr>
                <w:rFonts w:hint="eastAsia" w:ascii="宋体" w:hAnsi="宋体" w:cs="宋体"/>
                <w:color w:val="auto"/>
                <w:highlight w:val="none"/>
              </w:rPr>
              <w:t>已完工程项目情况</w:t>
            </w:r>
          </w:p>
        </w:tc>
      </w:tr>
      <w:tr w14:paraId="7B7C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013C3BC5">
            <w:pPr>
              <w:spacing w:line="440" w:lineRule="exact"/>
              <w:jc w:val="center"/>
              <w:rPr>
                <w:rFonts w:hint="eastAsia" w:ascii="宋体" w:hAnsi="宋体" w:cs="宋体"/>
                <w:color w:val="auto"/>
                <w:highlight w:val="none"/>
              </w:rPr>
            </w:pPr>
            <w:r>
              <w:rPr>
                <w:rFonts w:hint="eastAsia" w:ascii="宋体" w:hAnsi="宋体" w:cs="宋体"/>
                <w:color w:val="auto"/>
                <w:highlight w:val="none"/>
              </w:rPr>
              <w:t>建设单位</w:t>
            </w:r>
          </w:p>
        </w:tc>
        <w:tc>
          <w:tcPr>
            <w:tcW w:w="1608" w:type="dxa"/>
            <w:vAlign w:val="top"/>
          </w:tcPr>
          <w:p w14:paraId="0C764A12">
            <w:pPr>
              <w:spacing w:line="440" w:lineRule="exact"/>
              <w:jc w:val="center"/>
              <w:rPr>
                <w:rFonts w:hint="eastAsia" w:ascii="宋体" w:hAnsi="宋体" w:cs="宋体"/>
                <w:color w:val="auto"/>
                <w:highlight w:val="none"/>
              </w:rPr>
            </w:pPr>
            <w:r>
              <w:rPr>
                <w:rFonts w:hint="eastAsia" w:ascii="宋体" w:hAnsi="宋体" w:cs="宋体"/>
                <w:color w:val="auto"/>
                <w:highlight w:val="none"/>
              </w:rPr>
              <w:t>项目名称</w:t>
            </w:r>
          </w:p>
        </w:tc>
        <w:tc>
          <w:tcPr>
            <w:tcW w:w="1608" w:type="dxa"/>
            <w:gridSpan w:val="3"/>
            <w:vAlign w:val="top"/>
          </w:tcPr>
          <w:p w14:paraId="2E337489">
            <w:pPr>
              <w:spacing w:line="440" w:lineRule="exact"/>
              <w:jc w:val="center"/>
              <w:rPr>
                <w:rFonts w:hint="eastAsia" w:ascii="宋体" w:hAnsi="宋体" w:cs="宋体"/>
                <w:color w:val="auto"/>
                <w:highlight w:val="none"/>
              </w:rPr>
            </w:pPr>
            <w:r>
              <w:rPr>
                <w:rFonts w:hint="eastAsia" w:ascii="宋体" w:hAnsi="宋体" w:cs="宋体"/>
                <w:color w:val="auto"/>
                <w:highlight w:val="none"/>
              </w:rPr>
              <w:t>建设规模</w:t>
            </w:r>
          </w:p>
        </w:tc>
        <w:tc>
          <w:tcPr>
            <w:tcW w:w="1608" w:type="dxa"/>
            <w:gridSpan w:val="2"/>
            <w:vAlign w:val="top"/>
          </w:tcPr>
          <w:p w14:paraId="559AE0DE">
            <w:pPr>
              <w:spacing w:line="440" w:lineRule="exact"/>
              <w:jc w:val="center"/>
              <w:rPr>
                <w:rFonts w:hint="eastAsia" w:ascii="宋体" w:hAnsi="宋体" w:cs="宋体"/>
                <w:color w:val="auto"/>
                <w:highlight w:val="none"/>
              </w:rPr>
            </w:pPr>
            <w:r>
              <w:rPr>
                <w:rFonts w:hint="eastAsia" w:ascii="宋体" w:hAnsi="宋体" w:cs="宋体"/>
                <w:color w:val="auto"/>
                <w:highlight w:val="none"/>
              </w:rPr>
              <w:t>开、竣工日期</w:t>
            </w:r>
          </w:p>
        </w:tc>
        <w:tc>
          <w:tcPr>
            <w:tcW w:w="1206" w:type="dxa"/>
            <w:gridSpan w:val="3"/>
            <w:vAlign w:val="top"/>
          </w:tcPr>
          <w:p w14:paraId="2C985E23">
            <w:pPr>
              <w:spacing w:line="440" w:lineRule="exact"/>
              <w:jc w:val="center"/>
              <w:rPr>
                <w:rFonts w:hint="eastAsia" w:ascii="宋体" w:hAnsi="宋体" w:cs="宋体"/>
                <w:color w:val="auto"/>
                <w:highlight w:val="none"/>
              </w:rPr>
            </w:pPr>
            <w:r>
              <w:rPr>
                <w:rFonts w:hint="eastAsia" w:ascii="宋体" w:hAnsi="宋体" w:cs="宋体"/>
                <w:color w:val="auto"/>
                <w:highlight w:val="none"/>
              </w:rPr>
              <w:t>工程质量</w:t>
            </w:r>
          </w:p>
        </w:tc>
        <w:tc>
          <w:tcPr>
            <w:tcW w:w="1206" w:type="dxa"/>
            <w:tcBorders>
              <w:right w:val="single" w:color="auto" w:sz="8" w:space="0"/>
            </w:tcBorders>
            <w:vAlign w:val="top"/>
          </w:tcPr>
          <w:p w14:paraId="649A6786">
            <w:pPr>
              <w:spacing w:line="440" w:lineRule="exact"/>
              <w:jc w:val="center"/>
              <w:rPr>
                <w:rFonts w:hint="eastAsia" w:ascii="宋体" w:hAnsi="宋体" w:cs="宋体"/>
                <w:color w:val="auto"/>
                <w:highlight w:val="none"/>
              </w:rPr>
            </w:pPr>
            <w:r>
              <w:rPr>
                <w:rFonts w:hint="eastAsia" w:ascii="宋体" w:hAnsi="宋体" w:cs="宋体"/>
                <w:color w:val="auto"/>
                <w:highlight w:val="none"/>
              </w:rPr>
              <w:t>受奖情况</w:t>
            </w:r>
          </w:p>
        </w:tc>
      </w:tr>
      <w:tr w14:paraId="3E0A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6B0326AB">
            <w:pPr>
              <w:spacing w:line="440" w:lineRule="exact"/>
              <w:jc w:val="center"/>
              <w:rPr>
                <w:rFonts w:hint="eastAsia" w:ascii="宋体" w:hAnsi="宋体" w:cs="宋体"/>
                <w:color w:val="auto"/>
                <w:highlight w:val="none"/>
              </w:rPr>
            </w:pPr>
          </w:p>
        </w:tc>
        <w:tc>
          <w:tcPr>
            <w:tcW w:w="1608" w:type="dxa"/>
            <w:vAlign w:val="top"/>
          </w:tcPr>
          <w:p w14:paraId="2E0FBB7A">
            <w:pPr>
              <w:spacing w:line="440" w:lineRule="exact"/>
              <w:jc w:val="center"/>
              <w:rPr>
                <w:rFonts w:hint="eastAsia" w:ascii="宋体" w:hAnsi="宋体" w:cs="宋体"/>
                <w:color w:val="auto"/>
                <w:highlight w:val="none"/>
              </w:rPr>
            </w:pPr>
          </w:p>
        </w:tc>
        <w:tc>
          <w:tcPr>
            <w:tcW w:w="1608" w:type="dxa"/>
            <w:gridSpan w:val="3"/>
            <w:vAlign w:val="top"/>
          </w:tcPr>
          <w:p w14:paraId="0D7393AB">
            <w:pPr>
              <w:spacing w:line="440" w:lineRule="exact"/>
              <w:jc w:val="center"/>
              <w:rPr>
                <w:rFonts w:hint="eastAsia" w:ascii="宋体" w:hAnsi="宋体" w:cs="宋体"/>
                <w:color w:val="auto"/>
                <w:highlight w:val="none"/>
              </w:rPr>
            </w:pPr>
          </w:p>
        </w:tc>
        <w:tc>
          <w:tcPr>
            <w:tcW w:w="1608" w:type="dxa"/>
            <w:gridSpan w:val="2"/>
            <w:vAlign w:val="top"/>
          </w:tcPr>
          <w:p w14:paraId="7CD99671">
            <w:pPr>
              <w:spacing w:line="440" w:lineRule="exact"/>
              <w:jc w:val="center"/>
              <w:rPr>
                <w:rFonts w:hint="eastAsia" w:ascii="宋体" w:hAnsi="宋体" w:cs="宋体"/>
                <w:color w:val="auto"/>
                <w:highlight w:val="none"/>
              </w:rPr>
            </w:pPr>
          </w:p>
        </w:tc>
        <w:tc>
          <w:tcPr>
            <w:tcW w:w="1206" w:type="dxa"/>
            <w:gridSpan w:val="3"/>
            <w:vAlign w:val="top"/>
          </w:tcPr>
          <w:p w14:paraId="3C564FA4">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3B7DC822">
            <w:pPr>
              <w:spacing w:line="440" w:lineRule="exact"/>
              <w:jc w:val="center"/>
              <w:rPr>
                <w:rFonts w:hint="eastAsia" w:ascii="宋体" w:hAnsi="宋体" w:cs="宋体"/>
                <w:color w:val="auto"/>
                <w:highlight w:val="none"/>
              </w:rPr>
            </w:pPr>
          </w:p>
        </w:tc>
      </w:tr>
      <w:tr w14:paraId="7CA0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1D029A3C">
            <w:pPr>
              <w:spacing w:line="440" w:lineRule="exact"/>
              <w:jc w:val="center"/>
              <w:rPr>
                <w:rFonts w:hint="eastAsia" w:ascii="宋体" w:hAnsi="宋体" w:cs="宋体"/>
                <w:color w:val="auto"/>
                <w:highlight w:val="none"/>
              </w:rPr>
            </w:pPr>
          </w:p>
        </w:tc>
        <w:tc>
          <w:tcPr>
            <w:tcW w:w="1608" w:type="dxa"/>
            <w:vAlign w:val="top"/>
          </w:tcPr>
          <w:p w14:paraId="19A372D5">
            <w:pPr>
              <w:spacing w:line="440" w:lineRule="exact"/>
              <w:jc w:val="center"/>
              <w:rPr>
                <w:rFonts w:hint="eastAsia" w:ascii="宋体" w:hAnsi="宋体" w:cs="宋体"/>
                <w:color w:val="auto"/>
                <w:highlight w:val="none"/>
              </w:rPr>
            </w:pPr>
          </w:p>
        </w:tc>
        <w:tc>
          <w:tcPr>
            <w:tcW w:w="1608" w:type="dxa"/>
            <w:gridSpan w:val="3"/>
            <w:vAlign w:val="top"/>
          </w:tcPr>
          <w:p w14:paraId="596D1273">
            <w:pPr>
              <w:spacing w:line="440" w:lineRule="exact"/>
              <w:jc w:val="center"/>
              <w:rPr>
                <w:rFonts w:hint="eastAsia" w:ascii="宋体" w:hAnsi="宋体" w:cs="宋体"/>
                <w:color w:val="auto"/>
                <w:highlight w:val="none"/>
              </w:rPr>
            </w:pPr>
          </w:p>
        </w:tc>
        <w:tc>
          <w:tcPr>
            <w:tcW w:w="1608" w:type="dxa"/>
            <w:gridSpan w:val="2"/>
            <w:vAlign w:val="top"/>
          </w:tcPr>
          <w:p w14:paraId="2635ADD8">
            <w:pPr>
              <w:spacing w:line="440" w:lineRule="exact"/>
              <w:jc w:val="center"/>
              <w:rPr>
                <w:rFonts w:hint="eastAsia" w:ascii="宋体" w:hAnsi="宋体" w:cs="宋体"/>
                <w:color w:val="auto"/>
                <w:highlight w:val="none"/>
              </w:rPr>
            </w:pPr>
          </w:p>
        </w:tc>
        <w:tc>
          <w:tcPr>
            <w:tcW w:w="1206" w:type="dxa"/>
            <w:gridSpan w:val="3"/>
            <w:vAlign w:val="top"/>
          </w:tcPr>
          <w:p w14:paraId="264D7B01">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3A03EEB0">
            <w:pPr>
              <w:spacing w:line="440" w:lineRule="exact"/>
              <w:jc w:val="center"/>
              <w:rPr>
                <w:rFonts w:hint="eastAsia" w:ascii="宋体" w:hAnsi="宋体" w:cs="宋体"/>
                <w:color w:val="auto"/>
                <w:highlight w:val="none"/>
              </w:rPr>
            </w:pPr>
          </w:p>
        </w:tc>
      </w:tr>
      <w:tr w14:paraId="3144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6C303A06">
            <w:pPr>
              <w:spacing w:line="440" w:lineRule="exact"/>
              <w:jc w:val="center"/>
              <w:rPr>
                <w:rFonts w:hint="eastAsia" w:ascii="宋体" w:hAnsi="宋体" w:cs="宋体"/>
                <w:color w:val="auto"/>
                <w:highlight w:val="none"/>
              </w:rPr>
            </w:pPr>
          </w:p>
        </w:tc>
        <w:tc>
          <w:tcPr>
            <w:tcW w:w="1608" w:type="dxa"/>
            <w:vAlign w:val="top"/>
          </w:tcPr>
          <w:p w14:paraId="6BA83DDA">
            <w:pPr>
              <w:spacing w:line="440" w:lineRule="exact"/>
              <w:jc w:val="center"/>
              <w:rPr>
                <w:rFonts w:hint="eastAsia" w:ascii="宋体" w:hAnsi="宋体" w:cs="宋体"/>
                <w:color w:val="auto"/>
                <w:highlight w:val="none"/>
              </w:rPr>
            </w:pPr>
          </w:p>
        </w:tc>
        <w:tc>
          <w:tcPr>
            <w:tcW w:w="1608" w:type="dxa"/>
            <w:gridSpan w:val="3"/>
            <w:vAlign w:val="top"/>
          </w:tcPr>
          <w:p w14:paraId="08908FA9">
            <w:pPr>
              <w:spacing w:line="440" w:lineRule="exact"/>
              <w:jc w:val="center"/>
              <w:rPr>
                <w:rFonts w:hint="eastAsia" w:ascii="宋体" w:hAnsi="宋体" w:cs="宋体"/>
                <w:color w:val="auto"/>
                <w:highlight w:val="none"/>
              </w:rPr>
            </w:pPr>
          </w:p>
        </w:tc>
        <w:tc>
          <w:tcPr>
            <w:tcW w:w="1608" w:type="dxa"/>
            <w:gridSpan w:val="2"/>
            <w:vAlign w:val="top"/>
          </w:tcPr>
          <w:p w14:paraId="118019C9">
            <w:pPr>
              <w:spacing w:line="440" w:lineRule="exact"/>
              <w:jc w:val="center"/>
              <w:rPr>
                <w:rFonts w:hint="eastAsia" w:ascii="宋体" w:hAnsi="宋体" w:cs="宋体"/>
                <w:color w:val="auto"/>
                <w:highlight w:val="none"/>
              </w:rPr>
            </w:pPr>
          </w:p>
        </w:tc>
        <w:tc>
          <w:tcPr>
            <w:tcW w:w="1206" w:type="dxa"/>
            <w:gridSpan w:val="3"/>
            <w:vAlign w:val="top"/>
          </w:tcPr>
          <w:p w14:paraId="51E1A4B6">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25B7FF71">
            <w:pPr>
              <w:spacing w:line="440" w:lineRule="exact"/>
              <w:jc w:val="center"/>
              <w:rPr>
                <w:rFonts w:hint="eastAsia" w:ascii="宋体" w:hAnsi="宋体" w:cs="宋体"/>
                <w:color w:val="auto"/>
                <w:highlight w:val="none"/>
              </w:rPr>
            </w:pPr>
          </w:p>
        </w:tc>
      </w:tr>
      <w:tr w14:paraId="0090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26BC22B2">
            <w:pPr>
              <w:spacing w:line="440" w:lineRule="exact"/>
              <w:jc w:val="center"/>
              <w:rPr>
                <w:rFonts w:hint="eastAsia" w:ascii="宋体" w:hAnsi="宋体" w:cs="宋体"/>
                <w:color w:val="auto"/>
                <w:highlight w:val="none"/>
              </w:rPr>
            </w:pPr>
          </w:p>
        </w:tc>
        <w:tc>
          <w:tcPr>
            <w:tcW w:w="1608" w:type="dxa"/>
            <w:vAlign w:val="top"/>
          </w:tcPr>
          <w:p w14:paraId="5C65AF7C">
            <w:pPr>
              <w:spacing w:line="440" w:lineRule="exact"/>
              <w:jc w:val="center"/>
              <w:rPr>
                <w:rFonts w:hint="eastAsia" w:ascii="宋体" w:hAnsi="宋体" w:cs="宋体"/>
                <w:color w:val="auto"/>
                <w:highlight w:val="none"/>
              </w:rPr>
            </w:pPr>
          </w:p>
        </w:tc>
        <w:tc>
          <w:tcPr>
            <w:tcW w:w="1608" w:type="dxa"/>
            <w:gridSpan w:val="3"/>
            <w:vAlign w:val="top"/>
          </w:tcPr>
          <w:p w14:paraId="165C4A36">
            <w:pPr>
              <w:spacing w:line="440" w:lineRule="exact"/>
              <w:jc w:val="center"/>
              <w:rPr>
                <w:rFonts w:hint="eastAsia" w:ascii="宋体" w:hAnsi="宋体" w:cs="宋体"/>
                <w:color w:val="auto"/>
                <w:highlight w:val="none"/>
              </w:rPr>
            </w:pPr>
          </w:p>
        </w:tc>
        <w:tc>
          <w:tcPr>
            <w:tcW w:w="1608" w:type="dxa"/>
            <w:gridSpan w:val="2"/>
            <w:vAlign w:val="top"/>
          </w:tcPr>
          <w:p w14:paraId="0A72CD2B">
            <w:pPr>
              <w:spacing w:line="440" w:lineRule="exact"/>
              <w:jc w:val="center"/>
              <w:rPr>
                <w:rFonts w:hint="eastAsia" w:ascii="宋体" w:hAnsi="宋体" w:cs="宋体"/>
                <w:color w:val="auto"/>
                <w:highlight w:val="none"/>
              </w:rPr>
            </w:pPr>
          </w:p>
        </w:tc>
        <w:tc>
          <w:tcPr>
            <w:tcW w:w="1206" w:type="dxa"/>
            <w:gridSpan w:val="3"/>
            <w:vAlign w:val="top"/>
          </w:tcPr>
          <w:p w14:paraId="12049A3D">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464A2E8F">
            <w:pPr>
              <w:spacing w:line="440" w:lineRule="exact"/>
              <w:jc w:val="center"/>
              <w:rPr>
                <w:rFonts w:hint="eastAsia" w:ascii="宋体" w:hAnsi="宋体" w:cs="宋体"/>
                <w:color w:val="auto"/>
                <w:highlight w:val="none"/>
              </w:rPr>
            </w:pPr>
          </w:p>
        </w:tc>
      </w:tr>
      <w:tr w14:paraId="4032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4358186C">
            <w:pPr>
              <w:spacing w:line="440" w:lineRule="exact"/>
              <w:jc w:val="center"/>
              <w:rPr>
                <w:rFonts w:hint="eastAsia" w:ascii="宋体" w:hAnsi="宋体" w:cs="宋体"/>
                <w:color w:val="auto"/>
                <w:highlight w:val="none"/>
              </w:rPr>
            </w:pPr>
          </w:p>
        </w:tc>
        <w:tc>
          <w:tcPr>
            <w:tcW w:w="1608" w:type="dxa"/>
            <w:vAlign w:val="top"/>
          </w:tcPr>
          <w:p w14:paraId="78191525">
            <w:pPr>
              <w:spacing w:line="440" w:lineRule="exact"/>
              <w:jc w:val="center"/>
              <w:rPr>
                <w:rFonts w:hint="eastAsia" w:ascii="宋体" w:hAnsi="宋体" w:cs="宋体"/>
                <w:color w:val="auto"/>
                <w:highlight w:val="none"/>
              </w:rPr>
            </w:pPr>
          </w:p>
        </w:tc>
        <w:tc>
          <w:tcPr>
            <w:tcW w:w="1608" w:type="dxa"/>
            <w:gridSpan w:val="3"/>
            <w:vAlign w:val="top"/>
          </w:tcPr>
          <w:p w14:paraId="437EA421">
            <w:pPr>
              <w:spacing w:line="440" w:lineRule="exact"/>
              <w:jc w:val="center"/>
              <w:rPr>
                <w:rFonts w:hint="eastAsia" w:ascii="宋体" w:hAnsi="宋体" w:cs="宋体"/>
                <w:color w:val="auto"/>
                <w:highlight w:val="none"/>
              </w:rPr>
            </w:pPr>
          </w:p>
        </w:tc>
        <w:tc>
          <w:tcPr>
            <w:tcW w:w="1608" w:type="dxa"/>
            <w:gridSpan w:val="2"/>
            <w:vAlign w:val="top"/>
          </w:tcPr>
          <w:p w14:paraId="51DE05CE">
            <w:pPr>
              <w:spacing w:line="440" w:lineRule="exact"/>
              <w:jc w:val="center"/>
              <w:rPr>
                <w:rFonts w:hint="eastAsia" w:ascii="宋体" w:hAnsi="宋体" w:cs="宋体"/>
                <w:color w:val="auto"/>
                <w:highlight w:val="none"/>
              </w:rPr>
            </w:pPr>
          </w:p>
        </w:tc>
        <w:tc>
          <w:tcPr>
            <w:tcW w:w="1206" w:type="dxa"/>
            <w:gridSpan w:val="3"/>
            <w:vAlign w:val="top"/>
          </w:tcPr>
          <w:p w14:paraId="5CF70506">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5270025A">
            <w:pPr>
              <w:spacing w:line="440" w:lineRule="exact"/>
              <w:jc w:val="center"/>
              <w:rPr>
                <w:rFonts w:hint="eastAsia" w:ascii="宋体" w:hAnsi="宋体" w:cs="宋体"/>
                <w:color w:val="auto"/>
                <w:highlight w:val="none"/>
              </w:rPr>
            </w:pPr>
          </w:p>
        </w:tc>
      </w:tr>
      <w:tr w14:paraId="43A2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03F7E296">
            <w:pPr>
              <w:spacing w:line="440" w:lineRule="exact"/>
              <w:jc w:val="center"/>
              <w:rPr>
                <w:rFonts w:hint="eastAsia" w:ascii="宋体" w:hAnsi="宋体" w:cs="宋体"/>
                <w:color w:val="auto"/>
                <w:highlight w:val="none"/>
              </w:rPr>
            </w:pPr>
          </w:p>
        </w:tc>
        <w:tc>
          <w:tcPr>
            <w:tcW w:w="1608" w:type="dxa"/>
            <w:vAlign w:val="top"/>
          </w:tcPr>
          <w:p w14:paraId="29FCFB33">
            <w:pPr>
              <w:spacing w:line="440" w:lineRule="exact"/>
              <w:jc w:val="center"/>
              <w:rPr>
                <w:rFonts w:hint="eastAsia" w:ascii="宋体" w:hAnsi="宋体" w:cs="宋体"/>
                <w:color w:val="auto"/>
                <w:highlight w:val="none"/>
              </w:rPr>
            </w:pPr>
          </w:p>
        </w:tc>
        <w:tc>
          <w:tcPr>
            <w:tcW w:w="1608" w:type="dxa"/>
            <w:gridSpan w:val="3"/>
            <w:vAlign w:val="top"/>
          </w:tcPr>
          <w:p w14:paraId="658A65A3">
            <w:pPr>
              <w:spacing w:line="440" w:lineRule="exact"/>
              <w:jc w:val="center"/>
              <w:rPr>
                <w:rFonts w:hint="eastAsia" w:ascii="宋体" w:hAnsi="宋体" w:cs="宋体"/>
                <w:color w:val="auto"/>
                <w:highlight w:val="none"/>
              </w:rPr>
            </w:pPr>
          </w:p>
        </w:tc>
        <w:tc>
          <w:tcPr>
            <w:tcW w:w="1608" w:type="dxa"/>
            <w:gridSpan w:val="2"/>
            <w:vAlign w:val="top"/>
          </w:tcPr>
          <w:p w14:paraId="58749F1E">
            <w:pPr>
              <w:spacing w:line="440" w:lineRule="exact"/>
              <w:jc w:val="center"/>
              <w:rPr>
                <w:rFonts w:hint="eastAsia" w:ascii="宋体" w:hAnsi="宋体" w:cs="宋体"/>
                <w:color w:val="auto"/>
                <w:highlight w:val="none"/>
              </w:rPr>
            </w:pPr>
          </w:p>
        </w:tc>
        <w:tc>
          <w:tcPr>
            <w:tcW w:w="1206" w:type="dxa"/>
            <w:gridSpan w:val="3"/>
            <w:vAlign w:val="top"/>
          </w:tcPr>
          <w:p w14:paraId="54863617">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1A0ED0E4">
            <w:pPr>
              <w:spacing w:line="440" w:lineRule="exact"/>
              <w:jc w:val="center"/>
              <w:rPr>
                <w:rFonts w:hint="eastAsia" w:ascii="宋体" w:hAnsi="宋体" w:cs="宋体"/>
                <w:color w:val="auto"/>
                <w:highlight w:val="none"/>
              </w:rPr>
            </w:pPr>
          </w:p>
        </w:tc>
      </w:tr>
      <w:tr w14:paraId="141B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vAlign w:val="top"/>
          </w:tcPr>
          <w:p w14:paraId="7E2A0A62">
            <w:pPr>
              <w:spacing w:line="440" w:lineRule="exact"/>
              <w:jc w:val="center"/>
              <w:rPr>
                <w:rFonts w:hint="eastAsia" w:ascii="宋体" w:hAnsi="宋体" w:cs="宋体"/>
                <w:color w:val="auto"/>
                <w:highlight w:val="none"/>
              </w:rPr>
            </w:pPr>
          </w:p>
        </w:tc>
        <w:tc>
          <w:tcPr>
            <w:tcW w:w="1608" w:type="dxa"/>
            <w:vAlign w:val="top"/>
          </w:tcPr>
          <w:p w14:paraId="09596803">
            <w:pPr>
              <w:spacing w:line="440" w:lineRule="exact"/>
              <w:jc w:val="center"/>
              <w:rPr>
                <w:rFonts w:hint="eastAsia" w:ascii="宋体" w:hAnsi="宋体" w:cs="宋体"/>
                <w:color w:val="auto"/>
                <w:highlight w:val="none"/>
              </w:rPr>
            </w:pPr>
          </w:p>
        </w:tc>
        <w:tc>
          <w:tcPr>
            <w:tcW w:w="1608" w:type="dxa"/>
            <w:gridSpan w:val="3"/>
            <w:vAlign w:val="top"/>
          </w:tcPr>
          <w:p w14:paraId="037FE881">
            <w:pPr>
              <w:spacing w:line="440" w:lineRule="exact"/>
              <w:jc w:val="center"/>
              <w:rPr>
                <w:rFonts w:hint="eastAsia" w:ascii="宋体" w:hAnsi="宋体" w:cs="宋体"/>
                <w:color w:val="auto"/>
                <w:highlight w:val="none"/>
              </w:rPr>
            </w:pPr>
          </w:p>
        </w:tc>
        <w:tc>
          <w:tcPr>
            <w:tcW w:w="1608" w:type="dxa"/>
            <w:gridSpan w:val="2"/>
            <w:vAlign w:val="top"/>
          </w:tcPr>
          <w:p w14:paraId="21FEE070">
            <w:pPr>
              <w:spacing w:line="440" w:lineRule="exact"/>
              <w:jc w:val="center"/>
              <w:rPr>
                <w:rFonts w:hint="eastAsia" w:ascii="宋体" w:hAnsi="宋体" w:cs="宋体"/>
                <w:color w:val="auto"/>
                <w:highlight w:val="none"/>
              </w:rPr>
            </w:pPr>
          </w:p>
        </w:tc>
        <w:tc>
          <w:tcPr>
            <w:tcW w:w="1206" w:type="dxa"/>
            <w:gridSpan w:val="3"/>
            <w:vAlign w:val="top"/>
          </w:tcPr>
          <w:p w14:paraId="128FF812">
            <w:pPr>
              <w:spacing w:line="440" w:lineRule="exact"/>
              <w:jc w:val="center"/>
              <w:rPr>
                <w:rFonts w:hint="eastAsia" w:ascii="宋体" w:hAnsi="宋体" w:cs="宋体"/>
                <w:color w:val="auto"/>
                <w:highlight w:val="none"/>
              </w:rPr>
            </w:pPr>
          </w:p>
        </w:tc>
        <w:tc>
          <w:tcPr>
            <w:tcW w:w="1206" w:type="dxa"/>
            <w:tcBorders>
              <w:right w:val="single" w:color="auto" w:sz="8" w:space="0"/>
            </w:tcBorders>
            <w:vAlign w:val="top"/>
          </w:tcPr>
          <w:p w14:paraId="6D60AF5F">
            <w:pPr>
              <w:spacing w:line="440" w:lineRule="exact"/>
              <w:jc w:val="center"/>
              <w:rPr>
                <w:rFonts w:hint="eastAsia" w:ascii="宋体" w:hAnsi="宋体" w:cs="宋体"/>
                <w:color w:val="auto"/>
                <w:highlight w:val="none"/>
              </w:rPr>
            </w:pPr>
          </w:p>
        </w:tc>
      </w:tr>
      <w:tr w14:paraId="3FA5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bottom w:val="single" w:color="auto" w:sz="8" w:space="0"/>
            </w:tcBorders>
            <w:vAlign w:val="top"/>
          </w:tcPr>
          <w:p w14:paraId="78E3B801">
            <w:pPr>
              <w:spacing w:line="440" w:lineRule="exact"/>
              <w:jc w:val="center"/>
              <w:rPr>
                <w:rFonts w:hint="eastAsia" w:ascii="宋体" w:hAnsi="宋体" w:cs="宋体"/>
                <w:color w:val="auto"/>
                <w:highlight w:val="none"/>
              </w:rPr>
            </w:pPr>
          </w:p>
        </w:tc>
        <w:tc>
          <w:tcPr>
            <w:tcW w:w="1608" w:type="dxa"/>
            <w:tcBorders>
              <w:bottom w:val="single" w:color="auto" w:sz="8" w:space="0"/>
            </w:tcBorders>
            <w:vAlign w:val="top"/>
          </w:tcPr>
          <w:p w14:paraId="1FEC7FCA">
            <w:pPr>
              <w:spacing w:line="440" w:lineRule="exact"/>
              <w:jc w:val="center"/>
              <w:rPr>
                <w:rFonts w:hint="eastAsia" w:ascii="宋体" w:hAnsi="宋体" w:cs="宋体"/>
                <w:color w:val="auto"/>
                <w:highlight w:val="none"/>
              </w:rPr>
            </w:pPr>
          </w:p>
        </w:tc>
        <w:tc>
          <w:tcPr>
            <w:tcW w:w="1608" w:type="dxa"/>
            <w:gridSpan w:val="3"/>
            <w:tcBorders>
              <w:bottom w:val="single" w:color="auto" w:sz="8" w:space="0"/>
            </w:tcBorders>
            <w:vAlign w:val="top"/>
          </w:tcPr>
          <w:p w14:paraId="10C0FFEE">
            <w:pPr>
              <w:spacing w:line="440" w:lineRule="exact"/>
              <w:jc w:val="center"/>
              <w:rPr>
                <w:rFonts w:hint="eastAsia" w:ascii="宋体" w:hAnsi="宋体" w:cs="宋体"/>
                <w:color w:val="auto"/>
                <w:highlight w:val="none"/>
              </w:rPr>
            </w:pPr>
          </w:p>
        </w:tc>
        <w:tc>
          <w:tcPr>
            <w:tcW w:w="1608" w:type="dxa"/>
            <w:gridSpan w:val="2"/>
            <w:tcBorders>
              <w:bottom w:val="single" w:color="auto" w:sz="8" w:space="0"/>
            </w:tcBorders>
            <w:vAlign w:val="top"/>
          </w:tcPr>
          <w:p w14:paraId="17BD0EDD">
            <w:pPr>
              <w:spacing w:line="440" w:lineRule="exact"/>
              <w:jc w:val="center"/>
              <w:rPr>
                <w:rFonts w:hint="eastAsia" w:ascii="宋体" w:hAnsi="宋体" w:cs="宋体"/>
                <w:color w:val="auto"/>
                <w:highlight w:val="none"/>
              </w:rPr>
            </w:pPr>
          </w:p>
        </w:tc>
        <w:tc>
          <w:tcPr>
            <w:tcW w:w="1206" w:type="dxa"/>
            <w:gridSpan w:val="3"/>
            <w:tcBorders>
              <w:bottom w:val="single" w:color="auto" w:sz="8" w:space="0"/>
            </w:tcBorders>
            <w:vAlign w:val="top"/>
          </w:tcPr>
          <w:p w14:paraId="0A91A58E">
            <w:pPr>
              <w:spacing w:line="440" w:lineRule="exact"/>
              <w:jc w:val="center"/>
              <w:rPr>
                <w:rFonts w:hint="eastAsia" w:ascii="宋体" w:hAnsi="宋体" w:cs="宋体"/>
                <w:color w:val="auto"/>
                <w:highlight w:val="none"/>
              </w:rPr>
            </w:pPr>
          </w:p>
        </w:tc>
        <w:tc>
          <w:tcPr>
            <w:tcW w:w="1206" w:type="dxa"/>
            <w:tcBorders>
              <w:bottom w:val="single" w:color="auto" w:sz="8" w:space="0"/>
              <w:right w:val="single" w:color="auto" w:sz="8" w:space="0"/>
            </w:tcBorders>
            <w:vAlign w:val="top"/>
          </w:tcPr>
          <w:p w14:paraId="5FA55424">
            <w:pPr>
              <w:spacing w:line="440" w:lineRule="exact"/>
              <w:jc w:val="center"/>
              <w:rPr>
                <w:rFonts w:hint="eastAsia" w:ascii="宋体" w:hAnsi="宋体" w:cs="宋体"/>
                <w:color w:val="auto"/>
                <w:highlight w:val="none"/>
              </w:rPr>
            </w:pPr>
          </w:p>
        </w:tc>
      </w:tr>
    </w:tbl>
    <w:p w14:paraId="23C797E6">
      <w:pPr>
        <w:snapToGrid w:val="0"/>
        <w:spacing w:line="400" w:lineRule="exact"/>
        <w:outlineLvl w:val="4"/>
        <w:rPr>
          <w:rFonts w:hint="eastAsia" w:ascii="宋体" w:hAnsi="宋体" w:cs="宋体"/>
          <w:b/>
          <w:color w:val="auto"/>
          <w:sz w:val="24"/>
          <w:highlight w:val="none"/>
        </w:rPr>
      </w:pPr>
    </w:p>
    <w:p w14:paraId="2F965882">
      <w:pPr>
        <w:widowControl/>
        <w:ind w:firstLine="3092" w:firstLineChars="1100"/>
        <w:jc w:val="left"/>
        <w:rPr>
          <w:rFonts w:hint="eastAsia" w:ascii="宋体" w:hAnsi="宋体" w:eastAsia="宋体" w:cs="宋体"/>
          <w:b/>
          <w:color w:val="auto"/>
          <w:kern w:val="0"/>
          <w:sz w:val="28"/>
          <w:szCs w:val="28"/>
          <w:highlight w:val="none"/>
        </w:rPr>
      </w:pPr>
    </w:p>
    <w:p w14:paraId="149F61D9">
      <w:pPr>
        <w:widowControl/>
        <w:ind w:firstLine="1470" w:firstLineChars="7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EE88A90">
      <w:pPr>
        <w:pStyle w:val="12"/>
        <w:spacing w:line="300" w:lineRule="exact"/>
        <w:ind w:left="2940" w:leftChars="1400" w:firstLine="630" w:firstLineChars="300"/>
        <w:rPr>
          <w:rFonts w:hint="eastAsia" w:ascii="宋体" w:hAnsi="宋体" w:eastAsia="宋体" w:cs="宋体"/>
          <w:color w:val="auto"/>
          <w:highlight w:val="none"/>
        </w:rPr>
      </w:pPr>
    </w:p>
    <w:p w14:paraId="3117676F">
      <w:pPr>
        <w:pStyle w:val="12"/>
        <w:spacing w:line="300" w:lineRule="exact"/>
        <w:ind w:firstLine="4638" w:firstLineChars="16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36DEE93A">
      <w:pPr>
        <w:pStyle w:val="12"/>
        <w:spacing w:line="300" w:lineRule="exact"/>
        <w:rPr>
          <w:rFonts w:hint="eastAsia" w:ascii="宋体" w:hAnsi="宋体" w:eastAsia="宋体" w:cs="宋体"/>
          <w:b/>
          <w:color w:val="auto"/>
          <w:sz w:val="28"/>
          <w:szCs w:val="28"/>
          <w:highlight w:val="none"/>
        </w:rPr>
      </w:pPr>
    </w:p>
    <w:p w14:paraId="01865AE9">
      <w:pPr>
        <w:snapToGrid w:val="0"/>
        <w:spacing w:line="300" w:lineRule="exact"/>
        <w:ind w:firstLine="4830" w:firstLineChars="23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6090CF78">
      <w:pPr>
        <w:snapToGrid w:val="0"/>
        <w:spacing w:line="300" w:lineRule="exact"/>
        <w:ind w:firstLine="3570" w:firstLineChars="1700"/>
        <w:rPr>
          <w:rFonts w:hint="eastAsia" w:ascii="宋体" w:hAnsi="宋体" w:eastAsia="宋体" w:cs="宋体"/>
          <w:color w:val="auto"/>
          <w:highlight w:val="none"/>
          <w:u w:val="single"/>
        </w:rPr>
      </w:pPr>
    </w:p>
    <w:p w14:paraId="77F1B7C1">
      <w:pPr>
        <w:pStyle w:val="9"/>
        <w:rPr>
          <w:rFonts w:hint="eastAsia" w:ascii="宋体" w:hAnsi="宋体" w:eastAsia="宋体" w:cs="宋体"/>
          <w:color w:val="auto"/>
          <w:highlight w:val="none"/>
          <w:u w:val="single"/>
        </w:rPr>
      </w:pPr>
    </w:p>
    <w:p w14:paraId="3B5E48A6">
      <w:pPr>
        <w:pStyle w:val="9"/>
        <w:rPr>
          <w:rFonts w:hint="eastAsia" w:ascii="宋体" w:hAnsi="宋体" w:eastAsia="宋体" w:cs="宋体"/>
          <w:color w:val="auto"/>
          <w:highlight w:val="none"/>
          <w:u w:val="single"/>
        </w:rPr>
      </w:pPr>
    </w:p>
    <w:p w14:paraId="74019DE1">
      <w:pPr>
        <w:pStyle w:val="9"/>
        <w:rPr>
          <w:rFonts w:hint="eastAsia" w:ascii="宋体" w:hAnsi="宋体" w:eastAsia="宋体" w:cs="宋体"/>
          <w:b/>
          <w:bCs/>
          <w:color w:val="auto"/>
          <w:szCs w:val="21"/>
          <w:highlight w:val="none"/>
        </w:rPr>
      </w:pPr>
    </w:p>
    <w:p w14:paraId="121C8880">
      <w:pPr>
        <w:pStyle w:val="9"/>
        <w:rPr>
          <w:rFonts w:hint="eastAsia" w:ascii="宋体" w:hAnsi="宋体" w:eastAsia="宋体" w:cs="宋体"/>
          <w:b/>
          <w:bCs/>
          <w:color w:val="auto"/>
          <w:szCs w:val="21"/>
          <w:highlight w:val="none"/>
        </w:rPr>
      </w:pPr>
    </w:p>
    <w:p w14:paraId="429D2A06">
      <w:pPr>
        <w:pStyle w:val="9"/>
        <w:rPr>
          <w:rFonts w:hint="eastAsia" w:ascii="宋体" w:hAnsi="宋体" w:eastAsia="宋体" w:cs="宋体"/>
          <w:b/>
          <w:bCs/>
          <w:color w:val="auto"/>
          <w:szCs w:val="21"/>
          <w:highlight w:val="none"/>
        </w:rPr>
      </w:pPr>
    </w:p>
    <w:p w14:paraId="6A51DD23">
      <w:pPr>
        <w:pStyle w:val="9"/>
        <w:rPr>
          <w:rFonts w:hint="eastAsia" w:ascii="宋体" w:hAnsi="宋体" w:eastAsia="宋体" w:cs="宋体"/>
          <w:b/>
          <w:bCs/>
          <w:color w:val="auto"/>
          <w:szCs w:val="21"/>
          <w:highlight w:val="none"/>
        </w:rPr>
      </w:pPr>
    </w:p>
    <w:p w14:paraId="65854F33">
      <w:pPr>
        <w:pStyle w:val="9"/>
        <w:rPr>
          <w:rFonts w:hint="eastAsia" w:ascii="宋体" w:hAnsi="宋体" w:eastAsia="宋体" w:cs="宋体"/>
          <w:b/>
          <w:bCs/>
          <w:color w:val="auto"/>
          <w:szCs w:val="21"/>
          <w:highlight w:val="none"/>
        </w:rPr>
      </w:pPr>
    </w:p>
    <w:p w14:paraId="198A571E">
      <w:pPr>
        <w:pStyle w:val="9"/>
        <w:rPr>
          <w:rFonts w:hint="eastAsia" w:ascii="宋体" w:hAnsi="宋体" w:eastAsia="宋体" w:cs="宋体"/>
          <w:b/>
          <w:bCs/>
          <w:color w:val="auto"/>
          <w:szCs w:val="21"/>
          <w:highlight w:val="none"/>
        </w:rPr>
      </w:pPr>
    </w:p>
    <w:p w14:paraId="357E842A">
      <w:pPr>
        <w:pStyle w:val="9"/>
        <w:rPr>
          <w:rFonts w:hint="eastAsia" w:ascii="宋体" w:hAnsi="宋体" w:eastAsia="宋体" w:cs="宋体"/>
          <w:b/>
          <w:bCs/>
          <w:color w:val="auto"/>
          <w:szCs w:val="21"/>
          <w:highlight w:val="none"/>
        </w:rPr>
      </w:pPr>
    </w:p>
    <w:p w14:paraId="077CCAEE">
      <w:pPr>
        <w:pStyle w:val="9"/>
        <w:rPr>
          <w:rFonts w:hint="eastAsia" w:ascii="宋体" w:hAnsi="宋体" w:eastAsia="宋体" w:cs="宋体"/>
          <w:b/>
          <w:bCs/>
          <w:color w:val="auto"/>
          <w:szCs w:val="21"/>
          <w:highlight w:val="none"/>
        </w:rPr>
      </w:pPr>
    </w:p>
    <w:p w14:paraId="7018E27F">
      <w:pPr>
        <w:pStyle w:val="12"/>
        <w:numPr>
          <w:ilvl w:val="0"/>
          <w:numId w:val="0"/>
        </w:numPr>
        <w:spacing w:line="3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6.施工组织设计方案（必须提供）</w:t>
      </w:r>
      <w:r>
        <w:rPr>
          <w:rFonts w:hint="eastAsia" w:ascii="宋体" w:hAnsi="宋体" w:eastAsia="宋体" w:cs="宋体"/>
          <w:b/>
          <w:color w:val="auto"/>
          <w:sz w:val="28"/>
          <w:szCs w:val="28"/>
          <w:highlight w:val="none"/>
        </w:rPr>
        <w:t>；</w:t>
      </w:r>
    </w:p>
    <w:p w14:paraId="2C4AC6B4">
      <w:pPr>
        <w:snapToGrid w:val="0"/>
        <w:spacing w:line="400" w:lineRule="exact"/>
        <w:jc w:val="center"/>
        <w:outlineLvl w:val="4"/>
        <w:rPr>
          <w:rFonts w:hint="eastAsia" w:ascii="宋体" w:hAnsi="宋体" w:cs="宋体"/>
          <w:b/>
          <w:color w:val="auto"/>
          <w:sz w:val="24"/>
          <w:szCs w:val="24"/>
          <w:highlight w:val="none"/>
          <w:lang w:val="en-US" w:eastAsia="zh-CN"/>
        </w:rPr>
      </w:pPr>
    </w:p>
    <w:p w14:paraId="3C89A0BF">
      <w:pPr>
        <w:snapToGrid w:val="0"/>
        <w:spacing w:line="400" w:lineRule="exact"/>
        <w:jc w:val="center"/>
        <w:outlineLvl w:val="4"/>
        <w:rPr>
          <w:rFonts w:hint="eastAsia" w:ascii="宋体" w:hAnsi="宋体" w:eastAsia="宋体" w:cs="宋体"/>
          <w:b/>
          <w:color w:val="auto"/>
          <w:sz w:val="28"/>
          <w:szCs w:val="28"/>
          <w:highlight w:val="none"/>
          <w:lang w:eastAsia="zh-CN"/>
        </w:rPr>
      </w:pPr>
      <w:r>
        <w:rPr>
          <w:rFonts w:hint="eastAsia" w:ascii="宋体" w:hAnsi="宋体" w:cs="宋体"/>
          <w:b/>
          <w:color w:val="auto"/>
          <w:sz w:val="24"/>
          <w:szCs w:val="24"/>
          <w:highlight w:val="none"/>
          <w:lang w:val="en-US" w:eastAsia="zh-CN"/>
        </w:rPr>
        <w:t>施工组织设计方案</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格式</w:t>
      </w:r>
      <w:r>
        <w:rPr>
          <w:rFonts w:hint="eastAsia" w:ascii="宋体" w:hAnsi="宋体" w:cs="宋体"/>
          <w:b/>
          <w:color w:val="auto"/>
          <w:sz w:val="24"/>
          <w:szCs w:val="24"/>
          <w:highlight w:val="none"/>
          <w:lang w:eastAsia="zh-CN"/>
        </w:rPr>
        <w:t>）</w:t>
      </w:r>
    </w:p>
    <w:p w14:paraId="5FD7674B">
      <w:pPr>
        <w:snapToGrid w:val="0"/>
        <w:spacing w:line="400" w:lineRule="exact"/>
        <w:jc w:val="center"/>
        <w:outlineLvl w:val="4"/>
        <w:rPr>
          <w:rFonts w:hint="eastAsia" w:ascii="宋体" w:hAnsi="宋体" w:cs="宋体"/>
          <w:b/>
          <w:color w:val="auto"/>
          <w:sz w:val="28"/>
          <w:szCs w:val="28"/>
          <w:highlight w:val="none"/>
        </w:rPr>
      </w:pPr>
    </w:p>
    <w:p w14:paraId="1A27F351">
      <w:pPr>
        <w:pStyle w:val="34"/>
        <w:spacing w:line="300" w:lineRule="exact"/>
        <w:ind w:firstLine="425"/>
        <w:rPr>
          <w:rFonts w:hint="eastAsia" w:ascii="宋体" w:hAnsi="宋体" w:eastAsia="宋体" w:cs="宋体"/>
          <w:color w:val="auto"/>
          <w:highlight w:val="none"/>
        </w:rPr>
      </w:pPr>
    </w:p>
    <w:p w14:paraId="08F873F2">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 xml:space="preserve">1.  </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编制施工组织设计的要求：</w:t>
      </w:r>
    </w:p>
    <w:p w14:paraId="7FF478FE">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编制时应按以下章顺序采用文字并结合图表形式进行说明：</w:t>
      </w:r>
    </w:p>
    <w:p w14:paraId="1529DCB4">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总体概述；</w:t>
      </w:r>
    </w:p>
    <w:p w14:paraId="07DDF026">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主要施工方法；</w:t>
      </w:r>
    </w:p>
    <w:p w14:paraId="2892FED6">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施工进度、施工进度计划和各阶段进度的保证措施；</w:t>
      </w:r>
    </w:p>
    <w:p w14:paraId="07F55E3D">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劳动力和材料投入计划及其保证措施；</w:t>
      </w:r>
    </w:p>
    <w:p w14:paraId="25F557FB">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施工平面布置和临时设施布置；</w:t>
      </w:r>
    </w:p>
    <w:p w14:paraId="335A3C15">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关键施工技术、工艺及工程实施的重点、难点和解决方案；</w:t>
      </w:r>
    </w:p>
    <w:p w14:paraId="3B397207">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安全文明施工措施；</w:t>
      </w:r>
    </w:p>
    <w:p w14:paraId="53343CEE">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lang w:eastAsia="zh-CN"/>
        </w:rPr>
        <w:t>确保工程质量的技术组织措施；</w:t>
      </w:r>
    </w:p>
    <w:p w14:paraId="20CAA677">
      <w:pPr>
        <w:pStyle w:val="34"/>
        <w:numPr>
          <w:ilvl w:val="0"/>
          <w:numId w:val="16"/>
        </w:numPr>
        <w:spacing w:line="300" w:lineRule="exact"/>
        <w:ind w:firstLine="425"/>
        <w:jc w:val="left"/>
        <w:rPr>
          <w:rFonts w:hint="eastAsia" w:ascii="宋体" w:hAnsi="宋体" w:eastAsia="宋体" w:cs="宋体"/>
          <w:color w:val="auto"/>
          <w:highlight w:val="none"/>
        </w:rPr>
      </w:pPr>
      <w:r>
        <w:rPr>
          <w:rFonts w:hint="eastAsia" w:ascii="宋体" w:hAnsi="宋体" w:eastAsia="宋体" w:cs="宋体"/>
          <w:color w:val="auto"/>
          <w:highlight w:val="none"/>
        </w:rPr>
        <w:t>新技术应用与承诺</w:t>
      </w:r>
    </w:p>
    <w:p w14:paraId="4DBA2C63">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 xml:space="preserve">2.  </w:t>
      </w:r>
      <w:r>
        <w:rPr>
          <w:rFonts w:hint="eastAsia" w:ascii="宋体" w:hAnsi="宋体" w:eastAsia="宋体" w:cs="宋体"/>
          <w:color w:val="auto"/>
          <w:spacing w:val="-15"/>
          <w:highlight w:val="none"/>
        </w:rPr>
        <w:t xml:space="preserve"> </w:t>
      </w:r>
      <w:r>
        <w:rPr>
          <w:rFonts w:hint="eastAsia" w:ascii="宋体" w:hAnsi="宋体" w:eastAsia="宋体" w:cs="宋体"/>
          <w:color w:val="auto"/>
          <w:highlight w:val="none"/>
        </w:rPr>
        <w:t>施工组织设计除采用文字表述外可附下列图表，图表及格式要求附后。</w:t>
      </w:r>
    </w:p>
    <w:p w14:paraId="17AA8840">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附表一</w:t>
      </w:r>
      <w:r>
        <w:rPr>
          <w:rFonts w:hint="eastAsia" w:ascii="宋体" w:hAnsi="宋体" w:eastAsia="宋体" w:cs="宋体"/>
          <w:color w:val="auto"/>
          <w:highlight w:val="none"/>
        </w:rPr>
        <w:tab/>
      </w:r>
      <w:r>
        <w:rPr>
          <w:rFonts w:hint="eastAsia" w:ascii="宋体" w:hAnsi="宋体" w:eastAsia="宋体" w:cs="宋体"/>
          <w:color w:val="auto"/>
          <w:spacing w:val="-1"/>
          <w:highlight w:val="none"/>
        </w:rPr>
        <w:t>拟</w:t>
      </w:r>
      <w:r>
        <w:rPr>
          <w:rFonts w:hint="eastAsia" w:ascii="宋体" w:hAnsi="宋体" w:eastAsia="宋体" w:cs="宋体"/>
          <w:color w:val="auto"/>
          <w:highlight w:val="none"/>
        </w:rPr>
        <w:t>投入本项目的主要施工设备表</w:t>
      </w:r>
    </w:p>
    <w:p w14:paraId="73B0A84D">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附表二</w:t>
      </w:r>
      <w:r>
        <w:rPr>
          <w:rFonts w:hint="eastAsia" w:ascii="宋体" w:hAnsi="宋体" w:eastAsia="宋体" w:cs="宋体"/>
          <w:color w:val="auto"/>
          <w:highlight w:val="none"/>
        </w:rPr>
        <w:tab/>
      </w:r>
      <w:r>
        <w:rPr>
          <w:rFonts w:hint="eastAsia" w:ascii="宋体" w:hAnsi="宋体" w:eastAsia="宋体" w:cs="宋体"/>
          <w:color w:val="auto"/>
          <w:spacing w:val="-1"/>
          <w:highlight w:val="none"/>
        </w:rPr>
        <w:t>拟</w:t>
      </w:r>
      <w:r>
        <w:rPr>
          <w:rFonts w:hint="eastAsia" w:ascii="宋体" w:hAnsi="宋体" w:eastAsia="宋体" w:cs="宋体"/>
          <w:color w:val="auto"/>
          <w:highlight w:val="none"/>
        </w:rPr>
        <w:t>配备本项目的试验和检测仪器设备表</w:t>
      </w:r>
    </w:p>
    <w:p w14:paraId="4E5CAFDA">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附表三</w:t>
      </w:r>
      <w:r>
        <w:rPr>
          <w:rFonts w:hint="eastAsia" w:ascii="宋体" w:hAnsi="宋体" w:eastAsia="宋体" w:cs="宋体"/>
          <w:color w:val="auto"/>
          <w:highlight w:val="none"/>
        </w:rPr>
        <w:tab/>
      </w:r>
      <w:r>
        <w:rPr>
          <w:rFonts w:hint="eastAsia" w:ascii="宋体" w:hAnsi="宋体" w:eastAsia="宋体" w:cs="宋体"/>
          <w:color w:val="auto"/>
          <w:spacing w:val="-1"/>
          <w:highlight w:val="none"/>
        </w:rPr>
        <w:t>劳</w:t>
      </w:r>
      <w:r>
        <w:rPr>
          <w:rFonts w:hint="eastAsia" w:ascii="宋体" w:hAnsi="宋体" w:eastAsia="宋体" w:cs="宋体"/>
          <w:color w:val="auto"/>
          <w:highlight w:val="none"/>
        </w:rPr>
        <w:t>动力计划表</w:t>
      </w:r>
    </w:p>
    <w:p w14:paraId="4906DCF7">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附表四</w:t>
      </w:r>
      <w:r>
        <w:rPr>
          <w:rFonts w:hint="eastAsia" w:ascii="宋体" w:hAnsi="宋体" w:eastAsia="宋体" w:cs="宋体"/>
          <w:color w:val="auto"/>
          <w:highlight w:val="none"/>
        </w:rPr>
        <w:tab/>
      </w:r>
      <w:r>
        <w:rPr>
          <w:rFonts w:hint="eastAsia" w:ascii="宋体" w:hAnsi="宋体" w:eastAsia="宋体" w:cs="宋体"/>
          <w:color w:val="auto"/>
          <w:highlight w:val="none"/>
        </w:rPr>
        <w:t>计划开、竣工日期和施工进度网络图</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横道图</w:t>
      </w:r>
    </w:p>
    <w:p w14:paraId="185CC9AA">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highlight w:val="none"/>
        </w:rPr>
        <w:t>附表五</w:t>
      </w:r>
      <w:r>
        <w:rPr>
          <w:rFonts w:hint="eastAsia" w:ascii="宋体" w:hAnsi="宋体" w:eastAsia="宋体" w:cs="宋体"/>
          <w:color w:val="auto"/>
          <w:highlight w:val="none"/>
        </w:rPr>
        <w:tab/>
      </w:r>
      <w:r>
        <w:rPr>
          <w:rFonts w:hint="eastAsia" w:ascii="宋体" w:hAnsi="宋体" w:eastAsia="宋体" w:cs="宋体"/>
          <w:color w:val="auto"/>
          <w:spacing w:val="-1"/>
          <w:highlight w:val="none"/>
        </w:rPr>
        <w:t>施</w:t>
      </w:r>
      <w:r>
        <w:rPr>
          <w:rFonts w:hint="eastAsia" w:ascii="宋体" w:hAnsi="宋体" w:eastAsia="宋体" w:cs="宋体"/>
          <w:color w:val="auto"/>
          <w:highlight w:val="none"/>
        </w:rPr>
        <w:t>工总平面图</w:t>
      </w:r>
    </w:p>
    <w:p w14:paraId="2B7DCA48">
      <w:pPr>
        <w:pStyle w:val="34"/>
        <w:spacing w:line="300" w:lineRule="exact"/>
        <w:ind w:firstLine="425"/>
        <w:rPr>
          <w:rFonts w:hint="eastAsia" w:ascii="宋体" w:hAnsi="宋体" w:eastAsia="宋体" w:cs="宋体"/>
          <w:color w:val="auto"/>
          <w:highlight w:val="none"/>
        </w:rPr>
      </w:pPr>
      <w:r>
        <w:rPr>
          <w:rFonts w:hint="eastAsia" w:ascii="宋体" w:hAnsi="宋体" w:eastAsia="宋体" w:cs="宋体"/>
          <w:color w:val="auto"/>
          <w:position w:val="-2"/>
          <w:highlight w:val="none"/>
        </w:rPr>
        <w:t>附表六</w:t>
      </w:r>
      <w:r>
        <w:rPr>
          <w:rFonts w:hint="eastAsia" w:ascii="宋体" w:hAnsi="宋体" w:eastAsia="宋体" w:cs="宋体"/>
          <w:color w:val="auto"/>
          <w:position w:val="-2"/>
          <w:highlight w:val="none"/>
        </w:rPr>
        <w:tab/>
      </w:r>
      <w:r>
        <w:rPr>
          <w:rFonts w:hint="eastAsia" w:ascii="宋体" w:hAnsi="宋体" w:eastAsia="宋体" w:cs="宋体"/>
          <w:color w:val="auto"/>
          <w:spacing w:val="-1"/>
          <w:position w:val="-2"/>
          <w:highlight w:val="none"/>
        </w:rPr>
        <w:t>临</w:t>
      </w:r>
      <w:r>
        <w:rPr>
          <w:rFonts w:hint="eastAsia" w:ascii="宋体" w:hAnsi="宋体" w:eastAsia="宋体" w:cs="宋体"/>
          <w:color w:val="auto"/>
          <w:position w:val="-2"/>
          <w:highlight w:val="none"/>
        </w:rPr>
        <w:t>时用地表</w:t>
      </w:r>
    </w:p>
    <w:p w14:paraId="01E231CC">
      <w:pPr>
        <w:rPr>
          <w:rFonts w:hint="eastAsia" w:ascii="宋体" w:hAnsi="宋体" w:eastAsia="宋体" w:cs="宋体"/>
          <w:color w:val="auto"/>
          <w:highlight w:val="none"/>
        </w:rPr>
      </w:pPr>
      <w:bookmarkStart w:id="2398" w:name="_Toc483317224"/>
      <w:bookmarkStart w:id="2399" w:name="_Toc418751905"/>
      <w:bookmarkStart w:id="2400" w:name="_Toc418752351"/>
    </w:p>
    <w:p w14:paraId="211F5167">
      <w:pPr>
        <w:rPr>
          <w:rFonts w:hint="eastAsia" w:ascii="宋体" w:hAnsi="宋体" w:eastAsia="宋体" w:cs="宋体"/>
          <w:b/>
          <w:color w:val="auto"/>
          <w:highlight w:val="none"/>
        </w:rPr>
      </w:pPr>
      <w:r>
        <w:rPr>
          <w:rFonts w:hint="eastAsia" w:ascii="宋体" w:hAnsi="宋体" w:eastAsia="宋体" w:cs="宋体"/>
          <w:b/>
          <w:color w:val="auto"/>
          <w:highlight w:val="none"/>
        </w:rPr>
        <w:t>附表一：拟投入本项目的主要施工设备表</w:t>
      </w:r>
      <w:bookmarkEnd w:id="2398"/>
      <w:bookmarkEnd w:id="2399"/>
      <w:bookmarkEnd w:id="2400"/>
    </w:p>
    <w:tbl>
      <w:tblPr>
        <w:tblStyle w:val="27"/>
        <w:tblW w:w="9648" w:type="dxa"/>
        <w:tblInd w:w="-5" w:type="dxa"/>
        <w:tblLayout w:type="fixed"/>
        <w:tblCellMar>
          <w:top w:w="0" w:type="dxa"/>
          <w:left w:w="0" w:type="dxa"/>
          <w:bottom w:w="0" w:type="dxa"/>
          <w:right w:w="0" w:type="dxa"/>
        </w:tblCellMar>
      </w:tblPr>
      <w:tblGrid>
        <w:gridCol w:w="734"/>
        <w:gridCol w:w="1198"/>
        <w:gridCol w:w="839"/>
        <w:gridCol w:w="1092"/>
        <w:gridCol w:w="741"/>
        <w:gridCol w:w="814"/>
        <w:gridCol w:w="1337"/>
        <w:gridCol w:w="965"/>
        <w:gridCol w:w="1164"/>
        <w:gridCol w:w="764"/>
      </w:tblGrid>
      <w:tr w14:paraId="42B26E5A">
        <w:tblPrEx>
          <w:tblCellMar>
            <w:top w:w="0" w:type="dxa"/>
            <w:left w:w="0" w:type="dxa"/>
            <w:bottom w:w="0" w:type="dxa"/>
            <w:right w:w="0" w:type="dxa"/>
          </w:tblCellMar>
        </w:tblPrEx>
        <w:trPr>
          <w:trHeight w:val="827" w:hRule="atLeast"/>
        </w:trPr>
        <w:tc>
          <w:tcPr>
            <w:tcW w:w="734" w:type="dxa"/>
            <w:tcBorders>
              <w:top w:val="single" w:color="000000" w:sz="4" w:space="0"/>
              <w:left w:val="single" w:color="000000" w:sz="4" w:space="0"/>
              <w:bottom w:val="single" w:color="000000" w:sz="4" w:space="0"/>
              <w:right w:val="single" w:color="000000" w:sz="4" w:space="0"/>
            </w:tcBorders>
            <w:vAlign w:val="center"/>
          </w:tcPr>
          <w:p w14:paraId="1378B488">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198" w:type="dxa"/>
            <w:tcBorders>
              <w:top w:val="single" w:color="000000" w:sz="4" w:space="0"/>
              <w:left w:val="nil"/>
              <w:bottom w:val="single" w:color="000000" w:sz="4" w:space="0"/>
              <w:right w:val="single" w:color="000000" w:sz="4" w:space="0"/>
            </w:tcBorders>
            <w:vAlign w:val="center"/>
          </w:tcPr>
          <w:p w14:paraId="70C83565">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设备名称</w:t>
            </w:r>
          </w:p>
        </w:tc>
        <w:tc>
          <w:tcPr>
            <w:tcW w:w="839" w:type="dxa"/>
            <w:tcBorders>
              <w:top w:val="single" w:color="000000" w:sz="4" w:space="0"/>
              <w:left w:val="nil"/>
              <w:bottom w:val="single" w:color="000000" w:sz="4" w:space="0"/>
              <w:right w:val="single" w:color="000000" w:sz="4" w:space="0"/>
            </w:tcBorders>
            <w:vAlign w:val="center"/>
          </w:tcPr>
          <w:p w14:paraId="70AA7294">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型号</w:t>
            </w:r>
          </w:p>
          <w:p w14:paraId="0F5F2684">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规格</w:t>
            </w:r>
          </w:p>
        </w:tc>
        <w:tc>
          <w:tcPr>
            <w:tcW w:w="1092" w:type="dxa"/>
            <w:tcBorders>
              <w:top w:val="single" w:color="000000" w:sz="4" w:space="0"/>
              <w:left w:val="nil"/>
              <w:bottom w:val="single" w:color="000000" w:sz="4" w:space="0"/>
              <w:right w:val="single" w:color="000000" w:sz="4" w:space="0"/>
            </w:tcBorders>
            <w:vAlign w:val="center"/>
          </w:tcPr>
          <w:p w14:paraId="26952E53">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数量</w:t>
            </w:r>
          </w:p>
        </w:tc>
        <w:tc>
          <w:tcPr>
            <w:tcW w:w="741" w:type="dxa"/>
            <w:tcBorders>
              <w:top w:val="single" w:color="000000" w:sz="4" w:space="0"/>
              <w:left w:val="nil"/>
              <w:bottom w:val="single" w:color="000000" w:sz="4" w:space="0"/>
              <w:right w:val="single" w:color="000000" w:sz="4" w:space="0"/>
            </w:tcBorders>
            <w:vAlign w:val="center"/>
          </w:tcPr>
          <w:p w14:paraId="1AD127C7">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国别</w:t>
            </w:r>
          </w:p>
          <w:p w14:paraId="425F1E77">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产地</w:t>
            </w:r>
          </w:p>
        </w:tc>
        <w:tc>
          <w:tcPr>
            <w:tcW w:w="814" w:type="dxa"/>
            <w:tcBorders>
              <w:top w:val="single" w:color="000000" w:sz="4" w:space="0"/>
              <w:left w:val="nil"/>
              <w:bottom w:val="single" w:color="000000" w:sz="4" w:space="0"/>
              <w:right w:val="single" w:color="000000" w:sz="4" w:space="0"/>
            </w:tcBorders>
            <w:vAlign w:val="center"/>
          </w:tcPr>
          <w:p w14:paraId="246D0B53">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制造</w:t>
            </w:r>
          </w:p>
          <w:p w14:paraId="5F3741A4">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年份</w:t>
            </w:r>
          </w:p>
        </w:tc>
        <w:tc>
          <w:tcPr>
            <w:tcW w:w="1337" w:type="dxa"/>
            <w:tcBorders>
              <w:top w:val="single" w:color="000000" w:sz="4" w:space="0"/>
              <w:left w:val="nil"/>
              <w:bottom w:val="single" w:color="000000" w:sz="4" w:space="0"/>
              <w:right w:val="single" w:color="000000" w:sz="4" w:space="0"/>
            </w:tcBorders>
            <w:vAlign w:val="center"/>
          </w:tcPr>
          <w:p w14:paraId="1FF4B7BC">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额定功率</w:t>
            </w:r>
          </w:p>
          <w:p w14:paraId="0DBA55A1">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（KW）</w:t>
            </w:r>
          </w:p>
        </w:tc>
        <w:tc>
          <w:tcPr>
            <w:tcW w:w="965" w:type="dxa"/>
            <w:tcBorders>
              <w:top w:val="single" w:color="000000" w:sz="4" w:space="0"/>
              <w:left w:val="nil"/>
              <w:bottom w:val="single" w:color="000000" w:sz="4" w:space="0"/>
              <w:right w:val="single" w:color="000000" w:sz="4" w:space="0"/>
            </w:tcBorders>
            <w:vAlign w:val="center"/>
          </w:tcPr>
          <w:p w14:paraId="0A167109">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生产</w:t>
            </w:r>
          </w:p>
          <w:p w14:paraId="4850A121">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能力</w:t>
            </w:r>
          </w:p>
        </w:tc>
        <w:tc>
          <w:tcPr>
            <w:tcW w:w="1164" w:type="dxa"/>
            <w:tcBorders>
              <w:top w:val="single" w:color="000000" w:sz="4" w:space="0"/>
              <w:left w:val="nil"/>
              <w:bottom w:val="single" w:color="000000" w:sz="4" w:space="0"/>
              <w:right w:val="single" w:color="000000" w:sz="4" w:space="0"/>
            </w:tcBorders>
            <w:vAlign w:val="center"/>
          </w:tcPr>
          <w:p w14:paraId="6606455D">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用于施</w:t>
            </w:r>
          </w:p>
          <w:p w14:paraId="5EE49FA2">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工部位</w:t>
            </w:r>
          </w:p>
        </w:tc>
        <w:tc>
          <w:tcPr>
            <w:tcW w:w="764" w:type="dxa"/>
            <w:tcBorders>
              <w:top w:val="single" w:color="000000" w:sz="4" w:space="0"/>
              <w:left w:val="nil"/>
              <w:bottom w:val="single" w:color="000000" w:sz="4" w:space="0"/>
              <w:right w:val="single" w:color="000000" w:sz="4" w:space="0"/>
            </w:tcBorders>
            <w:vAlign w:val="center"/>
          </w:tcPr>
          <w:p w14:paraId="1FEF9F1A">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52A17179">
        <w:tblPrEx>
          <w:tblCellMar>
            <w:top w:w="0" w:type="dxa"/>
            <w:left w:w="0" w:type="dxa"/>
            <w:bottom w:w="0" w:type="dxa"/>
            <w:right w:w="0" w:type="dxa"/>
          </w:tblCellMar>
        </w:tblPrEx>
        <w:trPr>
          <w:trHeight w:val="450" w:hRule="atLeast"/>
        </w:trPr>
        <w:tc>
          <w:tcPr>
            <w:tcW w:w="734" w:type="dxa"/>
            <w:tcBorders>
              <w:top w:val="single" w:color="000000" w:sz="4" w:space="0"/>
              <w:left w:val="single" w:color="000000" w:sz="4" w:space="0"/>
              <w:bottom w:val="single" w:color="000000" w:sz="4" w:space="0"/>
              <w:right w:val="single" w:color="000000" w:sz="4" w:space="0"/>
            </w:tcBorders>
            <w:vAlign w:val="top"/>
          </w:tcPr>
          <w:p w14:paraId="6F498969">
            <w:pPr>
              <w:pStyle w:val="34"/>
              <w:rPr>
                <w:rFonts w:hint="eastAsia" w:ascii="宋体" w:hAnsi="宋体" w:eastAsia="宋体" w:cs="宋体"/>
                <w:color w:val="auto"/>
                <w:highlight w:val="none"/>
              </w:rPr>
            </w:pPr>
          </w:p>
        </w:tc>
        <w:tc>
          <w:tcPr>
            <w:tcW w:w="1198" w:type="dxa"/>
            <w:tcBorders>
              <w:top w:val="single" w:color="000000" w:sz="4" w:space="0"/>
              <w:left w:val="nil"/>
              <w:bottom w:val="single" w:color="000000" w:sz="4" w:space="0"/>
              <w:right w:val="single" w:color="000000" w:sz="4" w:space="0"/>
            </w:tcBorders>
            <w:vAlign w:val="top"/>
          </w:tcPr>
          <w:p w14:paraId="3D517D19">
            <w:pPr>
              <w:pStyle w:val="34"/>
              <w:rPr>
                <w:rFonts w:hint="eastAsia" w:ascii="宋体" w:hAnsi="宋体" w:eastAsia="宋体" w:cs="宋体"/>
                <w:color w:val="auto"/>
                <w:highlight w:val="none"/>
              </w:rPr>
            </w:pPr>
          </w:p>
        </w:tc>
        <w:tc>
          <w:tcPr>
            <w:tcW w:w="839" w:type="dxa"/>
            <w:tcBorders>
              <w:top w:val="single" w:color="000000" w:sz="4" w:space="0"/>
              <w:left w:val="nil"/>
              <w:bottom w:val="single" w:color="000000" w:sz="4" w:space="0"/>
              <w:right w:val="single" w:color="000000" w:sz="4" w:space="0"/>
            </w:tcBorders>
            <w:vAlign w:val="top"/>
          </w:tcPr>
          <w:p w14:paraId="2B2FD859">
            <w:pPr>
              <w:pStyle w:val="34"/>
              <w:rPr>
                <w:rFonts w:hint="eastAsia" w:ascii="宋体" w:hAnsi="宋体" w:eastAsia="宋体" w:cs="宋体"/>
                <w:color w:val="auto"/>
                <w:highlight w:val="none"/>
              </w:rPr>
            </w:pPr>
          </w:p>
        </w:tc>
        <w:tc>
          <w:tcPr>
            <w:tcW w:w="1092" w:type="dxa"/>
            <w:tcBorders>
              <w:top w:val="single" w:color="000000" w:sz="4" w:space="0"/>
              <w:left w:val="nil"/>
              <w:bottom w:val="single" w:color="000000" w:sz="4" w:space="0"/>
              <w:right w:val="single" w:color="000000" w:sz="4" w:space="0"/>
            </w:tcBorders>
            <w:vAlign w:val="top"/>
          </w:tcPr>
          <w:p w14:paraId="27D54BAC">
            <w:pPr>
              <w:pStyle w:val="34"/>
              <w:rPr>
                <w:rFonts w:hint="eastAsia" w:ascii="宋体" w:hAnsi="宋体" w:eastAsia="宋体" w:cs="宋体"/>
                <w:color w:val="auto"/>
                <w:highlight w:val="none"/>
              </w:rPr>
            </w:pPr>
          </w:p>
        </w:tc>
        <w:tc>
          <w:tcPr>
            <w:tcW w:w="741" w:type="dxa"/>
            <w:tcBorders>
              <w:top w:val="single" w:color="000000" w:sz="4" w:space="0"/>
              <w:left w:val="nil"/>
              <w:bottom w:val="single" w:color="000000" w:sz="4" w:space="0"/>
              <w:right w:val="single" w:color="000000" w:sz="4" w:space="0"/>
            </w:tcBorders>
            <w:vAlign w:val="top"/>
          </w:tcPr>
          <w:p w14:paraId="609F6BC3">
            <w:pPr>
              <w:pStyle w:val="34"/>
              <w:rPr>
                <w:rFonts w:hint="eastAsia" w:ascii="宋体" w:hAnsi="宋体" w:eastAsia="宋体" w:cs="宋体"/>
                <w:color w:val="auto"/>
                <w:highlight w:val="none"/>
              </w:rPr>
            </w:pPr>
          </w:p>
        </w:tc>
        <w:tc>
          <w:tcPr>
            <w:tcW w:w="814" w:type="dxa"/>
            <w:tcBorders>
              <w:top w:val="single" w:color="000000" w:sz="4" w:space="0"/>
              <w:left w:val="nil"/>
              <w:bottom w:val="single" w:color="000000" w:sz="4" w:space="0"/>
              <w:right w:val="single" w:color="000000" w:sz="4" w:space="0"/>
            </w:tcBorders>
            <w:vAlign w:val="top"/>
          </w:tcPr>
          <w:p w14:paraId="0001FAA5">
            <w:pPr>
              <w:pStyle w:val="34"/>
              <w:rPr>
                <w:rFonts w:hint="eastAsia" w:ascii="宋体" w:hAnsi="宋体" w:eastAsia="宋体" w:cs="宋体"/>
                <w:color w:val="auto"/>
                <w:highlight w:val="none"/>
              </w:rPr>
            </w:pPr>
          </w:p>
        </w:tc>
        <w:tc>
          <w:tcPr>
            <w:tcW w:w="1337" w:type="dxa"/>
            <w:tcBorders>
              <w:top w:val="single" w:color="000000" w:sz="4" w:space="0"/>
              <w:left w:val="nil"/>
              <w:bottom w:val="single" w:color="000000" w:sz="4" w:space="0"/>
              <w:right w:val="single" w:color="000000" w:sz="4" w:space="0"/>
            </w:tcBorders>
            <w:vAlign w:val="top"/>
          </w:tcPr>
          <w:p w14:paraId="677C228D">
            <w:pPr>
              <w:pStyle w:val="34"/>
              <w:rPr>
                <w:rFonts w:hint="eastAsia" w:ascii="宋体" w:hAnsi="宋体" w:eastAsia="宋体" w:cs="宋体"/>
                <w:color w:val="auto"/>
                <w:highlight w:val="none"/>
              </w:rPr>
            </w:pPr>
          </w:p>
        </w:tc>
        <w:tc>
          <w:tcPr>
            <w:tcW w:w="965" w:type="dxa"/>
            <w:tcBorders>
              <w:top w:val="single" w:color="000000" w:sz="4" w:space="0"/>
              <w:left w:val="nil"/>
              <w:bottom w:val="single" w:color="000000" w:sz="4" w:space="0"/>
              <w:right w:val="single" w:color="000000" w:sz="4" w:space="0"/>
            </w:tcBorders>
            <w:vAlign w:val="top"/>
          </w:tcPr>
          <w:p w14:paraId="2598D291">
            <w:pPr>
              <w:pStyle w:val="34"/>
              <w:rPr>
                <w:rFonts w:hint="eastAsia" w:ascii="宋体" w:hAnsi="宋体" w:eastAsia="宋体" w:cs="宋体"/>
                <w:color w:val="auto"/>
                <w:highlight w:val="none"/>
              </w:rPr>
            </w:pPr>
          </w:p>
        </w:tc>
        <w:tc>
          <w:tcPr>
            <w:tcW w:w="1164" w:type="dxa"/>
            <w:tcBorders>
              <w:top w:val="single" w:color="000000" w:sz="4" w:space="0"/>
              <w:left w:val="nil"/>
              <w:bottom w:val="single" w:color="000000" w:sz="4" w:space="0"/>
              <w:right w:val="single" w:color="000000" w:sz="4" w:space="0"/>
            </w:tcBorders>
            <w:vAlign w:val="top"/>
          </w:tcPr>
          <w:p w14:paraId="3BE44B7A">
            <w:pPr>
              <w:pStyle w:val="34"/>
              <w:rPr>
                <w:rFonts w:hint="eastAsia" w:ascii="宋体" w:hAnsi="宋体" w:eastAsia="宋体" w:cs="宋体"/>
                <w:color w:val="auto"/>
                <w:highlight w:val="none"/>
              </w:rPr>
            </w:pPr>
          </w:p>
        </w:tc>
        <w:tc>
          <w:tcPr>
            <w:tcW w:w="764" w:type="dxa"/>
            <w:tcBorders>
              <w:top w:val="single" w:color="000000" w:sz="4" w:space="0"/>
              <w:left w:val="nil"/>
              <w:bottom w:val="single" w:color="000000" w:sz="4" w:space="0"/>
              <w:right w:val="single" w:color="000000" w:sz="4" w:space="0"/>
            </w:tcBorders>
            <w:vAlign w:val="top"/>
          </w:tcPr>
          <w:p w14:paraId="52C2282E">
            <w:pPr>
              <w:pStyle w:val="34"/>
              <w:rPr>
                <w:rFonts w:hint="eastAsia" w:ascii="宋体" w:hAnsi="宋体" w:eastAsia="宋体" w:cs="宋体"/>
                <w:color w:val="auto"/>
                <w:highlight w:val="none"/>
              </w:rPr>
            </w:pPr>
          </w:p>
        </w:tc>
      </w:tr>
      <w:tr w14:paraId="49A77F19">
        <w:tblPrEx>
          <w:tblCellMar>
            <w:top w:w="0" w:type="dxa"/>
            <w:left w:w="0" w:type="dxa"/>
            <w:bottom w:w="0" w:type="dxa"/>
            <w:right w:w="0" w:type="dxa"/>
          </w:tblCellMar>
        </w:tblPrEx>
        <w:trPr>
          <w:trHeight w:val="450" w:hRule="atLeast"/>
        </w:trPr>
        <w:tc>
          <w:tcPr>
            <w:tcW w:w="734" w:type="dxa"/>
            <w:tcBorders>
              <w:top w:val="single" w:color="000000" w:sz="4" w:space="0"/>
              <w:left w:val="single" w:color="000000" w:sz="4" w:space="0"/>
              <w:bottom w:val="single" w:color="000000" w:sz="4" w:space="0"/>
              <w:right w:val="single" w:color="000000" w:sz="4" w:space="0"/>
            </w:tcBorders>
            <w:vAlign w:val="top"/>
          </w:tcPr>
          <w:p w14:paraId="2CB8F72B">
            <w:pPr>
              <w:pStyle w:val="34"/>
              <w:rPr>
                <w:rFonts w:hint="eastAsia" w:ascii="宋体" w:hAnsi="宋体" w:eastAsia="宋体" w:cs="宋体"/>
                <w:color w:val="auto"/>
                <w:highlight w:val="none"/>
              </w:rPr>
            </w:pPr>
          </w:p>
        </w:tc>
        <w:tc>
          <w:tcPr>
            <w:tcW w:w="1198" w:type="dxa"/>
            <w:tcBorders>
              <w:top w:val="single" w:color="000000" w:sz="4" w:space="0"/>
              <w:left w:val="nil"/>
              <w:bottom w:val="single" w:color="000000" w:sz="4" w:space="0"/>
              <w:right w:val="single" w:color="000000" w:sz="4" w:space="0"/>
            </w:tcBorders>
            <w:vAlign w:val="top"/>
          </w:tcPr>
          <w:p w14:paraId="7B6D75F1">
            <w:pPr>
              <w:pStyle w:val="34"/>
              <w:rPr>
                <w:rFonts w:hint="eastAsia" w:ascii="宋体" w:hAnsi="宋体" w:eastAsia="宋体" w:cs="宋体"/>
                <w:color w:val="auto"/>
                <w:highlight w:val="none"/>
              </w:rPr>
            </w:pPr>
          </w:p>
        </w:tc>
        <w:tc>
          <w:tcPr>
            <w:tcW w:w="839" w:type="dxa"/>
            <w:tcBorders>
              <w:top w:val="single" w:color="000000" w:sz="4" w:space="0"/>
              <w:left w:val="nil"/>
              <w:bottom w:val="single" w:color="000000" w:sz="4" w:space="0"/>
              <w:right w:val="single" w:color="000000" w:sz="4" w:space="0"/>
            </w:tcBorders>
            <w:vAlign w:val="top"/>
          </w:tcPr>
          <w:p w14:paraId="5228F502">
            <w:pPr>
              <w:pStyle w:val="34"/>
              <w:rPr>
                <w:rFonts w:hint="eastAsia" w:ascii="宋体" w:hAnsi="宋体" w:eastAsia="宋体" w:cs="宋体"/>
                <w:color w:val="auto"/>
                <w:highlight w:val="none"/>
              </w:rPr>
            </w:pPr>
          </w:p>
        </w:tc>
        <w:tc>
          <w:tcPr>
            <w:tcW w:w="1092" w:type="dxa"/>
            <w:tcBorders>
              <w:top w:val="single" w:color="000000" w:sz="4" w:space="0"/>
              <w:left w:val="nil"/>
              <w:bottom w:val="single" w:color="000000" w:sz="4" w:space="0"/>
              <w:right w:val="single" w:color="000000" w:sz="4" w:space="0"/>
            </w:tcBorders>
            <w:vAlign w:val="top"/>
          </w:tcPr>
          <w:p w14:paraId="55197044">
            <w:pPr>
              <w:pStyle w:val="34"/>
              <w:rPr>
                <w:rFonts w:hint="eastAsia" w:ascii="宋体" w:hAnsi="宋体" w:eastAsia="宋体" w:cs="宋体"/>
                <w:color w:val="auto"/>
                <w:highlight w:val="none"/>
              </w:rPr>
            </w:pPr>
          </w:p>
        </w:tc>
        <w:tc>
          <w:tcPr>
            <w:tcW w:w="741" w:type="dxa"/>
            <w:tcBorders>
              <w:top w:val="single" w:color="000000" w:sz="4" w:space="0"/>
              <w:left w:val="nil"/>
              <w:bottom w:val="single" w:color="000000" w:sz="4" w:space="0"/>
              <w:right w:val="single" w:color="000000" w:sz="4" w:space="0"/>
            </w:tcBorders>
            <w:vAlign w:val="top"/>
          </w:tcPr>
          <w:p w14:paraId="16FA364B">
            <w:pPr>
              <w:pStyle w:val="34"/>
              <w:rPr>
                <w:rFonts w:hint="eastAsia" w:ascii="宋体" w:hAnsi="宋体" w:eastAsia="宋体" w:cs="宋体"/>
                <w:color w:val="auto"/>
                <w:highlight w:val="none"/>
              </w:rPr>
            </w:pPr>
          </w:p>
        </w:tc>
        <w:tc>
          <w:tcPr>
            <w:tcW w:w="814" w:type="dxa"/>
            <w:tcBorders>
              <w:top w:val="single" w:color="000000" w:sz="4" w:space="0"/>
              <w:left w:val="nil"/>
              <w:bottom w:val="single" w:color="000000" w:sz="4" w:space="0"/>
              <w:right w:val="single" w:color="000000" w:sz="4" w:space="0"/>
            </w:tcBorders>
            <w:vAlign w:val="top"/>
          </w:tcPr>
          <w:p w14:paraId="2736E328">
            <w:pPr>
              <w:pStyle w:val="34"/>
              <w:rPr>
                <w:rFonts w:hint="eastAsia" w:ascii="宋体" w:hAnsi="宋体" w:eastAsia="宋体" w:cs="宋体"/>
                <w:color w:val="auto"/>
                <w:highlight w:val="none"/>
              </w:rPr>
            </w:pPr>
          </w:p>
        </w:tc>
        <w:tc>
          <w:tcPr>
            <w:tcW w:w="1337" w:type="dxa"/>
            <w:tcBorders>
              <w:top w:val="single" w:color="000000" w:sz="4" w:space="0"/>
              <w:left w:val="nil"/>
              <w:bottom w:val="single" w:color="000000" w:sz="4" w:space="0"/>
              <w:right w:val="single" w:color="000000" w:sz="4" w:space="0"/>
            </w:tcBorders>
            <w:vAlign w:val="top"/>
          </w:tcPr>
          <w:p w14:paraId="282AB86E">
            <w:pPr>
              <w:pStyle w:val="34"/>
              <w:rPr>
                <w:rFonts w:hint="eastAsia" w:ascii="宋体" w:hAnsi="宋体" w:eastAsia="宋体" w:cs="宋体"/>
                <w:color w:val="auto"/>
                <w:highlight w:val="none"/>
              </w:rPr>
            </w:pPr>
          </w:p>
        </w:tc>
        <w:tc>
          <w:tcPr>
            <w:tcW w:w="965" w:type="dxa"/>
            <w:tcBorders>
              <w:top w:val="single" w:color="000000" w:sz="4" w:space="0"/>
              <w:left w:val="nil"/>
              <w:bottom w:val="single" w:color="000000" w:sz="4" w:space="0"/>
              <w:right w:val="single" w:color="000000" w:sz="4" w:space="0"/>
            </w:tcBorders>
            <w:vAlign w:val="top"/>
          </w:tcPr>
          <w:p w14:paraId="6F4BDA25">
            <w:pPr>
              <w:pStyle w:val="34"/>
              <w:rPr>
                <w:rFonts w:hint="eastAsia" w:ascii="宋体" w:hAnsi="宋体" w:eastAsia="宋体" w:cs="宋体"/>
                <w:color w:val="auto"/>
                <w:highlight w:val="none"/>
              </w:rPr>
            </w:pPr>
          </w:p>
        </w:tc>
        <w:tc>
          <w:tcPr>
            <w:tcW w:w="1164" w:type="dxa"/>
            <w:tcBorders>
              <w:top w:val="single" w:color="000000" w:sz="4" w:space="0"/>
              <w:left w:val="nil"/>
              <w:bottom w:val="single" w:color="000000" w:sz="4" w:space="0"/>
              <w:right w:val="single" w:color="000000" w:sz="4" w:space="0"/>
            </w:tcBorders>
            <w:vAlign w:val="top"/>
          </w:tcPr>
          <w:p w14:paraId="4EBA66EF">
            <w:pPr>
              <w:pStyle w:val="34"/>
              <w:rPr>
                <w:rFonts w:hint="eastAsia" w:ascii="宋体" w:hAnsi="宋体" w:eastAsia="宋体" w:cs="宋体"/>
                <w:color w:val="auto"/>
                <w:highlight w:val="none"/>
              </w:rPr>
            </w:pPr>
          </w:p>
        </w:tc>
        <w:tc>
          <w:tcPr>
            <w:tcW w:w="764" w:type="dxa"/>
            <w:tcBorders>
              <w:top w:val="single" w:color="000000" w:sz="4" w:space="0"/>
              <w:left w:val="nil"/>
              <w:bottom w:val="single" w:color="000000" w:sz="4" w:space="0"/>
              <w:right w:val="single" w:color="000000" w:sz="4" w:space="0"/>
            </w:tcBorders>
            <w:vAlign w:val="top"/>
          </w:tcPr>
          <w:p w14:paraId="04979D5A">
            <w:pPr>
              <w:pStyle w:val="34"/>
              <w:rPr>
                <w:rFonts w:hint="eastAsia" w:ascii="宋体" w:hAnsi="宋体" w:eastAsia="宋体" w:cs="宋体"/>
                <w:color w:val="auto"/>
                <w:highlight w:val="none"/>
              </w:rPr>
            </w:pPr>
          </w:p>
        </w:tc>
      </w:tr>
      <w:tr w14:paraId="6DE306A5">
        <w:tblPrEx>
          <w:tblCellMar>
            <w:top w:w="0" w:type="dxa"/>
            <w:left w:w="0" w:type="dxa"/>
            <w:bottom w:w="0" w:type="dxa"/>
            <w:right w:w="0" w:type="dxa"/>
          </w:tblCellMar>
        </w:tblPrEx>
        <w:trPr>
          <w:trHeight w:val="450" w:hRule="atLeast"/>
        </w:trPr>
        <w:tc>
          <w:tcPr>
            <w:tcW w:w="734" w:type="dxa"/>
            <w:tcBorders>
              <w:top w:val="single" w:color="000000" w:sz="4" w:space="0"/>
              <w:left w:val="single" w:color="000000" w:sz="4" w:space="0"/>
              <w:bottom w:val="single" w:color="000000" w:sz="4" w:space="0"/>
              <w:right w:val="single" w:color="000000" w:sz="4" w:space="0"/>
            </w:tcBorders>
            <w:vAlign w:val="top"/>
          </w:tcPr>
          <w:p w14:paraId="256E0AD9">
            <w:pPr>
              <w:pStyle w:val="34"/>
              <w:rPr>
                <w:rFonts w:hint="eastAsia" w:ascii="宋体" w:hAnsi="宋体" w:eastAsia="宋体" w:cs="宋体"/>
                <w:color w:val="auto"/>
                <w:highlight w:val="none"/>
              </w:rPr>
            </w:pPr>
          </w:p>
        </w:tc>
        <w:tc>
          <w:tcPr>
            <w:tcW w:w="1198" w:type="dxa"/>
            <w:tcBorders>
              <w:top w:val="single" w:color="000000" w:sz="4" w:space="0"/>
              <w:left w:val="nil"/>
              <w:bottom w:val="single" w:color="000000" w:sz="4" w:space="0"/>
              <w:right w:val="single" w:color="000000" w:sz="4" w:space="0"/>
            </w:tcBorders>
            <w:vAlign w:val="top"/>
          </w:tcPr>
          <w:p w14:paraId="36A969F5">
            <w:pPr>
              <w:pStyle w:val="34"/>
              <w:rPr>
                <w:rFonts w:hint="eastAsia" w:ascii="宋体" w:hAnsi="宋体" w:eastAsia="宋体" w:cs="宋体"/>
                <w:color w:val="auto"/>
                <w:highlight w:val="none"/>
              </w:rPr>
            </w:pPr>
          </w:p>
        </w:tc>
        <w:tc>
          <w:tcPr>
            <w:tcW w:w="839" w:type="dxa"/>
            <w:tcBorders>
              <w:top w:val="single" w:color="000000" w:sz="4" w:space="0"/>
              <w:left w:val="nil"/>
              <w:bottom w:val="single" w:color="000000" w:sz="4" w:space="0"/>
              <w:right w:val="single" w:color="000000" w:sz="4" w:space="0"/>
            </w:tcBorders>
            <w:vAlign w:val="top"/>
          </w:tcPr>
          <w:p w14:paraId="434EB20C">
            <w:pPr>
              <w:pStyle w:val="34"/>
              <w:rPr>
                <w:rFonts w:hint="eastAsia" w:ascii="宋体" w:hAnsi="宋体" w:eastAsia="宋体" w:cs="宋体"/>
                <w:color w:val="auto"/>
                <w:highlight w:val="none"/>
              </w:rPr>
            </w:pPr>
          </w:p>
        </w:tc>
        <w:tc>
          <w:tcPr>
            <w:tcW w:w="1092" w:type="dxa"/>
            <w:tcBorders>
              <w:top w:val="single" w:color="000000" w:sz="4" w:space="0"/>
              <w:left w:val="nil"/>
              <w:bottom w:val="single" w:color="000000" w:sz="4" w:space="0"/>
              <w:right w:val="single" w:color="000000" w:sz="4" w:space="0"/>
            </w:tcBorders>
            <w:vAlign w:val="top"/>
          </w:tcPr>
          <w:p w14:paraId="45EF14E4">
            <w:pPr>
              <w:pStyle w:val="34"/>
              <w:rPr>
                <w:rFonts w:hint="eastAsia" w:ascii="宋体" w:hAnsi="宋体" w:eastAsia="宋体" w:cs="宋体"/>
                <w:color w:val="auto"/>
                <w:highlight w:val="none"/>
              </w:rPr>
            </w:pPr>
          </w:p>
        </w:tc>
        <w:tc>
          <w:tcPr>
            <w:tcW w:w="741" w:type="dxa"/>
            <w:tcBorders>
              <w:top w:val="single" w:color="000000" w:sz="4" w:space="0"/>
              <w:left w:val="nil"/>
              <w:bottom w:val="single" w:color="000000" w:sz="4" w:space="0"/>
              <w:right w:val="single" w:color="000000" w:sz="4" w:space="0"/>
            </w:tcBorders>
            <w:vAlign w:val="top"/>
          </w:tcPr>
          <w:p w14:paraId="55498E76">
            <w:pPr>
              <w:pStyle w:val="34"/>
              <w:rPr>
                <w:rFonts w:hint="eastAsia" w:ascii="宋体" w:hAnsi="宋体" w:eastAsia="宋体" w:cs="宋体"/>
                <w:color w:val="auto"/>
                <w:highlight w:val="none"/>
              </w:rPr>
            </w:pPr>
          </w:p>
        </w:tc>
        <w:tc>
          <w:tcPr>
            <w:tcW w:w="814" w:type="dxa"/>
            <w:tcBorders>
              <w:top w:val="single" w:color="000000" w:sz="4" w:space="0"/>
              <w:left w:val="nil"/>
              <w:bottom w:val="single" w:color="000000" w:sz="4" w:space="0"/>
              <w:right w:val="single" w:color="000000" w:sz="4" w:space="0"/>
            </w:tcBorders>
            <w:vAlign w:val="top"/>
          </w:tcPr>
          <w:p w14:paraId="46846209">
            <w:pPr>
              <w:pStyle w:val="34"/>
              <w:rPr>
                <w:rFonts w:hint="eastAsia" w:ascii="宋体" w:hAnsi="宋体" w:eastAsia="宋体" w:cs="宋体"/>
                <w:color w:val="auto"/>
                <w:highlight w:val="none"/>
              </w:rPr>
            </w:pPr>
          </w:p>
        </w:tc>
        <w:tc>
          <w:tcPr>
            <w:tcW w:w="1337" w:type="dxa"/>
            <w:tcBorders>
              <w:top w:val="single" w:color="000000" w:sz="4" w:space="0"/>
              <w:left w:val="nil"/>
              <w:bottom w:val="single" w:color="000000" w:sz="4" w:space="0"/>
              <w:right w:val="single" w:color="000000" w:sz="4" w:space="0"/>
            </w:tcBorders>
            <w:vAlign w:val="top"/>
          </w:tcPr>
          <w:p w14:paraId="2C3B75AA">
            <w:pPr>
              <w:pStyle w:val="34"/>
              <w:rPr>
                <w:rFonts w:hint="eastAsia" w:ascii="宋体" w:hAnsi="宋体" w:eastAsia="宋体" w:cs="宋体"/>
                <w:color w:val="auto"/>
                <w:highlight w:val="none"/>
              </w:rPr>
            </w:pPr>
          </w:p>
        </w:tc>
        <w:tc>
          <w:tcPr>
            <w:tcW w:w="965" w:type="dxa"/>
            <w:tcBorders>
              <w:top w:val="single" w:color="000000" w:sz="4" w:space="0"/>
              <w:left w:val="nil"/>
              <w:bottom w:val="single" w:color="000000" w:sz="4" w:space="0"/>
              <w:right w:val="single" w:color="000000" w:sz="4" w:space="0"/>
            </w:tcBorders>
            <w:vAlign w:val="top"/>
          </w:tcPr>
          <w:p w14:paraId="1B49734A">
            <w:pPr>
              <w:pStyle w:val="34"/>
              <w:rPr>
                <w:rFonts w:hint="eastAsia" w:ascii="宋体" w:hAnsi="宋体" w:eastAsia="宋体" w:cs="宋体"/>
                <w:color w:val="auto"/>
                <w:highlight w:val="none"/>
              </w:rPr>
            </w:pPr>
          </w:p>
        </w:tc>
        <w:tc>
          <w:tcPr>
            <w:tcW w:w="1164" w:type="dxa"/>
            <w:tcBorders>
              <w:top w:val="single" w:color="000000" w:sz="4" w:space="0"/>
              <w:left w:val="nil"/>
              <w:bottom w:val="single" w:color="000000" w:sz="4" w:space="0"/>
              <w:right w:val="single" w:color="000000" w:sz="4" w:space="0"/>
            </w:tcBorders>
            <w:vAlign w:val="top"/>
          </w:tcPr>
          <w:p w14:paraId="05EC038C">
            <w:pPr>
              <w:pStyle w:val="34"/>
              <w:rPr>
                <w:rFonts w:hint="eastAsia" w:ascii="宋体" w:hAnsi="宋体" w:eastAsia="宋体" w:cs="宋体"/>
                <w:color w:val="auto"/>
                <w:highlight w:val="none"/>
              </w:rPr>
            </w:pPr>
          </w:p>
        </w:tc>
        <w:tc>
          <w:tcPr>
            <w:tcW w:w="764" w:type="dxa"/>
            <w:tcBorders>
              <w:top w:val="single" w:color="000000" w:sz="4" w:space="0"/>
              <w:left w:val="nil"/>
              <w:bottom w:val="single" w:color="000000" w:sz="4" w:space="0"/>
              <w:right w:val="single" w:color="000000" w:sz="4" w:space="0"/>
            </w:tcBorders>
            <w:vAlign w:val="top"/>
          </w:tcPr>
          <w:p w14:paraId="6C9665F8">
            <w:pPr>
              <w:pStyle w:val="34"/>
              <w:rPr>
                <w:rFonts w:hint="eastAsia" w:ascii="宋体" w:hAnsi="宋体" w:eastAsia="宋体" w:cs="宋体"/>
                <w:color w:val="auto"/>
                <w:highlight w:val="none"/>
              </w:rPr>
            </w:pPr>
          </w:p>
        </w:tc>
      </w:tr>
      <w:tr w14:paraId="2D25A3C7">
        <w:tblPrEx>
          <w:tblCellMar>
            <w:top w:w="0" w:type="dxa"/>
            <w:left w:w="0" w:type="dxa"/>
            <w:bottom w:w="0" w:type="dxa"/>
            <w:right w:w="0" w:type="dxa"/>
          </w:tblCellMar>
        </w:tblPrEx>
        <w:trPr>
          <w:trHeight w:val="450" w:hRule="atLeast"/>
        </w:trPr>
        <w:tc>
          <w:tcPr>
            <w:tcW w:w="734" w:type="dxa"/>
            <w:tcBorders>
              <w:top w:val="single" w:color="000000" w:sz="4" w:space="0"/>
              <w:left w:val="single" w:color="000000" w:sz="4" w:space="0"/>
              <w:bottom w:val="single" w:color="000000" w:sz="4" w:space="0"/>
              <w:right w:val="single" w:color="000000" w:sz="4" w:space="0"/>
            </w:tcBorders>
            <w:vAlign w:val="top"/>
          </w:tcPr>
          <w:p w14:paraId="705B0C81">
            <w:pPr>
              <w:pStyle w:val="34"/>
              <w:rPr>
                <w:rFonts w:hint="eastAsia" w:ascii="宋体" w:hAnsi="宋体" w:eastAsia="宋体" w:cs="宋体"/>
                <w:color w:val="auto"/>
                <w:highlight w:val="none"/>
              </w:rPr>
            </w:pPr>
          </w:p>
        </w:tc>
        <w:tc>
          <w:tcPr>
            <w:tcW w:w="1198" w:type="dxa"/>
            <w:tcBorders>
              <w:top w:val="single" w:color="000000" w:sz="4" w:space="0"/>
              <w:left w:val="nil"/>
              <w:bottom w:val="single" w:color="000000" w:sz="4" w:space="0"/>
              <w:right w:val="single" w:color="000000" w:sz="4" w:space="0"/>
            </w:tcBorders>
            <w:vAlign w:val="top"/>
          </w:tcPr>
          <w:p w14:paraId="57212373">
            <w:pPr>
              <w:pStyle w:val="34"/>
              <w:rPr>
                <w:rFonts w:hint="eastAsia" w:ascii="宋体" w:hAnsi="宋体" w:eastAsia="宋体" w:cs="宋体"/>
                <w:color w:val="auto"/>
                <w:highlight w:val="none"/>
              </w:rPr>
            </w:pPr>
          </w:p>
        </w:tc>
        <w:tc>
          <w:tcPr>
            <w:tcW w:w="839" w:type="dxa"/>
            <w:tcBorders>
              <w:top w:val="single" w:color="000000" w:sz="4" w:space="0"/>
              <w:left w:val="nil"/>
              <w:bottom w:val="single" w:color="000000" w:sz="4" w:space="0"/>
              <w:right w:val="single" w:color="000000" w:sz="4" w:space="0"/>
            </w:tcBorders>
            <w:vAlign w:val="top"/>
          </w:tcPr>
          <w:p w14:paraId="1435E556">
            <w:pPr>
              <w:pStyle w:val="34"/>
              <w:rPr>
                <w:rFonts w:hint="eastAsia" w:ascii="宋体" w:hAnsi="宋体" w:eastAsia="宋体" w:cs="宋体"/>
                <w:color w:val="auto"/>
                <w:highlight w:val="none"/>
              </w:rPr>
            </w:pPr>
          </w:p>
        </w:tc>
        <w:tc>
          <w:tcPr>
            <w:tcW w:w="1092" w:type="dxa"/>
            <w:tcBorders>
              <w:top w:val="single" w:color="000000" w:sz="4" w:space="0"/>
              <w:left w:val="nil"/>
              <w:bottom w:val="single" w:color="000000" w:sz="4" w:space="0"/>
              <w:right w:val="single" w:color="000000" w:sz="4" w:space="0"/>
            </w:tcBorders>
            <w:vAlign w:val="top"/>
          </w:tcPr>
          <w:p w14:paraId="1AED151A">
            <w:pPr>
              <w:pStyle w:val="34"/>
              <w:rPr>
                <w:rFonts w:hint="eastAsia" w:ascii="宋体" w:hAnsi="宋体" w:eastAsia="宋体" w:cs="宋体"/>
                <w:color w:val="auto"/>
                <w:highlight w:val="none"/>
              </w:rPr>
            </w:pPr>
          </w:p>
        </w:tc>
        <w:tc>
          <w:tcPr>
            <w:tcW w:w="741" w:type="dxa"/>
            <w:tcBorders>
              <w:top w:val="single" w:color="000000" w:sz="4" w:space="0"/>
              <w:left w:val="nil"/>
              <w:bottom w:val="single" w:color="000000" w:sz="4" w:space="0"/>
              <w:right w:val="single" w:color="000000" w:sz="4" w:space="0"/>
            </w:tcBorders>
            <w:vAlign w:val="top"/>
          </w:tcPr>
          <w:p w14:paraId="020E4755">
            <w:pPr>
              <w:pStyle w:val="34"/>
              <w:rPr>
                <w:rFonts w:hint="eastAsia" w:ascii="宋体" w:hAnsi="宋体" w:eastAsia="宋体" w:cs="宋体"/>
                <w:color w:val="auto"/>
                <w:highlight w:val="none"/>
              </w:rPr>
            </w:pPr>
          </w:p>
        </w:tc>
        <w:tc>
          <w:tcPr>
            <w:tcW w:w="814" w:type="dxa"/>
            <w:tcBorders>
              <w:top w:val="single" w:color="000000" w:sz="4" w:space="0"/>
              <w:left w:val="nil"/>
              <w:bottom w:val="single" w:color="000000" w:sz="4" w:space="0"/>
              <w:right w:val="single" w:color="000000" w:sz="4" w:space="0"/>
            </w:tcBorders>
            <w:vAlign w:val="top"/>
          </w:tcPr>
          <w:p w14:paraId="031F90B3">
            <w:pPr>
              <w:pStyle w:val="34"/>
              <w:rPr>
                <w:rFonts w:hint="eastAsia" w:ascii="宋体" w:hAnsi="宋体" w:eastAsia="宋体" w:cs="宋体"/>
                <w:color w:val="auto"/>
                <w:highlight w:val="none"/>
              </w:rPr>
            </w:pPr>
          </w:p>
        </w:tc>
        <w:tc>
          <w:tcPr>
            <w:tcW w:w="1337" w:type="dxa"/>
            <w:tcBorders>
              <w:top w:val="single" w:color="000000" w:sz="4" w:space="0"/>
              <w:left w:val="nil"/>
              <w:bottom w:val="single" w:color="000000" w:sz="4" w:space="0"/>
              <w:right w:val="single" w:color="000000" w:sz="4" w:space="0"/>
            </w:tcBorders>
            <w:vAlign w:val="top"/>
          </w:tcPr>
          <w:p w14:paraId="116C2EBD">
            <w:pPr>
              <w:pStyle w:val="34"/>
              <w:rPr>
                <w:rFonts w:hint="eastAsia" w:ascii="宋体" w:hAnsi="宋体" w:eastAsia="宋体" w:cs="宋体"/>
                <w:color w:val="auto"/>
                <w:highlight w:val="none"/>
              </w:rPr>
            </w:pPr>
          </w:p>
        </w:tc>
        <w:tc>
          <w:tcPr>
            <w:tcW w:w="965" w:type="dxa"/>
            <w:tcBorders>
              <w:top w:val="single" w:color="000000" w:sz="4" w:space="0"/>
              <w:left w:val="nil"/>
              <w:bottom w:val="single" w:color="000000" w:sz="4" w:space="0"/>
              <w:right w:val="single" w:color="000000" w:sz="4" w:space="0"/>
            </w:tcBorders>
            <w:vAlign w:val="top"/>
          </w:tcPr>
          <w:p w14:paraId="1A00445A">
            <w:pPr>
              <w:pStyle w:val="34"/>
              <w:rPr>
                <w:rFonts w:hint="eastAsia" w:ascii="宋体" w:hAnsi="宋体" w:eastAsia="宋体" w:cs="宋体"/>
                <w:color w:val="auto"/>
                <w:highlight w:val="none"/>
              </w:rPr>
            </w:pPr>
          </w:p>
        </w:tc>
        <w:tc>
          <w:tcPr>
            <w:tcW w:w="1164" w:type="dxa"/>
            <w:tcBorders>
              <w:top w:val="single" w:color="000000" w:sz="4" w:space="0"/>
              <w:left w:val="nil"/>
              <w:bottom w:val="single" w:color="000000" w:sz="4" w:space="0"/>
              <w:right w:val="single" w:color="000000" w:sz="4" w:space="0"/>
            </w:tcBorders>
            <w:vAlign w:val="top"/>
          </w:tcPr>
          <w:p w14:paraId="3C3E8883">
            <w:pPr>
              <w:pStyle w:val="34"/>
              <w:rPr>
                <w:rFonts w:hint="eastAsia" w:ascii="宋体" w:hAnsi="宋体" w:eastAsia="宋体" w:cs="宋体"/>
                <w:color w:val="auto"/>
                <w:highlight w:val="none"/>
              </w:rPr>
            </w:pPr>
          </w:p>
        </w:tc>
        <w:tc>
          <w:tcPr>
            <w:tcW w:w="764" w:type="dxa"/>
            <w:tcBorders>
              <w:top w:val="single" w:color="000000" w:sz="4" w:space="0"/>
              <w:left w:val="nil"/>
              <w:bottom w:val="single" w:color="000000" w:sz="4" w:space="0"/>
              <w:right w:val="single" w:color="000000" w:sz="4" w:space="0"/>
            </w:tcBorders>
            <w:vAlign w:val="top"/>
          </w:tcPr>
          <w:p w14:paraId="17B6C69B">
            <w:pPr>
              <w:pStyle w:val="34"/>
              <w:rPr>
                <w:rFonts w:hint="eastAsia" w:ascii="宋体" w:hAnsi="宋体" w:eastAsia="宋体" w:cs="宋体"/>
                <w:color w:val="auto"/>
                <w:highlight w:val="none"/>
              </w:rPr>
            </w:pPr>
          </w:p>
        </w:tc>
      </w:tr>
    </w:tbl>
    <w:p w14:paraId="59EF89CD">
      <w:pPr>
        <w:pStyle w:val="34"/>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517527E">
      <w:pPr>
        <w:rPr>
          <w:rFonts w:hint="eastAsia" w:ascii="宋体" w:hAnsi="宋体" w:eastAsia="宋体" w:cs="宋体"/>
          <w:b/>
          <w:color w:val="auto"/>
          <w:highlight w:val="none"/>
        </w:rPr>
      </w:pPr>
      <w:bookmarkStart w:id="2401" w:name="_Toc483317225"/>
      <w:bookmarkStart w:id="2402" w:name="_Toc418751906"/>
      <w:bookmarkStart w:id="2403" w:name="_Toc418752352"/>
      <w:r>
        <w:rPr>
          <w:rFonts w:hint="eastAsia" w:ascii="宋体" w:hAnsi="宋体" w:eastAsia="宋体" w:cs="宋体"/>
          <w:b/>
          <w:color w:val="auto"/>
          <w:highlight w:val="none"/>
        </w:rPr>
        <w:t>附表二：拟配备本项目的试验和检测仪器设备表</w:t>
      </w:r>
      <w:bookmarkEnd w:id="2401"/>
      <w:bookmarkEnd w:id="2402"/>
      <w:bookmarkEnd w:id="2403"/>
    </w:p>
    <w:tbl>
      <w:tblPr>
        <w:tblStyle w:val="27"/>
        <w:tblW w:w="9648" w:type="dxa"/>
        <w:tblInd w:w="-5" w:type="dxa"/>
        <w:tblLayout w:type="fixed"/>
        <w:tblCellMar>
          <w:top w:w="0" w:type="dxa"/>
          <w:left w:w="0" w:type="dxa"/>
          <w:bottom w:w="0" w:type="dxa"/>
          <w:right w:w="0" w:type="dxa"/>
        </w:tblCellMar>
      </w:tblPr>
      <w:tblGrid>
        <w:gridCol w:w="759"/>
        <w:gridCol w:w="1239"/>
        <w:gridCol w:w="866"/>
        <w:gridCol w:w="1129"/>
        <w:gridCol w:w="766"/>
        <w:gridCol w:w="841"/>
        <w:gridCol w:w="1382"/>
        <w:gridCol w:w="1885"/>
        <w:gridCol w:w="781"/>
      </w:tblGrid>
      <w:tr w14:paraId="47A26A81">
        <w:tblPrEx>
          <w:tblCellMar>
            <w:top w:w="0" w:type="dxa"/>
            <w:left w:w="0" w:type="dxa"/>
            <w:bottom w:w="0" w:type="dxa"/>
            <w:right w:w="0" w:type="dxa"/>
          </w:tblCellMar>
        </w:tblPrEx>
        <w:trPr>
          <w:trHeight w:val="889" w:hRule="atLeast"/>
        </w:trPr>
        <w:tc>
          <w:tcPr>
            <w:tcW w:w="759" w:type="dxa"/>
            <w:tcBorders>
              <w:top w:val="single" w:color="000000" w:sz="4" w:space="0"/>
              <w:left w:val="single" w:color="000000" w:sz="4" w:space="0"/>
              <w:bottom w:val="single" w:color="000000" w:sz="4" w:space="0"/>
              <w:right w:val="single" w:color="000000" w:sz="4" w:space="0"/>
            </w:tcBorders>
            <w:vAlign w:val="center"/>
          </w:tcPr>
          <w:p w14:paraId="55D30596">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序号</w:t>
            </w:r>
          </w:p>
        </w:tc>
        <w:tc>
          <w:tcPr>
            <w:tcW w:w="1239" w:type="dxa"/>
            <w:tcBorders>
              <w:top w:val="single" w:color="000000" w:sz="4" w:space="0"/>
              <w:left w:val="nil"/>
              <w:bottom w:val="single" w:color="000000" w:sz="4" w:space="0"/>
              <w:right w:val="single" w:color="000000" w:sz="4" w:space="0"/>
            </w:tcBorders>
            <w:vAlign w:val="center"/>
          </w:tcPr>
          <w:p w14:paraId="73CDA689">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仪器设备</w:t>
            </w:r>
          </w:p>
          <w:p w14:paraId="5AFE86D8">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名称</w:t>
            </w:r>
          </w:p>
        </w:tc>
        <w:tc>
          <w:tcPr>
            <w:tcW w:w="866" w:type="dxa"/>
            <w:tcBorders>
              <w:top w:val="single" w:color="000000" w:sz="4" w:space="0"/>
              <w:left w:val="nil"/>
              <w:bottom w:val="single" w:color="000000" w:sz="4" w:space="0"/>
              <w:right w:val="single" w:color="000000" w:sz="4" w:space="0"/>
            </w:tcBorders>
            <w:vAlign w:val="center"/>
          </w:tcPr>
          <w:p w14:paraId="2CFDD3AF">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型号</w:t>
            </w:r>
          </w:p>
          <w:p w14:paraId="1114EF2A">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规格</w:t>
            </w:r>
          </w:p>
        </w:tc>
        <w:tc>
          <w:tcPr>
            <w:tcW w:w="1129" w:type="dxa"/>
            <w:tcBorders>
              <w:top w:val="single" w:color="000000" w:sz="4" w:space="0"/>
              <w:left w:val="nil"/>
              <w:bottom w:val="single" w:color="000000" w:sz="4" w:space="0"/>
              <w:right w:val="single" w:color="000000" w:sz="4" w:space="0"/>
            </w:tcBorders>
            <w:vAlign w:val="center"/>
          </w:tcPr>
          <w:p w14:paraId="2AA96A8F">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数量</w:t>
            </w:r>
          </w:p>
        </w:tc>
        <w:tc>
          <w:tcPr>
            <w:tcW w:w="766" w:type="dxa"/>
            <w:tcBorders>
              <w:top w:val="single" w:color="000000" w:sz="4" w:space="0"/>
              <w:left w:val="nil"/>
              <w:bottom w:val="single" w:color="000000" w:sz="4" w:space="0"/>
              <w:right w:val="single" w:color="000000" w:sz="4" w:space="0"/>
            </w:tcBorders>
            <w:vAlign w:val="center"/>
          </w:tcPr>
          <w:p w14:paraId="60CA26DB">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国别</w:t>
            </w:r>
          </w:p>
          <w:p w14:paraId="6E5777FE">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产地</w:t>
            </w:r>
          </w:p>
        </w:tc>
        <w:tc>
          <w:tcPr>
            <w:tcW w:w="841" w:type="dxa"/>
            <w:tcBorders>
              <w:top w:val="single" w:color="000000" w:sz="4" w:space="0"/>
              <w:left w:val="nil"/>
              <w:bottom w:val="single" w:color="000000" w:sz="4" w:space="0"/>
              <w:right w:val="single" w:color="000000" w:sz="4" w:space="0"/>
            </w:tcBorders>
            <w:vAlign w:val="center"/>
          </w:tcPr>
          <w:p w14:paraId="2A41911F">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制造</w:t>
            </w:r>
          </w:p>
          <w:p w14:paraId="32E70EE9">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年份</w:t>
            </w:r>
          </w:p>
        </w:tc>
        <w:tc>
          <w:tcPr>
            <w:tcW w:w="1382" w:type="dxa"/>
            <w:tcBorders>
              <w:top w:val="single" w:color="000000" w:sz="4" w:space="0"/>
              <w:left w:val="nil"/>
              <w:bottom w:val="single" w:color="000000" w:sz="4" w:space="0"/>
              <w:right w:val="single" w:color="000000" w:sz="4" w:space="0"/>
            </w:tcBorders>
            <w:vAlign w:val="center"/>
          </w:tcPr>
          <w:p w14:paraId="3CA93E0E">
            <w:pPr>
              <w:pStyle w:val="34"/>
              <w:jc w:val="center"/>
              <w:rPr>
                <w:rFonts w:hint="eastAsia" w:ascii="宋体" w:hAnsi="宋体" w:eastAsia="宋体" w:cs="宋体"/>
                <w:color w:val="auto"/>
                <w:highlight w:val="none"/>
              </w:rPr>
            </w:pPr>
            <w:r>
              <w:rPr>
                <w:rFonts w:hint="eastAsia" w:ascii="宋体" w:hAnsi="宋体" w:eastAsia="宋体" w:cs="宋体"/>
                <w:color w:val="auto"/>
                <w:highlight w:val="none"/>
              </w:rPr>
              <w:t>已使用</w:t>
            </w:r>
          </w:p>
          <w:p w14:paraId="57F059D4">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台时数</w:t>
            </w:r>
          </w:p>
        </w:tc>
        <w:tc>
          <w:tcPr>
            <w:tcW w:w="1885" w:type="dxa"/>
            <w:tcBorders>
              <w:top w:val="single" w:color="000000" w:sz="4" w:space="0"/>
              <w:left w:val="nil"/>
              <w:bottom w:val="single" w:color="000000" w:sz="4" w:space="0"/>
              <w:right w:val="single" w:color="000000" w:sz="4" w:space="0"/>
            </w:tcBorders>
            <w:vAlign w:val="center"/>
          </w:tcPr>
          <w:p w14:paraId="68E11D47">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用途</w:t>
            </w:r>
          </w:p>
        </w:tc>
        <w:tc>
          <w:tcPr>
            <w:tcW w:w="781" w:type="dxa"/>
            <w:tcBorders>
              <w:top w:val="single" w:color="000000" w:sz="4" w:space="0"/>
              <w:left w:val="nil"/>
              <w:bottom w:val="single" w:color="000000" w:sz="4" w:space="0"/>
              <w:right w:val="single" w:color="000000" w:sz="4" w:space="0"/>
            </w:tcBorders>
            <w:vAlign w:val="center"/>
          </w:tcPr>
          <w:p w14:paraId="5B81930D">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备注</w:t>
            </w:r>
          </w:p>
        </w:tc>
      </w:tr>
      <w:tr w14:paraId="02D82D1D">
        <w:tblPrEx>
          <w:tblCellMar>
            <w:top w:w="0" w:type="dxa"/>
            <w:left w:w="0" w:type="dxa"/>
            <w:bottom w:w="0" w:type="dxa"/>
            <w:right w:w="0"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vAlign w:val="top"/>
          </w:tcPr>
          <w:p w14:paraId="20B98C38">
            <w:pPr>
              <w:pStyle w:val="34"/>
              <w:rPr>
                <w:rFonts w:hint="eastAsia" w:ascii="宋体" w:hAnsi="宋体" w:eastAsia="宋体" w:cs="宋体"/>
                <w:color w:val="auto"/>
                <w:sz w:val="24"/>
                <w:szCs w:val="24"/>
                <w:highlight w:val="none"/>
              </w:rPr>
            </w:pPr>
          </w:p>
        </w:tc>
        <w:tc>
          <w:tcPr>
            <w:tcW w:w="1239" w:type="dxa"/>
            <w:tcBorders>
              <w:top w:val="single" w:color="000000" w:sz="4" w:space="0"/>
              <w:left w:val="nil"/>
              <w:bottom w:val="single" w:color="000000" w:sz="4" w:space="0"/>
              <w:right w:val="single" w:color="000000" w:sz="4" w:space="0"/>
            </w:tcBorders>
            <w:vAlign w:val="top"/>
          </w:tcPr>
          <w:p w14:paraId="5EC2A4B1">
            <w:pPr>
              <w:pStyle w:val="34"/>
              <w:rPr>
                <w:rFonts w:hint="eastAsia" w:ascii="宋体" w:hAnsi="宋体" w:eastAsia="宋体" w:cs="宋体"/>
                <w:color w:val="auto"/>
                <w:sz w:val="24"/>
                <w:szCs w:val="24"/>
                <w:highlight w:val="none"/>
              </w:rPr>
            </w:pPr>
          </w:p>
        </w:tc>
        <w:tc>
          <w:tcPr>
            <w:tcW w:w="866" w:type="dxa"/>
            <w:tcBorders>
              <w:top w:val="single" w:color="000000" w:sz="4" w:space="0"/>
              <w:left w:val="nil"/>
              <w:bottom w:val="single" w:color="000000" w:sz="4" w:space="0"/>
              <w:right w:val="single" w:color="000000" w:sz="4" w:space="0"/>
            </w:tcBorders>
            <w:vAlign w:val="top"/>
          </w:tcPr>
          <w:p w14:paraId="3DB2B275">
            <w:pPr>
              <w:pStyle w:val="34"/>
              <w:rPr>
                <w:rFonts w:hint="eastAsia" w:ascii="宋体" w:hAnsi="宋体" w:eastAsia="宋体" w:cs="宋体"/>
                <w:color w:val="auto"/>
                <w:sz w:val="24"/>
                <w:szCs w:val="24"/>
                <w:highlight w:val="none"/>
              </w:rPr>
            </w:pPr>
          </w:p>
        </w:tc>
        <w:tc>
          <w:tcPr>
            <w:tcW w:w="1129" w:type="dxa"/>
            <w:tcBorders>
              <w:top w:val="single" w:color="000000" w:sz="4" w:space="0"/>
              <w:left w:val="nil"/>
              <w:bottom w:val="single" w:color="000000" w:sz="4" w:space="0"/>
              <w:right w:val="single" w:color="000000" w:sz="4" w:space="0"/>
            </w:tcBorders>
            <w:vAlign w:val="top"/>
          </w:tcPr>
          <w:p w14:paraId="39365E5F">
            <w:pPr>
              <w:pStyle w:val="34"/>
              <w:rPr>
                <w:rFonts w:hint="eastAsia" w:ascii="宋体" w:hAnsi="宋体" w:eastAsia="宋体" w:cs="宋体"/>
                <w:color w:val="auto"/>
                <w:sz w:val="24"/>
                <w:szCs w:val="24"/>
                <w:highlight w:val="none"/>
              </w:rPr>
            </w:pPr>
          </w:p>
        </w:tc>
        <w:tc>
          <w:tcPr>
            <w:tcW w:w="766" w:type="dxa"/>
            <w:tcBorders>
              <w:top w:val="single" w:color="000000" w:sz="4" w:space="0"/>
              <w:left w:val="nil"/>
              <w:bottom w:val="single" w:color="000000" w:sz="4" w:space="0"/>
              <w:right w:val="single" w:color="000000" w:sz="4" w:space="0"/>
            </w:tcBorders>
            <w:vAlign w:val="top"/>
          </w:tcPr>
          <w:p w14:paraId="7B44B98F">
            <w:pPr>
              <w:pStyle w:val="34"/>
              <w:rPr>
                <w:rFonts w:hint="eastAsia" w:ascii="宋体" w:hAnsi="宋体" w:eastAsia="宋体" w:cs="宋体"/>
                <w:color w:val="auto"/>
                <w:sz w:val="24"/>
                <w:szCs w:val="24"/>
                <w:highlight w:val="none"/>
              </w:rPr>
            </w:pPr>
          </w:p>
        </w:tc>
        <w:tc>
          <w:tcPr>
            <w:tcW w:w="841" w:type="dxa"/>
            <w:tcBorders>
              <w:top w:val="single" w:color="000000" w:sz="4" w:space="0"/>
              <w:left w:val="nil"/>
              <w:bottom w:val="single" w:color="000000" w:sz="4" w:space="0"/>
              <w:right w:val="single" w:color="000000" w:sz="4" w:space="0"/>
            </w:tcBorders>
            <w:vAlign w:val="top"/>
          </w:tcPr>
          <w:p w14:paraId="39CC3263">
            <w:pPr>
              <w:pStyle w:val="34"/>
              <w:rPr>
                <w:rFonts w:hint="eastAsia" w:ascii="宋体" w:hAnsi="宋体" w:eastAsia="宋体" w:cs="宋体"/>
                <w:color w:val="auto"/>
                <w:sz w:val="24"/>
                <w:szCs w:val="24"/>
                <w:highlight w:val="none"/>
              </w:rPr>
            </w:pPr>
          </w:p>
        </w:tc>
        <w:tc>
          <w:tcPr>
            <w:tcW w:w="1382" w:type="dxa"/>
            <w:tcBorders>
              <w:top w:val="single" w:color="000000" w:sz="4" w:space="0"/>
              <w:left w:val="nil"/>
              <w:bottom w:val="single" w:color="000000" w:sz="4" w:space="0"/>
              <w:right w:val="single" w:color="000000" w:sz="4" w:space="0"/>
            </w:tcBorders>
            <w:vAlign w:val="top"/>
          </w:tcPr>
          <w:p w14:paraId="0D0B7553">
            <w:pPr>
              <w:pStyle w:val="34"/>
              <w:rPr>
                <w:rFonts w:hint="eastAsia" w:ascii="宋体" w:hAnsi="宋体" w:eastAsia="宋体" w:cs="宋体"/>
                <w:color w:val="auto"/>
                <w:sz w:val="24"/>
                <w:szCs w:val="24"/>
                <w:highlight w:val="none"/>
              </w:rPr>
            </w:pPr>
          </w:p>
        </w:tc>
        <w:tc>
          <w:tcPr>
            <w:tcW w:w="1885" w:type="dxa"/>
            <w:tcBorders>
              <w:top w:val="single" w:color="000000" w:sz="4" w:space="0"/>
              <w:left w:val="nil"/>
              <w:bottom w:val="single" w:color="000000" w:sz="4" w:space="0"/>
              <w:right w:val="single" w:color="000000" w:sz="4" w:space="0"/>
            </w:tcBorders>
            <w:vAlign w:val="top"/>
          </w:tcPr>
          <w:p w14:paraId="683B523F">
            <w:pPr>
              <w:pStyle w:val="34"/>
              <w:rPr>
                <w:rFonts w:hint="eastAsia" w:ascii="宋体" w:hAnsi="宋体" w:eastAsia="宋体" w:cs="宋体"/>
                <w:color w:val="auto"/>
                <w:sz w:val="24"/>
                <w:szCs w:val="24"/>
                <w:highlight w:val="none"/>
              </w:rPr>
            </w:pPr>
          </w:p>
        </w:tc>
        <w:tc>
          <w:tcPr>
            <w:tcW w:w="781" w:type="dxa"/>
            <w:tcBorders>
              <w:top w:val="single" w:color="000000" w:sz="4" w:space="0"/>
              <w:left w:val="nil"/>
              <w:bottom w:val="single" w:color="000000" w:sz="4" w:space="0"/>
              <w:right w:val="single" w:color="000000" w:sz="4" w:space="0"/>
            </w:tcBorders>
            <w:vAlign w:val="top"/>
          </w:tcPr>
          <w:p w14:paraId="5D912A33">
            <w:pPr>
              <w:pStyle w:val="34"/>
              <w:rPr>
                <w:rFonts w:hint="eastAsia" w:ascii="宋体" w:hAnsi="宋体" w:eastAsia="宋体" w:cs="宋体"/>
                <w:color w:val="auto"/>
                <w:sz w:val="24"/>
                <w:szCs w:val="24"/>
                <w:highlight w:val="none"/>
              </w:rPr>
            </w:pPr>
          </w:p>
        </w:tc>
      </w:tr>
      <w:tr w14:paraId="74299A3F">
        <w:tblPrEx>
          <w:tblCellMar>
            <w:top w:w="0" w:type="dxa"/>
            <w:left w:w="0" w:type="dxa"/>
            <w:bottom w:w="0" w:type="dxa"/>
            <w:right w:w="0"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vAlign w:val="top"/>
          </w:tcPr>
          <w:p w14:paraId="3642932C">
            <w:pPr>
              <w:pStyle w:val="34"/>
              <w:rPr>
                <w:rFonts w:hint="eastAsia" w:ascii="宋体" w:hAnsi="宋体" w:eastAsia="宋体" w:cs="宋体"/>
                <w:color w:val="auto"/>
                <w:sz w:val="24"/>
                <w:szCs w:val="24"/>
                <w:highlight w:val="none"/>
              </w:rPr>
            </w:pPr>
          </w:p>
        </w:tc>
        <w:tc>
          <w:tcPr>
            <w:tcW w:w="1239" w:type="dxa"/>
            <w:tcBorders>
              <w:top w:val="single" w:color="000000" w:sz="4" w:space="0"/>
              <w:left w:val="nil"/>
              <w:bottom w:val="single" w:color="000000" w:sz="4" w:space="0"/>
              <w:right w:val="single" w:color="000000" w:sz="4" w:space="0"/>
            </w:tcBorders>
            <w:vAlign w:val="top"/>
          </w:tcPr>
          <w:p w14:paraId="163D1E07">
            <w:pPr>
              <w:pStyle w:val="34"/>
              <w:rPr>
                <w:rFonts w:hint="eastAsia" w:ascii="宋体" w:hAnsi="宋体" w:eastAsia="宋体" w:cs="宋体"/>
                <w:color w:val="auto"/>
                <w:sz w:val="24"/>
                <w:szCs w:val="24"/>
                <w:highlight w:val="none"/>
              </w:rPr>
            </w:pPr>
          </w:p>
        </w:tc>
        <w:tc>
          <w:tcPr>
            <w:tcW w:w="866" w:type="dxa"/>
            <w:tcBorders>
              <w:top w:val="single" w:color="000000" w:sz="4" w:space="0"/>
              <w:left w:val="nil"/>
              <w:bottom w:val="single" w:color="000000" w:sz="4" w:space="0"/>
              <w:right w:val="single" w:color="000000" w:sz="4" w:space="0"/>
            </w:tcBorders>
            <w:vAlign w:val="top"/>
          </w:tcPr>
          <w:p w14:paraId="36016791">
            <w:pPr>
              <w:pStyle w:val="34"/>
              <w:rPr>
                <w:rFonts w:hint="eastAsia" w:ascii="宋体" w:hAnsi="宋体" w:eastAsia="宋体" w:cs="宋体"/>
                <w:color w:val="auto"/>
                <w:sz w:val="24"/>
                <w:szCs w:val="24"/>
                <w:highlight w:val="none"/>
              </w:rPr>
            </w:pPr>
          </w:p>
        </w:tc>
        <w:tc>
          <w:tcPr>
            <w:tcW w:w="1129" w:type="dxa"/>
            <w:tcBorders>
              <w:top w:val="single" w:color="000000" w:sz="4" w:space="0"/>
              <w:left w:val="nil"/>
              <w:bottom w:val="single" w:color="000000" w:sz="4" w:space="0"/>
              <w:right w:val="single" w:color="000000" w:sz="4" w:space="0"/>
            </w:tcBorders>
            <w:vAlign w:val="top"/>
          </w:tcPr>
          <w:p w14:paraId="129B0449">
            <w:pPr>
              <w:pStyle w:val="34"/>
              <w:rPr>
                <w:rFonts w:hint="eastAsia" w:ascii="宋体" w:hAnsi="宋体" w:eastAsia="宋体" w:cs="宋体"/>
                <w:color w:val="auto"/>
                <w:sz w:val="24"/>
                <w:szCs w:val="24"/>
                <w:highlight w:val="none"/>
              </w:rPr>
            </w:pPr>
          </w:p>
        </w:tc>
        <w:tc>
          <w:tcPr>
            <w:tcW w:w="766" w:type="dxa"/>
            <w:tcBorders>
              <w:top w:val="single" w:color="000000" w:sz="4" w:space="0"/>
              <w:left w:val="nil"/>
              <w:bottom w:val="single" w:color="000000" w:sz="4" w:space="0"/>
              <w:right w:val="single" w:color="000000" w:sz="4" w:space="0"/>
            </w:tcBorders>
            <w:vAlign w:val="top"/>
          </w:tcPr>
          <w:p w14:paraId="7F8D816D">
            <w:pPr>
              <w:pStyle w:val="34"/>
              <w:rPr>
                <w:rFonts w:hint="eastAsia" w:ascii="宋体" w:hAnsi="宋体" w:eastAsia="宋体" w:cs="宋体"/>
                <w:color w:val="auto"/>
                <w:sz w:val="24"/>
                <w:szCs w:val="24"/>
                <w:highlight w:val="none"/>
              </w:rPr>
            </w:pPr>
          </w:p>
        </w:tc>
        <w:tc>
          <w:tcPr>
            <w:tcW w:w="841" w:type="dxa"/>
            <w:tcBorders>
              <w:top w:val="single" w:color="000000" w:sz="4" w:space="0"/>
              <w:left w:val="nil"/>
              <w:bottom w:val="single" w:color="000000" w:sz="4" w:space="0"/>
              <w:right w:val="single" w:color="000000" w:sz="4" w:space="0"/>
            </w:tcBorders>
            <w:vAlign w:val="top"/>
          </w:tcPr>
          <w:p w14:paraId="472B8C69">
            <w:pPr>
              <w:pStyle w:val="34"/>
              <w:rPr>
                <w:rFonts w:hint="eastAsia" w:ascii="宋体" w:hAnsi="宋体" w:eastAsia="宋体" w:cs="宋体"/>
                <w:color w:val="auto"/>
                <w:sz w:val="24"/>
                <w:szCs w:val="24"/>
                <w:highlight w:val="none"/>
              </w:rPr>
            </w:pPr>
          </w:p>
        </w:tc>
        <w:tc>
          <w:tcPr>
            <w:tcW w:w="1382" w:type="dxa"/>
            <w:tcBorders>
              <w:top w:val="single" w:color="000000" w:sz="4" w:space="0"/>
              <w:left w:val="nil"/>
              <w:bottom w:val="single" w:color="000000" w:sz="4" w:space="0"/>
              <w:right w:val="single" w:color="000000" w:sz="4" w:space="0"/>
            </w:tcBorders>
            <w:vAlign w:val="top"/>
          </w:tcPr>
          <w:p w14:paraId="1A4A8AA8">
            <w:pPr>
              <w:pStyle w:val="34"/>
              <w:rPr>
                <w:rFonts w:hint="eastAsia" w:ascii="宋体" w:hAnsi="宋体" w:eastAsia="宋体" w:cs="宋体"/>
                <w:color w:val="auto"/>
                <w:sz w:val="24"/>
                <w:szCs w:val="24"/>
                <w:highlight w:val="none"/>
              </w:rPr>
            </w:pPr>
          </w:p>
        </w:tc>
        <w:tc>
          <w:tcPr>
            <w:tcW w:w="1885" w:type="dxa"/>
            <w:tcBorders>
              <w:top w:val="single" w:color="000000" w:sz="4" w:space="0"/>
              <w:left w:val="nil"/>
              <w:bottom w:val="single" w:color="000000" w:sz="4" w:space="0"/>
              <w:right w:val="single" w:color="000000" w:sz="4" w:space="0"/>
            </w:tcBorders>
            <w:vAlign w:val="top"/>
          </w:tcPr>
          <w:p w14:paraId="044E53FC">
            <w:pPr>
              <w:pStyle w:val="34"/>
              <w:rPr>
                <w:rFonts w:hint="eastAsia" w:ascii="宋体" w:hAnsi="宋体" w:eastAsia="宋体" w:cs="宋体"/>
                <w:color w:val="auto"/>
                <w:sz w:val="24"/>
                <w:szCs w:val="24"/>
                <w:highlight w:val="none"/>
              </w:rPr>
            </w:pPr>
          </w:p>
        </w:tc>
        <w:tc>
          <w:tcPr>
            <w:tcW w:w="781" w:type="dxa"/>
            <w:tcBorders>
              <w:top w:val="single" w:color="000000" w:sz="4" w:space="0"/>
              <w:left w:val="nil"/>
              <w:bottom w:val="single" w:color="000000" w:sz="4" w:space="0"/>
              <w:right w:val="single" w:color="000000" w:sz="4" w:space="0"/>
            </w:tcBorders>
            <w:vAlign w:val="top"/>
          </w:tcPr>
          <w:p w14:paraId="4FBB9125">
            <w:pPr>
              <w:pStyle w:val="34"/>
              <w:rPr>
                <w:rFonts w:hint="eastAsia" w:ascii="宋体" w:hAnsi="宋体" w:eastAsia="宋体" w:cs="宋体"/>
                <w:color w:val="auto"/>
                <w:sz w:val="24"/>
                <w:szCs w:val="24"/>
                <w:highlight w:val="none"/>
              </w:rPr>
            </w:pPr>
          </w:p>
        </w:tc>
      </w:tr>
      <w:tr w14:paraId="0D1B32C8">
        <w:tblPrEx>
          <w:tblCellMar>
            <w:top w:w="0" w:type="dxa"/>
            <w:left w:w="0" w:type="dxa"/>
            <w:bottom w:w="0" w:type="dxa"/>
            <w:right w:w="0"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vAlign w:val="top"/>
          </w:tcPr>
          <w:p w14:paraId="50C3A1ED">
            <w:pPr>
              <w:pStyle w:val="34"/>
              <w:rPr>
                <w:rFonts w:hint="eastAsia" w:ascii="宋体" w:hAnsi="宋体" w:eastAsia="宋体" w:cs="宋体"/>
                <w:color w:val="auto"/>
                <w:sz w:val="24"/>
                <w:szCs w:val="24"/>
                <w:highlight w:val="none"/>
              </w:rPr>
            </w:pPr>
          </w:p>
        </w:tc>
        <w:tc>
          <w:tcPr>
            <w:tcW w:w="1239" w:type="dxa"/>
            <w:tcBorders>
              <w:top w:val="single" w:color="000000" w:sz="4" w:space="0"/>
              <w:left w:val="nil"/>
              <w:bottom w:val="single" w:color="000000" w:sz="4" w:space="0"/>
              <w:right w:val="single" w:color="000000" w:sz="4" w:space="0"/>
            </w:tcBorders>
            <w:vAlign w:val="top"/>
          </w:tcPr>
          <w:p w14:paraId="29D08442">
            <w:pPr>
              <w:pStyle w:val="34"/>
              <w:rPr>
                <w:rFonts w:hint="eastAsia" w:ascii="宋体" w:hAnsi="宋体" w:eastAsia="宋体" w:cs="宋体"/>
                <w:color w:val="auto"/>
                <w:sz w:val="24"/>
                <w:szCs w:val="24"/>
                <w:highlight w:val="none"/>
              </w:rPr>
            </w:pPr>
          </w:p>
        </w:tc>
        <w:tc>
          <w:tcPr>
            <w:tcW w:w="866" w:type="dxa"/>
            <w:tcBorders>
              <w:top w:val="single" w:color="000000" w:sz="4" w:space="0"/>
              <w:left w:val="nil"/>
              <w:bottom w:val="single" w:color="000000" w:sz="4" w:space="0"/>
              <w:right w:val="single" w:color="000000" w:sz="4" w:space="0"/>
            </w:tcBorders>
            <w:vAlign w:val="top"/>
          </w:tcPr>
          <w:p w14:paraId="217AD6D4">
            <w:pPr>
              <w:pStyle w:val="34"/>
              <w:rPr>
                <w:rFonts w:hint="eastAsia" w:ascii="宋体" w:hAnsi="宋体" w:eastAsia="宋体" w:cs="宋体"/>
                <w:color w:val="auto"/>
                <w:sz w:val="24"/>
                <w:szCs w:val="24"/>
                <w:highlight w:val="none"/>
              </w:rPr>
            </w:pPr>
          </w:p>
        </w:tc>
        <w:tc>
          <w:tcPr>
            <w:tcW w:w="1129" w:type="dxa"/>
            <w:tcBorders>
              <w:top w:val="single" w:color="000000" w:sz="4" w:space="0"/>
              <w:left w:val="nil"/>
              <w:bottom w:val="single" w:color="000000" w:sz="4" w:space="0"/>
              <w:right w:val="single" w:color="000000" w:sz="4" w:space="0"/>
            </w:tcBorders>
            <w:vAlign w:val="top"/>
          </w:tcPr>
          <w:p w14:paraId="2AE6FFEB">
            <w:pPr>
              <w:pStyle w:val="34"/>
              <w:rPr>
                <w:rFonts w:hint="eastAsia" w:ascii="宋体" w:hAnsi="宋体" w:eastAsia="宋体" w:cs="宋体"/>
                <w:color w:val="auto"/>
                <w:sz w:val="24"/>
                <w:szCs w:val="24"/>
                <w:highlight w:val="none"/>
              </w:rPr>
            </w:pPr>
          </w:p>
        </w:tc>
        <w:tc>
          <w:tcPr>
            <w:tcW w:w="766" w:type="dxa"/>
            <w:tcBorders>
              <w:top w:val="single" w:color="000000" w:sz="4" w:space="0"/>
              <w:left w:val="nil"/>
              <w:bottom w:val="single" w:color="000000" w:sz="4" w:space="0"/>
              <w:right w:val="single" w:color="000000" w:sz="4" w:space="0"/>
            </w:tcBorders>
            <w:vAlign w:val="top"/>
          </w:tcPr>
          <w:p w14:paraId="0ED584FB">
            <w:pPr>
              <w:pStyle w:val="34"/>
              <w:rPr>
                <w:rFonts w:hint="eastAsia" w:ascii="宋体" w:hAnsi="宋体" w:eastAsia="宋体" w:cs="宋体"/>
                <w:color w:val="auto"/>
                <w:sz w:val="24"/>
                <w:szCs w:val="24"/>
                <w:highlight w:val="none"/>
              </w:rPr>
            </w:pPr>
          </w:p>
        </w:tc>
        <w:tc>
          <w:tcPr>
            <w:tcW w:w="841" w:type="dxa"/>
            <w:tcBorders>
              <w:top w:val="single" w:color="000000" w:sz="4" w:space="0"/>
              <w:left w:val="nil"/>
              <w:bottom w:val="single" w:color="000000" w:sz="4" w:space="0"/>
              <w:right w:val="single" w:color="000000" w:sz="4" w:space="0"/>
            </w:tcBorders>
            <w:vAlign w:val="top"/>
          </w:tcPr>
          <w:p w14:paraId="1118FD14">
            <w:pPr>
              <w:pStyle w:val="34"/>
              <w:rPr>
                <w:rFonts w:hint="eastAsia" w:ascii="宋体" w:hAnsi="宋体" w:eastAsia="宋体" w:cs="宋体"/>
                <w:color w:val="auto"/>
                <w:sz w:val="24"/>
                <w:szCs w:val="24"/>
                <w:highlight w:val="none"/>
              </w:rPr>
            </w:pPr>
          </w:p>
        </w:tc>
        <w:tc>
          <w:tcPr>
            <w:tcW w:w="1382" w:type="dxa"/>
            <w:tcBorders>
              <w:top w:val="single" w:color="000000" w:sz="4" w:space="0"/>
              <w:left w:val="nil"/>
              <w:bottom w:val="single" w:color="000000" w:sz="4" w:space="0"/>
              <w:right w:val="single" w:color="000000" w:sz="4" w:space="0"/>
            </w:tcBorders>
            <w:vAlign w:val="top"/>
          </w:tcPr>
          <w:p w14:paraId="57F71104">
            <w:pPr>
              <w:pStyle w:val="34"/>
              <w:rPr>
                <w:rFonts w:hint="eastAsia" w:ascii="宋体" w:hAnsi="宋体" w:eastAsia="宋体" w:cs="宋体"/>
                <w:color w:val="auto"/>
                <w:sz w:val="24"/>
                <w:szCs w:val="24"/>
                <w:highlight w:val="none"/>
              </w:rPr>
            </w:pPr>
          </w:p>
        </w:tc>
        <w:tc>
          <w:tcPr>
            <w:tcW w:w="1885" w:type="dxa"/>
            <w:tcBorders>
              <w:top w:val="single" w:color="000000" w:sz="4" w:space="0"/>
              <w:left w:val="nil"/>
              <w:bottom w:val="single" w:color="000000" w:sz="4" w:space="0"/>
              <w:right w:val="single" w:color="000000" w:sz="4" w:space="0"/>
            </w:tcBorders>
            <w:vAlign w:val="top"/>
          </w:tcPr>
          <w:p w14:paraId="59DB9FAA">
            <w:pPr>
              <w:pStyle w:val="34"/>
              <w:rPr>
                <w:rFonts w:hint="eastAsia" w:ascii="宋体" w:hAnsi="宋体" w:eastAsia="宋体" w:cs="宋体"/>
                <w:color w:val="auto"/>
                <w:sz w:val="24"/>
                <w:szCs w:val="24"/>
                <w:highlight w:val="none"/>
              </w:rPr>
            </w:pPr>
          </w:p>
        </w:tc>
        <w:tc>
          <w:tcPr>
            <w:tcW w:w="781" w:type="dxa"/>
            <w:tcBorders>
              <w:top w:val="single" w:color="000000" w:sz="4" w:space="0"/>
              <w:left w:val="nil"/>
              <w:bottom w:val="single" w:color="000000" w:sz="4" w:space="0"/>
              <w:right w:val="single" w:color="000000" w:sz="4" w:space="0"/>
            </w:tcBorders>
            <w:vAlign w:val="top"/>
          </w:tcPr>
          <w:p w14:paraId="34050580">
            <w:pPr>
              <w:pStyle w:val="34"/>
              <w:rPr>
                <w:rFonts w:hint="eastAsia" w:ascii="宋体" w:hAnsi="宋体" w:eastAsia="宋体" w:cs="宋体"/>
                <w:color w:val="auto"/>
                <w:sz w:val="24"/>
                <w:szCs w:val="24"/>
                <w:highlight w:val="none"/>
              </w:rPr>
            </w:pPr>
          </w:p>
        </w:tc>
      </w:tr>
      <w:tr w14:paraId="6B7225FE">
        <w:tblPrEx>
          <w:tblCellMar>
            <w:top w:w="0" w:type="dxa"/>
            <w:left w:w="0" w:type="dxa"/>
            <w:bottom w:w="0" w:type="dxa"/>
            <w:right w:w="0"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vAlign w:val="top"/>
          </w:tcPr>
          <w:p w14:paraId="4CDBA2F3">
            <w:pPr>
              <w:pStyle w:val="34"/>
              <w:rPr>
                <w:rFonts w:hint="eastAsia" w:ascii="宋体" w:hAnsi="宋体" w:eastAsia="宋体" w:cs="宋体"/>
                <w:color w:val="auto"/>
                <w:sz w:val="24"/>
                <w:szCs w:val="24"/>
                <w:highlight w:val="none"/>
              </w:rPr>
            </w:pPr>
          </w:p>
        </w:tc>
        <w:tc>
          <w:tcPr>
            <w:tcW w:w="1239" w:type="dxa"/>
            <w:tcBorders>
              <w:top w:val="single" w:color="000000" w:sz="4" w:space="0"/>
              <w:left w:val="nil"/>
              <w:bottom w:val="single" w:color="000000" w:sz="4" w:space="0"/>
              <w:right w:val="single" w:color="000000" w:sz="4" w:space="0"/>
            </w:tcBorders>
            <w:vAlign w:val="top"/>
          </w:tcPr>
          <w:p w14:paraId="48BEE58F">
            <w:pPr>
              <w:pStyle w:val="34"/>
              <w:rPr>
                <w:rFonts w:hint="eastAsia" w:ascii="宋体" w:hAnsi="宋体" w:eastAsia="宋体" w:cs="宋体"/>
                <w:color w:val="auto"/>
                <w:sz w:val="24"/>
                <w:szCs w:val="24"/>
                <w:highlight w:val="none"/>
              </w:rPr>
            </w:pPr>
          </w:p>
        </w:tc>
        <w:tc>
          <w:tcPr>
            <w:tcW w:w="866" w:type="dxa"/>
            <w:tcBorders>
              <w:top w:val="single" w:color="000000" w:sz="4" w:space="0"/>
              <w:left w:val="nil"/>
              <w:bottom w:val="single" w:color="000000" w:sz="4" w:space="0"/>
              <w:right w:val="single" w:color="000000" w:sz="4" w:space="0"/>
            </w:tcBorders>
            <w:vAlign w:val="top"/>
          </w:tcPr>
          <w:p w14:paraId="691B5339">
            <w:pPr>
              <w:pStyle w:val="34"/>
              <w:rPr>
                <w:rFonts w:hint="eastAsia" w:ascii="宋体" w:hAnsi="宋体" w:eastAsia="宋体" w:cs="宋体"/>
                <w:color w:val="auto"/>
                <w:sz w:val="24"/>
                <w:szCs w:val="24"/>
                <w:highlight w:val="none"/>
              </w:rPr>
            </w:pPr>
          </w:p>
        </w:tc>
        <w:tc>
          <w:tcPr>
            <w:tcW w:w="1129" w:type="dxa"/>
            <w:tcBorders>
              <w:top w:val="single" w:color="000000" w:sz="4" w:space="0"/>
              <w:left w:val="nil"/>
              <w:bottom w:val="single" w:color="000000" w:sz="4" w:space="0"/>
              <w:right w:val="single" w:color="000000" w:sz="4" w:space="0"/>
            </w:tcBorders>
            <w:vAlign w:val="top"/>
          </w:tcPr>
          <w:p w14:paraId="681FAD78">
            <w:pPr>
              <w:pStyle w:val="34"/>
              <w:rPr>
                <w:rFonts w:hint="eastAsia" w:ascii="宋体" w:hAnsi="宋体" w:eastAsia="宋体" w:cs="宋体"/>
                <w:color w:val="auto"/>
                <w:sz w:val="24"/>
                <w:szCs w:val="24"/>
                <w:highlight w:val="none"/>
              </w:rPr>
            </w:pPr>
          </w:p>
        </w:tc>
        <w:tc>
          <w:tcPr>
            <w:tcW w:w="766" w:type="dxa"/>
            <w:tcBorders>
              <w:top w:val="single" w:color="000000" w:sz="4" w:space="0"/>
              <w:left w:val="nil"/>
              <w:bottom w:val="single" w:color="000000" w:sz="4" w:space="0"/>
              <w:right w:val="single" w:color="000000" w:sz="4" w:space="0"/>
            </w:tcBorders>
            <w:vAlign w:val="top"/>
          </w:tcPr>
          <w:p w14:paraId="620B7669">
            <w:pPr>
              <w:pStyle w:val="34"/>
              <w:rPr>
                <w:rFonts w:hint="eastAsia" w:ascii="宋体" w:hAnsi="宋体" w:eastAsia="宋体" w:cs="宋体"/>
                <w:color w:val="auto"/>
                <w:sz w:val="24"/>
                <w:szCs w:val="24"/>
                <w:highlight w:val="none"/>
              </w:rPr>
            </w:pPr>
          </w:p>
        </w:tc>
        <w:tc>
          <w:tcPr>
            <w:tcW w:w="841" w:type="dxa"/>
            <w:tcBorders>
              <w:top w:val="single" w:color="000000" w:sz="4" w:space="0"/>
              <w:left w:val="nil"/>
              <w:bottom w:val="single" w:color="000000" w:sz="4" w:space="0"/>
              <w:right w:val="single" w:color="000000" w:sz="4" w:space="0"/>
            </w:tcBorders>
            <w:vAlign w:val="top"/>
          </w:tcPr>
          <w:p w14:paraId="416A9549">
            <w:pPr>
              <w:pStyle w:val="34"/>
              <w:rPr>
                <w:rFonts w:hint="eastAsia" w:ascii="宋体" w:hAnsi="宋体" w:eastAsia="宋体" w:cs="宋体"/>
                <w:color w:val="auto"/>
                <w:sz w:val="24"/>
                <w:szCs w:val="24"/>
                <w:highlight w:val="none"/>
              </w:rPr>
            </w:pPr>
          </w:p>
        </w:tc>
        <w:tc>
          <w:tcPr>
            <w:tcW w:w="1382" w:type="dxa"/>
            <w:tcBorders>
              <w:top w:val="single" w:color="000000" w:sz="4" w:space="0"/>
              <w:left w:val="nil"/>
              <w:bottom w:val="single" w:color="000000" w:sz="4" w:space="0"/>
              <w:right w:val="single" w:color="000000" w:sz="4" w:space="0"/>
            </w:tcBorders>
            <w:vAlign w:val="top"/>
          </w:tcPr>
          <w:p w14:paraId="56AA4627">
            <w:pPr>
              <w:pStyle w:val="34"/>
              <w:rPr>
                <w:rFonts w:hint="eastAsia" w:ascii="宋体" w:hAnsi="宋体" w:eastAsia="宋体" w:cs="宋体"/>
                <w:color w:val="auto"/>
                <w:sz w:val="24"/>
                <w:szCs w:val="24"/>
                <w:highlight w:val="none"/>
              </w:rPr>
            </w:pPr>
          </w:p>
        </w:tc>
        <w:tc>
          <w:tcPr>
            <w:tcW w:w="1885" w:type="dxa"/>
            <w:tcBorders>
              <w:top w:val="single" w:color="000000" w:sz="4" w:space="0"/>
              <w:left w:val="nil"/>
              <w:bottom w:val="single" w:color="000000" w:sz="4" w:space="0"/>
              <w:right w:val="single" w:color="000000" w:sz="4" w:space="0"/>
            </w:tcBorders>
            <w:vAlign w:val="top"/>
          </w:tcPr>
          <w:p w14:paraId="333FD5EC">
            <w:pPr>
              <w:pStyle w:val="34"/>
              <w:rPr>
                <w:rFonts w:hint="eastAsia" w:ascii="宋体" w:hAnsi="宋体" w:eastAsia="宋体" w:cs="宋体"/>
                <w:color w:val="auto"/>
                <w:sz w:val="24"/>
                <w:szCs w:val="24"/>
                <w:highlight w:val="none"/>
              </w:rPr>
            </w:pPr>
          </w:p>
        </w:tc>
        <w:tc>
          <w:tcPr>
            <w:tcW w:w="781" w:type="dxa"/>
            <w:tcBorders>
              <w:top w:val="single" w:color="000000" w:sz="4" w:space="0"/>
              <w:left w:val="nil"/>
              <w:bottom w:val="single" w:color="000000" w:sz="4" w:space="0"/>
              <w:right w:val="single" w:color="000000" w:sz="4" w:space="0"/>
            </w:tcBorders>
            <w:vAlign w:val="top"/>
          </w:tcPr>
          <w:p w14:paraId="47E61CFB">
            <w:pPr>
              <w:pStyle w:val="34"/>
              <w:rPr>
                <w:rFonts w:hint="eastAsia" w:ascii="宋体" w:hAnsi="宋体" w:eastAsia="宋体" w:cs="宋体"/>
                <w:color w:val="auto"/>
                <w:sz w:val="24"/>
                <w:szCs w:val="24"/>
                <w:highlight w:val="none"/>
              </w:rPr>
            </w:pPr>
          </w:p>
        </w:tc>
      </w:tr>
    </w:tbl>
    <w:p w14:paraId="3B597A42">
      <w:pPr>
        <w:pStyle w:val="34"/>
        <w:rPr>
          <w:rFonts w:hint="eastAsia" w:ascii="宋体" w:hAnsi="宋体" w:eastAsia="宋体" w:cs="宋体"/>
          <w:b/>
          <w:color w:val="auto"/>
          <w:highlight w:val="none"/>
        </w:rPr>
      </w:pPr>
      <w:r>
        <w:rPr>
          <w:rFonts w:hint="eastAsia" w:ascii="宋体" w:hAnsi="宋体" w:eastAsia="宋体" w:cs="宋体"/>
          <w:color w:val="auto"/>
          <w:sz w:val="20"/>
          <w:szCs w:val="20"/>
          <w:highlight w:val="none"/>
        </w:rPr>
        <w:t xml:space="preserve"> </w:t>
      </w:r>
      <w:bookmarkStart w:id="2404" w:name="_Toc418752353"/>
      <w:bookmarkStart w:id="2405" w:name="_Toc418751907"/>
      <w:bookmarkStart w:id="2406" w:name="_Toc483317226"/>
      <w:r>
        <w:rPr>
          <w:rFonts w:hint="eastAsia" w:ascii="宋体" w:hAnsi="宋体" w:eastAsia="宋体" w:cs="宋体"/>
          <w:b/>
          <w:color w:val="auto"/>
          <w:highlight w:val="none"/>
        </w:rPr>
        <w:t>附表三：劳动力计划表</w:t>
      </w:r>
      <w:bookmarkEnd w:id="2404"/>
      <w:bookmarkEnd w:id="2405"/>
      <w:bookmarkEnd w:id="2406"/>
    </w:p>
    <w:p w14:paraId="187A829D">
      <w:pPr>
        <w:pStyle w:val="34"/>
        <w:jc w:val="right"/>
        <w:rPr>
          <w:rFonts w:hint="eastAsia" w:ascii="宋体" w:hAnsi="宋体" w:eastAsia="宋体" w:cs="宋体"/>
          <w:color w:val="auto"/>
          <w:highlight w:val="none"/>
        </w:rPr>
      </w:pPr>
      <w:r>
        <w:rPr>
          <w:rFonts w:hint="eastAsia" w:ascii="宋体" w:hAnsi="宋体" w:eastAsia="宋体" w:cs="宋体"/>
          <w:color w:val="auto"/>
          <w:highlight w:val="none"/>
        </w:rPr>
        <w:t>单位：人</w:t>
      </w:r>
    </w:p>
    <w:tbl>
      <w:tblPr>
        <w:tblStyle w:val="27"/>
        <w:tblW w:w="9648" w:type="dxa"/>
        <w:tblInd w:w="-5" w:type="dxa"/>
        <w:tblLayout w:type="fixed"/>
        <w:tblCellMar>
          <w:top w:w="0" w:type="dxa"/>
          <w:left w:w="0" w:type="dxa"/>
          <w:bottom w:w="0" w:type="dxa"/>
          <w:right w:w="0" w:type="dxa"/>
        </w:tblCellMar>
      </w:tblPr>
      <w:tblGrid>
        <w:gridCol w:w="938"/>
        <w:gridCol w:w="1478"/>
        <w:gridCol w:w="1204"/>
        <w:gridCol w:w="1206"/>
        <w:gridCol w:w="1204"/>
        <w:gridCol w:w="1206"/>
        <w:gridCol w:w="1204"/>
        <w:gridCol w:w="1208"/>
      </w:tblGrid>
      <w:tr w14:paraId="1EEE4ABC">
        <w:tblPrEx>
          <w:tblCellMar>
            <w:top w:w="0" w:type="dxa"/>
            <w:left w:w="0" w:type="dxa"/>
            <w:bottom w:w="0" w:type="dxa"/>
            <w:right w:w="0" w:type="dxa"/>
          </w:tblCellMar>
        </w:tblPrEx>
        <w:trPr>
          <w:trHeight w:val="450" w:hRule="atLeast"/>
        </w:trPr>
        <w:tc>
          <w:tcPr>
            <w:tcW w:w="938" w:type="dxa"/>
            <w:tcBorders>
              <w:top w:val="single" w:color="000000" w:sz="4" w:space="0"/>
              <w:left w:val="single" w:color="000000" w:sz="4" w:space="0"/>
              <w:bottom w:val="single" w:color="000000" w:sz="4" w:space="0"/>
              <w:right w:val="single" w:color="000000" w:sz="4" w:space="0"/>
            </w:tcBorders>
            <w:vAlign w:val="center"/>
          </w:tcPr>
          <w:p w14:paraId="4A98BE34">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工种</w:t>
            </w:r>
          </w:p>
        </w:tc>
        <w:tc>
          <w:tcPr>
            <w:tcW w:w="8710" w:type="dxa"/>
            <w:gridSpan w:val="7"/>
            <w:tcBorders>
              <w:top w:val="single" w:color="000000" w:sz="4" w:space="0"/>
              <w:left w:val="nil"/>
              <w:bottom w:val="single" w:color="000000" w:sz="4" w:space="0"/>
              <w:right w:val="single" w:color="000000" w:sz="4" w:space="0"/>
            </w:tcBorders>
            <w:vAlign w:val="center"/>
          </w:tcPr>
          <w:p w14:paraId="0695B83B">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按工程施工阶段投入劳动力情况</w:t>
            </w:r>
          </w:p>
        </w:tc>
      </w:tr>
      <w:tr w14:paraId="5EA72734">
        <w:tblPrEx>
          <w:tblCellMar>
            <w:top w:w="0" w:type="dxa"/>
            <w:left w:w="0" w:type="dxa"/>
            <w:bottom w:w="0" w:type="dxa"/>
            <w:right w:w="0" w:type="dxa"/>
          </w:tblCellMar>
        </w:tblPrEx>
        <w:trPr>
          <w:trHeight w:val="450" w:hRule="atLeast"/>
        </w:trPr>
        <w:tc>
          <w:tcPr>
            <w:tcW w:w="938" w:type="dxa"/>
            <w:tcBorders>
              <w:top w:val="single" w:color="000000" w:sz="4" w:space="0"/>
              <w:left w:val="single" w:color="000000" w:sz="4" w:space="0"/>
              <w:bottom w:val="single" w:color="000000" w:sz="4" w:space="0"/>
              <w:right w:val="single" w:color="000000" w:sz="4" w:space="0"/>
            </w:tcBorders>
            <w:vAlign w:val="top"/>
          </w:tcPr>
          <w:p w14:paraId="7D4711C0">
            <w:pPr>
              <w:pStyle w:val="34"/>
              <w:rPr>
                <w:rFonts w:hint="eastAsia" w:ascii="宋体" w:hAnsi="宋体" w:eastAsia="宋体" w:cs="宋体"/>
                <w:color w:val="auto"/>
                <w:sz w:val="24"/>
                <w:szCs w:val="24"/>
                <w:highlight w:val="none"/>
              </w:rPr>
            </w:pPr>
          </w:p>
        </w:tc>
        <w:tc>
          <w:tcPr>
            <w:tcW w:w="1478" w:type="dxa"/>
            <w:tcBorders>
              <w:top w:val="single" w:color="000000" w:sz="4" w:space="0"/>
              <w:left w:val="nil"/>
              <w:bottom w:val="single" w:color="000000" w:sz="4" w:space="0"/>
              <w:right w:val="single" w:color="000000" w:sz="4" w:space="0"/>
            </w:tcBorders>
            <w:vAlign w:val="top"/>
          </w:tcPr>
          <w:p w14:paraId="750AEB39">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4BDBED56">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1985C7D9">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1906A2DE">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1A74B790">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4A4D5FC4">
            <w:pPr>
              <w:pStyle w:val="34"/>
              <w:rPr>
                <w:rFonts w:hint="eastAsia" w:ascii="宋体" w:hAnsi="宋体" w:eastAsia="宋体" w:cs="宋体"/>
                <w:color w:val="auto"/>
                <w:sz w:val="24"/>
                <w:szCs w:val="24"/>
                <w:highlight w:val="none"/>
              </w:rPr>
            </w:pPr>
          </w:p>
        </w:tc>
        <w:tc>
          <w:tcPr>
            <w:tcW w:w="1208" w:type="dxa"/>
            <w:tcBorders>
              <w:top w:val="single" w:color="000000" w:sz="4" w:space="0"/>
              <w:left w:val="nil"/>
              <w:bottom w:val="single" w:color="000000" w:sz="4" w:space="0"/>
              <w:right w:val="single" w:color="000000" w:sz="4" w:space="0"/>
            </w:tcBorders>
            <w:vAlign w:val="top"/>
          </w:tcPr>
          <w:p w14:paraId="07E9E401">
            <w:pPr>
              <w:pStyle w:val="34"/>
              <w:rPr>
                <w:rFonts w:hint="eastAsia" w:ascii="宋体" w:hAnsi="宋体" w:eastAsia="宋体" w:cs="宋体"/>
                <w:color w:val="auto"/>
                <w:sz w:val="24"/>
                <w:szCs w:val="24"/>
                <w:highlight w:val="none"/>
              </w:rPr>
            </w:pPr>
          </w:p>
        </w:tc>
      </w:tr>
      <w:tr w14:paraId="1719D58E">
        <w:tblPrEx>
          <w:tblCellMar>
            <w:top w:w="0" w:type="dxa"/>
            <w:left w:w="0" w:type="dxa"/>
            <w:bottom w:w="0" w:type="dxa"/>
            <w:right w:w="0" w:type="dxa"/>
          </w:tblCellMar>
        </w:tblPrEx>
        <w:trPr>
          <w:trHeight w:val="450" w:hRule="atLeast"/>
        </w:trPr>
        <w:tc>
          <w:tcPr>
            <w:tcW w:w="938" w:type="dxa"/>
            <w:tcBorders>
              <w:top w:val="single" w:color="000000" w:sz="4" w:space="0"/>
              <w:left w:val="single" w:color="000000" w:sz="4" w:space="0"/>
              <w:bottom w:val="single" w:color="000000" w:sz="4" w:space="0"/>
              <w:right w:val="single" w:color="000000" w:sz="4" w:space="0"/>
            </w:tcBorders>
            <w:vAlign w:val="top"/>
          </w:tcPr>
          <w:p w14:paraId="5838687A">
            <w:pPr>
              <w:pStyle w:val="34"/>
              <w:rPr>
                <w:rFonts w:hint="eastAsia" w:ascii="宋体" w:hAnsi="宋体" w:eastAsia="宋体" w:cs="宋体"/>
                <w:color w:val="auto"/>
                <w:sz w:val="24"/>
                <w:szCs w:val="24"/>
                <w:highlight w:val="none"/>
              </w:rPr>
            </w:pPr>
          </w:p>
        </w:tc>
        <w:tc>
          <w:tcPr>
            <w:tcW w:w="1478" w:type="dxa"/>
            <w:tcBorders>
              <w:top w:val="single" w:color="000000" w:sz="4" w:space="0"/>
              <w:left w:val="nil"/>
              <w:bottom w:val="single" w:color="000000" w:sz="4" w:space="0"/>
              <w:right w:val="single" w:color="000000" w:sz="4" w:space="0"/>
            </w:tcBorders>
            <w:vAlign w:val="top"/>
          </w:tcPr>
          <w:p w14:paraId="60FE4A53">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028C6A2B">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175DEF61">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6057C4FD">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40C376ED">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0FEB63F6">
            <w:pPr>
              <w:pStyle w:val="34"/>
              <w:rPr>
                <w:rFonts w:hint="eastAsia" w:ascii="宋体" w:hAnsi="宋体" w:eastAsia="宋体" w:cs="宋体"/>
                <w:color w:val="auto"/>
                <w:sz w:val="24"/>
                <w:szCs w:val="24"/>
                <w:highlight w:val="none"/>
              </w:rPr>
            </w:pPr>
          </w:p>
        </w:tc>
        <w:tc>
          <w:tcPr>
            <w:tcW w:w="1208" w:type="dxa"/>
            <w:tcBorders>
              <w:top w:val="single" w:color="000000" w:sz="4" w:space="0"/>
              <w:left w:val="nil"/>
              <w:bottom w:val="single" w:color="000000" w:sz="4" w:space="0"/>
              <w:right w:val="single" w:color="000000" w:sz="4" w:space="0"/>
            </w:tcBorders>
            <w:vAlign w:val="top"/>
          </w:tcPr>
          <w:p w14:paraId="1E27230E">
            <w:pPr>
              <w:pStyle w:val="34"/>
              <w:rPr>
                <w:rFonts w:hint="eastAsia" w:ascii="宋体" w:hAnsi="宋体" w:eastAsia="宋体" w:cs="宋体"/>
                <w:color w:val="auto"/>
                <w:sz w:val="24"/>
                <w:szCs w:val="24"/>
                <w:highlight w:val="none"/>
              </w:rPr>
            </w:pPr>
          </w:p>
        </w:tc>
      </w:tr>
      <w:tr w14:paraId="2967FA23">
        <w:tblPrEx>
          <w:tblCellMar>
            <w:top w:w="0" w:type="dxa"/>
            <w:left w:w="0" w:type="dxa"/>
            <w:bottom w:w="0" w:type="dxa"/>
            <w:right w:w="0" w:type="dxa"/>
          </w:tblCellMar>
        </w:tblPrEx>
        <w:trPr>
          <w:trHeight w:val="450" w:hRule="atLeast"/>
        </w:trPr>
        <w:tc>
          <w:tcPr>
            <w:tcW w:w="938" w:type="dxa"/>
            <w:tcBorders>
              <w:top w:val="single" w:color="000000" w:sz="4" w:space="0"/>
              <w:left w:val="single" w:color="000000" w:sz="4" w:space="0"/>
              <w:bottom w:val="single" w:color="000000" w:sz="4" w:space="0"/>
              <w:right w:val="single" w:color="000000" w:sz="4" w:space="0"/>
            </w:tcBorders>
            <w:vAlign w:val="top"/>
          </w:tcPr>
          <w:p w14:paraId="7602202B">
            <w:pPr>
              <w:pStyle w:val="34"/>
              <w:rPr>
                <w:rFonts w:hint="eastAsia" w:ascii="宋体" w:hAnsi="宋体" w:eastAsia="宋体" w:cs="宋体"/>
                <w:color w:val="auto"/>
                <w:sz w:val="24"/>
                <w:szCs w:val="24"/>
                <w:highlight w:val="none"/>
              </w:rPr>
            </w:pPr>
          </w:p>
        </w:tc>
        <w:tc>
          <w:tcPr>
            <w:tcW w:w="1478" w:type="dxa"/>
            <w:tcBorders>
              <w:top w:val="single" w:color="000000" w:sz="4" w:space="0"/>
              <w:left w:val="nil"/>
              <w:bottom w:val="single" w:color="000000" w:sz="4" w:space="0"/>
              <w:right w:val="single" w:color="000000" w:sz="4" w:space="0"/>
            </w:tcBorders>
            <w:vAlign w:val="top"/>
          </w:tcPr>
          <w:p w14:paraId="50298A72">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379F6E27">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419A54DC">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3B654C03">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352C849C">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61BB7502">
            <w:pPr>
              <w:pStyle w:val="34"/>
              <w:rPr>
                <w:rFonts w:hint="eastAsia" w:ascii="宋体" w:hAnsi="宋体" w:eastAsia="宋体" w:cs="宋体"/>
                <w:color w:val="auto"/>
                <w:sz w:val="24"/>
                <w:szCs w:val="24"/>
                <w:highlight w:val="none"/>
              </w:rPr>
            </w:pPr>
          </w:p>
        </w:tc>
        <w:tc>
          <w:tcPr>
            <w:tcW w:w="1208" w:type="dxa"/>
            <w:tcBorders>
              <w:top w:val="single" w:color="000000" w:sz="4" w:space="0"/>
              <w:left w:val="nil"/>
              <w:bottom w:val="single" w:color="000000" w:sz="4" w:space="0"/>
              <w:right w:val="single" w:color="000000" w:sz="4" w:space="0"/>
            </w:tcBorders>
            <w:vAlign w:val="top"/>
          </w:tcPr>
          <w:p w14:paraId="102C89B1">
            <w:pPr>
              <w:pStyle w:val="34"/>
              <w:rPr>
                <w:rFonts w:hint="eastAsia" w:ascii="宋体" w:hAnsi="宋体" w:eastAsia="宋体" w:cs="宋体"/>
                <w:color w:val="auto"/>
                <w:sz w:val="24"/>
                <w:szCs w:val="24"/>
                <w:highlight w:val="none"/>
              </w:rPr>
            </w:pPr>
          </w:p>
        </w:tc>
      </w:tr>
      <w:tr w14:paraId="1BE3C3E3">
        <w:tblPrEx>
          <w:tblCellMar>
            <w:top w:w="0" w:type="dxa"/>
            <w:left w:w="0" w:type="dxa"/>
            <w:bottom w:w="0" w:type="dxa"/>
            <w:right w:w="0" w:type="dxa"/>
          </w:tblCellMar>
        </w:tblPrEx>
        <w:trPr>
          <w:trHeight w:val="450" w:hRule="atLeast"/>
        </w:trPr>
        <w:tc>
          <w:tcPr>
            <w:tcW w:w="938" w:type="dxa"/>
            <w:tcBorders>
              <w:top w:val="single" w:color="000000" w:sz="4" w:space="0"/>
              <w:left w:val="single" w:color="000000" w:sz="4" w:space="0"/>
              <w:bottom w:val="single" w:color="000000" w:sz="4" w:space="0"/>
              <w:right w:val="single" w:color="000000" w:sz="4" w:space="0"/>
            </w:tcBorders>
            <w:vAlign w:val="top"/>
          </w:tcPr>
          <w:p w14:paraId="00099423">
            <w:pPr>
              <w:pStyle w:val="34"/>
              <w:rPr>
                <w:rFonts w:hint="eastAsia" w:ascii="宋体" w:hAnsi="宋体" w:eastAsia="宋体" w:cs="宋体"/>
                <w:color w:val="auto"/>
                <w:sz w:val="24"/>
                <w:szCs w:val="24"/>
                <w:highlight w:val="none"/>
              </w:rPr>
            </w:pPr>
          </w:p>
        </w:tc>
        <w:tc>
          <w:tcPr>
            <w:tcW w:w="1478" w:type="dxa"/>
            <w:tcBorders>
              <w:top w:val="single" w:color="000000" w:sz="4" w:space="0"/>
              <w:left w:val="nil"/>
              <w:bottom w:val="single" w:color="000000" w:sz="4" w:space="0"/>
              <w:right w:val="single" w:color="000000" w:sz="4" w:space="0"/>
            </w:tcBorders>
            <w:vAlign w:val="top"/>
          </w:tcPr>
          <w:p w14:paraId="41C1818D">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2E48866B">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75553FC1">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463B153A">
            <w:pPr>
              <w:pStyle w:val="34"/>
              <w:rPr>
                <w:rFonts w:hint="eastAsia" w:ascii="宋体" w:hAnsi="宋体" w:eastAsia="宋体" w:cs="宋体"/>
                <w:color w:val="auto"/>
                <w:sz w:val="24"/>
                <w:szCs w:val="24"/>
                <w:highlight w:val="none"/>
              </w:rPr>
            </w:pPr>
          </w:p>
        </w:tc>
        <w:tc>
          <w:tcPr>
            <w:tcW w:w="1206" w:type="dxa"/>
            <w:tcBorders>
              <w:top w:val="single" w:color="000000" w:sz="4" w:space="0"/>
              <w:left w:val="nil"/>
              <w:bottom w:val="single" w:color="000000" w:sz="4" w:space="0"/>
              <w:right w:val="single" w:color="000000" w:sz="4" w:space="0"/>
            </w:tcBorders>
            <w:vAlign w:val="top"/>
          </w:tcPr>
          <w:p w14:paraId="79593315">
            <w:pPr>
              <w:pStyle w:val="34"/>
              <w:rPr>
                <w:rFonts w:hint="eastAsia" w:ascii="宋体" w:hAnsi="宋体" w:eastAsia="宋体" w:cs="宋体"/>
                <w:color w:val="auto"/>
                <w:sz w:val="24"/>
                <w:szCs w:val="24"/>
                <w:highlight w:val="none"/>
              </w:rPr>
            </w:pPr>
          </w:p>
        </w:tc>
        <w:tc>
          <w:tcPr>
            <w:tcW w:w="1204" w:type="dxa"/>
            <w:tcBorders>
              <w:top w:val="single" w:color="000000" w:sz="4" w:space="0"/>
              <w:left w:val="nil"/>
              <w:bottom w:val="single" w:color="000000" w:sz="4" w:space="0"/>
              <w:right w:val="single" w:color="000000" w:sz="4" w:space="0"/>
            </w:tcBorders>
            <w:vAlign w:val="top"/>
          </w:tcPr>
          <w:p w14:paraId="1810E222">
            <w:pPr>
              <w:pStyle w:val="34"/>
              <w:rPr>
                <w:rFonts w:hint="eastAsia" w:ascii="宋体" w:hAnsi="宋体" w:eastAsia="宋体" w:cs="宋体"/>
                <w:color w:val="auto"/>
                <w:sz w:val="24"/>
                <w:szCs w:val="24"/>
                <w:highlight w:val="none"/>
              </w:rPr>
            </w:pPr>
          </w:p>
        </w:tc>
        <w:tc>
          <w:tcPr>
            <w:tcW w:w="1208" w:type="dxa"/>
            <w:tcBorders>
              <w:top w:val="single" w:color="000000" w:sz="4" w:space="0"/>
              <w:left w:val="nil"/>
              <w:bottom w:val="single" w:color="000000" w:sz="4" w:space="0"/>
              <w:right w:val="single" w:color="000000" w:sz="4" w:space="0"/>
            </w:tcBorders>
            <w:vAlign w:val="top"/>
          </w:tcPr>
          <w:p w14:paraId="0E82A2C9">
            <w:pPr>
              <w:pStyle w:val="34"/>
              <w:rPr>
                <w:rFonts w:hint="eastAsia" w:ascii="宋体" w:hAnsi="宋体" w:eastAsia="宋体" w:cs="宋体"/>
                <w:color w:val="auto"/>
                <w:sz w:val="24"/>
                <w:szCs w:val="24"/>
                <w:highlight w:val="none"/>
              </w:rPr>
            </w:pPr>
          </w:p>
        </w:tc>
      </w:tr>
    </w:tbl>
    <w:p w14:paraId="6C290E51">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6090ACD9">
      <w:pPr>
        <w:rPr>
          <w:rFonts w:hint="eastAsia" w:ascii="宋体" w:hAnsi="宋体" w:eastAsia="宋体" w:cs="宋体"/>
          <w:b/>
          <w:color w:val="auto"/>
          <w:highlight w:val="none"/>
        </w:rPr>
      </w:pPr>
      <w:bookmarkStart w:id="2407" w:name="_Toc483317227"/>
      <w:bookmarkStart w:id="2408" w:name="_Toc418752354"/>
      <w:bookmarkStart w:id="2409" w:name="_Toc418751908"/>
      <w:r>
        <w:rPr>
          <w:rFonts w:hint="eastAsia" w:ascii="宋体" w:hAnsi="宋体" w:eastAsia="宋体" w:cs="宋体"/>
          <w:b/>
          <w:color w:val="auto"/>
          <w:highlight w:val="none"/>
        </w:rPr>
        <w:t>附表四：计划开、竣工日期和施工进度网络图</w:t>
      </w:r>
      <w:r>
        <w:rPr>
          <w:rFonts w:hint="eastAsia" w:ascii="宋体" w:hAnsi="宋体" w:eastAsia="宋体" w:cs="宋体"/>
          <w:b/>
          <w:color w:val="auto"/>
          <w:highlight w:val="none"/>
          <w:lang w:val="en-US" w:eastAsia="zh-CN"/>
        </w:rPr>
        <w:t>或</w:t>
      </w:r>
      <w:r>
        <w:rPr>
          <w:rFonts w:hint="eastAsia" w:ascii="宋体" w:hAnsi="宋体" w:eastAsia="宋体" w:cs="宋体"/>
          <w:b/>
          <w:color w:val="auto"/>
          <w:highlight w:val="none"/>
        </w:rPr>
        <w:t>横道图</w:t>
      </w:r>
      <w:bookmarkEnd w:id="2407"/>
      <w:bookmarkEnd w:id="2408"/>
      <w:bookmarkEnd w:id="2409"/>
    </w:p>
    <w:p w14:paraId="13155067">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0D6F95A4">
      <w:pPr>
        <w:pStyle w:val="34"/>
        <w:ind w:firstLine="424"/>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应递交施工进度网络图</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横道图</w:t>
      </w:r>
      <w:r>
        <w:rPr>
          <w:rFonts w:hint="eastAsia" w:ascii="宋体" w:hAnsi="宋体" w:eastAsia="宋体" w:cs="宋体"/>
          <w:color w:val="auto"/>
          <w:spacing w:val="1"/>
          <w:highlight w:val="none"/>
        </w:rPr>
        <w:t>，说</w:t>
      </w:r>
      <w:r>
        <w:rPr>
          <w:rFonts w:hint="eastAsia" w:ascii="宋体" w:hAnsi="宋体" w:eastAsia="宋体" w:cs="宋体"/>
          <w:color w:val="auto"/>
          <w:spacing w:val="2"/>
          <w:highlight w:val="none"/>
        </w:rPr>
        <w:t>明</w:t>
      </w:r>
      <w:r>
        <w:rPr>
          <w:rFonts w:hint="eastAsia" w:ascii="宋体" w:hAnsi="宋体" w:eastAsia="宋体" w:cs="宋体"/>
          <w:color w:val="auto"/>
          <w:spacing w:val="1"/>
          <w:highlight w:val="none"/>
        </w:rPr>
        <w:t>按</w:t>
      </w:r>
      <w:r>
        <w:rPr>
          <w:rFonts w:hint="eastAsia" w:ascii="宋体" w:hAnsi="宋体" w:eastAsia="宋体" w:cs="宋体"/>
          <w:color w:val="auto"/>
          <w:spacing w:val="2"/>
          <w:highlight w:val="none"/>
          <w:lang w:val="en-US" w:eastAsia="zh-CN"/>
        </w:rPr>
        <w:t>竞争性磋商</w:t>
      </w:r>
      <w:r>
        <w:rPr>
          <w:rFonts w:hint="eastAsia" w:ascii="宋体" w:hAnsi="宋体" w:eastAsia="宋体" w:cs="宋体"/>
          <w:color w:val="auto"/>
          <w:spacing w:val="1"/>
          <w:highlight w:val="none"/>
        </w:rPr>
        <w:t>文</w:t>
      </w:r>
      <w:r>
        <w:rPr>
          <w:rFonts w:hint="eastAsia" w:ascii="宋体" w:hAnsi="宋体" w:eastAsia="宋体" w:cs="宋体"/>
          <w:color w:val="auto"/>
          <w:spacing w:val="2"/>
          <w:highlight w:val="none"/>
        </w:rPr>
        <w:t>件</w:t>
      </w:r>
      <w:r>
        <w:rPr>
          <w:rFonts w:hint="eastAsia" w:ascii="宋体" w:hAnsi="宋体" w:eastAsia="宋体" w:cs="宋体"/>
          <w:color w:val="auto"/>
          <w:spacing w:val="1"/>
          <w:highlight w:val="none"/>
        </w:rPr>
        <w:t>要</w:t>
      </w:r>
      <w:r>
        <w:rPr>
          <w:rFonts w:hint="eastAsia" w:ascii="宋体" w:hAnsi="宋体" w:eastAsia="宋体" w:cs="宋体"/>
          <w:color w:val="auto"/>
          <w:spacing w:val="2"/>
          <w:highlight w:val="none"/>
        </w:rPr>
        <w:t>求</w:t>
      </w:r>
      <w:r>
        <w:rPr>
          <w:rFonts w:hint="eastAsia" w:ascii="宋体" w:hAnsi="宋体" w:eastAsia="宋体" w:cs="宋体"/>
          <w:color w:val="auto"/>
          <w:spacing w:val="1"/>
          <w:highlight w:val="none"/>
        </w:rPr>
        <w:t>的计</w:t>
      </w:r>
      <w:r>
        <w:rPr>
          <w:rFonts w:hint="eastAsia" w:ascii="宋体" w:hAnsi="宋体" w:eastAsia="宋体" w:cs="宋体"/>
          <w:color w:val="auto"/>
          <w:spacing w:val="2"/>
          <w:highlight w:val="none"/>
        </w:rPr>
        <w:t>划</w:t>
      </w:r>
      <w:r>
        <w:rPr>
          <w:rFonts w:hint="eastAsia" w:ascii="宋体" w:hAnsi="宋体" w:eastAsia="宋体" w:cs="宋体"/>
          <w:color w:val="auto"/>
          <w:spacing w:val="1"/>
          <w:highlight w:val="none"/>
        </w:rPr>
        <w:t>工</w:t>
      </w:r>
      <w:r>
        <w:rPr>
          <w:rFonts w:hint="eastAsia" w:ascii="宋体" w:hAnsi="宋体" w:eastAsia="宋体" w:cs="宋体"/>
          <w:color w:val="auto"/>
          <w:spacing w:val="4"/>
          <w:highlight w:val="none"/>
        </w:rPr>
        <w:t>期</w:t>
      </w:r>
      <w:r>
        <w:rPr>
          <w:rFonts w:hint="eastAsia" w:ascii="宋体" w:hAnsi="宋体" w:eastAsia="宋体" w:cs="宋体"/>
          <w:color w:val="auto"/>
          <w:spacing w:val="2"/>
          <w:highlight w:val="none"/>
        </w:rPr>
        <w:t>进</w:t>
      </w:r>
      <w:r>
        <w:rPr>
          <w:rFonts w:hint="eastAsia" w:ascii="宋体" w:hAnsi="宋体" w:eastAsia="宋体" w:cs="宋体"/>
          <w:color w:val="auto"/>
          <w:spacing w:val="1"/>
          <w:highlight w:val="none"/>
        </w:rPr>
        <w:t>行</w:t>
      </w:r>
      <w:r>
        <w:rPr>
          <w:rFonts w:hint="eastAsia" w:ascii="宋体" w:hAnsi="宋体" w:eastAsia="宋体" w:cs="宋体"/>
          <w:color w:val="auto"/>
          <w:highlight w:val="none"/>
        </w:rPr>
        <w:t>施工的各个关键日期。</w:t>
      </w:r>
    </w:p>
    <w:p w14:paraId="41DFD172">
      <w:pPr>
        <w:pStyle w:val="34"/>
        <w:ind w:firstLine="424"/>
        <w:rPr>
          <w:rFonts w:hint="eastAsia" w:ascii="宋体" w:hAnsi="宋体" w:eastAsia="宋体" w:cs="宋体"/>
          <w:color w:val="auto"/>
          <w:highlight w:val="none"/>
        </w:rPr>
      </w:pPr>
      <w:r>
        <w:rPr>
          <w:rFonts w:hint="eastAsia" w:ascii="宋体" w:hAnsi="宋体" w:eastAsia="宋体" w:cs="宋体"/>
          <w:color w:val="auto"/>
          <w:highlight w:val="none"/>
        </w:rPr>
        <w:t>2.计划开工日期：</w:t>
      </w:r>
      <w:r>
        <w:rPr>
          <w:rFonts w:hint="eastAsia" w:ascii="宋体" w:hAnsi="宋体"/>
          <w:color w:val="auto"/>
          <w:szCs w:val="21"/>
          <w:highlight w:val="none"/>
          <w:lang w:val="en-US" w:eastAsia="zh-CN"/>
        </w:rPr>
        <w:t>自合同签订之日起至 年 月 日</w:t>
      </w:r>
      <w:r>
        <w:rPr>
          <w:rFonts w:hint="eastAsia" w:ascii="宋体" w:hAnsi="宋体" w:eastAsia="宋体" w:cs="宋体"/>
          <w:i w:val="0"/>
          <w:iCs w:val="0"/>
          <w:color w:val="auto"/>
          <w:sz w:val="21"/>
          <w:szCs w:val="21"/>
          <w:highlight w:val="none"/>
          <w:lang w:val="en-US" w:eastAsia="zh-CN"/>
        </w:rPr>
        <w:t>。</w:t>
      </w:r>
    </w:p>
    <w:p w14:paraId="2D31D7B2">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51A06236">
      <w:pPr>
        <w:rPr>
          <w:rFonts w:hint="eastAsia" w:ascii="宋体" w:hAnsi="宋体" w:eastAsia="宋体" w:cs="宋体"/>
          <w:b/>
          <w:color w:val="auto"/>
          <w:highlight w:val="none"/>
        </w:rPr>
      </w:pPr>
      <w:bookmarkStart w:id="2410" w:name="_Toc483317228"/>
      <w:bookmarkStart w:id="2411" w:name="_Toc418752355"/>
      <w:bookmarkStart w:id="2412" w:name="_Toc418751909"/>
      <w:r>
        <w:rPr>
          <w:rFonts w:hint="eastAsia" w:ascii="宋体" w:hAnsi="宋体" w:eastAsia="宋体" w:cs="宋体"/>
          <w:b/>
          <w:color w:val="auto"/>
          <w:highlight w:val="none"/>
        </w:rPr>
        <w:t>附表五：施工总平面图</w:t>
      </w:r>
      <w:bookmarkEnd w:id="2410"/>
      <w:bookmarkEnd w:id="2411"/>
      <w:bookmarkEnd w:id="2412"/>
    </w:p>
    <w:p w14:paraId="7379712A">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39736DB8">
      <w:pPr>
        <w:pStyle w:val="34"/>
        <w:ind w:firstLine="424"/>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应递交一份施工总平面图</w:t>
      </w:r>
      <w:r>
        <w:rPr>
          <w:rFonts w:hint="eastAsia" w:ascii="宋体" w:hAnsi="宋体" w:eastAsia="宋体" w:cs="宋体"/>
          <w:color w:val="auto"/>
          <w:spacing w:val="-47"/>
          <w:highlight w:val="none"/>
        </w:rPr>
        <w:t>，</w:t>
      </w:r>
      <w:r>
        <w:rPr>
          <w:rFonts w:hint="eastAsia" w:ascii="宋体" w:hAnsi="宋体" w:eastAsia="宋体" w:cs="宋体"/>
          <w:color w:val="auto"/>
          <w:highlight w:val="none"/>
        </w:rPr>
        <w:t>绘出现场临时设施布置图表并附文字说明</w:t>
      </w:r>
      <w:r>
        <w:rPr>
          <w:rFonts w:hint="eastAsia" w:ascii="宋体" w:hAnsi="宋体" w:eastAsia="宋体" w:cs="宋体"/>
          <w:color w:val="auto"/>
          <w:spacing w:val="-47"/>
          <w:highlight w:val="none"/>
        </w:rPr>
        <w:t>，</w:t>
      </w:r>
      <w:r>
        <w:rPr>
          <w:rFonts w:hint="eastAsia" w:ascii="宋体" w:hAnsi="宋体" w:eastAsia="宋体" w:cs="宋体"/>
          <w:color w:val="auto"/>
          <w:highlight w:val="none"/>
        </w:rPr>
        <w:t>说明临时设施</w:t>
      </w:r>
      <w:r>
        <w:rPr>
          <w:rFonts w:hint="eastAsia" w:ascii="宋体" w:hAnsi="宋体" w:eastAsia="宋体" w:cs="宋体"/>
          <w:color w:val="auto"/>
          <w:spacing w:val="-11"/>
          <w:highlight w:val="none"/>
        </w:rPr>
        <w:t>、</w:t>
      </w:r>
      <w:r>
        <w:rPr>
          <w:rFonts w:hint="eastAsia" w:ascii="宋体" w:hAnsi="宋体" w:eastAsia="宋体" w:cs="宋体"/>
          <w:color w:val="auto"/>
          <w:highlight w:val="none"/>
        </w:rPr>
        <w:t>加工车间</w:t>
      </w:r>
      <w:r>
        <w:rPr>
          <w:rFonts w:hint="eastAsia" w:ascii="宋体" w:hAnsi="宋体" w:eastAsia="宋体" w:cs="宋体"/>
          <w:color w:val="auto"/>
          <w:spacing w:val="-11"/>
          <w:highlight w:val="none"/>
        </w:rPr>
        <w:t>、</w:t>
      </w:r>
      <w:r>
        <w:rPr>
          <w:rFonts w:hint="eastAsia" w:ascii="宋体" w:hAnsi="宋体" w:eastAsia="宋体" w:cs="宋体"/>
          <w:color w:val="auto"/>
          <w:highlight w:val="none"/>
        </w:rPr>
        <w:t>现场办公</w:t>
      </w:r>
      <w:r>
        <w:rPr>
          <w:rFonts w:hint="eastAsia" w:ascii="宋体" w:hAnsi="宋体" w:eastAsia="宋体" w:cs="宋体"/>
          <w:color w:val="auto"/>
          <w:spacing w:val="-11"/>
          <w:highlight w:val="none"/>
        </w:rPr>
        <w:t>、</w:t>
      </w:r>
      <w:r>
        <w:rPr>
          <w:rFonts w:hint="eastAsia" w:ascii="宋体" w:hAnsi="宋体" w:eastAsia="宋体" w:cs="宋体"/>
          <w:color w:val="auto"/>
          <w:highlight w:val="none"/>
        </w:rPr>
        <w:t>设备及仓储</w:t>
      </w:r>
      <w:r>
        <w:rPr>
          <w:rFonts w:hint="eastAsia" w:ascii="宋体" w:hAnsi="宋体" w:eastAsia="宋体" w:cs="宋体"/>
          <w:color w:val="auto"/>
          <w:spacing w:val="-11"/>
          <w:highlight w:val="none"/>
        </w:rPr>
        <w:t>、</w:t>
      </w:r>
      <w:r>
        <w:rPr>
          <w:rFonts w:hint="eastAsia" w:ascii="宋体" w:hAnsi="宋体" w:eastAsia="宋体" w:cs="宋体"/>
          <w:color w:val="auto"/>
          <w:highlight w:val="none"/>
        </w:rPr>
        <w:t>供电</w:t>
      </w:r>
      <w:r>
        <w:rPr>
          <w:rFonts w:hint="eastAsia" w:ascii="宋体" w:hAnsi="宋体" w:eastAsia="宋体" w:cs="宋体"/>
          <w:color w:val="auto"/>
          <w:spacing w:val="-11"/>
          <w:highlight w:val="none"/>
        </w:rPr>
        <w:t>、</w:t>
      </w:r>
      <w:r>
        <w:rPr>
          <w:rFonts w:hint="eastAsia" w:ascii="宋体" w:hAnsi="宋体" w:eastAsia="宋体" w:cs="宋体"/>
          <w:color w:val="auto"/>
          <w:highlight w:val="none"/>
        </w:rPr>
        <w:t>供水</w:t>
      </w:r>
      <w:r>
        <w:rPr>
          <w:rFonts w:hint="eastAsia" w:ascii="宋体" w:hAnsi="宋体" w:eastAsia="宋体" w:cs="宋体"/>
          <w:color w:val="auto"/>
          <w:spacing w:val="-10"/>
          <w:highlight w:val="none"/>
        </w:rPr>
        <w:t>、</w:t>
      </w:r>
      <w:r>
        <w:rPr>
          <w:rFonts w:hint="eastAsia" w:ascii="宋体" w:hAnsi="宋体" w:eastAsia="宋体" w:cs="宋体"/>
          <w:color w:val="auto"/>
          <w:highlight w:val="none"/>
        </w:rPr>
        <w:t>卫生</w:t>
      </w:r>
      <w:r>
        <w:rPr>
          <w:rFonts w:hint="eastAsia" w:ascii="宋体" w:hAnsi="宋体" w:eastAsia="宋体" w:cs="宋体"/>
          <w:color w:val="auto"/>
          <w:spacing w:val="-11"/>
          <w:highlight w:val="none"/>
        </w:rPr>
        <w:t>、</w:t>
      </w:r>
      <w:r>
        <w:rPr>
          <w:rFonts w:hint="eastAsia" w:ascii="宋体" w:hAnsi="宋体" w:eastAsia="宋体" w:cs="宋体"/>
          <w:color w:val="auto"/>
          <w:highlight w:val="none"/>
        </w:rPr>
        <w:t>生活</w:t>
      </w:r>
      <w:r>
        <w:rPr>
          <w:rFonts w:hint="eastAsia" w:ascii="宋体" w:hAnsi="宋体" w:eastAsia="宋体" w:cs="宋体"/>
          <w:color w:val="auto"/>
          <w:spacing w:val="-11"/>
          <w:highlight w:val="none"/>
        </w:rPr>
        <w:t>、</w:t>
      </w:r>
      <w:r>
        <w:rPr>
          <w:rFonts w:hint="eastAsia" w:ascii="宋体" w:hAnsi="宋体" w:eastAsia="宋体" w:cs="宋体"/>
          <w:color w:val="auto"/>
          <w:highlight w:val="none"/>
        </w:rPr>
        <w:t>道路</w:t>
      </w:r>
      <w:r>
        <w:rPr>
          <w:rFonts w:hint="eastAsia" w:ascii="宋体" w:hAnsi="宋体" w:eastAsia="宋体" w:cs="宋体"/>
          <w:color w:val="auto"/>
          <w:spacing w:val="-11"/>
          <w:highlight w:val="none"/>
        </w:rPr>
        <w:t>、</w:t>
      </w:r>
      <w:r>
        <w:rPr>
          <w:rFonts w:hint="eastAsia" w:ascii="宋体" w:hAnsi="宋体" w:eastAsia="宋体" w:cs="宋体"/>
          <w:color w:val="auto"/>
          <w:spacing w:val="1"/>
          <w:highlight w:val="none"/>
        </w:rPr>
        <w:t>消</w:t>
      </w:r>
      <w:r>
        <w:rPr>
          <w:rFonts w:hint="eastAsia" w:ascii="宋体" w:hAnsi="宋体" w:eastAsia="宋体" w:cs="宋体"/>
          <w:color w:val="auto"/>
          <w:highlight w:val="none"/>
        </w:rPr>
        <w:t>防等设施的情况和布置。</w:t>
      </w:r>
    </w:p>
    <w:p w14:paraId="07470F7B">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50D391D2">
      <w:pPr>
        <w:rPr>
          <w:rFonts w:hint="eastAsia" w:ascii="宋体" w:hAnsi="宋体" w:eastAsia="宋体" w:cs="宋体"/>
          <w:b/>
          <w:color w:val="auto"/>
          <w:highlight w:val="none"/>
        </w:rPr>
      </w:pPr>
      <w:bookmarkStart w:id="2413" w:name="_Toc418751910"/>
      <w:bookmarkStart w:id="2414" w:name="_Toc483317229"/>
      <w:bookmarkStart w:id="2415" w:name="_Toc418752356"/>
      <w:r>
        <w:rPr>
          <w:rFonts w:hint="eastAsia" w:ascii="宋体" w:hAnsi="宋体" w:eastAsia="宋体" w:cs="宋体"/>
          <w:b/>
          <w:color w:val="auto"/>
          <w:highlight w:val="none"/>
        </w:rPr>
        <w:t>附表六：临时用地表</w:t>
      </w:r>
      <w:bookmarkEnd w:id="2413"/>
      <w:bookmarkEnd w:id="2414"/>
      <w:bookmarkEnd w:id="2415"/>
    </w:p>
    <w:tbl>
      <w:tblPr>
        <w:tblStyle w:val="27"/>
        <w:tblW w:w="9648" w:type="dxa"/>
        <w:tblInd w:w="-5" w:type="dxa"/>
        <w:tblLayout w:type="fixed"/>
        <w:tblCellMar>
          <w:top w:w="0" w:type="dxa"/>
          <w:left w:w="0" w:type="dxa"/>
          <w:bottom w:w="0" w:type="dxa"/>
          <w:right w:w="0" w:type="dxa"/>
        </w:tblCellMar>
      </w:tblPr>
      <w:tblGrid>
        <w:gridCol w:w="2412"/>
        <w:gridCol w:w="2412"/>
        <w:gridCol w:w="2412"/>
        <w:gridCol w:w="2412"/>
      </w:tblGrid>
      <w:tr w14:paraId="73A6CAF1">
        <w:tblPrEx>
          <w:tblCellMar>
            <w:top w:w="0" w:type="dxa"/>
            <w:left w:w="0" w:type="dxa"/>
            <w:bottom w:w="0" w:type="dxa"/>
            <w:right w:w="0" w:type="dxa"/>
          </w:tblCellMar>
        </w:tblPrEx>
        <w:trPr>
          <w:trHeight w:val="450" w:hRule="atLeast"/>
        </w:trPr>
        <w:tc>
          <w:tcPr>
            <w:tcW w:w="2412" w:type="dxa"/>
            <w:tcBorders>
              <w:top w:val="single" w:color="000000" w:sz="4" w:space="0"/>
              <w:left w:val="single" w:color="000000" w:sz="4" w:space="0"/>
              <w:bottom w:val="single" w:color="000000" w:sz="4" w:space="0"/>
              <w:right w:val="single" w:color="000000" w:sz="4" w:space="0"/>
            </w:tcBorders>
            <w:vAlign w:val="center"/>
          </w:tcPr>
          <w:p w14:paraId="77AD471C">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用 </w:t>
            </w:r>
            <w:r>
              <w:rPr>
                <w:rFonts w:hint="eastAsia" w:ascii="宋体" w:hAnsi="宋体" w:eastAsia="宋体" w:cs="宋体"/>
                <w:color w:val="auto"/>
                <w:spacing w:val="1"/>
                <w:highlight w:val="none"/>
              </w:rPr>
              <w:t> </w:t>
            </w:r>
            <w:r>
              <w:rPr>
                <w:rFonts w:hint="eastAsia" w:ascii="宋体" w:hAnsi="宋体" w:eastAsia="宋体" w:cs="宋体"/>
                <w:color w:val="auto"/>
                <w:highlight w:val="none"/>
              </w:rPr>
              <w:t>途</w:t>
            </w:r>
          </w:p>
        </w:tc>
        <w:tc>
          <w:tcPr>
            <w:tcW w:w="2412" w:type="dxa"/>
            <w:tcBorders>
              <w:top w:val="single" w:color="000000" w:sz="4" w:space="0"/>
              <w:left w:val="nil"/>
              <w:bottom w:val="single" w:color="000000" w:sz="4" w:space="0"/>
              <w:right w:val="single" w:color="000000" w:sz="4" w:space="0"/>
            </w:tcBorders>
            <w:vAlign w:val="center"/>
          </w:tcPr>
          <w:p w14:paraId="3BC1EFC9">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面 </w:t>
            </w:r>
            <w:r>
              <w:rPr>
                <w:rFonts w:hint="eastAsia" w:ascii="宋体" w:hAnsi="宋体" w:eastAsia="宋体" w:cs="宋体"/>
                <w:color w:val="auto"/>
                <w:spacing w:val="1"/>
                <w:highlight w:val="none"/>
              </w:rPr>
              <w:t> </w:t>
            </w:r>
            <w:r>
              <w:rPr>
                <w:rFonts w:hint="eastAsia" w:ascii="宋体" w:hAnsi="宋体" w:eastAsia="宋体" w:cs="宋体"/>
                <w:color w:val="auto"/>
                <w:highlight w:val="none"/>
              </w:rPr>
              <w:t>积（平</w:t>
            </w:r>
            <w:r>
              <w:rPr>
                <w:rFonts w:hint="eastAsia" w:ascii="宋体" w:hAnsi="宋体" w:eastAsia="宋体" w:cs="宋体"/>
                <w:color w:val="auto"/>
                <w:spacing w:val="-1"/>
                <w:highlight w:val="none"/>
              </w:rPr>
              <w:t>方</w:t>
            </w:r>
            <w:r>
              <w:rPr>
                <w:rFonts w:hint="eastAsia" w:ascii="宋体" w:hAnsi="宋体" w:eastAsia="宋体" w:cs="宋体"/>
                <w:color w:val="auto"/>
                <w:highlight w:val="none"/>
              </w:rPr>
              <w:t>米）</w:t>
            </w:r>
          </w:p>
        </w:tc>
        <w:tc>
          <w:tcPr>
            <w:tcW w:w="2412" w:type="dxa"/>
            <w:tcBorders>
              <w:top w:val="single" w:color="000000" w:sz="4" w:space="0"/>
              <w:left w:val="nil"/>
              <w:bottom w:val="single" w:color="000000" w:sz="4" w:space="0"/>
              <w:right w:val="single" w:color="000000" w:sz="4" w:space="0"/>
            </w:tcBorders>
            <w:vAlign w:val="center"/>
          </w:tcPr>
          <w:p w14:paraId="2D3A81E7">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位 </w:t>
            </w:r>
            <w:r>
              <w:rPr>
                <w:rFonts w:hint="eastAsia" w:ascii="宋体" w:hAnsi="宋体" w:eastAsia="宋体" w:cs="宋体"/>
                <w:color w:val="auto"/>
                <w:spacing w:val="1"/>
                <w:highlight w:val="none"/>
              </w:rPr>
              <w:t> </w:t>
            </w:r>
            <w:r>
              <w:rPr>
                <w:rFonts w:hint="eastAsia" w:ascii="宋体" w:hAnsi="宋体" w:eastAsia="宋体" w:cs="宋体"/>
                <w:color w:val="auto"/>
                <w:highlight w:val="none"/>
              </w:rPr>
              <w:t>置</w:t>
            </w:r>
          </w:p>
        </w:tc>
        <w:tc>
          <w:tcPr>
            <w:tcW w:w="2412" w:type="dxa"/>
            <w:tcBorders>
              <w:top w:val="single" w:color="000000" w:sz="4" w:space="0"/>
              <w:left w:val="nil"/>
              <w:bottom w:val="single" w:color="000000" w:sz="4" w:space="0"/>
              <w:right w:val="single" w:color="000000" w:sz="4" w:space="0"/>
            </w:tcBorders>
            <w:vAlign w:val="center"/>
          </w:tcPr>
          <w:p w14:paraId="4B6ADC89">
            <w:pPr>
              <w:pStyle w:val="34"/>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需用时间</w:t>
            </w:r>
          </w:p>
        </w:tc>
      </w:tr>
      <w:tr w14:paraId="5778D09A">
        <w:tblPrEx>
          <w:tblCellMar>
            <w:top w:w="0" w:type="dxa"/>
            <w:left w:w="0" w:type="dxa"/>
            <w:bottom w:w="0" w:type="dxa"/>
            <w:right w:w="0" w:type="dxa"/>
          </w:tblCellMar>
        </w:tblPrEx>
        <w:trPr>
          <w:trHeight w:val="450" w:hRule="atLeast"/>
        </w:trPr>
        <w:tc>
          <w:tcPr>
            <w:tcW w:w="2412" w:type="dxa"/>
            <w:tcBorders>
              <w:top w:val="single" w:color="000000" w:sz="4" w:space="0"/>
              <w:left w:val="single" w:color="000000" w:sz="4" w:space="0"/>
              <w:bottom w:val="single" w:color="000000" w:sz="4" w:space="0"/>
              <w:right w:val="single" w:color="000000" w:sz="4" w:space="0"/>
            </w:tcBorders>
            <w:vAlign w:val="top"/>
          </w:tcPr>
          <w:p w14:paraId="11320118">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5D94422C">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0985B54D">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44D87DEB">
            <w:pPr>
              <w:pStyle w:val="34"/>
              <w:rPr>
                <w:rFonts w:hint="eastAsia" w:ascii="宋体" w:hAnsi="宋体" w:eastAsia="宋体" w:cs="宋体"/>
                <w:color w:val="auto"/>
                <w:sz w:val="24"/>
                <w:szCs w:val="24"/>
                <w:highlight w:val="none"/>
              </w:rPr>
            </w:pPr>
          </w:p>
        </w:tc>
      </w:tr>
      <w:tr w14:paraId="6FFCDD20">
        <w:tblPrEx>
          <w:tblCellMar>
            <w:top w:w="0" w:type="dxa"/>
            <w:left w:w="0" w:type="dxa"/>
            <w:bottom w:w="0" w:type="dxa"/>
            <w:right w:w="0" w:type="dxa"/>
          </w:tblCellMar>
        </w:tblPrEx>
        <w:trPr>
          <w:trHeight w:val="450" w:hRule="atLeast"/>
        </w:trPr>
        <w:tc>
          <w:tcPr>
            <w:tcW w:w="2412" w:type="dxa"/>
            <w:tcBorders>
              <w:top w:val="single" w:color="000000" w:sz="4" w:space="0"/>
              <w:left w:val="single" w:color="000000" w:sz="4" w:space="0"/>
              <w:bottom w:val="single" w:color="000000" w:sz="4" w:space="0"/>
              <w:right w:val="single" w:color="000000" w:sz="4" w:space="0"/>
            </w:tcBorders>
            <w:vAlign w:val="top"/>
          </w:tcPr>
          <w:p w14:paraId="53269CD8">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3A6E4F06">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6D6D36A2">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20CE0677">
            <w:pPr>
              <w:pStyle w:val="34"/>
              <w:rPr>
                <w:rFonts w:hint="eastAsia" w:ascii="宋体" w:hAnsi="宋体" w:eastAsia="宋体" w:cs="宋体"/>
                <w:color w:val="auto"/>
                <w:sz w:val="24"/>
                <w:szCs w:val="24"/>
                <w:highlight w:val="none"/>
              </w:rPr>
            </w:pPr>
          </w:p>
        </w:tc>
      </w:tr>
      <w:tr w14:paraId="4B030CE1">
        <w:tblPrEx>
          <w:tblCellMar>
            <w:top w:w="0" w:type="dxa"/>
            <w:left w:w="0" w:type="dxa"/>
            <w:bottom w:w="0" w:type="dxa"/>
            <w:right w:w="0" w:type="dxa"/>
          </w:tblCellMar>
        </w:tblPrEx>
        <w:trPr>
          <w:trHeight w:val="450" w:hRule="atLeast"/>
        </w:trPr>
        <w:tc>
          <w:tcPr>
            <w:tcW w:w="2412" w:type="dxa"/>
            <w:tcBorders>
              <w:top w:val="single" w:color="000000" w:sz="4" w:space="0"/>
              <w:left w:val="single" w:color="000000" w:sz="4" w:space="0"/>
              <w:bottom w:val="single" w:color="000000" w:sz="4" w:space="0"/>
              <w:right w:val="single" w:color="000000" w:sz="4" w:space="0"/>
            </w:tcBorders>
            <w:vAlign w:val="top"/>
          </w:tcPr>
          <w:p w14:paraId="4D1819D8">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23812BD4">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77187C72">
            <w:pPr>
              <w:pStyle w:val="34"/>
              <w:rPr>
                <w:rFonts w:hint="eastAsia" w:ascii="宋体" w:hAnsi="宋体" w:eastAsia="宋体" w:cs="宋体"/>
                <w:color w:val="auto"/>
                <w:sz w:val="24"/>
                <w:szCs w:val="24"/>
                <w:highlight w:val="none"/>
              </w:rPr>
            </w:pPr>
          </w:p>
        </w:tc>
        <w:tc>
          <w:tcPr>
            <w:tcW w:w="2412" w:type="dxa"/>
            <w:tcBorders>
              <w:top w:val="single" w:color="000000" w:sz="4" w:space="0"/>
              <w:left w:val="nil"/>
              <w:bottom w:val="single" w:color="000000" w:sz="4" w:space="0"/>
              <w:right w:val="single" w:color="000000" w:sz="4" w:space="0"/>
            </w:tcBorders>
            <w:vAlign w:val="top"/>
          </w:tcPr>
          <w:p w14:paraId="47BDAC3A">
            <w:pPr>
              <w:pStyle w:val="34"/>
              <w:rPr>
                <w:rFonts w:hint="eastAsia" w:ascii="宋体" w:hAnsi="宋体" w:eastAsia="宋体" w:cs="宋体"/>
                <w:color w:val="auto"/>
                <w:sz w:val="24"/>
                <w:szCs w:val="24"/>
                <w:highlight w:val="none"/>
              </w:rPr>
            </w:pPr>
          </w:p>
        </w:tc>
      </w:tr>
    </w:tbl>
    <w:p w14:paraId="44C9DCB0">
      <w:pPr>
        <w:pStyle w:val="34"/>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p w14:paraId="4DE5D637">
      <w:pPr>
        <w:pStyle w:val="34"/>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887E202">
      <w:pPr>
        <w:pStyle w:val="34"/>
        <w:rPr>
          <w:rFonts w:hint="eastAsia" w:ascii="宋体" w:hAnsi="宋体" w:eastAsia="宋体" w:cs="宋体"/>
          <w:color w:val="auto"/>
          <w:highlight w:val="none"/>
        </w:rPr>
      </w:pPr>
    </w:p>
    <w:p w14:paraId="40313295">
      <w:pPr>
        <w:pStyle w:val="7"/>
        <w:widowControl w:val="0"/>
        <w:numPr>
          <w:ilvl w:val="0"/>
          <w:numId w:val="0"/>
        </w:numPr>
        <w:jc w:val="both"/>
        <w:rPr>
          <w:rFonts w:hint="eastAsia"/>
          <w:color w:val="auto"/>
          <w:highlight w:val="none"/>
        </w:rPr>
      </w:pPr>
    </w:p>
    <w:p w14:paraId="44F0D34C">
      <w:pPr>
        <w:widowControl/>
        <w:ind w:firstLine="1470" w:firstLineChars="7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86E4402">
      <w:pPr>
        <w:pStyle w:val="12"/>
        <w:spacing w:line="300" w:lineRule="exact"/>
        <w:ind w:left="2940" w:leftChars="1400" w:firstLine="630" w:firstLineChars="300"/>
        <w:rPr>
          <w:rFonts w:hint="eastAsia" w:ascii="宋体" w:hAnsi="宋体" w:eastAsia="宋体" w:cs="宋体"/>
          <w:color w:val="auto"/>
          <w:highlight w:val="none"/>
        </w:rPr>
      </w:pPr>
    </w:p>
    <w:p w14:paraId="09892D0D">
      <w:pPr>
        <w:pStyle w:val="12"/>
        <w:spacing w:line="300" w:lineRule="exact"/>
        <w:ind w:firstLine="4638" w:firstLineChars="16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2CA64558">
      <w:pPr>
        <w:pStyle w:val="12"/>
        <w:spacing w:line="300" w:lineRule="exact"/>
        <w:rPr>
          <w:rFonts w:hint="eastAsia" w:ascii="宋体" w:hAnsi="宋体" w:eastAsia="宋体" w:cs="宋体"/>
          <w:b/>
          <w:color w:val="auto"/>
          <w:sz w:val="28"/>
          <w:szCs w:val="28"/>
          <w:highlight w:val="none"/>
        </w:rPr>
      </w:pPr>
    </w:p>
    <w:p w14:paraId="56A486CA">
      <w:pPr>
        <w:ind w:firstLine="1470" w:firstLineChars="700"/>
        <w:rPr>
          <w:rFonts w:hint="eastAsia"/>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57AF7130">
      <w:pPr>
        <w:pStyle w:val="3"/>
        <w:rPr>
          <w:rFonts w:hint="eastAsia"/>
          <w:color w:val="auto"/>
          <w:highlight w:val="none"/>
        </w:rPr>
      </w:pPr>
    </w:p>
    <w:p w14:paraId="02E9EC95">
      <w:pPr>
        <w:rPr>
          <w:rFonts w:hint="eastAsia"/>
          <w:color w:val="auto"/>
          <w:highlight w:val="none"/>
        </w:rPr>
      </w:pPr>
    </w:p>
    <w:p w14:paraId="7EF06ABE">
      <w:pPr>
        <w:pStyle w:val="3"/>
        <w:rPr>
          <w:rFonts w:hint="eastAsia"/>
          <w:color w:val="auto"/>
          <w:highlight w:val="none"/>
        </w:rPr>
      </w:pPr>
    </w:p>
    <w:p w14:paraId="47B55374">
      <w:pPr>
        <w:rPr>
          <w:rFonts w:hint="eastAsia"/>
          <w:color w:val="auto"/>
          <w:highlight w:val="none"/>
        </w:rPr>
      </w:pPr>
    </w:p>
    <w:p w14:paraId="749A3975">
      <w:pPr>
        <w:pStyle w:val="12"/>
        <w:numPr>
          <w:ilvl w:val="0"/>
          <w:numId w:val="0"/>
        </w:numPr>
        <w:spacing w:line="340" w:lineRule="exact"/>
        <w:rPr>
          <w:rFonts w:hint="eastAsia" w:ascii="宋体" w:hAnsi="宋体" w:eastAsia="宋体" w:cs="宋体"/>
          <w:b/>
          <w:color w:val="auto"/>
          <w:sz w:val="28"/>
          <w:szCs w:val="28"/>
          <w:highlight w:val="none"/>
          <w:lang w:val="en-US" w:eastAsia="zh-CN"/>
        </w:rPr>
      </w:pPr>
    </w:p>
    <w:p w14:paraId="00E264DC">
      <w:pPr>
        <w:pStyle w:val="12"/>
        <w:numPr>
          <w:ilvl w:val="0"/>
          <w:numId w:val="0"/>
        </w:numPr>
        <w:spacing w:line="3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7.工程完工服务承诺书（必须提供）</w:t>
      </w:r>
      <w:r>
        <w:rPr>
          <w:rFonts w:hint="eastAsia" w:ascii="宋体" w:hAnsi="宋体" w:eastAsia="宋体" w:cs="宋体"/>
          <w:b/>
          <w:color w:val="auto"/>
          <w:sz w:val="28"/>
          <w:szCs w:val="28"/>
          <w:highlight w:val="none"/>
        </w:rPr>
        <w:t>；</w:t>
      </w:r>
    </w:p>
    <w:p w14:paraId="5D4FEEDA">
      <w:pPr>
        <w:spacing w:line="360" w:lineRule="auto"/>
        <w:jc w:val="center"/>
        <w:rPr>
          <w:rFonts w:hint="eastAsia" w:ascii="宋体" w:hAnsi="宋体" w:cs="宋体"/>
          <w:b/>
          <w:color w:val="auto"/>
          <w:sz w:val="24"/>
          <w:szCs w:val="24"/>
          <w:highlight w:val="none"/>
        </w:rPr>
      </w:pPr>
    </w:p>
    <w:p w14:paraId="0F1E8BD2">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工程完工服务承诺书（格式）</w:t>
      </w:r>
    </w:p>
    <w:p w14:paraId="4183709E">
      <w:pPr>
        <w:pStyle w:val="12"/>
        <w:jc w:val="center"/>
        <w:rPr>
          <w:rFonts w:hint="eastAsia" w:hAnsi="宋体" w:cs="宋体"/>
          <w:color w:val="auto"/>
          <w:highlight w:val="none"/>
        </w:rPr>
      </w:pPr>
      <w:r>
        <w:rPr>
          <w:rFonts w:hint="eastAsia" w:hAnsi="宋体" w:cs="宋体"/>
          <w:color w:val="auto"/>
          <w:highlight w:val="none"/>
        </w:rPr>
        <w:t>（由</w:t>
      </w:r>
      <w:r>
        <w:rPr>
          <w:rFonts w:hint="eastAsia" w:hAnsi="宋体" w:cs="宋体"/>
          <w:color w:val="auto"/>
          <w:szCs w:val="21"/>
          <w:highlight w:val="none"/>
        </w:rPr>
        <w:t>供应商</w:t>
      </w:r>
      <w:r>
        <w:rPr>
          <w:rFonts w:hint="eastAsia" w:hAnsi="宋体" w:cs="宋体"/>
          <w:color w:val="auto"/>
          <w:highlight w:val="none"/>
        </w:rPr>
        <w:t>按《工程量清单》中工程完工服务及要求自行分别填写）</w:t>
      </w:r>
    </w:p>
    <w:p w14:paraId="183F84C7">
      <w:pPr>
        <w:pStyle w:val="12"/>
        <w:rPr>
          <w:rFonts w:hint="eastAsia" w:hAnsi="宋体" w:cs="宋体"/>
          <w:color w:val="auto"/>
          <w:highlight w:val="none"/>
        </w:rPr>
      </w:pPr>
    </w:p>
    <w:p w14:paraId="3393AEEC">
      <w:pPr>
        <w:widowControl/>
        <w:ind w:firstLine="1470" w:firstLineChars="700"/>
        <w:jc w:val="left"/>
        <w:rPr>
          <w:rFonts w:hint="eastAsia" w:ascii="宋体" w:hAnsi="宋体" w:eastAsia="宋体" w:cs="宋体"/>
          <w:color w:val="auto"/>
          <w:szCs w:val="21"/>
          <w:highlight w:val="none"/>
          <w:lang w:eastAsia="zh-CN"/>
        </w:rPr>
      </w:pPr>
    </w:p>
    <w:p w14:paraId="4919648F">
      <w:pPr>
        <w:widowControl/>
        <w:ind w:firstLine="1470" w:firstLineChars="700"/>
        <w:jc w:val="left"/>
        <w:rPr>
          <w:rFonts w:hint="eastAsia" w:ascii="宋体" w:hAnsi="宋体" w:eastAsia="宋体" w:cs="宋体"/>
          <w:color w:val="auto"/>
          <w:szCs w:val="21"/>
          <w:highlight w:val="none"/>
          <w:lang w:eastAsia="zh-CN"/>
        </w:rPr>
      </w:pPr>
    </w:p>
    <w:p w14:paraId="527E4BFB">
      <w:pPr>
        <w:widowControl/>
        <w:ind w:firstLine="1470" w:firstLineChars="7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333BA7D">
      <w:pPr>
        <w:pStyle w:val="12"/>
        <w:spacing w:line="300" w:lineRule="exact"/>
        <w:ind w:left="2940" w:leftChars="1400" w:firstLine="630" w:firstLineChars="300"/>
        <w:rPr>
          <w:rFonts w:hint="eastAsia" w:ascii="宋体" w:hAnsi="宋体" w:eastAsia="宋体" w:cs="宋体"/>
          <w:color w:val="auto"/>
          <w:highlight w:val="none"/>
        </w:rPr>
      </w:pPr>
    </w:p>
    <w:p w14:paraId="63C2DCC5">
      <w:pPr>
        <w:ind w:firstLine="1470" w:firstLineChars="700"/>
        <w:rPr>
          <w:rFonts w:hint="eastAsia"/>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76272DC7">
      <w:pPr>
        <w:pStyle w:val="3"/>
        <w:rPr>
          <w:rFonts w:hint="eastAsia" w:ascii="宋体" w:hAnsi="宋体" w:eastAsia="宋体" w:cs="宋体"/>
          <w:b/>
          <w:color w:val="auto"/>
          <w:sz w:val="28"/>
          <w:szCs w:val="28"/>
          <w:highlight w:val="none"/>
          <w:lang w:val="en-US" w:eastAsia="zh-CN"/>
        </w:rPr>
      </w:pPr>
    </w:p>
    <w:p w14:paraId="43F404E9">
      <w:pPr>
        <w:pStyle w:val="3"/>
        <w:numPr>
          <w:ilvl w:val="0"/>
          <w:numId w:val="0"/>
        </w:numPr>
        <w:rPr>
          <w:rFonts w:hint="eastAsia" w:ascii="宋体" w:hAnsi="宋体" w:eastAsia="宋体" w:cs="宋体"/>
          <w:b/>
          <w:color w:val="auto"/>
          <w:sz w:val="28"/>
          <w:szCs w:val="28"/>
          <w:highlight w:val="none"/>
          <w:lang w:val="en-US" w:eastAsia="zh-CN"/>
        </w:rPr>
      </w:pPr>
      <w:bookmarkStart w:id="2416" w:name="_Toc24798"/>
      <w:bookmarkStart w:id="2417" w:name="_Toc32582"/>
      <w:bookmarkStart w:id="2418" w:name="_Toc21891"/>
      <w:r>
        <w:rPr>
          <w:rFonts w:hint="eastAsia" w:ascii="宋体" w:hAnsi="宋体" w:eastAsia="宋体" w:cs="宋体"/>
          <w:b/>
          <w:color w:val="auto"/>
          <w:sz w:val="28"/>
          <w:szCs w:val="28"/>
          <w:highlight w:val="none"/>
          <w:lang w:val="en-US" w:eastAsia="zh-CN"/>
        </w:rPr>
        <w:t>8.农民工工资保障金交纳与使用承诺书（必须提供）</w:t>
      </w:r>
      <w:bookmarkEnd w:id="2416"/>
      <w:bookmarkEnd w:id="2417"/>
      <w:r>
        <w:rPr>
          <w:rFonts w:hint="eastAsia" w:ascii="宋体" w:hAnsi="宋体" w:eastAsia="宋体" w:cs="宋体"/>
          <w:b/>
          <w:color w:val="auto"/>
          <w:sz w:val="28"/>
          <w:szCs w:val="28"/>
          <w:highlight w:val="none"/>
          <w:lang w:val="en-US" w:eastAsia="zh-CN"/>
        </w:rPr>
        <w:t>；</w:t>
      </w:r>
      <w:bookmarkEnd w:id="2418"/>
    </w:p>
    <w:p w14:paraId="7ECC0DA3">
      <w:pPr>
        <w:spacing w:line="420" w:lineRule="exact"/>
        <w:ind w:firstLine="482" w:firstLineChars="200"/>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农民工工资保证金交纳与使用承诺书</w:t>
      </w:r>
      <w:r>
        <w:rPr>
          <w:rFonts w:hint="eastAsia" w:ascii="宋体" w:hAnsi="宋体" w:cs="宋体"/>
          <w:b/>
          <w:color w:val="auto"/>
          <w:kern w:val="0"/>
          <w:sz w:val="24"/>
          <w:szCs w:val="24"/>
          <w:highlight w:val="none"/>
          <w:lang w:val="en-US" w:eastAsia="zh-CN"/>
        </w:rPr>
        <w:t>（格式）</w:t>
      </w:r>
    </w:p>
    <w:p w14:paraId="0B57B0BD">
      <w:pPr>
        <w:spacing w:line="420" w:lineRule="exact"/>
        <w:rPr>
          <w:rFonts w:hint="eastAsia" w:ascii="宋体" w:hAnsi="宋体" w:cs="宋体"/>
          <w:color w:val="auto"/>
          <w:kern w:val="0"/>
          <w:szCs w:val="21"/>
          <w:highlight w:val="none"/>
        </w:rPr>
      </w:pPr>
    </w:p>
    <w:p w14:paraId="53D01EB4">
      <w:pPr>
        <w:spacing w:line="420" w:lineRule="exact"/>
        <w:rPr>
          <w:rFonts w:hint="eastAsia"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color w:val="auto"/>
          <w:highlight w:val="none"/>
          <w:u w:val="single"/>
          <w:lang w:eastAsia="zh-CN"/>
        </w:rPr>
        <w:t xml:space="preserve">广西龙珂建设工程集团有限公司 </w:t>
      </w:r>
    </w:p>
    <w:p w14:paraId="43ECF27D">
      <w:pPr>
        <w:spacing w:line="42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我方在此承诺：</w:t>
      </w:r>
    </w:p>
    <w:p w14:paraId="49845741">
      <w:pPr>
        <w:spacing w:line="420" w:lineRule="exact"/>
        <w:ind w:firstLine="525" w:firstLineChars="250"/>
        <w:rPr>
          <w:rFonts w:hint="eastAsia" w:ascii="宋体" w:hAnsi="宋体" w:cs="宋体"/>
          <w:color w:val="auto"/>
          <w:kern w:val="0"/>
          <w:szCs w:val="21"/>
          <w:highlight w:val="none"/>
        </w:rPr>
      </w:pPr>
      <w:r>
        <w:rPr>
          <w:rFonts w:hint="eastAsia" w:ascii="宋体" w:hAnsi="宋体" w:cs="宋体"/>
          <w:color w:val="auto"/>
          <w:kern w:val="0"/>
          <w:szCs w:val="21"/>
          <w:highlight w:val="none"/>
        </w:rPr>
        <w:t>1.我方在本项目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（项目名称及编号）响应文件递交截止之日前所承建工程中，无拖欠或克扣农民工工资的行为。</w:t>
      </w:r>
    </w:p>
    <w:p w14:paraId="1F26A61F">
      <w:pPr>
        <w:spacing w:line="420" w:lineRule="exact"/>
        <w:ind w:firstLine="495"/>
        <w:rPr>
          <w:rFonts w:hint="eastAsia" w:ascii="宋体" w:hAnsi="宋体" w:cs="宋体"/>
          <w:color w:val="auto"/>
          <w:kern w:val="0"/>
          <w:szCs w:val="21"/>
          <w:highlight w:val="none"/>
        </w:rPr>
      </w:pPr>
      <w:r>
        <w:rPr>
          <w:rFonts w:hint="eastAsia" w:ascii="宋体" w:hAnsi="宋体" w:cs="宋体"/>
          <w:color w:val="auto"/>
          <w:kern w:val="0"/>
          <w:szCs w:val="21"/>
          <w:highlight w:val="none"/>
        </w:rPr>
        <w:t>2. 我方参与</w:t>
      </w:r>
      <w:r>
        <w:rPr>
          <w:rFonts w:hint="eastAsia" w:ascii="宋体" w:hAnsi="宋体" w:cs="宋体"/>
          <w:color w:val="auto"/>
          <w:kern w:val="0"/>
          <w:szCs w:val="21"/>
          <w:highlight w:val="none"/>
          <w:lang w:val="en-US" w:eastAsia="zh-CN"/>
        </w:rPr>
        <w:t>磋商</w:t>
      </w:r>
      <w:r>
        <w:rPr>
          <w:rFonts w:hint="eastAsia" w:ascii="宋体" w:hAnsi="宋体" w:cs="宋体"/>
          <w:color w:val="auto"/>
          <w:kern w:val="0"/>
          <w:szCs w:val="21"/>
          <w:highlight w:val="none"/>
        </w:rPr>
        <w:t>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项目，一旦成交，我方保证在签订施工合同后，及时并足额将农民工工资保证金足额存入指定的账户，作为本项目农民工工资保证金。</w:t>
      </w:r>
    </w:p>
    <w:p w14:paraId="374DD62A">
      <w:pPr>
        <w:spacing w:line="420" w:lineRule="exact"/>
        <w:ind w:firstLine="495"/>
        <w:rPr>
          <w:rFonts w:hint="eastAsia" w:ascii="宋体" w:hAnsi="宋体" w:cs="宋体"/>
          <w:color w:val="auto"/>
          <w:kern w:val="0"/>
          <w:szCs w:val="21"/>
          <w:highlight w:val="none"/>
        </w:rPr>
      </w:pPr>
      <w:r>
        <w:rPr>
          <w:rFonts w:hint="eastAsia" w:ascii="宋体" w:hAnsi="宋体" w:cs="宋体"/>
          <w:color w:val="auto"/>
          <w:kern w:val="0"/>
          <w:szCs w:val="21"/>
          <w:highlight w:val="none"/>
        </w:rPr>
        <w:t>3. 如我方在承包的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项目中出现拖欠农民工和工人工资情况的，由相关部门从其农民工工资保证金中先予划支。</w:t>
      </w:r>
    </w:p>
    <w:p w14:paraId="161A38D7">
      <w:pPr>
        <w:numPr>
          <w:ilvl w:val="0"/>
          <w:numId w:val="0"/>
        </w:numPr>
        <w:ind w:leftChars="200"/>
        <w:rPr>
          <w:rFonts w:hint="eastAsia"/>
          <w:color w:val="auto"/>
          <w:highlight w:val="none"/>
        </w:rPr>
      </w:pPr>
      <w:r>
        <w:rPr>
          <w:rFonts w:hint="eastAsia" w:ascii="宋体" w:hAnsi="宋体" w:cs="宋体"/>
          <w:color w:val="auto"/>
          <w:kern w:val="0"/>
          <w:szCs w:val="21"/>
          <w:highlight w:val="none"/>
        </w:rPr>
        <w:t>4. 如我方不按时、足额存入农民工工资保证金，采购人有权取消我方承包资格。</w:t>
      </w:r>
    </w:p>
    <w:p w14:paraId="3A422AF3">
      <w:pPr>
        <w:pStyle w:val="12"/>
        <w:spacing w:line="340" w:lineRule="exact"/>
        <w:rPr>
          <w:rFonts w:hint="eastAsia" w:ascii="宋体" w:hAnsi="宋体" w:eastAsia="宋体" w:cs="宋体"/>
          <w:b/>
          <w:color w:val="auto"/>
          <w:sz w:val="28"/>
          <w:szCs w:val="28"/>
          <w:highlight w:val="none"/>
        </w:rPr>
      </w:pPr>
    </w:p>
    <w:p w14:paraId="1245C4E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b/>
          <w:bCs/>
          <w:color w:val="auto"/>
          <w:sz w:val="32"/>
          <w:szCs w:val="32"/>
          <w:highlight w:val="none"/>
        </w:rPr>
      </w:pPr>
      <w:bookmarkStart w:id="2419" w:name="_Toc9339"/>
      <w:bookmarkStart w:id="2420" w:name="_Toc497927084"/>
      <w:bookmarkStart w:id="2421" w:name="_Toc28672"/>
    </w:p>
    <w:p w14:paraId="162FD13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b/>
          <w:bCs/>
          <w:color w:val="auto"/>
          <w:sz w:val="32"/>
          <w:szCs w:val="32"/>
          <w:highlight w:val="none"/>
        </w:rPr>
      </w:pPr>
    </w:p>
    <w:p w14:paraId="3CC0F698">
      <w:pPr>
        <w:widowControl/>
        <w:ind w:firstLine="1470" w:firstLineChars="7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w:t>
      </w:r>
      <w:r>
        <w:rPr>
          <w:rFonts w:hint="eastAsia" w:ascii="宋体" w:hAnsi="宋体" w:eastAsia="宋体" w:cs="宋体"/>
          <w:color w:val="auto"/>
          <w:szCs w:val="21"/>
          <w:highlight w:val="none"/>
          <w:lang w:eastAsia="zh-CN"/>
        </w:rPr>
        <w:t>签字或个人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34FE8E16">
      <w:pPr>
        <w:pStyle w:val="12"/>
        <w:spacing w:line="300" w:lineRule="exact"/>
        <w:ind w:left="2940" w:leftChars="1400" w:firstLine="630" w:firstLineChars="300"/>
        <w:rPr>
          <w:rFonts w:hint="eastAsia" w:ascii="宋体" w:hAnsi="宋体" w:eastAsia="宋体" w:cs="宋体"/>
          <w:color w:val="auto"/>
          <w:highlight w:val="none"/>
        </w:rPr>
      </w:pPr>
    </w:p>
    <w:p w14:paraId="51CBB1A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78F698AF">
      <w:pPr>
        <w:pStyle w:val="3"/>
        <w:numPr>
          <w:ilvl w:val="0"/>
          <w:numId w:val="0"/>
        </w:numPr>
        <w:rPr>
          <w:rFonts w:hint="eastAsia" w:ascii="宋体" w:hAnsi="宋体" w:eastAsia="宋体" w:cs="宋体"/>
          <w:b/>
          <w:color w:val="auto"/>
          <w:sz w:val="28"/>
          <w:szCs w:val="28"/>
          <w:highlight w:val="none"/>
          <w:lang w:val="en-US" w:eastAsia="zh-CN"/>
        </w:rPr>
      </w:pPr>
    </w:p>
    <w:p w14:paraId="1E4D8C5F">
      <w:pPr>
        <w:pStyle w:val="3"/>
        <w:numPr>
          <w:ilvl w:val="0"/>
          <w:numId w:val="0"/>
        </w:numPr>
        <w:rPr>
          <w:rFonts w:hint="eastAsia" w:ascii="宋体" w:hAnsi="宋体" w:eastAsia="宋体" w:cs="宋体"/>
          <w:b/>
          <w:color w:val="auto"/>
          <w:sz w:val="28"/>
          <w:szCs w:val="28"/>
          <w:highlight w:val="none"/>
          <w:lang w:val="en-US" w:eastAsia="zh-CN"/>
        </w:rPr>
      </w:pPr>
      <w:bookmarkStart w:id="2422" w:name="_Toc10529"/>
      <w:bookmarkStart w:id="2423" w:name="_Toc297"/>
      <w:bookmarkStart w:id="2424" w:name="_Toc21352"/>
      <w:r>
        <w:rPr>
          <w:rFonts w:hint="eastAsia" w:ascii="宋体" w:hAnsi="宋体" w:eastAsia="宋体" w:cs="宋体"/>
          <w:b/>
          <w:color w:val="auto"/>
          <w:sz w:val="28"/>
          <w:szCs w:val="28"/>
          <w:highlight w:val="none"/>
          <w:lang w:val="en-US" w:eastAsia="zh-CN"/>
        </w:rPr>
        <w:t>9.城乡清洁工程渣土清运承诺书（必须提供）。</w:t>
      </w:r>
      <w:bookmarkEnd w:id="2422"/>
      <w:bookmarkEnd w:id="2423"/>
      <w:bookmarkEnd w:id="2424"/>
    </w:p>
    <w:p w14:paraId="055AF042">
      <w:pPr>
        <w:widowControl w:val="0"/>
        <w:numPr>
          <w:ilvl w:val="0"/>
          <w:numId w:val="0"/>
        </w:numPr>
        <w:jc w:val="both"/>
        <w:rPr>
          <w:rFonts w:hint="eastAsia"/>
          <w:color w:val="auto"/>
          <w:highlight w:val="none"/>
        </w:rPr>
      </w:pPr>
    </w:p>
    <w:p w14:paraId="773009C7">
      <w:pPr>
        <w:rPr>
          <w:rFonts w:hint="eastAsia"/>
          <w:color w:val="auto"/>
          <w:highlight w:val="none"/>
        </w:rPr>
      </w:pPr>
    </w:p>
    <w:p w14:paraId="13518DD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Cs w:val="21"/>
          <w:highlight w:val="none"/>
        </w:rPr>
      </w:pPr>
      <w:r>
        <w:rPr>
          <w:rFonts w:hint="eastAsia" w:ascii="宋体" w:hAnsi="宋体" w:eastAsia="宋体" w:cs="宋体"/>
          <w:b/>
          <w:bCs/>
          <w:color w:val="auto"/>
          <w:sz w:val="32"/>
          <w:szCs w:val="32"/>
          <w:highlight w:val="none"/>
        </w:rPr>
        <w:t>（</w:t>
      </w:r>
      <w:r>
        <w:rPr>
          <w:rFonts w:hint="eastAsia" w:ascii="宋体" w:hAnsi="宋体" w:cs="宋体"/>
          <w:b/>
          <w:bCs/>
          <w:color w:val="auto"/>
          <w:sz w:val="32"/>
          <w:szCs w:val="32"/>
          <w:highlight w:val="none"/>
          <w:lang w:eastAsia="zh-CN"/>
        </w:rPr>
        <w:t>三</w:t>
      </w:r>
      <w:r>
        <w:rPr>
          <w:rFonts w:hint="eastAsia" w:ascii="宋体" w:hAnsi="宋体" w:eastAsia="宋体" w:cs="宋体"/>
          <w:b/>
          <w:bCs/>
          <w:color w:val="auto"/>
          <w:sz w:val="32"/>
          <w:szCs w:val="32"/>
          <w:highlight w:val="none"/>
        </w:rPr>
        <w:t>）其</w:t>
      </w:r>
      <w:r>
        <w:rPr>
          <w:rFonts w:hint="eastAsia" w:ascii="宋体" w:hAnsi="宋体" w:eastAsia="宋体" w:cs="宋体"/>
          <w:b/>
          <w:bCs/>
          <w:color w:val="auto"/>
          <w:sz w:val="32"/>
          <w:szCs w:val="32"/>
          <w:highlight w:val="none"/>
          <w:lang w:eastAsia="zh-CN"/>
        </w:rPr>
        <w:t>他</w:t>
      </w:r>
      <w:r>
        <w:rPr>
          <w:rFonts w:hint="eastAsia" w:ascii="宋体" w:hAnsi="宋体" w:eastAsia="宋体" w:cs="宋体"/>
          <w:b/>
          <w:bCs/>
          <w:color w:val="auto"/>
          <w:sz w:val="32"/>
          <w:szCs w:val="32"/>
          <w:highlight w:val="none"/>
        </w:rPr>
        <w:t>有效证明材料目录</w:t>
      </w:r>
      <w:bookmarkEnd w:id="2419"/>
      <w:bookmarkEnd w:id="2420"/>
      <w:bookmarkEnd w:id="2421"/>
    </w:p>
    <w:p w14:paraId="06B70674">
      <w:pPr>
        <w:spacing w:line="360" w:lineRule="auto"/>
        <w:ind w:firstLine="420" w:firstLineChars="200"/>
        <w:rPr>
          <w:rFonts w:hint="eastAsia" w:ascii="宋体" w:hAnsi="宋体" w:cs="宋体"/>
          <w:color w:val="auto"/>
          <w:sz w:val="21"/>
          <w:szCs w:val="21"/>
          <w:highlight w:val="none"/>
          <w:lang w:val="en-US" w:eastAsia="zh-CN"/>
        </w:rPr>
      </w:pPr>
    </w:p>
    <w:p w14:paraId="28D163E9">
      <w:pPr>
        <w:spacing w:line="360" w:lineRule="auto"/>
        <w:rPr>
          <w:rFonts w:hint="eastAsia" w:ascii="宋体" w:hAnsi="宋体" w:cs="宋体"/>
          <w:color w:val="auto"/>
          <w:sz w:val="21"/>
          <w:szCs w:val="21"/>
          <w:highlight w:val="none"/>
          <w:lang w:val="en-US" w:eastAsia="zh-CN"/>
        </w:rPr>
      </w:pPr>
    </w:p>
    <w:p w14:paraId="55348F42">
      <w:pPr>
        <w:spacing w:line="240" w:lineRule="auto"/>
        <w:rPr>
          <w:rFonts w:hint="eastAsia" w:ascii="宋体" w:hAnsi="宋体" w:eastAsia="宋体" w:cs="宋体"/>
          <w:b/>
          <w:bCs/>
          <w:iCs/>
          <w:color w:val="auto"/>
          <w:kern w:val="2"/>
          <w:sz w:val="28"/>
          <w:szCs w:val="28"/>
          <w:highlight w:val="none"/>
          <w:lang w:val="en-US" w:eastAsia="zh-CN" w:bidi="ar-SA"/>
        </w:rPr>
      </w:pPr>
      <w:r>
        <w:rPr>
          <w:rFonts w:hint="eastAsia" w:ascii="宋体" w:hAnsi="宋体" w:cs="宋体"/>
          <w:b/>
          <w:bCs/>
          <w:iCs/>
          <w:color w:val="auto"/>
          <w:kern w:val="2"/>
          <w:sz w:val="28"/>
          <w:szCs w:val="28"/>
          <w:highlight w:val="none"/>
          <w:lang w:val="en-US" w:eastAsia="zh-CN" w:bidi="ar-SA"/>
        </w:rPr>
        <w:t>1.供应商2019年1月1日以来具有类似工程的业绩</w:t>
      </w:r>
      <w:r>
        <w:rPr>
          <w:rFonts w:hint="eastAsia" w:ascii="宋体" w:hAnsi="宋体" w:eastAsia="宋体" w:cs="宋体"/>
          <w:b/>
          <w:bCs/>
          <w:iCs/>
          <w:color w:val="auto"/>
          <w:kern w:val="2"/>
          <w:sz w:val="28"/>
          <w:szCs w:val="28"/>
          <w:highlight w:val="none"/>
          <w:lang w:val="en-US" w:eastAsia="zh-CN" w:bidi="ar-SA"/>
        </w:rPr>
        <w:t>（无不良记录，以中标（成交）通知书或签订的合同</w:t>
      </w:r>
      <w:r>
        <w:rPr>
          <w:rFonts w:hint="eastAsia" w:ascii="宋体" w:hAnsi="宋体" w:cs="宋体"/>
          <w:b/>
          <w:bCs/>
          <w:iCs/>
          <w:color w:val="auto"/>
          <w:kern w:val="2"/>
          <w:sz w:val="28"/>
          <w:szCs w:val="28"/>
          <w:highlight w:val="none"/>
          <w:lang w:val="en-US" w:eastAsia="zh-CN" w:bidi="ar-SA"/>
        </w:rPr>
        <w:t>及</w:t>
      </w:r>
      <w:r>
        <w:rPr>
          <w:rFonts w:hint="eastAsia" w:ascii="宋体" w:hAnsi="宋体" w:eastAsia="宋体" w:cs="宋体"/>
          <w:b/>
          <w:bCs/>
          <w:iCs/>
          <w:color w:val="auto"/>
          <w:kern w:val="2"/>
          <w:sz w:val="28"/>
          <w:szCs w:val="28"/>
          <w:highlight w:val="none"/>
          <w:lang w:val="en-US" w:eastAsia="zh-CN" w:bidi="ar-SA"/>
        </w:rPr>
        <w:t>竣工证明文件为准，并能清晰反映项目的名称、采购内容、采购金额、采购时间）（如有）；</w:t>
      </w:r>
    </w:p>
    <w:p w14:paraId="07132EDF">
      <w:pPr>
        <w:spacing w:line="360" w:lineRule="auto"/>
        <w:ind w:firstLine="420" w:firstLineChars="200"/>
        <w:rPr>
          <w:rFonts w:hint="eastAsia" w:ascii="宋体" w:hAnsi="宋体" w:eastAsia="宋体" w:cs="宋体"/>
          <w:color w:val="auto"/>
          <w:sz w:val="21"/>
          <w:szCs w:val="21"/>
          <w:highlight w:val="none"/>
          <w:lang w:val="en-US" w:eastAsia="zh-CN"/>
        </w:rPr>
      </w:pPr>
    </w:p>
    <w:p w14:paraId="1DAC3443">
      <w:pPr>
        <w:pStyle w:val="9"/>
        <w:rPr>
          <w:rFonts w:hint="eastAsia" w:ascii="宋体" w:hAnsi="宋体" w:eastAsia="宋体" w:cs="宋体"/>
          <w:color w:val="auto"/>
          <w:sz w:val="21"/>
          <w:szCs w:val="21"/>
          <w:highlight w:val="none"/>
          <w:lang w:val="en-US" w:eastAsia="zh-CN"/>
        </w:rPr>
      </w:pPr>
    </w:p>
    <w:p w14:paraId="1710596C">
      <w:pPr>
        <w:rPr>
          <w:rFonts w:hint="eastAsia" w:ascii="宋体" w:hAnsi="宋体" w:cs="宋体"/>
          <w:b/>
          <w:bCs/>
          <w:iCs/>
          <w:color w:val="auto"/>
          <w:sz w:val="28"/>
          <w:szCs w:val="28"/>
          <w:highlight w:val="none"/>
          <w:lang w:val="en-US" w:eastAsia="zh-CN"/>
        </w:rPr>
      </w:pPr>
      <w:r>
        <w:rPr>
          <w:rFonts w:hint="eastAsia" w:ascii="宋体" w:hAnsi="宋体" w:cs="宋体"/>
          <w:b/>
          <w:bCs/>
          <w:iCs/>
          <w:color w:val="auto"/>
          <w:sz w:val="28"/>
          <w:szCs w:val="28"/>
          <w:highlight w:val="none"/>
          <w:lang w:val="en-US" w:eastAsia="zh-CN"/>
        </w:rPr>
        <w:t>2.供应商</w:t>
      </w:r>
      <w:r>
        <w:rPr>
          <w:rFonts w:hint="eastAsia" w:ascii="宋体" w:hAnsi="宋体" w:cs="宋体"/>
          <w:b/>
          <w:bCs/>
          <w:iCs/>
          <w:color w:val="auto"/>
          <w:sz w:val="28"/>
          <w:szCs w:val="28"/>
          <w:highlight w:val="none"/>
          <w:lang w:eastAsia="zh-CN"/>
        </w:rPr>
        <w:t>2019年1月1日</w:t>
      </w:r>
      <w:r>
        <w:rPr>
          <w:rFonts w:hint="eastAsia" w:ascii="宋体" w:hAnsi="宋体" w:cs="宋体"/>
          <w:b/>
          <w:bCs/>
          <w:iCs/>
          <w:color w:val="auto"/>
          <w:sz w:val="28"/>
          <w:szCs w:val="28"/>
          <w:highlight w:val="none"/>
          <w:lang w:val="en-US" w:eastAsia="zh-CN"/>
        </w:rPr>
        <w:t>以来</w:t>
      </w:r>
      <w:r>
        <w:rPr>
          <w:rFonts w:hint="eastAsia" w:ascii="宋体" w:hAnsi="宋体" w:cs="宋体"/>
          <w:b/>
          <w:bCs/>
          <w:iCs/>
          <w:color w:val="auto"/>
          <w:sz w:val="28"/>
          <w:szCs w:val="28"/>
          <w:highlight w:val="none"/>
        </w:rPr>
        <w:t>获奖情况</w:t>
      </w:r>
      <w:r>
        <w:rPr>
          <w:rFonts w:hint="eastAsia" w:ascii="宋体" w:hAnsi="宋体" w:cs="宋体"/>
          <w:b/>
          <w:bCs/>
          <w:iCs/>
          <w:color w:val="auto"/>
          <w:sz w:val="28"/>
          <w:szCs w:val="28"/>
          <w:highlight w:val="none"/>
          <w:lang w:eastAsia="zh-CN"/>
        </w:rPr>
        <w:t>（</w:t>
      </w:r>
      <w:r>
        <w:rPr>
          <w:rFonts w:hint="eastAsia" w:ascii="宋体" w:hAnsi="宋体" w:cs="宋体"/>
          <w:b/>
          <w:bCs/>
          <w:iCs/>
          <w:color w:val="auto"/>
          <w:sz w:val="28"/>
          <w:szCs w:val="28"/>
          <w:highlight w:val="none"/>
          <w:lang w:val="en-US" w:eastAsia="zh-CN"/>
        </w:rPr>
        <w:t>如有</w:t>
      </w:r>
      <w:r>
        <w:rPr>
          <w:rFonts w:hint="eastAsia" w:ascii="宋体" w:hAnsi="宋体" w:cs="宋体"/>
          <w:b/>
          <w:bCs/>
          <w:iCs/>
          <w:color w:val="auto"/>
          <w:sz w:val="28"/>
          <w:szCs w:val="28"/>
          <w:highlight w:val="none"/>
          <w:lang w:eastAsia="zh-CN"/>
        </w:rPr>
        <w:t>）</w:t>
      </w:r>
    </w:p>
    <w:p w14:paraId="28976B23">
      <w:pPr>
        <w:pStyle w:val="9"/>
        <w:rPr>
          <w:rFonts w:hint="eastAsia"/>
          <w:color w:val="auto"/>
          <w:highlight w:val="none"/>
          <w:lang w:val="en-US" w:eastAsia="zh-CN"/>
        </w:rPr>
      </w:pPr>
    </w:p>
    <w:p w14:paraId="6ACC4B78">
      <w:pPr>
        <w:spacing w:line="240" w:lineRule="auto"/>
        <w:rPr>
          <w:rFonts w:hint="default" w:ascii="宋体" w:hAnsi="宋体" w:cs="宋体"/>
          <w:b/>
          <w:bCs/>
          <w:iCs/>
          <w:color w:val="auto"/>
          <w:kern w:val="2"/>
          <w:sz w:val="28"/>
          <w:szCs w:val="28"/>
          <w:highlight w:val="none"/>
          <w:lang w:val="en-US" w:eastAsia="zh-CN" w:bidi="ar-SA"/>
        </w:rPr>
      </w:pPr>
    </w:p>
    <w:p w14:paraId="365038E2">
      <w:pPr>
        <w:spacing w:line="240" w:lineRule="auto"/>
        <w:rPr>
          <w:rFonts w:hint="default" w:ascii="宋体" w:hAnsi="宋体" w:cs="宋体"/>
          <w:b/>
          <w:bCs/>
          <w:iCs/>
          <w:color w:val="auto"/>
          <w:kern w:val="2"/>
          <w:sz w:val="28"/>
          <w:szCs w:val="28"/>
          <w:highlight w:val="none"/>
          <w:lang w:val="en-US" w:eastAsia="zh-CN" w:bidi="ar-SA"/>
        </w:rPr>
      </w:pPr>
    </w:p>
    <w:p w14:paraId="6AA5B578">
      <w:pPr>
        <w:spacing w:line="240" w:lineRule="auto"/>
        <w:rPr>
          <w:rFonts w:hint="eastAsia" w:ascii="宋体" w:hAnsi="宋体" w:eastAsia="宋体" w:cs="宋体"/>
          <w:b/>
          <w:bCs/>
          <w:iCs/>
          <w:color w:val="auto"/>
          <w:kern w:val="2"/>
          <w:sz w:val="28"/>
          <w:szCs w:val="28"/>
          <w:highlight w:val="none"/>
          <w:lang w:val="en-US" w:eastAsia="zh-CN" w:bidi="ar-SA"/>
        </w:rPr>
      </w:pPr>
      <w:r>
        <w:rPr>
          <w:rFonts w:hint="eastAsia" w:ascii="宋体" w:hAnsi="宋体" w:cs="宋体"/>
          <w:b/>
          <w:bCs/>
          <w:iCs/>
          <w:color w:val="auto"/>
          <w:kern w:val="2"/>
          <w:sz w:val="28"/>
          <w:szCs w:val="28"/>
          <w:highlight w:val="none"/>
          <w:lang w:val="en-US" w:eastAsia="zh-CN" w:bidi="ar-SA"/>
        </w:rPr>
        <w:t>3</w:t>
      </w:r>
      <w:r>
        <w:rPr>
          <w:rFonts w:hint="eastAsia" w:ascii="宋体" w:hAnsi="宋体" w:eastAsia="宋体" w:cs="宋体"/>
          <w:b/>
          <w:bCs/>
          <w:iCs/>
          <w:color w:val="auto"/>
          <w:kern w:val="2"/>
          <w:sz w:val="28"/>
          <w:szCs w:val="28"/>
          <w:highlight w:val="none"/>
          <w:lang w:val="en-US" w:eastAsia="zh-CN" w:bidi="ar-SA"/>
        </w:rPr>
        <w:t>.供应商可结合本项目的评审办法视自身情况自行提交其它相关证明材料。</w:t>
      </w:r>
    </w:p>
    <w:p w14:paraId="1D10D46B">
      <w:pPr>
        <w:spacing w:line="360" w:lineRule="auto"/>
        <w:ind w:firstLine="480" w:firstLineChars="200"/>
        <w:rPr>
          <w:rFonts w:hint="eastAsia" w:ascii="宋体" w:hAnsi="宋体" w:eastAsia="宋体" w:cs="宋体"/>
          <w:color w:val="auto"/>
          <w:sz w:val="24"/>
          <w:highlight w:val="none"/>
        </w:rPr>
      </w:pPr>
    </w:p>
    <w:p w14:paraId="77930C8B">
      <w:pPr>
        <w:pStyle w:val="30"/>
        <w:rPr>
          <w:rFonts w:hint="eastAsia" w:ascii="宋体" w:hAnsi="宋体" w:eastAsia="宋体" w:cs="宋体"/>
          <w:b/>
          <w:bCs/>
          <w:color w:val="auto"/>
          <w:sz w:val="24"/>
          <w:highlight w:val="none"/>
        </w:rPr>
      </w:pPr>
    </w:p>
    <w:p w14:paraId="02A73BC8">
      <w:pPr>
        <w:rPr>
          <w:rFonts w:hint="eastAsia" w:ascii="宋体" w:hAnsi="宋体" w:cs="宋体"/>
          <w:b/>
          <w:bCs/>
          <w:iCs/>
          <w:color w:val="auto"/>
          <w:kern w:val="2"/>
          <w:sz w:val="28"/>
          <w:szCs w:val="28"/>
          <w:highlight w:val="none"/>
          <w:lang w:val="en-US" w:eastAsia="zh-CN" w:bidi="ar-SA"/>
        </w:rPr>
      </w:pPr>
    </w:p>
    <w:p w14:paraId="6DA00B2E">
      <w:pPr>
        <w:bidi w:val="0"/>
        <w:rPr>
          <w:rFonts w:hint="default"/>
          <w:color w:val="auto"/>
          <w:highlight w:val="none"/>
          <w:lang w:val="en-US" w:eastAsia="zh-CN"/>
        </w:rPr>
      </w:pPr>
    </w:p>
    <w:p w14:paraId="45884949">
      <w:pPr>
        <w:rPr>
          <w:rFonts w:hint="default"/>
          <w:color w:val="auto"/>
          <w:highlight w:val="none"/>
          <w:lang w:val="en-US" w:eastAsia="zh-CN"/>
        </w:rPr>
      </w:pPr>
    </w:p>
    <w:p w14:paraId="6904544E">
      <w:pPr>
        <w:pStyle w:val="2"/>
        <w:spacing w:line="240" w:lineRule="auto"/>
        <w:jc w:val="center"/>
        <w:rPr>
          <w:rFonts w:hint="eastAsia"/>
          <w:color w:val="auto"/>
          <w:highlight w:val="none"/>
        </w:rPr>
      </w:pPr>
      <w:bookmarkStart w:id="2425" w:name="_Toc1637952"/>
      <w:bookmarkStart w:id="2426" w:name="_Toc6973"/>
      <w:bookmarkStart w:id="2427" w:name="_Toc22545"/>
      <w:bookmarkStart w:id="2428" w:name="_Toc18780"/>
      <w:bookmarkStart w:id="2429" w:name="_Toc12385"/>
      <w:bookmarkStart w:id="2430" w:name="_Toc16390"/>
      <w:bookmarkStart w:id="2431" w:name="_Toc2237"/>
    </w:p>
    <w:bookmarkEnd w:id="2425"/>
    <w:bookmarkEnd w:id="2426"/>
    <w:bookmarkEnd w:id="2427"/>
    <w:bookmarkEnd w:id="2428"/>
    <w:bookmarkEnd w:id="2429"/>
    <w:bookmarkEnd w:id="2430"/>
    <w:bookmarkEnd w:id="2431"/>
    <w:p w14:paraId="120AC31D">
      <w:pPr>
        <w:jc w:val="center"/>
        <w:rPr>
          <w:rFonts w:hint="eastAsia"/>
          <w:color w:val="auto"/>
          <w:highlight w:val="none"/>
        </w:rPr>
      </w:pPr>
    </w:p>
    <w:p w14:paraId="23EA4B66">
      <w:pPr>
        <w:jc w:val="center"/>
        <w:rPr>
          <w:rFonts w:hint="eastAsia"/>
          <w:color w:val="auto"/>
          <w:highlight w:val="none"/>
        </w:rPr>
      </w:pPr>
    </w:p>
    <w:p w14:paraId="39BA13D8">
      <w:pPr>
        <w:jc w:val="center"/>
        <w:rPr>
          <w:rFonts w:hint="eastAsia"/>
          <w:color w:val="auto"/>
          <w:highlight w:val="none"/>
        </w:rPr>
      </w:pPr>
    </w:p>
    <w:p w14:paraId="0130B03A">
      <w:pPr>
        <w:jc w:val="center"/>
        <w:rPr>
          <w:rFonts w:hint="eastAsia"/>
          <w:color w:val="auto"/>
          <w:highlight w:val="none"/>
        </w:rPr>
      </w:pPr>
    </w:p>
    <w:p w14:paraId="26B01CCA">
      <w:pPr>
        <w:rPr>
          <w:rFonts w:hint="eastAsia"/>
          <w:color w:val="auto"/>
          <w:highlight w:val="none"/>
        </w:rPr>
      </w:pPr>
      <w:r>
        <w:rPr>
          <w:rFonts w:hint="eastAsia"/>
          <w:color w:val="auto"/>
          <w:highlight w:val="none"/>
        </w:rPr>
        <w:br w:type="page"/>
      </w:r>
    </w:p>
    <w:p w14:paraId="794F95C2">
      <w:pPr>
        <w:pStyle w:val="2"/>
        <w:spacing w:line="240" w:lineRule="auto"/>
        <w:jc w:val="center"/>
        <w:rPr>
          <w:rFonts w:hint="eastAsia"/>
          <w:color w:val="auto"/>
          <w:highlight w:val="none"/>
        </w:rPr>
      </w:pPr>
      <w:bookmarkStart w:id="2432" w:name="_Toc6063"/>
      <w:r>
        <w:rPr>
          <w:rFonts w:hint="eastAsia"/>
          <w:color w:val="auto"/>
          <w:highlight w:val="none"/>
        </w:rPr>
        <w:t>第七章、图纸</w:t>
      </w:r>
      <w:bookmarkEnd w:id="2432"/>
    </w:p>
    <w:p w14:paraId="72B020D0">
      <w:pPr>
        <w:jc w:val="center"/>
        <w:rPr>
          <w:rFonts w:hint="eastAsia"/>
          <w:color w:val="auto"/>
          <w:highlight w:val="none"/>
        </w:rPr>
      </w:pPr>
    </w:p>
    <w:p w14:paraId="27E12BED">
      <w:pPr>
        <w:jc w:val="center"/>
        <w:rPr>
          <w:rFonts w:hint="eastAsia"/>
          <w:color w:val="auto"/>
          <w:sz w:val="24"/>
          <w:highlight w:val="none"/>
        </w:rPr>
      </w:pPr>
      <w:r>
        <w:rPr>
          <w:rFonts w:hint="eastAsia"/>
          <w:color w:val="auto"/>
          <w:sz w:val="24"/>
          <w:highlight w:val="none"/>
        </w:rPr>
        <w:t>另附</w:t>
      </w:r>
    </w:p>
    <w:p w14:paraId="423CFFC9">
      <w:pPr>
        <w:rPr>
          <w:rFonts w:hint="default"/>
          <w:color w:val="auto"/>
          <w:highlight w:val="none"/>
          <w:lang w:val="en-US" w:eastAsia="zh-CN"/>
        </w:rPr>
      </w:pPr>
    </w:p>
    <w:p w14:paraId="061E6BDA">
      <w:pPr>
        <w:rPr>
          <w:color w:val="auto"/>
          <w:highlight w:val="none"/>
        </w:rPr>
      </w:pPr>
    </w:p>
    <w:p w14:paraId="3A7C74F3">
      <w:pPr>
        <w:rPr>
          <w:color w:val="auto"/>
          <w:highlight w:val="none"/>
        </w:rPr>
      </w:pPr>
    </w:p>
    <w:p w14:paraId="3B8B349C">
      <w:pPr>
        <w:rPr>
          <w:color w:val="auto"/>
          <w:highlight w:val="none"/>
        </w:rPr>
      </w:pPr>
    </w:p>
    <w:sectPr>
      <w:headerReference r:id="rId8" w:type="default"/>
      <w:footerReference r:id="rId9"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roman"/>
    <w:pitch w:val="default"/>
    <w:sig w:usb0="E0002EFF" w:usb1="C000785B" w:usb2="00000009" w:usb3="00000000" w:csb0="400001FF" w:csb1="FFFF0000"/>
  </w:font>
  <w:font w:name="宋体">
    <w:panose1 w:val="02010600030101010101"/>
    <w:charset w:val="0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3B56BD-21D4-47A5-9ACF-BF78ECB43CFC}"/>
  </w:font>
  <w:font w:name="黑体">
    <w:panose1 w:val="02010609060101010101"/>
    <w:charset w:val="86"/>
    <w:family w:val="auto"/>
    <w:pitch w:val="default"/>
    <w:sig w:usb0="800002BF" w:usb1="38CF7CFA" w:usb2="00000016" w:usb3="00000000" w:csb0="00040001" w:csb1="00000000"/>
    <w:embedRegular r:id="rId2" w:fontKey="{A71D9CFC-A90D-43E5-AFED-49FAAFA243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E1D9D18-E756-49FC-9496-1951EDACE924}"/>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embedRegular r:id="rId4" w:fontKey="{2AD35E45-07FE-48A0-A6DE-B1E056587C13}"/>
  </w:font>
  <w:font w:name="新宋体">
    <w:panose1 w:val="02010609030101010101"/>
    <w:charset w:val="86"/>
    <w:family w:val="auto"/>
    <w:pitch w:val="default"/>
    <w:sig w:usb0="00000203" w:usb1="288F0000" w:usb2="00000006" w:usb3="00000000" w:csb0="00040001" w:csb1="00000000"/>
    <w:embedRegular r:id="rId5" w:fontKey="{8CEF3CBF-B254-4ECA-A522-9717FA922C9C}"/>
  </w:font>
  <w:font w:name="Cambria Math">
    <w:panose1 w:val="02040503050406030204"/>
    <w:charset w:val="00"/>
    <w:family w:val="roman"/>
    <w:pitch w:val="default"/>
    <w:sig w:usb0="E00006FF" w:usb1="420024FF" w:usb2="02000000" w:usb3="00000000" w:csb0="2000019F" w:csb1="00000000"/>
    <w:embedRegular r:id="rId6" w:fontKey="{6AC33653-B7AC-43B3-BE41-79B831C3CE40}"/>
  </w:font>
  <w:font w:name="方正仿宋_GB2312">
    <w:panose1 w:val="02000000000000000000"/>
    <w:charset w:val="86"/>
    <w:family w:val="auto"/>
    <w:pitch w:val="default"/>
    <w:sig w:usb0="A00002BF" w:usb1="184F6CFA" w:usb2="00000012" w:usb3="00000000" w:csb0="00040001" w:csb1="00000000"/>
    <w:embedRegular r:id="rId7" w:fontKey="{513951DC-777E-4661-B725-181CFE5148A0}"/>
  </w:font>
  <w:font w:name="仿宋_GB2312">
    <w:panose1 w:val="02010609030101010101"/>
    <w:charset w:val="86"/>
    <w:family w:val="modern"/>
    <w:pitch w:val="default"/>
    <w:sig w:usb0="00000001" w:usb1="080E0000" w:usb2="00000000" w:usb3="00000000" w:csb0="00040000" w:csb1="00000000"/>
    <w:embedRegular r:id="rId8" w:fontKey="{8EF7A70A-FDE6-4011-BE8E-9194256C557B}"/>
  </w:font>
  <w:font w:name="等线">
    <w:panose1 w:val="02010600030101010101"/>
    <w:charset w:val="86"/>
    <w:family w:val="auto"/>
    <w:pitch w:val="default"/>
    <w:sig w:usb0="A00002BF" w:usb1="38CF7CFA" w:usb2="00000016" w:usb3="00000000" w:csb0="0004000F" w:csb1="00000000"/>
    <w:embedRegular r:id="rId9" w:fontKey="{7DAEE6A7-2EF5-4D44-975B-142D59C7E28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463D">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10C3BACE">
                          <w:pPr>
                            <w:pStyle w:val="1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LOwMsfEAQAAmgMAAA4AAAAAAAAAAQAgAAAAHwEAAGRycy9lMm9Eb2MueG1s&#10;UEsFBgAAAAAGAAYAWQEAAFUFAAAAAA==&#10;">
              <v:fill on="f" focussize="0,0"/>
              <v:stroke on="f"/>
              <v:imagedata o:title=""/>
              <o:lock v:ext="edit" aspectratio="f"/>
              <v:textbox inset="0mm,0mm,0mm,0mm" style="mso-fit-shape-to-text:t;">
                <w:txbxContent>
                  <w:p w14:paraId="10C3BACE">
                    <w:pPr>
                      <w:pStyle w:val="13"/>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178D4">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矩形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3682323F">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Bfqq+fEAQAAmgMAAA4AAAAAAAAAAQAgAAAAHwEAAGRycy9lMm9Eb2MueG1s&#10;UEsFBgAAAAAGAAYAWQEAAFUFAAAAAA==&#10;">
              <v:fill on="f" focussize="0,0"/>
              <v:stroke on="f"/>
              <v:imagedata o:title=""/>
              <o:lock v:ext="edit" aspectratio="f"/>
              <v:textbox inset="0mm,0mm,0mm,0mm" style="mso-fit-shape-to-text:t;">
                <w:txbxContent>
                  <w:p w14:paraId="3682323F">
                    <w:pPr>
                      <w:pStyle w:val="13"/>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9A9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矩形 409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F850860">
                          <w:pPr>
                            <w:pStyle w:val="13"/>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Bsme5pyAEAAKADAAAOAAAAAAAAAAEAIAAAAB8BAABkcnMvZTJvRG9j&#10;LnhtbFBLBQYAAAAABgAGAFkBAABZBQAAAAA=&#10;">
              <v:fill on="f" focussize="0,0"/>
              <v:stroke on="f"/>
              <v:imagedata o:title=""/>
              <o:lock v:ext="edit" aspectratio="f"/>
              <v:textbox inset="0mm,0mm,0mm,0mm" style="mso-fit-shape-to-text:t;">
                <w:txbxContent>
                  <w:p w14:paraId="4F850860">
                    <w:pPr>
                      <w:pStyle w:val="13"/>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8F696">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矩形 410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0AA2F1BE">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vXcEWcYBAACgAwAADgAAAAAAAAABACAAAAAfAQAAZHJzL2Uyb0RvYy54&#10;bWxQSwUGAAAAAAYABgBZAQAAVwUAAAAA&#10;">
              <v:fill on="f" focussize="0,0"/>
              <v:stroke on="f"/>
              <v:imagedata o:title=""/>
              <o:lock v:ext="edit" aspectratio="f"/>
              <v:textbox inset="0mm,0mm,0mm,0mm" style="mso-fit-shape-to-text:t;">
                <w:txbxContent>
                  <w:p w14:paraId="0AA2F1BE">
                    <w:pPr>
                      <w:pStyle w:val="13"/>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599E1">
    <w:pPr>
      <w:pStyle w:val="1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C5646">
                          <w:pPr>
                            <w:pStyle w:val="13"/>
                            <w:jc w:val="center"/>
                          </w:pPr>
                          <w:r>
                            <w:fldChar w:fldCharType="begin"/>
                          </w:r>
                          <w:r>
                            <w:instrText xml:space="preserve">PAGE   \* MERGEFORMAT</w:instrText>
                          </w:r>
                          <w:r>
                            <w:fldChar w:fldCharType="separate"/>
                          </w:r>
                          <w:r>
                            <w:rPr>
                              <w:lang w:val="zh-CN"/>
                            </w:rP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9C5646">
                    <w:pPr>
                      <w:pStyle w:val="13"/>
                      <w:jc w:val="center"/>
                    </w:pPr>
                    <w:r>
                      <w:fldChar w:fldCharType="begin"/>
                    </w:r>
                    <w:r>
                      <w:instrText xml:space="preserve">PAGE   \* MERGEFORMAT</w:instrText>
                    </w:r>
                    <w:r>
                      <w:fldChar w:fldCharType="separate"/>
                    </w:r>
                    <w:r>
                      <w:rPr>
                        <w:lang w:val="zh-CN"/>
                      </w:rPr>
                      <w:t>65</w:t>
                    </w:r>
                    <w:r>
                      <w:fldChar w:fldCharType="end"/>
                    </w:r>
                  </w:p>
                </w:txbxContent>
              </v:textbox>
            </v:shape>
          </w:pict>
        </mc:Fallback>
      </mc:AlternateContent>
    </w:r>
  </w:p>
  <w:p w14:paraId="0BDEB2E6">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01BE9">
    <w:pPr>
      <w:pStyle w:val="1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矩形 410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32EA458E">
                          <w:pPr>
                            <w:pStyle w:val="13"/>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PhLAYDHAQAAoAMAAA4AAAAAAAAAAQAgAAAAHwEAAGRycy9lMm9Eb2Mu&#10;eG1sUEsFBgAAAAAGAAYAWQEAAFgFAAAAAA==&#10;">
              <v:fill on="f" focussize="0,0"/>
              <v:stroke on="f"/>
              <v:imagedata o:title=""/>
              <o:lock v:ext="edit" aspectratio="f"/>
              <v:textbox inset="0mm,0mm,0mm,0mm" style="mso-fit-shape-to-text:t;">
                <w:txbxContent>
                  <w:p w14:paraId="32EA458E">
                    <w:pPr>
                      <w:pStyle w:val="13"/>
                    </w:pPr>
                    <w:r>
                      <w:fldChar w:fldCharType="begin"/>
                    </w:r>
                    <w:r>
                      <w:instrText xml:space="preserve"> PAGE  \* MERGEFORMAT </w:instrText>
                    </w:r>
                    <w:r>
                      <w:fldChar w:fldCharType="separate"/>
                    </w:r>
                    <w:r>
                      <w:t>64</w:t>
                    </w:r>
                    <w:r>
                      <w:fldChar w:fldCharType="end"/>
                    </w:r>
                  </w:p>
                </w:txbxContent>
              </v:textbox>
            </v:rect>
          </w:pict>
        </mc:Fallback>
      </mc:AlternateContent>
    </w:r>
  </w:p>
  <w:p w14:paraId="59468ADE">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F1271">
    <w:pPr>
      <w:pStyle w:val="14"/>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7DB61E"/>
    <w:multiLevelType w:val="singleLevel"/>
    <w:tmpl w:val="CA7DB61E"/>
    <w:lvl w:ilvl="0" w:tentative="0">
      <w:start w:val="1"/>
      <w:numFmt w:val="decimal"/>
      <w:suff w:val="nothing"/>
      <w:lvlText w:val="（%1）"/>
      <w:lvlJc w:val="left"/>
    </w:lvl>
  </w:abstractNum>
  <w:abstractNum w:abstractNumId="1">
    <w:nsid w:val="00000001"/>
    <w:multiLevelType w:val="singleLevel"/>
    <w:tmpl w:val="00000001"/>
    <w:lvl w:ilvl="0" w:tentative="0">
      <w:start w:val="2"/>
      <w:numFmt w:val="chineseCounting"/>
      <w:suff w:val="nothing"/>
      <w:lvlText w:val="%1、"/>
      <w:lvlJc w:val="left"/>
      <w:rPr>
        <w:rFonts w:hint="eastAsia"/>
      </w:rPr>
    </w:lvl>
  </w:abstractNum>
  <w:abstractNum w:abstractNumId="2">
    <w:nsid w:val="00000002"/>
    <w:multiLevelType w:val="singleLevel"/>
    <w:tmpl w:val="00000002"/>
    <w:lvl w:ilvl="0" w:tentative="0">
      <w:start w:val="2"/>
      <w:numFmt w:val="decimal"/>
      <w:suff w:val="nothing"/>
      <w:lvlText w:val="（%1）"/>
      <w:lvlJc w:val="left"/>
    </w:lvl>
  </w:abstractNum>
  <w:abstractNum w:abstractNumId="3">
    <w:nsid w:val="00000003"/>
    <w:multiLevelType w:val="singleLevel"/>
    <w:tmpl w:val="00000003"/>
    <w:lvl w:ilvl="0" w:tentative="0">
      <w:start w:val="1"/>
      <w:numFmt w:val="chineseCounting"/>
      <w:suff w:val="space"/>
      <w:lvlText w:val="第%1部分"/>
      <w:lvlJc w:val="left"/>
      <w:rPr>
        <w:rFonts w:hint="eastAsia"/>
      </w:rPr>
    </w:lvl>
  </w:abstractNum>
  <w:abstractNum w:abstractNumId="4">
    <w:nsid w:val="00000004"/>
    <w:multiLevelType w:val="singleLevel"/>
    <w:tmpl w:val="00000004"/>
    <w:lvl w:ilvl="0" w:tentative="0">
      <w:start w:val="4"/>
      <w:numFmt w:val="decimal"/>
      <w:suff w:val="nothing"/>
      <w:lvlText w:val="（%1）"/>
      <w:lvlJc w:val="left"/>
      <w:pPr>
        <w:ind w:left="0"/>
      </w:pPr>
    </w:lvl>
  </w:abstractNum>
  <w:abstractNum w:abstractNumId="5">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00000006"/>
    <w:multiLevelType w:val="singleLevel"/>
    <w:tmpl w:val="00000006"/>
    <w:lvl w:ilvl="0" w:tentative="0">
      <w:start w:val="1"/>
      <w:numFmt w:val="chineseCounting"/>
      <w:suff w:val="nothing"/>
      <w:lvlText w:val="（%1）"/>
      <w:lvlJc w:val="left"/>
      <w:rPr>
        <w:rFonts w:hint="eastAsia"/>
      </w:rPr>
    </w:lvl>
  </w:abstractNum>
  <w:abstractNum w:abstractNumId="7">
    <w:nsid w:val="00000007"/>
    <w:multiLevelType w:val="singleLevel"/>
    <w:tmpl w:val="00000007"/>
    <w:lvl w:ilvl="0" w:tentative="0">
      <w:start w:val="1"/>
      <w:numFmt w:val="decimal"/>
      <w:lvlText w:val="%1."/>
      <w:lvlJc w:val="left"/>
      <w:pPr>
        <w:tabs>
          <w:tab w:val="left" w:pos="312"/>
        </w:tabs>
      </w:pPr>
    </w:lvl>
  </w:abstractNum>
  <w:abstractNum w:abstractNumId="8">
    <w:nsid w:val="00000008"/>
    <w:multiLevelType w:val="singleLevel"/>
    <w:tmpl w:val="00000008"/>
    <w:lvl w:ilvl="0" w:tentative="0">
      <w:start w:val="26"/>
      <w:numFmt w:val="decimal"/>
      <w:suff w:val="space"/>
      <w:lvlText w:val="%1."/>
      <w:lvlJc w:val="left"/>
    </w:lvl>
  </w:abstractNum>
  <w:abstractNum w:abstractNumId="9">
    <w:nsid w:val="00000009"/>
    <w:multiLevelType w:val="singleLevel"/>
    <w:tmpl w:val="00000009"/>
    <w:lvl w:ilvl="0" w:tentative="0">
      <w:start w:val="4"/>
      <w:numFmt w:val="decimal"/>
      <w:suff w:val="nothing"/>
      <w:lvlText w:val="（%1）"/>
      <w:lvlJc w:val="left"/>
    </w:lvl>
  </w:abstractNum>
  <w:abstractNum w:abstractNumId="10">
    <w:nsid w:val="0000000A"/>
    <w:multiLevelType w:val="singleLevel"/>
    <w:tmpl w:val="0000000A"/>
    <w:lvl w:ilvl="0" w:tentative="0">
      <w:start w:val="2"/>
      <w:numFmt w:val="decimal"/>
      <w:suff w:val="nothing"/>
      <w:lvlText w:val="（%1）"/>
      <w:lvlJc w:val="left"/>
    </w:lvl>
  </w:abstractNum>
  <w:abstractNum w:abstractNumId="11">
    <w:nsid w:val="0000000B"/>
    <w:multiLevelType w:val="singleLevel"/>
    <w:tmpl w:val="0000000B"/>
    <w:lvl w:ilvl="0" w:tentative="0">
      <w:start w:val="8"/>
      <w:numFmt w:val="decimal"/>
      <w:suff w:val="space"/>
      <w:lvlText w:val="%1."/>
      <w:lvlJc w:val="left"/>
    </w:lvl>
  </w:abstractNum>
  <w:abstractNum w:abstractNumId="12">
    <w:nsid w:val="0000000C"/>
    <w:multiLevelType w:val="singleLevel"/>
    <w:tmpl w:val="0000000C"/>
    <w:lvl w:ilvl="0" w:tentative="0">
      <w:start w:val="6"/>
      <w:numFmt w:val="chineseCounting"/>
      <w:suff w:val="nothing"/>
      <w:lvlText w:val="%1、"/>
      <w:lvlJc w:val="left"/>
      <w:rPr>
        <w:rFonts w:hint="eastAsia"/>
      </w:rPr>
    </w:lvl>
  </w:abstractNum>
  <w:abstractNum w:abstractNumId="13">
    <w:nsid w:val="0000000D"/>
    <w:multiLevelType w:val="singleLevel"/>
    <w:tmpl w:val="0000000D"/>
    <w:lvl w:ilvl="0" w:tentative="0">
      <w:start w:val="2"/>
      <w:numFmt w:val="decimal"/>
      <w:lvlText w:val="%1."/>
      <w:lvlJc w:val="left"/>
      <w:pPr>
        <w:tabs>
          <w:tab w:val="left" w:pos="312"/>
        </w:tabs>
      </w:pPr>
    </w:lvl>
  </w:abstractNum>
  <w:abstractNum w:abstractNumId="14">
    <w:nsid w:val="0000000F"/>
    <w:multiLevelType w:val="multilevel"/>
    <w:tmpl w:val="0000000F"/>
    <w:lvl w:ilvl="0" w:tentative="0">
      <w:start w:val="1"/>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0000010"/>
    <w:multiLevelType w:val="singleLevel"/>
    <w:tmpl w:val="00000010"/>
    <w:lvl w:ilvl="0" w:tentative="0">
      <w:start w:val="5"/>
      <w:numFmt w:val="decimal"/>
      <w:suff w:val="space"/>
      <w:lvlText w:val="%1."/>
      <w:lvlJc w:val="left"/>
    </w:lvl>
  </w:abstractNum>
  <w:num w:numId="1">
    <w:abstractNumId w:val="5"/>
  </w:num>
  <w:num w:numId="2">
    <w:abstractNumId w:val="15"/>
  </w:num>
  <w:num w:numId="3">
    <w:abstractNumId w:val="4"/>
  </w:num>
  <w:num w:numId="4">
    <w:abstractNumId w:val="2"/>
  </w:num>
  <w:num w:numId="5">
    <w:abstractNumId w:val="8"/>
  </w:num>
  <w:num w:numId="6">
    <w:abstractNumId w:val="0"/>
  </w:num>
  <w:num w:numId="7">
    <w:abstractNumId w:val="3"/>
  </w:num>
  <w:num w:numId="8">
    <w:abstractNumId w:val="9"/>
  </w:num>
  <w:num w:numId="9">
    <w:abstractNumId w:val="6"/>
  </w:num>
  <w:num w:numId="10">
    <w:abstractNumId w:val="10"/>
  </w:num>
  <w:num w:numId="11">
    <w:abstractNumId w:val="11"/>
  </w:num>
  <w:num w:numId="12">
    <w:abstractNumId w:val="12"/>
  </w:num>
  <w:num w:numId="13">
    <w:abstractNumId w:val="13"/>
  </w:num>
  <w:num w:numId="14">
    <w:abstractNumId w:val="1"/>
  </w:num>
  <w:num w:numId="15">
    <w:abstractNumId w:val="7"/>
  </w:num>
  <w:num w:numId="1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MjQyYTJmYmM5NTgzZTk4ZWJkZDI2ZGM0YzQzYzIifQ=="/>
    <w:docVar w:name="KSO_WPS_MARK_KEY" w:val="a3adb148-270f-42ae-9ec3-2fe99b1ace6b"/>
  </w:docVars>
  <w:rsids>
    <w:rsidRoot w:val="23B209CE"/>
    <w:rsid w:val="022A4193"/>
    <w:rsid w:val="0C460860"/>
    <w:rsid w:val="14CA2983"/>
    <w:rsid w:val="15BC17EB"/>
    <w:rsid w:val="16EC3A6B"/>
    <w:rsid w:val="19EF7866"/>
    <w:rsid w:val="21B4613A"/>
    <w:rsid w:val="21C76137"/>
    <w:rsid w:val="23B209CE"/>
    <w:rsid w:val="2E4F7E3F"/>
    <w:rsid w:val="37295215"/>
    <w:rsid w:val="3D5644DD"/>
    <w:rsid w:val="40E45575"/>
    <w:rsid w:val="450006BE"/>
    <w:rsid w:val="4AB961E1"/>
    <w:rsid w:val="51652BCA"/>
    <w:rsid w:val="58701C20"/>
    <w:rsid w:val="5D594418"/>
    <w:rsid w:val="62CC2ED6"/>
    <w:rsid w:val="6ADF4062"/>
    <w:rsid w:val="6F0F3D67"/>
    <w:rsid w:val="6FDB4A65"/>
    <w:rsid w:val="73F676A2"/>
    <w:rsid w:val="778C5D1F"/>
    <w:rsid w:val="78D479CB"/>
    <w:rsid w:val="79C8463C"/>
    <w:rsid w:val="7FF13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36"/>
      <w:szCs w:val="44"/>
    </w:rPr>
  </w:style>
  <w:style w:type="paragraph" w:styleId="3">
    <w:name w:val="heading 2"/>
    <w:basedOn w:val="1"/>
    <w:next w:val="1"/>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32"/>
    <w:qFormat/>
    <w:uiPriority w:val="0"/>
    <w:pPr>
      <w:keepNext/>
      <w:keepLines/>
      <w:widowControl/>
      <w:spacing w:before="260" w:after="260" w:line="416" w:lineRule="auto"/>
      <w:outlineLvl w:val="2"/>
    </w:pPr>
    <w:rPr>
      <w:b/>
      <w:bCs/>
      <w:sz w:val="24"/>
      <w:szCs w:val="32"/>
    </w:rPr>
  </w:style>
  <w:style w:type="paragraph" w:styleId="5">
    <w:name w:val="heading 4"/>
    <w:basedOn w:val="1"/>
    <w:next w:val="1"/>
    <w:qFormat/>
    <w:uiPriority w:val="0"/>
    <w:pPr>
      <w:keepNext/>
      <w:keepLines/>
      <w:widowControl/>
      <w:spacing w:before="200" w:line="276" w:lineRule="auto"/>
      <w:jc w:val="left"/>
      <w:outlineLvl w:val="3"/>
    </w:pPr>
    <w:rPr>
      <w:rFonts w:ascii="Calibri Light" w:hAnsi="Calibri Light" w:cs="Times New Roman"/>
      <w:b/>
      <w:bCs/>
      <w:iCs/>
      <w:szCs w:val="22"/>
    </w:rPr>
  </w:style>
  <w:style w:type="paragraph" w:styleId="6">
    <w:name w:val="heading 5"/>
    <w:basedOn w:val="1"/>
    <w:next w:val="1"/>
    <w:qFormat/>
    <w:uiPriority w:val="99"/>
    <w:pPr>
      <w:keepNext/>
      <w:keepLines/>
      <w:spacing w:before="280" w:after="290" w:line="376" w:lineRule="auto"/>
      <w:outlineLvl w:val="4"/>
    </w:pPr>
    <w:rPr>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7">
    <w:name w:val="index 8"/>
    <w:basedOn w:val="1"/>
    <w:next w:val="1"/>
    <w:qFormat/>
    <w:uiPriority w:val="0"/>
    <w:pPr>
      <w:ind w:left="1400" w:leftChars="1400" w:firstLine="0"/>
    </w:pPr>
  </w:style>
  <w:style w:type="paragraph" w:styleId="8">
    <w:name w:val="annotation text"/>
    <w:basedOn w:val="1"/>
    <w:qFormat/>
    <w:uiPriority w:val="0"/>
    <w:pPr>
      <w:widowControl/>
      <w:jc w:val="left"/>
    </w:pPr>
    <w:rPr>
      <w:rFonts w:ascii="Calibri" w:hAnsi="Calibri" w:eastAsia="宋体" w:cs="Times New Roman"/>
    </w:rPr>
  </w:style>
  <w:style w:type="paragraph" w:styleId="9">
    <w:name w:val="Body Text"/>
    <w:basedOn w:val="1"/>
    <w:next w:val="1"/>
    <w:qFormat/>
    <w:uiPriority w:val="0"/>
    <w:pPr>
      <w:spacing w:after="120"/>
    </w:pPr>
  </w:style>
  <w:style w:type="paragraph" w:styleId="10">
    <w:name w:val="Body Text Indent"/>
    <w:basedOn w:val="1"/>
    <w:qFormat/>
    <w:uiPriority w:val="0"/>
    <w:pPr>
      <w:spacing w:after="120" w:line="360" w:lineRule="exact"/>
      <w:ind w:left="420" w:leftChars="200" w:firstLine="200" w:firstLineChars="200"/>
    </w:pPr>
  </w:style>
  <w:style w:type="paragraph" w:styleId="11">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2">
    <w:name w:val="Plain Text"/>
    <w:basedOn w:val="1"/>
    <w:next w:val="7"/>
    <w:qFormat/>
    <w:uiPriority w:val="0"/>
    <w:rPr>
      <w:rFonts w:ascii="宋体" w:hAnsi="Courier New" w:cs="Times New Roman"/>
      <w:szCs w:val="22"/>
    </w:r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qFormat/>
    <w:uiPriority w:val="99"/>
    <w:pPr>
      <w:jc w:val="center"/>
    </w:pPr>
    <w:rPr>
      <w:rFonts w:ascii="Arial" w:hAnsi="Arial" w:eastAsia="宋体" w:cs="Arial"/>
      <w:b/>
      <w:sz w:val="32"/>
      <w:u w:val="single"/>
    </w:rPr>
  </w:style>
  <w:style w:type="paragraph" w:styleId="19">
    <w:name w:val="Body Text First Indent"/>
    <w:basedOn w:val="20"/>
    <w:next w:val="23"/>
    <w:qFormat/>
    <w:uiPriority w:val="0"/>
    <w:pPr>
      <w:spacing w:after="120"/>
      <w:ind w:firstLine="420" w:firstLineChars="100"/>
    </w:pPr>
    <w:rPr>
      <w:rFonts w:ascii="Times New Roman" w:hAnsi="Times New Roman"/>
      <w:szCs w:val="24"/>
    </w:rPr>
  </w:style>
  <w:style w:type="paragraph" w:customStyle="1" w:styleId="20">
    <w:name w:val="正文文本_0"/>
    <w:basedOn w:val="21"/>
    <w:next w:val="22"/>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21">
    <w:name w:val="正文_0"/>
    <w:next w:val="2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_2_0"/>
    <w:next w:val="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正文缩进_0"/>
    <w:basedOn w:val="22"/>
    <w:next w:val="24"/>
    <w:qFormat/>
    <w:uiPriority w:val="99"/>
    <w:pPr>
      <w:ind w:firstLine="420"/>
    </w:pPr>
    <w:rPr>
      <w:rFonts w:ascii="Times New Roman" w:hAnsi="Times New Roman"/>
      <w:szCs w:val="20"/>
    </w:rPr>
  </w:style>
  <w:style w:type="paragraph" w:customStyle="1" w:styleId="24">
    <w:name w:val="_Style 50"/>
    <w:basedOn w:val="22"/>
    <w:next w:val="25"/>
    <w:qFormat/>
    <w:uiPriority w:val="0"/>
    <w:pPr>
      <w:widowControl/>
      <w:spacing w:before="100" w:beforeAutospacing="1" w:after="100" w:afterAutospacing="1"/>
    </w:pPr>
    <w:rPr>
      <w:rFonts w:ascii="宋体" w:hAnsi="宋体"/>
    </w:rPr>
  </w:style>
  <w:style w:type="paragraph" w:customStyle="1" w:styleId="25">
    <w:name w:val="普通(网站)_0"/>
    <w:basedOn w:val="22"/>
    <w:next w:val="22"/>
    <w:qFormat/>
    <w:uiPriority w:val="0"/>
    <w:pPr>
      <w:widowControl/>
      <w:spacing w:before="100" w:beforeAutospacing="1" w:after="100" w:afterAutospacing="1"/>
      <w:jc w:val="left"/>
    </w:pPr>
    <w:rPr>
      <w:rFonts w:ascii="宋体" w:hAnsi="宋体" w:cs="宋体"/>
      <w:kern w:val="0"/>
      <w:sz w:val="24"/>
      <w:szCs w:val="24"/>
    </w:rPr>
  </w:style>
  <w:style w:type="paragraph" w:styleId="26">
    <w:name w:val="Body Text First Indent 2"/>
    <w:basedOn w:val="10"/>
    <w:qFormat/>
    <w:uiPriority w:val="99"/>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
    <w:name w:val="Default"/>
    <w:basedOn w:val="18"/>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1">
    <w:name w:val="List Paragraph"/>
    <w:basedOn w:val="1"/>
    <w:qFormat/>
    <w:uiPriority w:val="0"/>
    <w:pPr>
      <w:ind w:firstLine="420" w:firstLineChars="200"/>
    </w:pPr>
  </w:style>
  <w:style w:type="character" w:customStyle="1" w:styleId="32">
    <w:name w:val="标题 3 字符"/>
    <w:link w:val="4"/>
    <w:qFormat/>
    <w:uiPriority w:val="0"/>
    <w:rPr>
      <w:b/>
      <w:bCs/>
      <w:sz w:val="24"/>
      <w:szCs w:val="32"/>
    </w:rPr>
  </w:style>
  <w:style w:type="paragraph" w:customStyle="1" w:styleId="33">
    <w:name w:val="表格文字"/>
    <w:basedOn w:val="1"/>
    <w:qFormat/>
    <w:uiPriority w:val="0"/>
    <w:pPr>
      <w:spacing w:before="25" w:after="25" w:line="240" w:lineRule="auto"/>
      <w:ind w:firstLine="0"/>
      <w:jc w:val="left"/>
    </w:pPr>
    <w:rPr>
      <w:bCs/>
      <w:spacing w:val="10"/>
      <w:kern w:val="0"/>
      <w:sz w:val="24"/>
    </w:rPr>
  </w:style>
  <w:style w:type="paragraph" w:customStyle="1" w:styleId="34">
    <w:name w:val="p0"/>
    <w:basedOn w:val="1"/>
    <w:qFormat/>
    <w:uiPriority w:val="0"/>
    <w:pPr>
      <w:widowControl/>
    </w:pPr>
    <w:rPr>
      <w:rFonts w:ascii="Calibri" w:hAnsi="Calibri" w:cs="宋体"/>
      <w:kern w:val="0"/>
      <w:szCs w:val="21"/>
    </w:rPr>
  </w:style>
  <w:style w:type="paragraph" w:customStyle="1" w:styleId="35">
    <w:name w:val="首行缩进"/>
    <w:basedOn w:val="1"/>
    <w:qFormat/>
    <w:uiPriority w:val="0"/>
    <w:pPr>
      <w:spacing w:line="360" w:lineRule="auto"/>
      <w:ind w:firstLine="480" w:firstLineChars="200"/>
    </w:pPr>
    <w:rPr>
      <w:rFonts w:ascii="宋体" w:hAnsi="宋体"/>
      <w:kern w:val="0"/>
      <w:sz w:val="24"/>
    </w:rPr>
  </w:style>
  <w:style w:type="paragraph" w:customStyle="1" w:styleId="36">
    <w:name w:val="正文小标题_0"/>
    <w:basedOn w:val="37"/>
    <w:qFormat/>
    <w:uiPriority w:val="0"/>
    <w:pPr>
      <w:spacing w:line="420" w:lineRule="exact"/>
    </w:pPr>
    <w:rPr>
      <w:rFonts w:hAnsi="宋体" w:eastAsia="宋体"/>
      <w:sz w:val="21"/>
      <w:szCs w:val="21"/>
    </w:rPr>
  </w:style>
  <w:style w:type="paragraph" w:customStyle="1" w:styleId="37">
    <w:name w:val="标题 1_0"/>
    <w:basedOn w:val="21"/>
    <w:next w:val="21"/>
    <w:qFormat/>
    <w:uiPriority w:val="99"/>
    <w:pPr>
      <w:keepNext/>
      <w:keepLines/>
      <w:spacing w:line="360" w:lineRule="auto"/>
      <w:outlineLvl w:val="0"/>
    </w:pPr>
    <w:rPr>
      <w:rFonts w:eastAsia="黑体"/>
      <w:b/>
      <w:bCs/>
      <w:kern w:val="44"/>
      <w:sz w:val="32"/>
      <w:szCs w:val="44"/>
    </w:rPr>
  </w:style>
  <w:style w:type="paragraph" w:customStyle="1" w:styleId="38">
    <w:name w:val="正文_1_0"/>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9">
    <w:name w:val="正文呀2_0"/>
    <w:basedOn w:val="40"/>
    <w:qFormat/>
    <w:uiPriority w:val="0"/>
    <w:rPr>
      <w:rFonts w:ascii="Times New Roman" w:hAnsi="Times New Roman"/>
    </w:rPr>
  </w:style>
  <w:style w:type="paragraph" w:customStyle="1" w:styleId="40">
    <w:name w:val="正文呀_0"/>
    <w:basedOn w:val="38"/>
    <w:qFormat/>
    <w:uiPriority w:val="0"/>
    <w:pPr>
      <w:spacing w:line="420" w:lineRule="exact"/>
      <w:ind w:firstLine="420" w:firstLineChars="200"/>
    </w:pPr>
    <w:rPr>
      <w:rFonts w:ascii="宋体" w:hAnsi="宋体"/>
      <w:szCs w:val="21"/>
    </w:rPr>
  </w:style>
  <w:style w:type="paragraph" w:customStyle="1" w:styleId="41">
    <w:name w:val="正文呀2_1"/>
    <w:basedOn w:val="42"/>
    <w:qFormat/>
    <w:uiPriority w:val="0"/>
    <w:rPr>
      <w:rFonts w:ascii="Times New Roman" w:hAnsi="Times New Roman" w:eastAsia="宋体" w:cs="Times New Roman"/>
      <w:kern w:val="2"/>
      <w:sz w:val="21"/>
      <w:lang w:val="en-US" w:eastAsia="zh-CN"/>
    </w:rPr>
  </w:style>
  <w:style w:type="paragraph" w:customStyle="1" w:styleId="42">
    <w:name w:val="正文呀_1"/>
    <w:basedOn w:val="21"/>
    <w:qFormat/>
    <w:uiPriority w:val="0"/>
    <w:pPr>
      <w:spacing w:line="420" w:lineRule="exact"/>
      <w:ind w:firstLine="420" w:firstLineChars="200"/>
    </w:pPr>
    <w:rPr>
      <w:rFonts w:ascii="宋体" w:hAnsi="宋体"/>
      <w:kern w:val="0"/>
      <w:sz w:val="20"/>
      <w:szCs w:val="21"/>
      <w:lang w:val="zh-CN" w:eastAsia="zh-CN"/>
    </w:rPr>
  </w:style>
  <w:style w:type="paragraph" w:customStyle="1" w:styleId="43">
    <w:name w:val="纯文本_0"/>
    <w:basedOn w:val="21"/>
    <w:qFormat/>
    <w:uiPriority w:val="0"/>
    <w:rPr>
      <w:rFonts w:ascii="宋体" w:hAnsi="Courier New"/>
      <w:szCs w:val="24"/>
    </w:rPr>
  </w:style>
  <w:style w:type="paragraph" w:customStyle="1" w:styleId="44">
    <w:name w:val="无间隔_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正文_3"/>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NormalCharacter"/>
    <w:qFormat/>
    <w:uiPriority w:val="0"/>
  </w:style>
  <w:style w:type="paragraph" w:customStyle="1" w:styleId="48">
    <w:name w:val="BodyText"/>
    <w:basedOn w:val="1"/>
    <w:qFormat/>
    <w:uiPriority w:val="0"/>
    <w:pPr>
      <w:spacing w:after="60" w:line="360" w:lineRule="atLeast"/>
      <w:ind w:left="72" w:leftChars="30" w:right="30" w:rightChars="30"/>
      <w:jc w:val="center"/>
    </w:pPr>
    <w:rPr>
      <w:kern w:val="0"/>
      <w:sz w:val="20"/>
      <w:szCs w:val="20"/>
    </w:rPr>
  </w:style>
  <w:style w:type="paragraph" w:customStyle="1" w:styleId="49">
    <w:name w:val="PlainText"/>
    <w:basedOn w:val="1"/>
    <w:next w:val="50"/>
    <w:qFormat/>
    <w:uiPriority w:val="0"/>
    <w:rPr>
      <w:rFonts w:ascii="宋体" w:hAnsi="Courier New"/>
      <w:szCs w:val="20"/>
    </w:rPr>
  </w:style>
  <w:style w:type="paragraph" w:customStyle="1" w:styleId="50">
    <w:name w:val="Index8"/>
    <w:basedOn w:val="1"/>
    <w:next w:val="1"/>
    <w:qFormat/>
    <w:uiPriority w:val="0"/>
    <w:pPr>
      <w:ind w:left="2940"/>
    </w:pPr>
  </w:style>
  <w:style w:type="paragraph" w:customStyle="1" w:styleId="51">
    <w:name w:val="style4"/>
    <w:basedOn w:val="1"/>
    <w:next w:val="52"/>
    <w:qFormat/>
    <w:uiPriority w:val="0"/>
    <w:pPr>
      <w:widowControl/>
      <w:spacing w:before="280" w:after="280"/>
    </w:pPr>
    <w:rPr>
      <w:rFonts w:ascii="宋体"/>
      <w:sz w:val="18"/>
    </w:rPr>
  </w:style>
  <w:style w:type="paragraph" w:customStyle="1" w:styleId="52">
    <w:name w:val="2"/>
    <w:basedOn w:val="4"/>
    <w:next w:val="1"/>
    <w:qFormat/>
    <w:uiPriority w:val="0"/>
    <w:pPr>
      <w:widowControl w:val="0"/>
      <w:spacing w:before="120" w:beforeLines="50" w:after="120" w:afterLines="50" w:line="240" w:lineRule="auto"/>
      <w:jc w:val="center"/>
    </w:pPr>
    <w:rPr>
      <w:rFonts w:ascii="黑体" w:eastAsia="黑体"/>
      <w:sz w:val="4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wmf"/><Relationship Id="rId17" Type="http://schemas.openxmlformats.org/officeDocument/2006/relationships/oleObject" Target="embeddings/oleObject4.bin"/><Relationship Id="rId16" Type="http://schemas.openxmlformats.org/officeDocument/2006/relationships/image" Target="media/image3.wmf"/><Relationship Id="rId15" Type="http://schemas.openxmlformats.org/officeDocument/2006/relationships/oleObject" Target="embeddings/oleObject3.bin"/><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12062</Words>
  <Characters>13125</Characters>
  <Lines>0</Lines>
  <Paragraphs>0</Paragraphs>
  <TotalTime>170</TotalTime>
  <ScaleCrop>false</ScaleCrop>
  <LinksUpToDate>false</LinksUpToDate>
  <CharactersWithSpaces>13400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2024-06-03T12:38:00Z</dcterms:created>
  <dc:creator>歪歪</dc:creator>
  <cp:lastModifiedBy>LLLLL</cp:lastModifiedBy>
  <dcterms:modified xsi:type="dcterms:W3CDTF">2025-07-11T00:37:45Z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B0C933189FDD41B593CF00F47E7984F4_13</vt:lpwstr>
  </property>
  <property fmtid="{D5CDD505-2E9C-101B-9397-08002B2CF9AE}" pid="4" name="KSOTemplateDocerSaveRecord">
    <vt:lpwstr>eyJoZGlkIjoiMzhjMGRlZjUxYzk1MDA0ZTMwMTBlZmEyMTI1NDc1ZWMiLCJ1c2VySWQiOiIxMTc0ODE5MyJ9</vt:lpwstr>
  </property>
</Properties>
</file>