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A42EE">
      <w:pPr>
        <w:pStyle w:val="19"/>
        <w:jc w:val="center"/>
        <w:rPr>
          <w:rFonts w:hint="eastAsia" w:ascii="宋体" w:hAnsi="宋体" w:eastAsia="宋体" w:cs="宋体"/>
          <w:color w:val="auto"/>
          <w:spacing w:val="30"/>
          <w:kern w:val="52"/>
          <w:sz w:val="56"/>
          <w:szCs w:val="56"/>
          <w:lang w:eastAsia="zh-CN"/>
        </w:rPr>
      </w:pPr>
      <w:r>
        <w:rPr>
          <w:rFonts w:hint="eastAsia" w:hAnsi="宋体" w:cs="宋体"/>
          <w:color w:val="auto"/>
          <w:spacing w:val="30"/>
          <w:kern w:val="52"/>
          <w:sz w:val="56"/>
          <w:szCs w:val="56"/>
          <w:lang w:eastAsia="zh-CN"/>
        </w:rPr>
        <w:t>大华建设项目管理有限公司</w:t>
      </w:r>
    </w:p>
    <w:p w14:paraId="4DFCA8CB">
      <w:pPr>
        <w:pStyle w:val="19"/>
        <w:jc w:val="center"/>
        <w:rPr>
          <w:rFonts w:hint="eastAsia" w:ascii="宋体" w:hAnsi="宋体" w:eastAsia="宋体" w:cs="宋体"/>
          <w:color w:val="auto"/>
          <w:spacing w:val="28"/>
          <w:sz w:val="64"/>
          <w:szCs w:val="64"/>
        </w:rPr>
      </w:pPr>
      <w:r>
        <w:rPr>
          <w:rFonts w:hint="eastAsia" w:ascii="宋体" w:hAnsi="宋体" w:eastAsia="宋体" w:cs="宋体"/>
          <w:b/>
          <w:color w:val="auto"/>
          <w:spacing w:val="-18"/>
          <w:sz w:val="64"/>
          <w:szCs w:val="6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548640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7pt;margin-top:7.8pt;height:0pt;width:432pt;z-index:251659264;mso-width-relative:page;mso-height-relative:page;" filled="f" stroked="t"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oU&#10;ACjWAAAACAEAAA8AAAAAAAAAAQAgAAAAIgAAAGRycy9kb3ducmV2LnhtbFBLAQIUABQAAAAIAIdO&#10;4kA/uM5O7AEAANkDAAAOAAAAAAAAAAEAIAAAACUBAABkcnMvZTJvRG9jLnhtbFBLBQYAAAAABgAG&#10;AFkBAACDBQAAAAA=&#10;">
                <v:fill on="f" focussize="0,0"/>
                <v:stroke weight="1pt" color="#000000" joinstyle="round"/>
                <v:imagedata o:title=""/>
                <o:lock v:ext="edit" aspectratio="f"/>
              </v:line>
            </w:pict>
          </mc:Fallback>
        </mc:AlternateContent>
      </w:r>
    </w:p>
    <w:p w14:paraId="67789484">
      <w:pPr>
        <w:spacing w:before="312" w:beforeLines="100" w:after="156" w:afterLines="50" w:line="600" w:lineRule="exact"/>
        <w:jc w:val="center"/>
        <w:rPr>
          <w:rFonts w:hint="eastAsia" w:ascii="宋体" w:hAnsi="宋体" w:eastAsia="宋体" w:cs="宋体"/>
          <w:b/>
          <w:color w:val="auto"/>
          <w:sz w:val="44"/>
          <w:szCs w:val="44"/>
        </w:rPr>
      </w:pPr>
    </w:p>
    <w:p w14:paraId="73694EFE">
      <w:pPr>
        <w:snapToGrid w:val="0"/>
        <w:spacing w:before="156" w:beforeLines="50" w:line="360" w:lineRule="auto"/>
        <w:jc w:val="center"/>
        <w:rPr>
          <w:rFonts w:hint="eastAsia" w:ascii="宋体" w:hAnsi="宋体" w:eastAsia="宋体" w:cs="宋体"/>
          <w:color w:val="auto"/>
          <w:sz w:val="72"/>
          <w:szCs w:val="72"/>
        </w:rPr>
      </w:pPr>
    </w:p>
    <w:p w14:paraId="00607672">
      <w:pPr>
        <w:snapToGrid w:val="0"/>
        <w:spacing w:before="156" w:beforeLines="50" w:line="360" w:lineRule="auto"/>
        <w:jc w:val="center"/>
        <w:rPr>
          <w:rFonts w:hint="eastAsia" w:ascii="宋体" w:hAnsi="宋体" w:eastAsia="宋体" w:cs="宋体"/>
          <w:color w:val="auto"/>
          <w:spacing w:val="30"/>
          <w:kern w:val="52"/>
          <w:sz w:val="56"/>
          <w:szCs w:val="56"/>
          <w:lang w:eastAsia="zh-CN"/>
        </w:rPr>
      </w:pPr>
      <w:r>
        <w:rPr>
          <w:rFonts w:hint="eastAsia" w:ascii="宋体" w:hAnsi="宋体" w:eastAsia="宋体" w:cs="宋体"/>
          <w:color w:val="auto"/>
          <w:spacing w:val="30"/>
          <w:kern w:val="52"/>
          <w:sz w:val="56"/>
          <w:szCs w:val="56"/>
        </w:rPr>
        <w:t>竞争性谈判文件</w:t>
      </w:r>
    </w:p>
    <w:p w14:paraId="0BFF5782">
      <w:pPr>
        <w:snapToGrid w:val="0"/>
        <w:spacing w:before="156" w:beforeLines="50" w:line="360" w:lineRule="auto"/>
        <w:jc w:val="center"/>
        <w:rPr>
          <w:rFonts w:hint="eastAsia" w:ascii="宋体" w:hAnsi="宋体" w:eastAsia="宋体" w:cs="宋体"/>
          <w:b/>
          <w:color w:val="auto"/>
          <w:sz w:val="48"/>
          <w:szCs w:val="48"/>
        </w:rPr>
      </w:pPr>
      <w:r>
        <w:rPr>
          <w:rFonts w:hint="eastAsia" w:ascii="宋体" w:hAnsi="宋体" w:eastAsia="宋体" w:cs="宋体"/>
          <w:b/>
          <w:color w:val="auto"/>
          <w:sz w:val="48"/>
          <w:szCs w:val="48"/>
        </w:rPr>
        <w:t>（全流程电子化采购）</w:t>
      </w:r>
    </w:p>
    <w:p w14:paraId="132FFC65">
      <w:pPr>
        <w:spacing w:line="400" w:lineRule="exact"/>
        <w:rPr>
          <w:rFonts w:hint="eastAsia" w:ascii="宋体" w:hAnsi="宋体" w:eastAsia="宋体" w:cs="宋体"/>
          <w:b/>
          <w:color w:val="auto"/>
          <w:sz w:val="32"/>
          <w:szCs w:val="32"/>
        </w:rPr>
      </w:pPr>
    </w:p>
    <w:p w14:paraId="37330919">
      <w:pPr>
        <w:spacing w:line="720" w:lineRule="auto"/>
        <w:ind w:firstLine="321" w:firstLineChars="100"/>
        <w:jc w:val="left"/>
        <w:rPr>
          <w:rFonts w:hint="eastAsia" w:ascii="宋体" w:hAnsi="宋体" w:eastAsia="宋体" w:cs="宋体"/>
          <w:b/>
          <w:color w:val="auto"/>
          <w:sz w:val="32"/>
          <w:szCs w:val="32"/>
          <w:lang w:eastAsia="zh-CN"/>
        </w:rPr>
      </w:pPr>
      <w:r>
        <w:rPr>
          <w:rFonts w:hint="eastAsia" w:ascii="宋体" w:hAnsi="宋体" w:eastAsia="宋体" w:cs="宋体"/>
          <w:b/>
          <w:color w:val="auto"/>
          <w:sz w:val="32"/>
          <w:szCs w:val="32"/>
        </w:rPr>
        <w:t>项目名称：</w:t>
      </w:r>
      <w:r>
        <w:rPr>
          <w:rFonts w:hint="eastAsia" w:ascii="宋体" w:hAnsi="宋体" w:cs="宋体"/>
          <w:b/>
          <w:color w:val="auto"/>
          <w:sz w:val="32"/>
          <w:szCs w:val="32"/>
          <w:lang w:eastAsia="zh-CN"/>
        </w:rPr>
        <w:t>2025年钦北区防汛救灾装备设备采购</w:t>
      </w:r>
    </w:p>
    <w:p w14:paraId="5C280CBB">
      <w:pPr>
        <w:spacing w:line="720" w:lineRule="auto"/>
        <w:ind w:firstLine="321" w:firstLineChars="100"/>
        <w:jc w:val="left"/>
        <w:rPr>
          <w:rFonts w:hint="eastAsia" w:ascii="宋体" w:hAnsi="宋体" w:eastAsia="宋体" w:cs="宋体"/>
          <w:b/>
          <w:color w:val="auto"/>
          <w:sz w:val="32"/>
          <w:szCs w:val="32"/>
        </w:rPr>
      </w:pPr>
      <w:r>
        <w:rPr>
          <w:rFonts w:hint="eastAsia" w:ascii="宋体" w:hAnsi="宋体" w:eastAsia="宋体" w:cs="宋体"/>
          <w:b/>
          <w:color w:val="auto"/>
          <w:sz w:val="32"/>
          <w:szCs w:val="32"/>
        </w:rPr>
        <w:t>项目编号：QZZC2025-J1-030087-DHGS</w:t>
      </w:r>
    </w:p>
    <w:p w14:paraId="47FF4284">
      <w:pPr>
        <w:snapToGrid w:val="0"/>
        <w:spacing w:before="156" w:beforeLines="50" w:line="360" w:lineRule="auto"/>
        <w:ind w:firstLine="321" w:firstLineChars="100"/>
        <w:rPr>
          <w:rFonts w:hint="eastAsia" w:ascii="宋体" w:hAnsi="宋体" w:eastAsia="宋体" w:cs="宋体"/>
          <w:b/>
          <w:color w:val="auto"/>
          <w:sz w:val="32"/>
          <w:szCs w:val="32"/>
          <w:lang w:eastAsia="zh-CN"/>
        </w:rPr>
      </w:pPr>
      <w:r>
        <w:rPr>
          <w:rFonts w:hint="eastAsia" w:ascii="宋体" w:hAnsi="宋体" w:eastAsia="宋体" w:cs="宋体"/>
          <w:b/>
          <w:color w:val="auto"/>
          <w:sz w:val="32"/>
          <w:szCs w:val="32"/>
        </w:rPr>
        <w:t>采购人：</w:t>
      </w:r>
      <w:r>
        <w:rPr>
          <w:rFonts w:hint="eastAsia" w:ascii="宋体" w:hAnsi="宋体" w:cs="宋体"/>
          <w:b/>
          <w:color w:val="auto"/>
          <w:sz w:val="32"/>
          <w:szCs w:val="32"/>
          <w:lang w:eastAsia="zh-CN"/>
        </w:rPr>
        <w:t>钦州市钦北区应急管理局</w:t>
      </w:r>
    </w:p>
    <w:p w14:paraId="34771FE7">
      <w:pPr>
        <w:snapToGrid w:val="0"/>
        <w:spacing w:before="156" w:beforeLines="50" w:line="360" w:lineRule="auto"/>
        <w:ind w:firstLine="321" w:firstLineChars="100"/>
        <w:rPr>
          <w:rFonts w:hint="eastAsia" w:ascii="宋体" w:hAnsi="宋体" w:eastAsia="宋体" w:cs="宋体"/>
          <w:b/>
          <w:color w:val="auto"/>
          <w:sz w:val="32"/>
          <w:szCs w:val="32"/>
          <w:lang w:eastAsia="zh-CN"/>
        </w:rPr>
      </w:pPr>
      <w:r>
        <w:rPr>
          <w:rFonts w:hint="eastAsia" w:ascii="宋体" w:hAnsi="宋体" w:eastAsia="宋体" w:cs="宋体"/>
          <w:b/>
          <w:color w:val="auto"/>
          <w:sz w:val="32"/>
          <w:szCs w:val="32"/>
        </w:rPr>
        <w:t>采购代理机构：</w:t>
      </w:r>
      <w:r>
        <w:rPr>
          <w:rFonts w:hint="eastAsia" w:ascii="宋体" w:hAnsi="宋体" w:cs="宋体"/>
          <w:b/>
          <w:color w:val="auto"/>
          <w:sz w:val="32"/>
          <w:szCs w:val="32"/>
          <w:lang w:eastAsia="zh-CN"/>
        </w:rPr>
        <w:t>大华建设项目管理有限公司</w:t>
      </w:r>
    </w:p>
    <w:p w14:paraId="5B98449F">
      <w:pPr>
        <w:spacing w:line="720" w:lineRule="auto"/>
        <w:ind w:firstLine="321" w:firstLineChars="100"/>
        <w:jc w:val="left"/>
        <w:rPr>
          <w:rFonts w:hint="eastAsia" w:ascii="宋体" w:hAnsi="宋体" w:eastAsia="宋体" w:cs="宋体"/>
          <w:b/>
          <w:color w:val="auto"/>
          <w:sz w:val="32"/>
          <w:szCs w:val="32"/>
        </w:rPr>
      </w:pPr>
    </w:p>
    <w:p w14:paraId="439529B1">
      <w:pPr>
        <w:spacing w:line="480" w:lineRule="auto"/>
        <w:ind w:firstLine="241" w:firstLineChars="100"/>
        <w:jc w:val="left"/>
        <w:rPr>
          <w:rFonts w:hint="eastAsia" w:ascii="宋体" w:hAnsi="宋体" w:eastAsia="宋体" w:cs="宋体"/>
          <w:b/>
          <w:color w:val="auto"/>
          <w:sz w:val="24"/>
        </w:rPr>
      </w:pPr>
    </w:p>
    <w:p w14:paraId="3DB68494">
      <w:pPr>
        <w:spacing w:line="400" w:lineRule="exact"/>
        <w:ind w:firstLine="321" w:firstLineChars="100"/>
        <w:jc w:val="left"/>
        <w:rPr>
          <w:rFonts w:hint="eastAsia" w:ascii="宋体" w:hAnsi="宋体" w:eastAsia="宋体" w:cs="宋体"/>
          <w:b/>
          <w:color w:val="auto"/>
          <w:sz w:val="32"/>
          <w:szCs w:val="32"/>
        </w:rPr>
      </w:pPr>
    </w:p>
    <w:p w14:paraId="2260C450">
      <w:pPr>
        <w:spacing w:line="400" w:lineRule="exact"/>
        <w:ind w:firstLine="321" w:firstLineChars="10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202</w:t>
      </w:r>
      <w:r>
        <w:rPr>
          <w:rFonts w:hint="eastAsia" w:ascii="宋体" w:hAnsi="宋体" w:cs="宋体"/>
          <w:b/>
          <w:color w:val="auto"/>
          <w:sz w:val="32"/>
          <w:szCs w:val="32"/>
          <w:lang w:val="en-US" w:eastAsia="zh-CN"/>
        </w:rPr>
        <w:t>5</w:t>
      </w:r>
      <w:r>
        <w:rPr>
          <w:rFonts w:hint="eastAsia" w:ascii="宋体" w:hAnsi="宋体" w:eastAsia="宋体" w:cs="宋体"/>
          <w:b/>
          <w:color w:val="auto"/>
          <w:sz w:val="32"/>
          <w:szCs w:val="32"/>
        </w:rPr>
        <w:t>年</w:t>
      </w:r>
      <w:r>
        <w:rPr>
          <w:rFonts w:hint="eastAsia" w:ascii="宋体" w:hAnsi="宋体" w:cs="宋体"/>
          <w:b/>
          <w:color w:val="auto"/>
          <w:sz w:val="32"/>
          <w:szCs w:val="32"/>
          <w:lang w:val="en-US" w:eastAsia="zh-CN"/>
        </w:rPr>
        <w:t>9</w:t>
      </w:r>
      <w:r>
        <w:rPr>
          <w:rFonts w:hint="eastAsia" w:ascii="宋体" w:hAnsi="宋体" w:eastAsia="宋体" w:cs="宋体"/>
          <w:b/>
          <w:color w:val="auto"/>
          <w:sz w:val="32"/>
          <w:szCs w:val="32"/>
        </w:rPr>
        <w:t>月</w:t>
      </w:r>
    </w:p>
    <w:p w14:paraId="02146BF3">
      <w:pPr>
        <w:spacing w:line="360" w:lineRule="auto"/>
        <w:jc w:val="center"/>
        <w:rPr>
          <w:rFonts w:hint="eastAsia" w:ascii="宋体" w:hAnsi="宋体" w:eastAsia="宋体" w:cs="宋体"/>
          <w:b/>
          <w:color w:val="auto"/>
          <w:sz w:val="44"/>
          <w:szCs w:val="44"/>
        </w:rPr>
      </w:pPr>
      <w:r>
        <w:rPr>
          <w:rFonts w:hint="eastAsia" w:ascii="宋体" w:hAnsi="宋体" w:eastAsia="宋体" w:cs="宋体"/>
          <w:b/>
          <w:color w:val="auto"/>
          <w:sz w:val="30"/>
          <w:szCs w:val="30"/>
        </w:rPr>
        <w:br w:type="page"/>
      </w:r>
      <w:r>
        <w:rPr>
          <w:rFonts w:hint="eastAsia" w:ascii="宋体" w:hAnsi="宋体" w:eastAsia="宋体" w:cs="宋体"/>
          <w:b/>
          <w:color w:val="auto"/>
          <w:sz w:val="44"/>
          <w:szCs w:val="44"/>
        </w:rPr>
        <w:t>目   录</w:t>
      </w:r>
    </w:p>
    <w:p w14:paraId="15496B22">
      <w:pPr>
        <w:spacing w:line="400" w:lineRule="exact"/>
        <w:jc w:val="center"/>
        <w:rPr>
          <w:rFonts w:hint="eastAsia" w:ascii="宋体" w:hAnsi="宋体" w:eastAsia="宋体" w:cs="宋体"/>
          <w:b/>
          <w:color w:val="auto"/>
          <w:sz w:val="44"/>
          <w:szCs w:val="44"/>
        </w:rPr>
      </w:pPr>
    </w:p>
    <w:p w14:paraId="52627AE9">
      <w:pPr>
        <w:pStyle w:val="15"/>
        <w:tabs>
          <w:tab w:val="right" w:leader="dot" w:pos="9072"/>
          <w:tab w:val="clear" w:pos="8296"/>
        </w:tabs>
        <w:spacing w:line="360" w:lineRule="auto"/>
        <w:rPr>
          <w:rFonts w:hint="eastAsia" w:ascii="宋体" w:hAnsi="宋体" w:eastAsia="宋体" w:cs="宋体"/>
          <w:color w:val="auto"/>
          <w:sz w:val="24"/>
          <w:lang w:eastAsia="zh-CN"/>
        </w:rPr>
      </w:pPr>
      <w:r>
        <w:rPr>
          <w:rFonts w:hint="eastAsia" w:ascii="宋体" w:hAnsi="宋体" w:eastAsia="宋体" w:cs="宋体"/>
          <w:b/>
          <w:color w:val="auto"/>
          <w:sz w:val="24"/>
        </w:rPr>
        <w:fldChar w:fldCharType="begin"/>
      </w:r>
      <w:r>
        <w:rPr>
          <w:rFonts w:hint="eastAsia" w:ascii="宋体" w:hAnsi="宋体" w:eastAsia="宋体" w:cs="宋体"/>
          <w:b/>
          <w:color w:val="auto"/>
          <w:sz w:val="24"/>
        </w:rPr>
        <w:instrText xml:space="preserve"> TOC \o "1-3" \h \z \u </w:instrText>
      </w:r>
      <w:r>
        <w:rPr>
          <w:rFonts w:hint="eastAsia" w:ascii="宋体" w:hAnsi="宋体" w:eastAsia="宋体" w:cs="宋体"/>
          <w:b/>
          <w:color w:val="auto"/>
          <w:sz w:val="24"/>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"_Toc10186" </w:instrText>
      </w:r>
      <w:r>
        <w:rPr>
          <w:rFonts w:hint="eastAsia" w:ascii="宋体" w:hAnsi="宋体" w:eastAsia="宋体" w:cs="宋体"/>
          <w:color w:val="auto"/>
        </w:rPr>
        <w:fldChar w:fldCharType="separate"/>
      </w:r>
      <w:r>
        <w:rPr>
          <w:rFonts w:hint="eastAsia" w:ascii="宋体" w:hAnsi="宋体" w:eastAsia="宋体" w:cs="宋体"/>
          <w:color w:val="auto"/>
          <w:sz w:val="24"/>
        </w:rPr>
        <w:t>第一章 竞争性谈判公告</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2</w:t>
      </w:r>
    </w:p>
    <w:p w14:paraId="743C3C44">
      <w:pPr>
        <w:pStyle w:val="15"/>
        <w:tabs>
          <w:tab w:val="right" w:leader="dot" w:pos="9072"/>
          <w:tab w:val="clear" w:pos="8296"/>
        </w:tabs>
        <w:spacing w:line="360" w:lineRule="auto"/>
        <w:rPr>
          <w:rFonts w:hint="eastAsia" w:ascii="宋体" w:hAnsi="宋体" w:eastAsia="宋体" w:cs="宋体"/>
          <w:color w:val="auto"/>
          <w:sz w:val="24"/>
          <w:lang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"_Toc7266" </w:instrText>
      </w:r>
      <w:r>
        <w:rPr>
          <w:rFonts w:hint="eastAsia" w:ascii="宋体" w:hAnsi="宋体" w:eastAsia="宋体" w:cs="宋体"/>
          <w:color w:val="auto"/>
        </w:rPr>
        <w:fldChar w:fldCharType="separate"/>
      </w:r>
      <w:r>
        <w:rPr>
          <w:rFonts w:hint="eastAsia" w:ascii="宋体" w:hAnsi="宋体" w:eastAsia="宋体" w:cs="宋体"/>
          <w:color w:val="auto"/>
          <w:sz w:val="24"/>
        </w:rPr>
        <w:t>第二章 供应商须知</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6</w:t>
      </w:r>
    </w:p>
    <w:p w14:paraId="3FE6DA46">
      <w:pPr>
        <w:pStyle w:val="15"/>
        <w:tabs>
          <w:tab w:val="right" w:leader="dot" w:pos="9072"/>
          <w:tab w:val="clear" w:pos="8296"/>
        </w:tabs>
        <w:spacing w:line="360" w:lineRule="auto"/>
        <w:rPr>
          <w:rFonts w:hint="eastAsia" w:ascii="宋体" w:hAnsi="宋体" w:eastAsia="宋体" w:cs="宋体"/>
          <w:color w:val="auto"/>
          <w:sz w:val="24"/>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"_Toc3396" </w:instrText>
      </w:r>
      <w:r>
        <w:rPr>
          <w:rFonts w:hint="eastAsia" w:ascii="宋体" w:hAnsi="宋体" w:eastAsia="宋体" w:cs="宋体"/>
          <w:color w:val="auto"/>
        </w:rPr>
        <w:fldChar w:fldCharType="separate"/>
      </w:r>
      <w:r>
        <w:rPr>
          <w:rFonts w:hint="eastAsia" w:ascii="宋体" w:hAnsi="宋体" w:eastAsia="宋体" w:cs="宋体"/>
          <w:color w:val="auto"/>
          <w:sz w:val="24"/>
        </w:rPr>
        <w:t>第三章 采购需求</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27</w:t>
      </w:r>
    </w:p>
    <w:p w14:paraId="7E00DCF3">
      <w:pPr>
        <w:pStyle w:val="24"/>
        <w:tabs>
          <w:tab w:val="right" w:leader="dot" w:pos="9072"/>
        </w:tabs>
        <w:spacing w:line="360" w:lineRule="auto"/>
        <w:ind w:firstLine="367" w:firstLineChars="175"/>
        <w:rPr>
          <w:rFonts w:hint="eastAsia" w:ascii="宋体" w:hAnsi="宋体" w:eastAsia="宋体" w:cs="宋体"/>
          <w:color w:val="auto"/>
          <w:sz w:val="24"/>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"_Toc7157" </w:instrText>
      </w:r>
      <w:r>
        <w:rPr>
          <w:rFonts w:hint="eastAsia" w:ascii="宋体" w:hAnsi="宋体" w:eastAsia="宋体" w:cs="宋体"/>
          <w:color w:val="auto"/>
        </w:rPr>
        <w:fldChar w:fldCharType="separate"/>
      </w:r>
      <w:r>
        <w:rPr>
          <w:rFonts w:hint="eastAsia" w:ascii="宋体" w:hAnsi="宋体" w:eastAsia="宋体" w:cs="宋体"/>
          <w:color w:val="auto"/>
          <w:sz w:val="24"/>
        </w:rPr>
        <w:t>第四章 评审程序和评定成交的标准</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40</w:t>
      </w:r>
    </w:p>
    <w:p w14:paraId="79EF387E">
      <w:pPr>
        <w:pStyle w:val="15"/>
        <w:tabs>
          <w:tab w:val="right" w:leader="dot" w:pos="9072"/>
          <w:tab w:val="clear" w:pos="8296"/>
        </w:tabs>
        <w:spacing w:line="360" w:lineRule="auto"/>
        <w:rPr>
          <w:rFonts w:hint="eastAsia" w:ascii="宋体" w:hAnsi="宋体" w:eastAsia="宋体" w:cs="宋体"/>
          <w:color w:val="auto"/>
          <w:sz w:val="24"/>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"_Toc4542" </w:instrText>
      </w:r>
      <w:r>
        <w:rPr>
          <w:rFonts w:hint="eastAsia" w:ascii="宋体" w:hAnsi="宋体" w:eastAsia="宋体" w:cs="宋体"/>
          <w:color w:val="auto"/>
        </w:rPr>
        <w:fldChar w:fldCharType="separate"/>
      </w:r>
      <w:r>
        <w:rPr>
          <w:rFonts w:hint="eastAsia" w:ascii="宋体" w:hAnsi="宋体" w:eastAsia="宋体" w:cs="宋体"/>
          <w:color w:val="auto"/>
          <w:sz w:val="24"/>
        </w:rPr>
        <w:t>第五章 响应文件格式</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46</w:t>
      </w:r>
    </w:p>
    <w:p w14:paraId="32F34ACA">
      <w:pPr>
        <w:pStyle w:val="15"/>
        <w:tabs>
          <w:tab w:val="right" w:leader="dot" w:pos="9072"/>
          <w:tab w:val="clear" w:pos="8296"/>
        </w:tabs>
        <w:spacing w:line="360" w:lineRule="auto"/>
        <w:rPr>
          <w:rFonts w:hint="eastAsia" w:ascii="宋体" w:hAnsi="宋体" w:eastAsia="宋体" w:cs="宋体"/>
          <w:color w:val="auto"/>
          <w:sz w:val="24"/>
          <w:lang w:val="en-US" w:eastAsia="zh-CN"/>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"_Toc29274" </w:instrText>
      </w:r>
      <w:r>
        <w:rPr>
          <w:rFonts w:hint="eastAsia" w:ascii="宋体" w:hAnsi="宋体" w:eastAsia="宋体" w:cs="宋体"/>
          <w:color w:val="auto"/>
        </w:rPr>
        <w:fldChar w:fldCharType="separate"/>
      </w:r>
      <w:r>
        <w:rPr>
          <w:rFonts w:hint="eastAsia" w:ascii="宋体" w:hAnsi="宋体" w:eastAsia="宋体" w:cs="宋体"/>
          <w:color w:val="auto"/>
          <w:sz w:val="24"/>
        </w:rPr>
        <w:t>第六章 合同文本</w:t>
      </w:r>
      <w:r>
        <w:rPr>
          <w:rFonts w:hint="eastAsia" w:ascii="宋体" w:hAnsi="宋体" w:eastAsia="宋体" w:cs="宋体"/>
          <w:color w:val="auto"/>
          <w:sz w:val="24"/>
        </w:rPr>
        <w:tab/>
      </w:r>
      <w:r>
        <w:rPr>
          <w:rFonts w:hint="eastAsia" w:ascii="宋体" w:hAnsi="宋体" w:eastAsia="宋体" w:cs="宋体"/>
          <w:color w:val="auto"/>
          <w:sz w:val="24"/>
        </w:rPr>
        <w:fldChar w:fldCharType="end"/>
      </w:r>
      <w:r>
        <w:rPr>
          <w:rFonts w:hint="eastAsia" w:ascii="宋体" w:hAnsi="宋体" w:eastAsia="宋体" w:cs="宋体"/>
          <w:color w:val="auto"/>
          <w:sz w:val="24"/>
          <w:lang w:val="en-US" w:eastAsia="zh-CN"/>
        </w:rPr>
        <w:t>71</w:t>
      </w:r>
    </w:p>
    <w:p w14:paraId="5A55B178">
      <w:pPr>
        <w:pStyle w:val="15"/>
        <w:spacing w:line="480" w:lineRule="auto"/>
        <w:ind w:left="0" w:leftChars="0" w:firstLine="482" w:firstLineChars="200"/>
        <w:rPr>
          <w:rFonts w:hint="eastAsia" w:ascii="宋体" w:hAnsi="宋体" w:eastAsia="宋体" w:cs="宋体"/>
          <w:color w:val="auto"/>
          <w:sz w:val="28"/>
          <w:szCs w:val="28"/>
        </w:rPr>
      </w:pPr>
      <w:r>
        <w:rPr>
          <w:rFonts w:hint="eastAsia" w:ascii="宋体" w:hAnsi="宋体" w:eastAsia="宋体" w:cs="宋体"/>
          <w:b/>
          <w:color w:val="auto"/>
          <w:sz w:val="24"/>
        </w:rPr>
        <w:fldChar w:fldCharType="end"/>
      </w:r>
    </w:p>
    <w:p w14:paraId="31C98FF4">
      <w:pPr>
        <w:spacing w:line="400" w:lineRule="exact"/>
        <w:jc w:val="left"/>
        <w:rPr>
          <w:rFonts w:hint="eastAsia" w:ascii="宋体" w:hAnsi="宋体" w:eastAsia="宋体" w:cs="宋体"/>
          <w:b/>
          <w:color w:val="auto"/>
          <w:sz w:val="32"/>
          <w:szCs w:val="32"/>
        </w:rPr>
      </w:pPr>
    </w:p>
    <w:p w14:paraId="686E8387">
      <w:pPr>
        <w:spacing w:line="400" w:lineRule="exact"/>
        <w:jc w:val="center"/>
        <w:rPr>
          <w:rFonts w:hint="eastAsia" w:ascii="宋体" w:hAnsi="宋体" w:eastAsia="宋体" w:cs="宋体"/>
          <w:b/>
          <w:color w:val="auto"/>
          <w:sz w:val="32"/>
          <w:szCs w:val="32"/>
        </w:rPr>
      </w:pPr>
    </w:p>
    <w:p w14:paraId="76F6F0F6">
      <w:pPr>
        <w:spacing w:line="400" w:lineRule="exact"/>
        <w:jc w:val="center"/>
        <w:rPr>
          <w:rFonts w:hint="eastAsia" w:ascii="宋体" w:hAnsi="宋体" w:eastAsia="宋体" w:cs="宋体"/>
          <w:b/>
          <w:color w:val="auto"/>
          <w:sz w:val="32"/>
          <w:szCs w:val="32"/>
        </w:rPr>
      </w:pPr>
    </w:p>
    <w:p w14:paraId="4AC8E8F2">
      <w:pPr>
        <w:spacing w:line="400" w:lineRule="exact"/>
        <w:jc w:val="center"/>
        <w:rPr>
          <w:rFonts w:hint="eastAsia" w:ascii="宋体" w:hAnsi="宋体" w:eastAsia="宋体" w:cs="宋体"/>
          <w:b/>
          <w:color w:val="auto"/>
          <w:sz w:val="32"/>
          <w:szCs w:val="32"/>
        </w:rPr>
      </w:pPr>
    </w:p>
    <w:p w14:paraId="6E58B9A7">
      <w:pPr>
        <w:spacing w:line="400" w:lineRule="exact"/>
        <w:jc w:val="center"/>
        <w:rPr>
          <w:rFonts w:hint="eastAsia" w:ascii="宋体" w:hAnsi="宋体" w:eastAsia="宋体" w:cs="宋体"/>
          <w:b/>
          <w:color w:val="auto"/>
          <w:sz w:val="32"/>
          <w:szCs w:val="32"/>
        </w:rPr>
      </w:pPr>
    </w:p>
    <w:p w14:paraId="68922472">
      <w:pPr>
        <w:spacing w:line="400" w:lineRule="exact"/>
        <w:rPr>
          <w:rFonts w:hint="eastAsia" w:ascii="宋体" w:hAnsi="宋体" w:eastAsia="宋体" w:cs="宋体"/>
          <w:b/>
          <w:color w:val="auto"/>
          <w:sz w:val="32"/>
          <w:szCs w:val="32"/>
        </w:rPr>
        <w:sectPr>
          <w:headerReference r:id="rId3" w:type="default"/>
          <w:footerReference r:id="rId4" w:type="default"/>
          <w:pgSz w:w="11906" w:h="16838"/>
          <w:pgMar w:top="1417" w:right="1417" w:bottom="1417" w:left="1417" w:header="851" w:footer="992" w:gutter="0"/>
          <w:pgNumType w:start="0"/>
          <w:cols w:space="720" w:num="1"/>
          <w:titlePg/>
          <w:docGrid w:type="lines" w:linePitch="312" w:charSpace="0"/>
        </w:sectPr>
      </w:pPr>
    </w:p>
    <w:p w14:paraId="68B2A6F3">
      <w:pPr>
        <w:pStyle w:val="3"/>
        <w:jc w:val="center"/>
        <w:rPr>
          <w:rFonts w:hint="eastAsia" w:ascii="宋体" w:hAnsi="宋体" w:eastAsia="宋体" w:cs="宋体"/>
          <w:color w:val="auto"/>
        </w:rPr>
      </w:pPr>
      <w:bookmarkStart w:id="0" w:name="_Toc32429"/>
      <w:bookmarkStart w:id="1" w:name="_Toc620"/>
      <w:bookmarkStart w:id="2" w:name="_Toc30181"/>
      <w:bookmarkStart w:id="3" w:name="_Toc35611510"/>
      <w:bookmarkStart w:id="4" w:name="_Toc7540"/>
      <w:bookmarkStart w:id="5" w:name="_Toc16289"/>
      <w:bookmarkStart w:id="6" w:name="_Toc16006"/>
      <w:bookmarkStart w:id="7" w:name="_Toc10186"/>
      <w:bookmarkStart w:id="8" w:name="_Toc22029"/>
      <w:bookmarkStart w:id="9" w:name="_Toc8105"/>
      <w:bookmarkStart w:id="10" w:name="_Toc11932"/>
      <w:r>
        <w:rPr>
          <w:rFonts w:hint="eastAsia" w:ascii="宋体" w:hAnsi="宋体" w:eastAsia="宋体" w:cs="宋体"/>
          <w:color w:val="auto"/>
        </w:rPr>
        <w:t>第一章 竞争性谈判公告</w:t>
      </w:r>
      <w:bookmarkEnd w:id="0"/>
      <w:bookmarkEnd w:id="1"/>
      <w:bookmarkEnd w:id="2"/>
      <w:bookmarkEnd w:id="3"/>
      <w:bookmarkEnd w:id="4"/>
      <w:bookmarkEnd w:id="5"/>
      <w:bookmarkEnd w:id="6"/>
      <w:bookmarkEnd w:id="7"/>
      <w:bookmarkEnd w:id="8"/>
      <w:bookmarkEnd w:id="9"/>
      <w:bookmarkEnd w:id="10"/>
    </w:p>
    <w:p w14:paraId="4FE6BB81">
      <w:pPr>
        <w:pBdr>
          <w:top w:val="single" w:color="auto" w:sz="4" w:space="1"/>
          <w:left w:val="single" w:color="auto" w:sz="4" w:space="4"/>
          <w:bottom w:val="single" w:color="auto" w:sz="4" w:space="1"/>
          <w:right w:val="single" w:color="auto" w:sz="4" w:space="4"/>
        </w:pBdr>
        <w:spacing w:line="440" w:lineRule="exact"/>
        <w:ind w:firstLine="420" w:firstLineChars="200"/>
        <w:rPr>
          <w:rFonts w:hint="eastAsia" w:ascii="宋体" w:hAnsi="宋体" w:eastAsia="宋体" w:cs="宋体"/>
          <w:color w:val="auto"/>
          <w:szCs w:val="21"/>
        </w:rPr>
      </w:pPr>
      <w:bookmarkStart w:id="11" w:name="_Hlk37430271"/>
      <w:r>
        <w:rPr>
          <w:rFonts w:hint="eastAsia" w:ascii="宋体" w:hAnsi="宋体" w:eastAsia="宋体" w:cs="宋体"/>
          <w:color w:val="auto"/>
          <w:szCs w:val="21"/>
        </w:rPr>
        <w:t>项目概况</w:t>
      </w:r>
    </w:p>
    <w:p w14:paraId="13C54F60">
      <w:pPr>
        <w:pBdr>
          <w:top w:val="single" w:color="auto" w:sz="4" w:space="1"/>
          <w:left w:val="single" w:color="auto" w:sz="4" w:space="4"/>
          <w:bottom w:val="single" w:color="auto" w:sz="4" w:space="1"/>
          <w:right w:val="single" w:color="auto" w:sz="4" w:space="4"/>
        </w:pBdr>
        <w:spacing w:line="440" w:lineRule="exact"/>
        <w:ind w:firstLine="420" w:firstLineChars="200"/>
        <w:rPr>
          <w:rFonts w:hint="eastAsia" w:ascii="宋体" w:hAnsi="宋体" w:eastAsia="宋体" w:cs="宋体"/>
          <w:color w:val="auto"/>
          <w:szCs w:val="21"/>
        </w:rPr>
      </w:pPr>
      <w:r>
        <w:rPr>
          <w:rFonts w:hint="eastAsia" w:ascii="宋体" w:hAnsi="宋体" w:cs="宋体"/>
          <w:color w:val="auto"/>
          <w:szCs w:val="21"/>
          <w:u w:val="single"/>
          <w:lang w:eastAsia="zh-CN"/>
        </w:rPr>
        <w:t>2025年钦北区防汛救灾装备设备采购</w:t>
      </w:r>
      <w:r>
        <w:rPr>
          <w:rFonts w:hint="eastAsia" w:ascii="宋体" w:hAnsi="宋体" w:eastAsia="宋体" w:cs="宋体"/>
          <w:color w:val="auto"/>
          <w:szCs w:val="21"/>
        </w:rPr>
        <w:t>的潜在供应商应在</w:t>
      </w:r>
      <w:r>
        <w:rPr>
          <w:rFonts w:hint="eastAsia" w:ascii="宋体" w:hAnsi="宋体" w:eastAsia="宋体" w:cs="宋体"/>
          <w:color w:val="auto"/>
          <w:szCs w:val="21"/>
          <w:u w:val="single"/>
        </w:rPr>
        <w:t>广西政府采购云平台（https：//www.gcy.zfcg.gxzf.gov.cn/）</w:t>
      </w:r>
      <w:r>
        <w:rPr>
          <w:rFonts w:hint="eastAsia" w:ascii="宋体" w:hAnsi="宋体" w:eastAsia="宋体" w:cs="宋体"/>
          <w:color w:val="auto"/>
          <w:szCs w:val="21"/>
        </w:rPr>
        <w:t>获取采购文件，并于</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color w:val="auto"/>
          <w:szCs w:val="21"/>
          <w:u w:val="single"/>
        </w:rPr>
        <w:t>年</w:t>
      </w:r>
      <w:r>
        <w:rPr>
          <w:rFonts w:hint="eastAsia" w:ascii="宋体" w:hAnsi="宋体" w:cs="宋体"/>
          <w:color w:val="auto"/>
          <w:szCs w:val="21"/>
          <w:u w:val="single"/>
          <w:lang w:val="en-US" w:eastAsia="zh-CN"/>
        </w:rPr>
        <w:t>9</w:t>
      </w:r>
      <w:r>
        <w:rPr>
          <w:rFonts w:hint="eastAsia" w:ascii="宋体" w:hAnsi="宋体" w:eastAsia="宋体" w:cs="宋体"/>
          <w:bCs/>
          <w:color w:val="auto"/>
          <w:szCs w:val="21"/>
          <w:u w:val="single"/>
        </w:rPr>
        <w:t>月</w:t>
      </w:r>
      <w:r>
        <w:rPr>
          <w:rFonts w:hint="eastAsia" w:ascii="宋体" w:hAnsi="宋体" w:cs="宋体"/>
          <w:bCs/>
          <w:color w:val="auto"/>
          <w:szCs w:val="21"/>
          <w:u w:val="single"/>
          <w:lang w:val="en-US" w:eastAsia="zh-CN"/>
        </w:rPr>
        <w:t>10</w:t>
      </w:r>
      <w:bookmarkStart w:id="195" w:name="_GoBack"/>
      <w:bookmarkEnd w:id="195"/>
      <w:r>
        <w:rPr>
          <w:rFonts w:hint="eastAsia" w:ascii="宋体" w:hAnsi="宋体" w:eastAsia="宋体" w:cs="宋体"/>
          <w:bCs/>
          <w:color w:val="auto"/>
          <w:szCs w:val="21"/>
          <w:u w:val="single"/>
        </w:rPr>
        <w:t>日</w:t>
      </w:r>
      <w:r>
        <w:rPr>
          <w:rFonts w:hint="eastAsia" w:ascii="宋体" w:hAnsi="宋体" w:cs="宋体"/>
          <w:bCs/>
          <w:color w:val="auto"/>
          <w:szCs w:val="21"/>
          <w:u w:val="single"/>
          <w:lang w:val="en-US" w:eastAsia="zh-CN"/>
        </w:rPr>
        <w:t>09</w:t>
      </w:r>
      <w:r>
        <w:rPr>
          <w:rFonts w:hint="eastAsia" w:ascii="宋体" w:hAnsi="宋体" w:eastAsia="宋体" w:cs="宋体"/>
          <w:bCs/>
          <w:color w:val="auto"/>
          <w:szCs w:val="21"/>
          <w:u w:val="single"/>
        </w:rPr>
        <w:t>时30分</w:t>
      </w:r>
      <w:r>
        <w:rPr>
          <w:rFonts w:hint="eastAsia" w:ascii="宋体" w:hAnsi="宋体" w:eastAsia="宋体" w:cs="宋体"/>
          <w:bCs/>
          <w:color w:val="auto"/>
          <w:szCs w:val="21"/>
        </w:rPr>
        <w:t>（北京时间）前提交响应文件</w:t>
      </w:r>
      <w:r>
        <w:rPr>
          <w:rFonts w:hint="eastAsia" w:ascii="宋体" w:hAnsi="宋体" w:eastAsia="宋体" w:cs="宋体"/>
          <w:color w:val="auto"/>
          <w:szCs w:val="21"/>
        </w:rPr>
        <w:t>。</w:t>
      </w:r>
    </w:p>
    <w:p w14:paraId="05934645">
      <w:pPr>
        <w:spacing w:line="460" w:lineRule="exact"/>
        <w:outlineLvl w:val="1"/>
        <w:rPr>
          <w:rFonts w:hint="eastAsia" w:ascii="宋体" w:hAnsi="宋体" w:eastAsia="宋体" w:cs="宋体"/>
          <w:b/>
          <w:bCs/>
          <w:color w:val="auto"/>
        </w:rPr>
      </w:pPr>
      <w:bookmarkStart w:id="12" w:name="_Toc19958"/>
      <w:bookmarkStart w:id="13" w:name="_Toc748"/>
      <w:bookmarkStart w:id="14" w:name="_Toc11579"/>
      <w:bookmarkStart w:id="15" w:name="_Toc28359012"/>
      <w:bookmarkStart w:id="16" w:name="_Toc28486"/>
      <w:bookmarkStart w:id="17" w:name="_Toc28359089"/>
      <w:bookmarkStart w:id="18" w:name="_Toc35393629"/>
      <w:bookmarkStart w:id="19" w:name="_Toc35393798"/>
      <w:bookmarkStart w:id="20" w:name="_Toc1802"/>
      <w:r>
        <w:rPr>
          <w:rFonts w:hint="eastAsia" w:ascii="宋体" w:hAnsi="宋体" w:eastAsia="宋体" w:cs="宋体"/>
          <w:b/>
          <w:bCs/>
          <w:color w:val="auto"/>
        </w:rPr>
        <w:t>一、项目基本情况</w:t>
      </w:r>
      <w:bookmarkEnd w:id="12"/>
      <w:bookmarkEnd w:id="13"/>
      <w:bookmarkEnd w:id="14"/>
      <w:bookmarkEnd w:id="15"/>
      <w:bookmarkEnd w:id="16"/>
      <w:bookmarkEnd w:id="17"/>
      <w:bookmarkEnd w:id="18"/>
      <w:bookmarkEnd w:id="19"/>
      <w:bookmarkEnd w:id="20"/>
    </w:p>
    <w:p w14:paraId="65412F32">
      <w:pPr>
        <w:spacing w:line="460" w:lineRule="exact"/>
        <w:ind w:firstLine="420" w:firstLineChars="200"/>
        <w:rPr>
          <w:rFonts w:hint="eastAsia" w:ascii="宋体" w:hAnsi="宋体" w:eastAsia="宋体" w:cs="宋体"/>
          <w:color w:val="auto"/>
          <w:lang w:eastAsia="zh-CN"/>
        </w:rPr>
      </w:pPr>
      <w:r>
        <w:rPr>
          <w:rFonts w:hint="eastAsia" w:ascii="宋体" w:hAnsi="宋体" w:eastAsia="宋体" w:cs="宋体"/>
          <w:color w:val="auto"/>
        </w:rPr>
        <w:t>项目编号：QZZC2025-J1-030087-DHGS</w:t>
      </w:r>
    </w:p>
    <w:p w14:paraId="59DF707F">
      <w:pPr>
        <w:spacing w:line="460" w:lineRule="exact"/>
        <w:ind w:firstLine="420" w:firstLineChars="200"/>
        <w:jc w:val="left"/>
        <w:rPr>
          <w:rFonts w:hint="eastAsia" w:ascii="宋体" w:hAnsi="宋体" w:cs="宋体"/>
          <w:color w:val="auto"/>
          <w:lang w:eastAsia="zh-CN"/>
        </w:rPr>
      </w:pPr>
      <w:r>
        <w:rPr>
          <w:rFonts w:hint="eastAsia" w:ascii="宋体" w:hAnsi="宋体" w:eastAsia="宋体" w:cs="宋体"/>
          <w:color w:val="auto"/>
        </w:rPr>
        <w:t>项目名称：</w:t>
      </w:r>
      <w:r>
        <w:rPr>
          <w:rFonts w:hint="eastAsia" w:ascii="宋体" w:hAnsi="宋体" w:cs="宋体"/>
          <w:color w:val="auto"/>
          <w:lang w:eastAsia="zh-CN"/>
        </w:rPr>
        <w:t>2025年钦北区防汛救灾装备设备采购</w:t>
      </w:r>
    </w:p>
    <w:p w14:paraId="0FFA21BA">
      <w:pPr>
        <w:spacing w:line="460" w:lineRule="exact"/>
        <w:ind w:firstLine="420" w:firstLineChars="200"/>
        <w:jc w:val="left"/>
        <w:rPr>
          <w:rFonts w:hint="eastAsia" w:ascii="宋体" w:hAnsi="宋体" w:eastAsia="宋体" w:cs="宋体"/>
          <w:color w:val="auto"/>
        </w:rPr>
      </w:pPr>
      <w:r>
        <w:rPr>
          <w:rFonts w:hint="eastAsia" w:ascii="宋体" w:hAnsi="宋体" w:eastAsia="宋体" w:cs="宋体"/>
          <w:color w:val="auto"/>
        </w:rPr>
        <w:t>采购方式：竞争性谈判</w:t>
      </w:r>
    </w:p>
    <w:p w14:paraId="0B4D2091">
      <w:pPr>
        <w:spacing w:line="460" w:lineRule="exact"/>
        <w:ind w:firstLine="420" w:firstLineChars="200"/>
        <w:rPr>
          <w:rFonts w:hint="eastAsia" w:ascii="宋体" w:hAnsi="宋体" w:eastAsia="宋体" w:cs="宋体"/>
          <w:color w:val="auto"/>
        </w:rPr>
      </w:pPr>
      <w:r>
        <w:rPr>
          <w:rFonts w:hint="eastAsia" w:ascii="宋体" w:hAnsi="宋体" w:eastAsia="宋体" w:cs="宋体"/>
          <w:color w:val="auto"/>
        </w:rPr>
        <w:t>预算总金额（元）：517</w:t>
      </w:r>
      <w:r>
        <w:rPr>
          <w:rFonts w:hint="eastAsia" w:ascii="宋体" w:hAnsi="宋体" w:cs="宋体"/>
          <w:color w:val="auto"/>
          <w:lang w:val="en-US" w:eastAsia="zh-CN"/>
        </w:rPr>
        <w:t>000</w:t>
      </w:r>
      <w:r>
        <w:rPr>
          <w:rFonts w:hint="eastAsia" w:ascii="宋体" w:hAnsi="宋体" w:eastAsia="宋体" w:cs="宋体"/>
          <w:color w:val="auto"/>
        </w:rPr>
        <w:t>.00</w:t>
      </w:r>
    </w:p>
    <w:p w14:paraId="3B2CCFA0">
      <w:pPr>
        <w:pStyle w:val="26"/>
        <w:widowControl/>
        <w:spacing w:line="360" w:lineRule="auto"/>
        <w:ind w:firstLine="420" w:firstLineChars="200"/>
        <w:rPr>
          <w:rFonts w:hint="eastAsia" w:ascii="宋体" w:hAnsi="宋体" w:eastAsia="宋体" w:cs="宋体"/>
          <w:color w:val="auto"/>
          <w:kern w:val="2"/>
          <w:sz w:val="21"/>
        </w:rPr>
      </w:pPr>
      <w:r>
        <w:rPr>
          <w:rFonts w:hint="eastAsia" w:ascii="宋体" w:hAnsi="宋体" w:eastAsia="宋体" w:cs="宋体"/>
          <w:color w:val="auto"/>
          <w:kern w:val="2"/>
          <w:sz w:val="21"/>
        </w:rPr>
        <w:t>采购需求：</w:t>
      </w:r>
      <w:r>
        <w:rPr>
          <w:rFonts w:hint="eastAsia" w:ascii="宋体" w:hAnsi="宋体" w:eastAsia="宋体" w:cs="宋体"/>
          <w:color w:val="auto"/>
          <w:kern w:val="2"/>
          <w:sz w:val="21"/>
          <w:lang w:val="en-US" w:eastAsia="zh-CN"/>
        </w:rPr>
        <w:t>橡皮艇</w:t>
      </w:r>
      <w:r>
        <w:rPr>
          <w:rFonts w:hint="eastAsia" w:ascii="宋体" w:hAnsi="宋体" w:cs="宋体"/>
          <w:color w:val="auto"/>
          <w:kern w:val="2"/>
          <w:sz w:val="21"/>
          <w:lang w:val="en-US" w:eastAsia="zh-CN"/>
        </w:rPr>
        <w:t>、船外机、运动摄像机、</w:t>
      </w:r>
      <w:r>
        <w:rPr>
          <w:rFonts w:hint="eastAsia" w:ascii="宋体" w:hAnsi="宋体" w:eastAsia="宋体" w:cs="宋体"/>
          <w:i w:val="0"/>
          <w:iCs w:val="0"/>
          <w:color w:val="000000"/>
          <w:kern w:val="0"/>
          <w:sz w:val="21"/>
          <w:szCs w:val="21"/>
          <w:u w:val="none"/>
          <w:lang w:val="en-US" w:eastAsia="zh-CN" w:bidi="ar"/>
        </w:rPr>
        <w:t>探测仪、绳索救援套装等防汛物资和救灾物资采购，如需进一步了解详细内容，详见采购需求</w:t>
      </w:r>
      <w:r>
        <w:rPr>
          <w:rFonts w:hint="eastAsia" w:ascii="宋体" w:hAnsi="宋体" w:eastAsia="宋体" w:cs="宋体"/>
          <w:color w:val="auto"/>
          <w:kern w:val="2"/>
          <w:sz w:val="21"/>
        </w:rPr>
        <w:t>。</w:t>
      </w:r>
    </w:p>
    <w:p w14:paraId="0099DE21">
      <w:pPr>
        <w:pStyle w:val="13"/>
        <w:ind w:firstLine="420" w:firstLineChars="200"/>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合同履行期限：</w:t>
      </w:r>
      <w:r>
        <w:rPr>
          <w:rFonts w:hint="eastAsia" w:ascii="宋体" w:hAnsi="宋体" w:cs="宋体"/>
          <w:color w:val="auto"/>
          <w:kern w:val="2"/>
          <w:sz w:val="21"/>
          <w:szCs w:val="24"/>
          <w:lang w:val="en-US" w:eastAsia="zh-CN" w:bidi="ar-SA"/>
        </w:rPr>
        <w:t>自合同签订之日起20日内交货并安装、调试、验收完毕。</w:t>
      </w:r>
    </w:p>
    <w:p w14:paraId="25A1C517">
      <w:pPr>
        <w:spacing w:line="360" w:lineRule="auto"/>
        <w:ind w:left="420" w:leftChars="200"/>
        <w:rPr>
          <w:rFonts w:hint="eastAsia" w:ascii="宋体" w:hAnsi="宋体" w:eastAsia="宋体" w:cs="宋体"/>
          <w:color w:val="auto"/>
          <w:szCs w:val="21"/>
        </w:rPr>
      </w:pPr>
      <w:bookmarkStart w:id="21" w:name="_Toc6485"/>
      <w:bookmarkStart w:id="22" w:name="_Toc35393799"/>
      <w:bookmarkStart w:id="23" w:name="_Toc28359013"/>
      <w:bookmarkStart w:id="24" w:name="_Toc9470"/>
      <w:bookmarkStart w:id="25" w:name="_Toc15901"/>
      <w:bookmarkStart w:id="26" w:name="_Toc32758"/>
      <w:bookmarkStart w:id="27" w:name="_Toc28359090"/>
      <w:bookmarkStart w:id="28" w:name="_Toc35393630"/>
      <w:bookmarkStart w:id="29" w:name="_Toc30428"/>
      <w:r>
        <w:rPr>
          <w:rFonts w:hint="eastAsia" w:ascii="宋体" w:hAnsi="宋体" w:eastAsia="宋体" w:cs="宋体"/>
          <w:color w:val="auto"/>
          <w:szCs w:val="21"/>
        </w:rPr>
        <w:t>本标项（否）接受联合体投标</w:t>
      </w:r>
    </w:p>
    <w:p w14:paraId="6752E9B5">
      <w:pPr>
        <w:spacing w:line="460" w:lineRule="exact"/>
        <w:outlineLvl w:val="1"/>
        <w:rPr>
          <w:rFonts w:hint="eastAsia" w:ascii="宋体" w:hAnsi="宋体" w:eastAsia="宋体" w:cs="宋体"/>
          <w:b/>
          <w:bCs/>
          <w:color w:val="auto"/>
          <w:szCs w:val="21"/>
        </w:rPr>
      </w:pPr>
      <w:r>
        <w:rPr>
          <w:rFonts w:hint="eastAsia" w:ascii="宋体" w:hAnsi="宋体" w:eastAsia="宋体" w:cs="宋体"/>
          <w:b/>
          <w:bCs/>
          <w:color w:val="auto"/>
          <w:szCs w:val="21"/>
        </w:rPr>
        <w:t>二、供应商的资格条件：</w:t>
      </w:r>
      <w:bookmarkEnd w:id="21"/>
      <w:bookmarkEnd w:id="22"/>
      <w:bookmarkEnd w:id="23"/>
      <w:bookmarkEnd w:id="24"/>
      <w:bookmarkEnd w:id="25"/>
      <w:bookmarkEnd w:id="26"/>
      <w:bookmarkEnd w:id="27"/>
      <w:bookmarkEnd w:id="28"/>
      <w:bookmarkEnd w:id="29"/>
    </w:p>
    <w:p w14:paraId="15D0F172">
      <w:pPr>
        <w:spacing w:line="460" w:lineRule="exact"/>
        <w:ind w:firstLine="420" w:firstLineChars="200"/>
        <w:rPr>
          <w:rFonts w:hint="eastAsia" w:ascii="宋体" w:hAnsi="宋体" w:eastAsia="宋体" w:cs="宋体"/>
          <w:color w:val="auto"/>
          <w:szCs w:val="21"/>
        </w:rPr>
      </w:pPr>
      <w:bookmarkStart w:id="30" w:name="_Toc28359091"/>
      <w:bookmarkStart w:id="31" w:name="_Toc28359014"/>
      <w:r>
        <w:rPr>
          <w:rFonts w:hint="eastAsia" w:ascii="宋体" w:hAnsi="宋体" w:eastAsia="宋体" w:cs="宋体"/>
          <w:color w:val="auto"/>
          <w:szCs w:val="21"/>
        </w:rPr>
        <w:t>1.满足《中华人民共和国政府采购法》第二十二条规定；</w:t>
      </w:r>
    </w:p>
    <w:p w14:paraId="51C261ED">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rPr>
        <w:t>2.落实政府采购政策需满足的资格要求：本项目属于专门面向</w:t>
      </w:r>
      <w:r>
        <w:rPr>
          <w:rFonts w:hint="eastAsia" w:ascii="宋体" w:hAnsi="宋体" w:cs="宋体"/>
          <w:color w:val="auto"/>
          <w:szCs w:val="21"/>
          <w:lang w:eastAsia="zh-CN"/>
        </w:rPr>
        <w:t>中小</w:t>
      </w:r>
      <w:r>
        <w:rPr>
          <w:rFonts w:hint="eastAsia" w:ascii="宋体" w:hAnsi="宋体" w:eastAsia="宋体" w:cs="宋体"/>
          <w:color w:val="auto"/>
          <w:szCs w:val="21"/>
        </w:rPr>
        <w:t>企业采购的项目，监狱企业、残疾人福利单位视同</w:t>
      </w:r>
      <w:r>
        <w:rPr>
          <w:rFonts w:hint="eastAsia" w:ascii="宋体" w:hAnsi="宋体" w:cs="宋体"/>
          <w:color w:val="auto"/>
          <w:szCs w:val="21"/>
          <w:lang w:eastAsia="zh-CN"/>
        </w:rPr>
        <w:t>中</w:t>
      </w:r>
      <w:r>
        <w:rPr>
          <w:rFonts w:hint="eastAsia" w:ascii="宋体" w:hAnsi="宋体" w:eastAsia="宋体" w:cs="宋体"/>
          <w:color w:val="auto"/>
          <w:szCs w:val="21"/>
        </w:rPr>
        <w:t>型、</w:t>
      </w:r>
      <w:r>
        <w:rPr>
          <w:rFonts w:hint="eastAsia" w:ascii="宋体" w:hAnsi="宋体" w:cs="宋体"/>
          <w:color w:val="auto"/>
          <w:szCs w:val="21"/>
          <w:lang w:eastAsia="zh-CN"/>
        </w:rPr>
        <w:t>小</w:t>
      </w:r>
      <w:r>
        <w:rPr>
          <w:rFonts w:hint="eastAsia" w:ascii="宋体" w:hAnsi="宋体" w:eastAsia="宋体" w:cs="宋体"/>
          <w:color w:val="auto"/>
          <w:szCs w:val="21"/>
        </w:rPr>
        <w:t>型企业；</w:t>
      </w:r>
      <w:r>
        <w:rPr>
          <w:rFonts w:hint="eastAsia" w:ascii="宋体" w:hAnsi="宋体" w:cs="宋体"/>
          <w:color w:val="auto"/>
          <w:szCs w:val="21"/>
          <w:lang w:eastAsia="zh-CN"/>
        </w:rPr>
        <w:t>中</w:t>
      </w:r>
      <w:r>
        <w:rPr>
          <w:rFonts w:hint="eastAsia" w:ascii="宋体" w:hAnsi="宋体" w:eastAsia="宋体" w:cs="宋体"/>
          <w:color w:val="auto"/>
          <w:szCs w:val="21"/>
        </w:rPr>
        <w:t>型、</w:t>
      </w:r>
      <w:r>
        <w:rPr>
          <w:rFonts w:hint="eastAsia" w:ascii="宋体" w:hAnsi="宋体" w:cs="宋体"/>
          <w:color w:val="auto"/>
          <w:szCs w:val="21"/>
          <w:lang w:eastAsia="zh-CN"/>
        </w:rPr>
        <w:t>小</w:t>
      </w:r>
      <w:r>
        <w:rPr>
          <w:rFonts w:hint="eastAsia" w:ascii="宋体" w:hAnsi="宋体" w:eastAsia="宋体" w:cs="宋体"/>
          <w:color w:val="auto"/>
          <w:szCs w:val="21"/>
        </w:rPr>
        <w:t>型企业须符合本项目采购标的所属行业对应的</w:t>
      </w:r>
      <w:r>
        <w:rPr>
          <w:rFonts w:hint="eastAsia" w:ascii="宋体" w:hAnsi="宋体" w:cs="宋体"/>
          <w:color w:val="auto"/>
          <w:szCs w:val="21"/>
          <w:lang w:eastAsia="zh-CN"/>
        </w:rPr>
        <w:t>中小</w:t>
      </w:r>
      <w:r>
        <w:rPr>
          <w:rFonts w:hint="eastAsia" w:ascii="宋体" w:hAnsi="宋体" w:eastAsia="宋体" w:cs="宋体"/>
          <w:color w:val="auto"/>
          <w:szCs w:val="21"/>
        </w:rPr>
        <w:t>企业划分标准。</w:t>
      </w:r>
    </w:p>
    <w:p w14:paraId="14278192">
      <w:pPr>
        <w:spacing w:line="46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3.本项目的特定资格要求：无</w:t>
      </w:r>
    </w:p>
    <w:p w14:paraId="6079188E">
      <w:pPr>
        <w:spacing w:line="460" w:lineRule="exact"/>
        <w:outlineLvl w:val="1"/>
        <w:rPr>
          <w:rFonts w:hint="eastAsia" w:ascii="宋体" w:hAnsi="宋体" w:eastAsia="宋体" w:cs="宋体"/>
          <w:b/>
          <w:bCs/>
          <w:color w:val="auto"/>
          <w:szCs w:val="21"/>
        </w:rPr>
      </w:pPr>
      <w:bookmarkStart w:id="32" w:name="_Toc35393800"/>
      <w:bookmarkStart w:id="33" w:name="_Toc9225"/>
      <w:bookmarkStart w:id="34" w:name="_Toc4607"/>
      <w:bookmarkStart w:id="35" w:name="_Toc13222"/>
      <w:bookmarkStart w:id="36" w:name="_Toc8979"/>
      <w:bookmarkStart w:id="37" w:name="_Toc12862"/>
      <w:bookmarkStart w:id="38" w:name="_Toc35393631"/>
      <w:r>
        <w:rPr>
          <w:rFonts w:hint="eastAsia" w:ascii="宋体" w:hAnsi="宋体" w:eastAsia="宋体" w:cs="宋体"/>
          <w:b/>
          <w:bCs/>
          <w:color w:val="auto"/>
          <w:szCs w:val="21"/>
        </w:rPr>
        <w:t>三、获取竞争性谈判文件</w:t>
      </w:r>
      <w:bookmarkEnd w:id="30"/>
      <w:bookmarkEnd w:id="31"/>
      <w:bookmarkEnd w:id="32"/>
      <w:bookmarkEnd w:id="33"/>
      <w:bookmarkEnd w:id="34"/>
      <w:bookmarkEnd w:id="35"/>
      <w:bookmarkEnd w:id="36"/>
      <w:bookmarkEnd w:id="37"/>
      <w:bookmarkEnd w:id="38"/>
    </w:p>
    <w:p w14:paraId="36586A22">
      <w:pPr>
        <w:spacing w:line="460" w:lineRule="exact"/>
        <w:ind w:firstLine="420" w:firstLineChars="200"/>
        <w:rPr>
          <w:rFonts w:hint="eastAsia" w:ascii="宋体" w:hAnsi="宋体" w:eastAsia="宋体" w:cs="宋体"/>
          <w:color w:val="auto"/>
        </w:rPr>
      </w:pPr>
      <w:r>
        <w:rPr>
          <w:rFonts w:hint="eastAsia" w:ascii="宋体" w:hAnsi="宋体" w:eastAsia="宋体" w:cs="宋体"/>
          <w:color w:val="auto"/>
          <w:szCs w:val="21"/>
        </w:rPr>
        <w:t>时间：202</w:t>
      </w:r>
      <w:r>
        <w:rPr>
          <w:rFonts w:hint="eastAsia" w:ascii="宋体" w:hAnsi="宋体" w:cs="宋体"/>
          <w:color w:val="auto"/>
          <w:szCs w:val="21"/>
          <w:lang w:val="en-US" w:eastAsia="zh-CN"/>
        </w:rPr>
        <w:t>5</w:t>
      </w:r>
      <w:r>
        <w:rPr>
          <w:rFonts w:hint="eastAsia" w:ascii="宋体" w:hAnsi="宋体" w:eastAsia="宋体" w:cs="宋体"/>
          <w:color w:val="auto"/>
          <w:szCs w:val="21"/>
        </w:rPr>
        <w:t>年</w:t>
      </w:r>
      <w:r>
        <w:rPr>
          <w:rFonts w:hint="eastAsia" w:ascii="宋体" w:hAnsi="宋体" w:cs="宋体"/>
          <w:color w:val="auto"/>
          <w:szCs w:val="21"/>
          <w:lang w:val="en-US" w:eastAsia="zh-CN"/>
        </w:rPr>
        <w:t>9</w:t>
      </w:r>
      <w:r>
        <w:rPr>
          <w:rFonts w:hint="eastAsia" w:ascii="宋体" w:hAnsi="宋体" w:eastAsia="宋体" w:cs="宋体"/>
          <w:color w:val="auto"/>
          <w:szCs w:val="21"/>
        </w:rPr>
        <w:t>月</w:t>
      </w:r>
      <w:r>
        <w:rPr>
          <w:rFonts w:hint="eastAsia" w:ascii="宋体" w:hAnsi="宋体" w:cs="宋体"/>
          <w:color w:val="auto"/>
          <w:szCs w:val="21"/>
          <w:lang w:val="en-US" w:eastAsia="zh-CN"/>
        </w:rPr>
        <w:t>3</w:t>
      </w:r>
      <w:r>
        <w:rPr>
          <w:rFonts w:hint="eastAsia" w:ascii="宋体" w:hAnsi="宋体" w:eastAsia="宋体" w:cs="宋体"/>
          <w:color w:val="auto"/>
          <w:szCs w:val="21"/>
        </w:rPr>
        <w:t>日至202</w:t>
      </w:r>
      <w:r>
        <w:rPr>
          <w:rFonts w:hint="eastAsia" w:ascii="宋体" w:hAnsi="宋体" w:cs="宋体"/>
          <w:color w:val="auto"/>
          <w:szCs w:val="21"/>
          <w:lang w:val="en-US" w:eastAsia="zh-CN"/>
        </w:rPr>
        <w:t>5</w:t>
      </w:r>
      <w:r>
        <w:rPr>
          <w:rFonts w:hint="eastAsia" w:ascii="宋体" w:hAnsi="宋体" w:eastAsia="宋体" w:cs="宋体"/>
          <w:color w:val="auto"/>
          <w:szCs w:val="21"/>
        </w:rPr>
        <w:t>年</w:t>
      </w:r>
      <w:r>
        <w:rPr>
          <w:rFonts w:hint="eastAsia" w:ascii="宋体" w:hAnsi="宋体" w:cs="宋体"/>
          <w:color w:val="auto"/>
          <w:szCs w:val="21"/>
          <w:lang w:val="en-US" w:eastAsia="zh-CN"/>
        </w:rPr>
        <w:t>9</w:t>
      </w:r>
      <w:r>
        <w:rPr>
          <w:rFonts w:hint="eastAsia" w:ascii="宋体" w:hAnsi="宋体" w:eastAsia="宋体" w:cs="宋体"/>
          <w:color w:val="auto"/>
          <w:szCs w:val="21"/>
        </w:rPr>
        <w:t>月</w:t>
      </w:r>
      <w:r>
        <w:rPr>
          <w:rFonts w:hint="eastAsia" w:ascii="宋体" w:hAnsi="宋体" w:cs="宋体"/>
          <w:color w:val="auto"/>
          <w:szCs w:val="21"/>
          <w:lang w:val="en-US" w:eastAsia="zh-CN"/>
        </w:rPr>
        <w:t>9</w:t>
      </w:r>
      <w:r>
        <w:rPr>
          <w:rFonts w:hint="eastAsia" w:ascii="宋体" w:hAnsi="宋体" w:eastAsia="宋体" w:cs="宋体"/>
          <w:color w:val="auto"/>
          <w:szCs w:val="21"/>
        </w:rPr>
        <w:t>日，每天上午00:00至12:00，下午12:00至23:59（北京时间，法定节假日除外）</w:t>
      </w:r>
    </w:p>
    <w:p w14:paraId="7FD72F98">
      <w:pPr>
        <w:spacing w:line="46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地点（网址）：</w:t>
      </w:r>
      <w:r>
        <w:rPr>
          <w:rFonts w:hint="eastAsia" w:ascii="宋体" w:hAnsi="宋体" w:eastAsia="宋体" w:cs="宋体"/>
          <w:color w:val="auto"/>
          <w:kern w:val="0"/>
          <w:szCs w:val="21"/>
        </w:rPr>
        <w:t>广西政府采购云平台（https：//www.gcy.zfcg.gxzf.gov.cn/）</w:t>
      </w:r>
    </w:p>
    <w:p w14:paraId="47BCD173">
      <w:pPr>
        <w:spacing w:line="460" w:lineRule="exact"/>
        <w:ind w:firstLine="420" w:firstLineChars="200"/>
        <w:rPr>
          <w:rFonts w:hint="eastAsia" w:ascii="宋体" w:hAnsi="宋体" w:eastAsia="宋体" w:cs="宋体"/>
          <w:color w:val="auto"/>
          <w:szCs w:val="21"/>
        </w:rPr>
      </w:pPr>
      <w:r>
        <w:rPr>
          <w:rFonts w:hint="eastAsia" w:ascii="宋体" w:hAnsi="宋体" w:eastAsia="宋体" w:cs="宋体"/>
          <w:bCs/>
          <w:color w:val="auto"/>
          <w:kern w:val="0"/>
          <w:szCs w:val="21"/>
        </w:rPr>
        <w:t>方式：网上下载。登录广西政府采购云平台（https://www.gcy.zfcg.gxzf.gov.cn/），在“工作台”—“项目采购”—“获取采购文件”选择本项目，点击“申请获取采购文件”进行申请提交后，在已申请栏中选择下载本项目采购文件。[注意事项：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r>
        <w:rPr>
          <w:rFonts w:hint="eastAsia" w:ascii="宋体" w:hAnsi="宋体" w:eastAsia="宋体" w:cs="宋体"/>
          <w:color w:val="auto"/>
          <w:szCs w:val="21"/>
        </w:rPr>
        <w:t>。</w:t>
      </w:r>
    </w:p>
    <w:p w14:paraId="6D20B463">
      <w:pPr>
        <w:spacing w:line="460" w:lineRule="exact"/>
        <w:ind w:firstLine="420" w:firstLineChars="200"/>
        <w:rPr>
          <w:rFonts w:hint="eastAsia" w:ascii="宋体" w:hAnsi="宋体" w:eastAsia="宋体" w:cs="宋体"/>
          <w:color w:val="auto"/>
          <w:szCs w:val="21"/>
        </w:rPr>
      </w:pPr>
      <w:bookmarkStart w:id="39" w:name="_Toc7661"/>
      <w:bookmarkStart w:id="40" w:name="_Toc6734"/>
      <w:bookmarkStart w:id="41" w:name="_Toc23652"/>
      <w:bookmarkStart w:id="42" w:name="_Toc24516"/>
      <w:bookmarkStart w:id="43" w:name="_Toc44229881"/>
      <w:bookmarkStart w:id="44" w:name="_Toc25758"/>
      <w:r>
        <w:rPr>
          <w:rFonts w:hint="eastAsia" w:ascii="宋体" w:hAnsi="宋体" w:eastAsia="宋体" w:cs="宋体"/>
          <w:color w:val="auto"/>
          <w:szCs w:val="21"/>
        </w:rPr>
        <w:t>售价（元）：0</w:t>
      </w:r>
    </w:p>
    <w:p w14:paraId="1333F974">
      <w:pPr>
        <w:spacing w:line="460" w:lineRule="exact"/>
        <w:outlineLvl w:val="1"/>
        <w:rPr>
          <w:rFonts w:hint="eastAsia" w:ascii="宋体" w:hAnsi="宋体" w:eastAsia="宋体" w:cs="宋体"/>
          <w:b/>
          <w:bCs/>
          <w:color w:val="auto"/>
        </w:rPr>
      </w:pPr>
      <w:r>
        <w:rPr>
          <w:rFonts w:hint="eastAsia" w:ascii="宋体" w:hAnsi="宋体" w:eastAsia="宋体" w:cs="宋体"/>
          <w:b/>
          <w:bCs/>
          <w:color w:val="auto"/>
        </w:rPr>
        <w:t>四、响应文件提交</w:t>
      </w:r>
      <w:bookmarkEnd w:id="39"/>
      <w:bookmarkEnd w:id="40"/>
      <w:bookmarkEnd w:id="41"/>
      <w:bookmarkEnd w:id="42"/>
      <w:bookmarkEnd w:id="43"/>
      <w:bookmarkEnd w:id="44"/>
    </w:p>
    <w:p w14:paraId="7B5335C9">
      <w:pPr>
        <w:spacing w:line="460" w:lineRule="exact"/>
        <w:ind w:firstLine="420" w:firstLineChars="200"/>
        <w:rPr>
          <w:rFonts w:hint="eastAsia" w:ascii="宋体" w:hAnsi="宋体" w:eastAsia="宋体" w:cs="宋体"/>
          <w:color w:val="auto"/>
          <w:szCs w:val="21"/>
          <w:u w:val="single"/>
        </w:rPr>
      </w:pPr>
      <w:r>
        <w:rPr>
          <w:rFonts w:hint="eastAsia" w:ascii="宋体" w:hAnsi="宋体" w:eastAsia="宋体" w:cs="宋体"/>
          <w:color w:val="auto"/>
          <w:szCs w:val="21"/>
        </w:rPr>
        <w:t>截止时间：</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bCs/>
          <w:color w:val="auto"/>
          <w:szCs w:val="21"/>
          <w:u w:val="single"/>
        </w:rPr>
        <w:t>年</w:t>
      </w:r>
      <w:r>
        <w:rPr>
          <w:rFonts w:hint="eastAsia" w:ascii="宋体" w:hAnsi="宋体" w:cs="宋体"/>
          <w:color w:val="auto"/>
          <w:szCs w:val="21"/>
          <w:u w:val="single"/>
          <w:lang w:val="en-US" w:eastAsia="zh-CN"/>
        </w:rPr>
        <w:t>9</w:t>
      </w:r>
      <w:r>
        <w:rPr>
          <w:rFonts w:hint="eastAsia" w:ascii="宋体" w:hAnsi="宋体" w:eastAsia="宋体" w:cs="宋体"/>
          <w:color w:val="auto"/>
          <w:szCs w:val="21"/>
          <w:u w:val="single"/>
        </w:rPr>
        <w:t>月</w:t>
      </w:r>
      <w:r>
        <w:rPr>
          <w:rFonts w:hint="eastAsia" w:ascii="宋体" w:hAnsi="宋体" w:cs="宋体"/>
          <w:color w:val="auto"/>
          <w:szCs w:val="21"/>
          <w:u w:val="single"/>
          <w:lang w:val="en-US" w:eastAsia="zh-CN"/>
        </w:rPr>
        <w:t>10</w:t>
      </w:r>
      <w:r>
        <w:rPr>
          <w:rFonts w:hint="eastAsia" w:ascii="宋体" w:hAnsi="宋体" w:eastAsia="宋体" w:cs="宋体"/>
          <w:bCs/>
          <w:color w:val="auto"/>
          <w:szCs w:val="21"/>
          <w:u w:val="single"/>
        </w:rPr>
        <w:t>日</w:t>
      </w:r>
      <w:r>
        <w:rPr>
          <w:rFonts w:hint="eastAsia" w:ascii="宋体" w:hAnsi="宋体" w:cs="宋体"/>
          <w:bCs/>
          <w:color w:val="auto"/>
          <w:szCs w:val="21"/>
          <w:u w:val="single"/>
          <w:lang w:val="en-US" w:eastAsia="zh-CN"/>
        </w:rPr>
        <w:t>09</w:t>
      </w:r>
      <w:r>
        <w:rPr>
          <w:rFonts w:hint="eastAsia" w:ascii="宋体" w:hAnsi="宋体" w:eastAsia="宋体" w:cs="宋体"/>
          <w:bCs/>
          <w:color w:val="auto"/>
          <w:szCs w:val="21"/>
          <w:u w:val="single"/>
        </w:rPr>
        <w:t>：30（北京时间）</w:t>
      </w:r>
    </w:p>
    <w:p w14:paraId="0B0D7D6D">
      <w:pPr>
        <w:spacing w:line="46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地点（网址）：</w:t>
      </w:r>
      <w:r>
        <w:rPr>
          <w:rFonts w:hint="eastAsia" w:ascii="宋体" w:hAnsi="宋体" w:eastAsia="宋体" w:cs="宋体"/>
          <w:color w:val="auto"/>
        </w:rPr>
        <w:t>广西政府采购云平台https://www.gcy.zfcg.gxzf.gov.cn/。</w:t>
      </w:r>
    </w:p>
    <w:p w14:paraId="31BB0C94">
      <w:pPr>
        <w:spacing w:line="460" w:lineRule="exact"/>
        <w:outlineLvl w:val="1"/>
        <w:rPr>
          <w:rFonts w:hint="eastAsia" w:ascii="宋体" w:hAnsi="宋体" w:eastAsia="宋体" w:cs="宋体"/>
          <w:b/>
          <w:bCs/>
          <w:color w:val="auto"/>
        </w:rPr>
      </w:pPr>
      <w:bookmarkStart w:id="45" w:name="_Toc4252"/>
      <w:bookmarkStart w:id="46" w:name="_Toc28440"/>
      <w:bookmarkStart w:id="47" w:name="_Toc35393633"/>
      <w:bookmarkStart w:id="48" w:name="_Toc3446"/>
      <w:bookmarkStart w:id="49" w:name="_Toc23725"/>
      <w:bookmarkStart w:id="50" w:name="_Toc28359016"/>
      <w:bookmarkStart w:id="51" w:name="_Toc35393802"/>
      <w:bookmarkStart w:id="52" w:name="_Toc26537"/>
      <w:bookmarkStart w:id="53" w:name="_Toc28359093"/>
      <w:r>
        <w:rPr>
          <w:rFonts w:hint="eastAsia" w:ascii="宋体" w:hAnsi="宋体" w:eastAsia="宋体" w:cs="宋体"/>
          <w:b/>
          <w:bCs/>
          <w:color w:val="auto"/>
        </w:rPr>
        <w:t>五、开启</w:t>
      </w:r>
      <w:bookmarkEnd w:id="45"/>
      <w:bookmarkEnd w:id="46"/>
      <w:bookmarkEnd w:id="47"/>
      <w:bookmarkEnd w:id="48"/>
      <w:bookmarkEnd w:id="49"/>
      <w:bookmarkEnd w:id="50"/>
      <w:bookmarkEnd w:id="51"/>
      <w:bookmarkEnd w:id="52"/>
      <w:bookmarkEnd w:id="53"/>
    </w:p>
    <w:p w14:paraId="51CD4EC8">
      <w:pPr>
        <w:spacing w:line="460" w:lineRule="exact"/>
        <w:ind w:firstLine="420" w:firstLineChars="200"/>
        <w:rPr>
          <w:rFonts w:hint="eastAsia" w:ascii="宋体" w:hAnsi="宋体" w:eastAsia="宋体" w:cs="宋体"/>
          <w:bCs/>
          <w:color w:val="auto"/>
          <w:szCs w:val="21"/>
          <w:u w:val="single"/>
        </w:rPr>
      </w:pPr>
      <w:r>
        <w:rPr>
          <w:rFonts w:hint="eastAsia" w:ascii="宋体" w:hAnsi="宋体" w:eastAsia="宋体" w:cs="宋体"/>
          <w:color w:val="auto"/>
          <w:szCs w:val="21"/>
        </w:rPr>
        <w:t>开启时间：</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bCs/>
          <w:color w:val="auto"/>
          <w:szCs w:val="21"/>
          <w:u w:val="single"/>
        </w:rPr>
        <w:t>年</w:t>
      </w:r>
      <w:r>
        <w:rPr>
          <w:rFonts w:hint="eastAsia" w:ascii="宋体" w:hAnsi="宋体" w:eastAsia="宋体" w:cs="宋体"/>
          <w:bCs/>
          <w:color w:val="auto"/>
          <w:szCs w:val="21"/>
          <w:u w:val="single"/>
          <w:lang w:val="en-US" w:eastAsia="zh-CN"/>
        </w:rPr>
        <w:t>9</w:t>
      </w:r>
      <w:r>
        <w:rPr>
          <w:rFonts w:hint="eastAsia" w:ascii="宋体" w:hAnsi="宋体" w:eastAsia="宋体" w:cs="宋体"/>
          <w:bCs/>
          <w:color w:val="auto"/>
          <w:szCs w:val="21"/>
          <w:u w:val="single"/>
        </w:rPr>
        <w:t>月</w:t>
      </w:r>
      <w:r>
        <w:rPr>
          <w:rFonts w:hint="eastAsia" w:ascii="宋体" w:hAnsi="宋体" w:cs="宋体"/>
          <w:color w:val="auto"/>
          <w:szCs w:val="21"/>
          <w:u w:val="single"/>
          <w:lang w:val="en-US" w:eastAsia="zh-CN"/>
        </w:rPr>
        <w:t>10</w:t>
      </w:r>
      <w:r>
        <w:rPr>
          <w:rFonts w:hint="eastAsia" w:ascii="宋体" w:hAnsi="宋体" w:eastAsia="宋体" w:cs="宋体"/>
          <w:bCs/>
          <w:color w:val="auto"/>
          <w:szCs w:val="21"/>
          <w:u w:val="single"/>
        </w:rPr>
        <w:t>日</w:t>
      </w:r>
      <w:r>
        <w:rPr>
          <w:rFonts w:hint="eastAsia" w:ascii="宋体" w:hAnsi="宋体" w:cs="宋体"/>
          <w:bCs/>
          <w:color w:val="auto"/>
          <w:szCs w:val="21"/>
          <w:u w:val="single"/>
          <w:lang w:val="en-US" w:eastAsia="zh-CN"/>
        </w:rPr>
        <w:t>09</w:t>
      </w:r>
      <w:r>
        <w:rPr>
          <w:rFonts w:hint="eastAsia" w:ascii="宋体" w:hAnsi="宋体" w:eastAsia="宋体" w:cs="宋体"/>
          <w:bCs/>
          <w:color w:val="auto"/>
          <w:szCs w:val="21"/>
          <w:u w:val="single"/>
        </w:rPr>
        <w:t>：30（北京时间）</w:t>
      </w:r>
    </w:p>
    <w:p w14:paraId="78A7CBF1">
      <w:pPr>
        <w:spacing w:line="460" w:lineRule="exact"/>
        <w:ind w:firstLine="420" w:firstLineChars="200"/>
        <w:rPr>
          <w:rFonts w:hint="eastAsia" w:ascii="宋体" w:hAnsi="宋体" w:eastAsia="宋体" w:cs="宋体"/>
          <w:bCs/>
          <w:color w:val="auto"/>
          <w:szCs w:val="21"/>
          <w:u w:val="single"/>
        </w:rPr>
      </w:pPr>
      <w:r>
        <w:rPr>
          <w:rFonts w:hint="eastAsia" w:ascii="宋体" w:hAnsi="宋体" w:eastAsia="宋体" w:cs="宋体"/>
          <w:color w:val="auto"/>
          <w:szCs w:val="21"/>
        </w:rPr>
        <w:t>地点：</w:t>
      </w:r>
      <w:r>
        <w:rPr>
          <w:rFonts w:hint="eastAsia" w:ascii="宋体" w:hAnsi="宋体" w:eastAsia="宋体" w:cs="宋体"/>
          <w:color w:val="auto"/>
          <w:szCs w:val="21"/>
          <w:u w:val="single"/>
        </w:rPr>
        <w:t>广西政府采购云平台https://www.gcy.zfcg.gxzf.gov.cn/</w:t>
      </w:r>
    </w:p>
    <w:p w14:paraId="2C76D348">
      <w:pPr>
        <w:spacing w:line="460" w:lineRule="exact"/>
        <w:outlineLvl w:val="1"/>
        <w:rPr>
          <w:rFonts w:hint="eastAsia" w:ascii="宋体" w:hAnsi="宋体" w:eastAsia="宋体" w:cs="宋体"/>
          <w:b/>
          <w:bCs/>
          <w:color w:val="auto"/>
        </w:rPr>
      </w:pPr>
      <w:bookmarkStart w:id="54" w:name="_Toc28359094"/>
      <w:bookmarkStart w:id="55" w:name="_Toc21810"/>
      <w:bookmarkStart w:id="56" w:name="_Toc29251"/>
      <w:bookmarkStart w:id="57" w:name="_Toc35393634"/>
      <w:bookmarkStart w:id="58" w:name="_Toc35393803"/>
      <w:bookmarkStart w:id="59" w:name="_Toc21664"/>
      <w:bookmarkStart w:id="60" w:name="_Toc14476"/>
      <w:bookmarkStart w:id="61" w:name="_Toc17738"/>
      <w:bookmarkStart w:id="62" w:name="_Toc28359017"/>
      <w:r>
        <w:rPr>
          <w:rFonts w:hint="eastAsia" w:ascii="宋体" w:hAnsi="宋体" w:eastAsia="宋体" w:cs="宋体"/>
          <w:b/>
          <w:bCs/>
          <w:color w:val="auto"/>
        </w:rPr>
        <w:t>六、公告期限</w:t>
      </w:r>
      <w:bookmarkEnd w:id="54"/>
      <w:bookmarkEnd w:id="55"/>
      <w:bookmarkEnd w:id="56"/>
      <w:bookmarkEnd w:id="57"/>
      <w:bookmarkEnd w:id="58"/>
      <w:bookmarkEnd w:id="59"/>
      <w:bookmarkEnd w:id="60"/>
      <w:bookmarkEnd w:id="61"/>
      <w:bookmarkEnd w:id="62"/>
    </w:p>
    <w:p w14:paraId="23E650B4">
      <w:pPr>
        <w:spacing w:line="460" w:lineRule="exact"/>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自本公告发布之日起3个工作日。</w:t>
      </w:r>
    </w:p>
    <w:p w14:paraId="3D871B3D">
      <w:pPr>
        <w:numPr>
          <w:ilvl w:val="0"/>
          <w:numId w:val="1"/>
        </w:numPr>
        <w:spacing w:line="460" w:lineRule="exact"/>
        <w:outlineLvl w:val="1"/>
        <w:rPr>
          <w:rFonts w:hint="eastAsia" w:ascii="宋体" w:hAnsi="宋体" w:eastAsia="宋体" w:cs="宋体"/>
          <w:color w:val="auto"/>
        </w:rPr>
      </w:pPr>
      <w:bookmarkStart w:id="63" w:name="_Toc20667"/>
      <w:bookmarkStart w:id="64" w:name="_Toc35393804"/>
      <w:bookmarkStart w:id="65" w:name="_Toc12921"/>
      <w:bookmarkStart w:id="66" w:name="_Toc18899"/>
      <w:bookmarkStart w:id="67" w:name="_Toc35393635"/>
      <w:bookmarkStart w:id="68" w:name="_Toc21996"/>
      <w:bookmarkStart w:id="69" w:name="_Toc14254"/>
      <w:r>
        <w:rPr>
          <w:rFonts w:hint="eastAsia" w:ascii="宋体" w:hAnsi="宋体" w:eastAsia="宋体" w:cs="宋体"/>
          <w:b/>
          <w:bCs/>
          <w:color w:val="auto"/>
        </w:rPr>
        <w:t>其他补充事宜</w:t>
      </w:r>
      <w:bookmarkEnd w:id="63"/>
      <w:bookmarkEnd w:id="64"/>
      <w:bookmarkEnd w:id="65"/>
      <w:bookmarkEnd w:id="66"/>
      <w:bookmarkEnd w:id="67"/>
      <w:bookmarkEnd w:id="68"/>
      <w:bookmarkEnd w:id="69"/>
    </w:p>
    <w:p w14:paraId="1C671FE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bookmarkStart w:id="70" w:name="_Hlk37429674"/>
      <w:bookmarkStart w:id="71" w:name="_Toc35393636"/>
      <w:bookmarkStart w:id="72" w:name="_Toc35393805"/>
      <w:bookmarkStart w:id="73" w:name="_Toc28359095"/>
      <w:bookmarkStart w:id="74" w:name="_Toc28359018"/>
      <w:r>
        <w:rPr>
          <w:rFonts w:hint="eastAsia" w:ascii="宋体" w:hAnsi="宋体" w:eastAsia="宋体" w:cs="宋体"/>
          <w:b w:val="0"/>
          <w:bCs w:val="0"/>
          <w:color w:val="auto"/>
        </w:rPr>
        <w:t>1.网上查询地址：中国政府采购网（www.ccgp.gov.cn）、广西政府采购网（zfcg.gxzf.gov.cn）</w:t>
      </w:r>
    </w:p>
    <w:p w14:paraId="20679806">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cs="宋体"/>
          <w:b w:val="0"/>
          <w:bCs w:val="0"/>
          <w:color w:val="auto"/>
          <w:lang w:val="en-US" w:eastAsia="zh-CN"/>
        </w:rPr>
        <w:t>2</w:t>
      </w:r>
      <w:r>
        <w:rPr>
          <w:rFonts w:hint="eastAsia" w:ascii="宋体" w:hAnsi="宋体" w:eastAsia="宋体" w:cs="宋体"/>
          <w:b w:val="0"/>
          <w:bCs w:val="0"/>
          <w:color w:val="auto"/>
        </w:rPr>
        <w:t>.本项目需要落实的政府采购政策</w:t>
      </w:r>
    </w:p>
    <w:p w14:paraId="0623410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（1）政府采购促进中小企业发展。</w:t>
      </w:r>
    </w:p>
    <w:p w14:paraId="6E6AB9B0">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（2）政府采购支持采用本国产品的政策。</w:t>
      </w:r>
    </w:p>
    <w:p w14:paraId="7D75F1A8">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（3）强制采购节能产品；优先采购节能产品、环境标志产品。</w:t>
      </w:r>
    </w:p>
    <w:p w14:paraId="0D3165A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（4）政府采购促进残疾人就业政策。</w:t>
      </w:r>
    </w:p>
    <w:p w14:paraId="5F58236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（5）政府采购支持监狱企业发展。</w:t>
      </w:r>
    </w:p>
    <w:p w14:paraId="514A4EF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cs="宋体"/>
          <w:b w:val="0"/>
          <w:bCs w:val="0"/>
          <w:color w:val="auto"/>
          <w:lang w:val="en-US" w:eastAsia="zh-CN"/>
        </w:rPr>
        <w:t>3</w:t>
      </w:r>
      <w:r>
        <w:rPr>
          <w:rFonts w:hint="eastAsia" w:ascii="宋体" w:hAnsi="宋体" w:eastAsia="宋体" w:cs="宋体"/>
          <w:b w:val="0"/>
          <w:bCs w:val="0"/>
          <w:color w:val="auto"/>
        </w:rPr>
        <w:t>.供应商竞标注意事项</w:t>
      </w:r>
    </w:p>
    <w:p w14:paraId="73CD5892">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（1）本项目为全流程电子化采购项目，通过广西政府采购云平台（https://www.gcy.zfcg.gxzf.gov.cn/）实行在线电子竞标，竞标人应先安装“</w:t>
      </w:r>
      <w:bookmarkStart w:id="75" w:name="_Hlk160529463"/>
      <w:r>
        <w:rPr>
          <w:rFonts w:hint="eastAsia" w:ascii="宋体" w:hAnsi="宋体" w:eastAsia="宋体" w:cs="宋体"/>
          <w:b w:val="0"/>
          <w:bCs w:val="0"/>
          <w:color w:val="auto"/>
        </w:rPr>
        <w:t>广西政府采购云平台客户端</w:t>
      </w:r>
      <w:bookmarkEnd w:id="75"/>
      <w:r>
        <w:rPr>
          <w:rFonts w:hint="eastAsia" w:ascii="宋体" w:hAnsi="宋体" w:eastAsia="宋体" w:cs="宋体"/>
          <w:b w:val="0"/>
          <w:bCs w:val="0"/>
          <w:color w:val="auto"/>
        </w:rPr>
        <w:t>”（请自行前往广西政府采购云平台进行下载），并按照本项目竞争性</w:t>
      </w:r>
      <w:r>
        <w:rPr>
          <w:rFonts w:hint="eastAsia" w:ascii="宋体" w:hAnsi="宋体" w:cs="宋体"/>
          <w:b w:val="0"/>
          <w:bCs w:val="0"/>
          <w:color w:val="auto"/>
          <w:lang w:eastAsia="zh-CN"/>
        </w:rPr>
        <w:t>谈判</w:t>
      </w:r>
      <w:r>
        <w:rPr>
          <w:rFonts w:hint="eastAsia" w:ascii="宋体" w:hAnsi="宋体" w:eastAsia="宋体" w:cs="宋体"/>
          <w:b w:val="0"/>
          <w:bCs w:val="0"/>
          <w:color w:val="auto"/>
        </w:rPr>
        <w:t>文件和广西政府采购云平台的要求编制、加密后在提交响应文件截止时间前通过网络上传至广西政府采购云平台（加密的电子响应文件是指后缀名为“jmbs”的文件），竞标人在广西政府采购云平台提交电子响应文件时，请填写参加远程采购活动经办人联系方式。竞标人登录广西政府采购云平台，依次进入“服务中心-项目采购-操作流程-电子招投标-政府采购项目电子交易管理操作指南-供应商”查看电子竞标具体操作流程。</w:t>
      </w:r>
    </w:p>
    <w:p w14:paraId="3A525BCB">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2）未进行网上注册并办理数字证书（CA认证）竞标人的竞标人将无法参与本项目政府采购活动，竞标人应当在提交响应文件截止时间前，完成电子交易平台上的CA数字证书办理及响应文件的提交（竞标人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408BF98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（3）CA证书在线解密：首次响应文件开启时，需携带制作响应文件时用来加密的有效数字证书（CA认证）登录广西政府采购云平台电子开标大厅现场按规定时间对加密的响应文件进行解密，否则后果自负。</w:t>
      </w:r>
    </w:p>
    <w:p w14:paraId="15AE6D2A">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注：1）为确保网上操作合法、有效和安全，请竞标人确保在电子竞标过程中能够对相关数据电文进行加密和使用电子签章，妥善保管CA数字证书并使用有效的CA数字证书参与整个采购活动。2）竞标人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57BCF0FE">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（4）竞标人需要在具备有摄像头及语音功能且互联网网络状况良好的电脑登录广西政府采购云平台远程开标大厅参与本次</w:t>
      </w:r>
      <w:r>
        <w:rPr>
          <w:rFonts w:hint="eastAsia" w:ascii="宋体" w:hAnsi="宋体" w:cs="宋体"/>
          <w:b w:val="0"/>
          <w:bCs w:val="0"/>
          <w:color w:val="auto"/>
          <w:lang w:eastAsia="zh-CN"/>
        </w:rPr>
        <w:t>谈判</w:t>
      </w:r>
      <w:r>
        <w:rPr>
          <w:rFonts w:hint="eastAsia" w:ascii="宋体" w:hAnsi="宋体" w:eastAsia="宋体" w:cs="宋体"/>
          <w:b w:val="0"/>
          <w:bCs w:val="0"/>
          <w:color w:val="auto"/>
        </w:rPr>
        <w:t>，否则后果自负。</w:t>
      </w:r>
    </w:p>
    <w:p w14:paraId="168524E4">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cs="宋体"/>
          <w:b w:val="0"/>
          <w:bCs w:val="0"/>
          <w:color w:val="auto"/>
          <w:lang w:val="en-US" w:eastAsia="zh-CN"/>
        </w:rPr>
        <w:t>4</w:t>
      </w:r>
      <w:r>
        <w:rPr>
          <w:rFonts w:hint="eastAsia" w:ascii="宋体" w:hAnsi="宋体" w:eastAsia="宋体" w:cs="宋体"/>
          <w:b w:val="0"/>
          <w:bCs w:val="0"/>
          <w:color w:val="auto"/>
        </w:rPr>
        <w:t>.供应商出现下列情形之一的，不得参加政府采购活动：</w:t>
      </w:r>
    </w:p>
    <w:p w14:paraId="269D6ACF">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48585EC">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val="0"/>
          <w:bCs w:val="0"/>
          <w:color w:val="auto"/>
        </w:rPr>
      </w:pPr>
      <w:r>
        <w:rPr>
          <w:rFonts w:hint="eastAsia" w:ascii="宋体" w:hAnsi="宋体" w:eastAsia="宋体" w:cs="宋体"/>
          <w:b w:val="0"/>
          <w:bCs w:val="0"/>
          <w:color w:val="auto"/>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70"/>
    <w:p w14:paraId="0E4292E6">
      <w:pPr>
        <w:pStyle w:val="3"/>
        <w:spacing w:before="0" w:after="0" w:line="460" w:lineRule="exact"/>
        <w:rPr>
          <w:rFonts w:hint="eastAsia" w:ascii="宋体" w:hAnsi="宋体" w:eastAsia="宋体" w:cs="宋体"/>
          <w:color w:val="auto"/>
          <w:sz w:val="21"/>
          <w:szCs w:val="21"/>
        </w:rPr>
      </w:pPr>
      <w:bookmarkStart w:id="76" w:name="_Toc7173"/>
      <w:bookmarkStart w:id="77" w:name="_Toc2818"/>
      <w:bookmarkStart w:id="78" w:name="_Toc26284"/>
      <w:bookmarkStart w:id="79" w:name="_Toc515"/>
      <w:bookmarkStart w:id="80" w:name="_Toc1623"/>
      <w:r>
        <w:rPr>
          <w:rFonts w:hint="eastAsia" w:ascii="宋体" w:hAnsi="宋体" w:eastAsia="宋体" w:cs="宋体"/>
          <w:color w:val="auto"/>
          <w:sz w:val="21"/>
          <w:szCs w:val="21"/>
        </w:rPr>
        <w:t>八、凡对本次采购提出询问，请按以下方式联系。</w:t>
      </w:r>
      <w:bookmarkEnd w:id="71"/>
      <w:bookmarkEnd w:id="72"/>
      <w:bookmarkEnd w:id="73"/>
      <w:bookmarkEnd w:id="74"/>
      <w:bookmarkEnd w:id="76"/>
      <w:bookmarkEnd w:id="77"/>
      <w:bookmarkEnd w:id="78"/>
      <w:bookmarkEnd w:id="79"/>
      <w:bookmarkEnd w:id="80"/>
    </w:p>
    <w:p w14:paraId="25BE828F">
      <w:pPr>
        <w:spacing w:line="460" w:lineRule="exact"/>
        <w:ind w:firstLine="420" w:firstLineChars="200"/>
        <w:rPr>
          <w:rFonts w:hint="eastAsia" w:ascii="宋体" w:hAnsi="宋体" w:eastAsia="宋体" w:cs="宋体"/>
          <w:color w:val="auto"/>
          <w:szCs w:val="21"/>
        </w:rPr>
      </w:pPr>
      <w:bookmarkStart w:id="81" w:name="_Toc17602"/>
      <w:bookmarkStart w:id="82" w:name="_Toc5493"/>
      <w:bookmarkStart w:id="83" w:name="_Toc11168"/>
      <w:bookmarkStart w:id="84" w:name="_Toc35393637"/>
      <w:bookmarkStart w:id="85" w:name="_Toc28359019"/>
      <w:bookmarkStart w:id="86" w:name="_Toc28359096"/>
      <w:bookmarkStart w:id="87" w:name="_Toc35393806"/>
      <w:r>
        <w:rPr>
          <w:rFonts w:hint="eastAsia" w:ascii="宋体" w:hAnsi="宋体" w:eastAsia="宋体" w:cs="宋体"/>
          <w:color w:val="auto"/>
          <w:szCs w:val="21"/>
        </w:rPr>
        <w:t>1.采购人信息</w:t>
      </w:r>
      <w:bookmarkEnd w:id="81"/>
      <w:bookmarkEnd w:id="82"/>
      <w:bookmarkEnd w:id="83"/>
    </w:p>
    <w:p w14:paraId="21CC84DB">
      <w:pPr>
        <w:pStyle w:val="26"/>
        <w:widowControl/>
        <w:ind w:firstLine="420"/>
        <w:rPr>
          <w:rFonts w:hint="eastAsia" w:ascii="宋体" w:hAnsi="宋体" w:eastAsia="宋体" w:cs="宋体"/>
          <w:color w:val="auto"/>
          <w:szCs w:val="21"/>
          <w:lang w:eastAsia="zh-CN"/>
        </w:rPr>
      </w:pPr>
      <w:r>
        <w:rPr>
          <w:rFonts w:hint="eastAsia" w:ascii="宋体" w:hAnsi="宋体" w:eastAsia="宋体" w:cs="宋体"/>
          <w:color w:val="auto"/>
          <w:szCs w:val="21"/>
        </w:rPr>
        <w:t>名称：</w:t>
      </w:r>
      <w:r>
        <w:rPr>
          <w:rFonts w:hint="eastAsia" w:ascii="宋体" w:hAnsi="宋体" w:cs="宋体"/>
          <w:color w:val="auto"/>
          <w:kern w:val="2"/>
          <w:sz w:val="21"/>
          <w:lang w:eastAsia="zh-CN"/>
        </w:rPr>
        <w:t>钦州市钦北区应急管理局</w:t>
      </w:r>
    </w:p>
    <w:p w14:paraId="3A93DC78">
      <w:pPr>
        <w:spacing w:line="46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地址：钦州市钦北区政通街福环路2号 </w:t>
      </w:r>
    </w:p>
    <w:p w14:paraId="562F1935">
      <w:pPr>
        <w:spacing w:line="46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项目联系人：赵小红 </w:t>
      </w:r>
    </w:p>
    <w:p w14:paraId="5060A03B">
      <w:pPr>
        <w:spacing w:line="460" w:lineRule="exact"/>
        <w:ind w:firstLine="420" w:firstLineChars="200"/>
        <w:jc w:val="left"/>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项目联系方式：0777-3686906</w:t>
      </w:r>
    </w:p>
    <w:p w14:paraId="4E11966B">
      <w:pPr>
        <w:spacing w:line="460" w:lineRule="exact"/>
        <w:ind w:firstLine="420" w:firstLineChars="200"/>
        <w:jc w:val="left"/>
        <w:rPr>
          <w:rFonts w:hint="eastAsia" w:ascii="宋体" w:hAnsi="宋体" w:eastAsia="宋体" w:cs="宋体"/>
          <w:color w:val="auto"/>
          <w:szCs w:val="21"/>
        </w:rPr>
      </w:pPr>
      <w:bookmarkStart w:id="88" w:name="_Toc19538"/>
      <w:bookmarkStart w:id="89" w:name="_Toc5614"/>
      <w:bookmarkStart w:id="90" w:name="_Toc9030"/>
      <w:r>
        <w:rPr>
          <w:rFonts w:hint="eastAsia" w:ascii="宋体" w:hAnsi="宋体" w:eastAsia="宋体" w:cs="宋体"/>
          <w:color w:val="auto"/>
          <w:szCs w:val="21"/>
        </w:rPr>
        <w:t>2.采购代理机构信息</w:t>
      </w:r>
      <w:bookmarkEnd w:id="88"/>
      <w:bookmarkEnd w:id="89"/>
      <w:bookmarkEnd w:id="90"/>
    </w:p>
    <w:p w14:paraId="355702D5">
      <w:pPr>
        <w:spacing w:line="460" w:lineRule="exact"/>
        <w:ind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名称：</w:t>
      </w:r>
      <w:r>
        <w:rPr>
          <w:rFonts w:hint="eastAsia" w:ascii="宋体" w:hAnsi="宋体" w:cs="宋体"/>
          <w:color w:val="auto"/>
          <w:szCs w:val="21"/>
          <w:lang w:eastAsia="zh-CN"/>
        </w:rPr>
        <w:t>大华建设项目管理有限公司</w:t>
      </w:r>
    </w:p>
    <w:p w14:paraId="6F392F66">
      <w:pPr>
        <w:spacing w:line="46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地址：</w:t>
      </w:r>
      <w:r>
        <w:rPr>
          <w:rFonts w:hint="eastAsia" w:ascii="宋体" w:hAnsi="宋体" w:eastAsia="宋体" w:cs="宋体"/>
          <w:color w:val="auto"/>
          <w:szCs w:val="21"/>
          <w:lang w:eastAsia="zh-CN"/>
        </w:rPr>
        <w:t>钦州市钦北区燕舞路36号</w:t>
      </w:r>
    </w:p>
    <w:p w14:paraId="0E3D3549">
      <w:pPr>
        <w:spacing w:line="460" w:lineRule="exact"/>
        <w:ind w:firstLine="420" w:firstLineChars="200"/>
        <w:jc w:val="left"/>
        <w:rPr>
          <w:rFonts w:hint="eastAsia" w:ascii="宋体" w:hAnsi="宋体" w:eastAsia="宋体" w:cs="宋体"/>
          <w:color w:val="auto"/>
          <w:szCs w:val="21"/>
          <w:lang w:eastAsia="zh-CN"/>
        </w:rPr>
      </w:pPr>
      <w:r>
        <w:rPr>
          <w:rFonts w:hint="eastAsia" w:ascii="宋体" w:hAnsi="宋体" w:eastAsia="宋体" w:cs="宋体"/>
          <w:color w:val="auto"/>
          <w:szCs w:val="21"/>
        </w:rPr>
        <w:t>项目联系人：</w:t>
      </w:r>
      <w:r>
        <w:rPr>
          <w:rFonts w:hint="eastAsia" w:ascii="宋体" w:hAnsi="宋体" w:cs="宋体"/>
          <w:color w:val="auto"/>
          <w:szCs w:val="21"/>
          <w:lang w:eastAsia="zh-CN"/>
        </w:rPr>
        <w:t>杨金旻</w:t>
      </w:r>
    </w:p>
    <w:p w14:paraId="426D4F2E">
      <w:pPr>
        <w:spacing w:line="460" w:lineRule="exact"/>
        <w:ind w:firstLine="420" w:firstLineChars="200"/>
        <w:jc w:val="left"/>
        <w:rPr>
          <w:rFonts w:hint="default" w:ascii="宋体" w:hAnsi="宋体" w:eastAsia="宋体" w:cs="宋体"/>
          <w:color w:val="auto"/>
          <w:szCs w:val="21"/>
          <w:lang w:val="en-US" w:eastAsia="zh-CN"/>
        </w:rPr>
      </w:pPr>
      <w:r>
        <w:rPr>
          <w:rFonts w:hint="eastAsia" w:ascii="宋体" w:hAnsi="宋体" w:eastAsia="宋体" w:cs="宋体"/>
          <w:color w:val="auto"/>
          <w:szCs w:val="21"/>
        </w:rPr>
        <w:t>项目联系方式：</w:t>
      </w:r>
      <w:bookmarkStart w:id="91" w:name="_Toc28359021"/>
      <w:bookmarkStart w:id="92" w:name="_Toc35393639"/>
      <w:bookmarkStart w:id="93" w:name="_Toc173"/>
      <w:bookmarkStart w:id="94" w:name="_Toc23139"/>
      <w:bookmarkStart w:id="95" w:name="_Toc35393808"/>
      <w:bookmarkStart w:id="96" w:name="_Toc28359098"/>
      <w:bookmarkStart w:id="97" w:name="_Toc29304"/>
      <w:r>
        <w:rPr>
          <w:rFonts w:hint="eastAsia" w:ascii="宋体" w:hAnsi="宋体" w:eastAsia="宋体" w:cs="宋体"/>
          <w:color w:val="auto"/>
          <w:szCs w:val="21"/>
        </w:rPr>
        <w:t>077</w:t>
      </w:r>
      <w:r>
        <w:rPr>
          <w:rFonts w:hint="eastAsia" w:ascii="宋体" w:hAnsi="宋体" w:cs="宋体"/>
          <w:color w:val="auto"/>
          <w:szCs w:val="21"/>
          <w:lang w:val="en-US" w:eastAsia="zh-CN"/>
        </w:rPr>
        <w:t>2-2997381</w:t>
      </w:r>
    </w:p>
    <w:bookmarkEnd w:id="84"/>
    <w:bookmarkEnd w:id="85"/>
    <w:bookmarkEnd w:id="86"/>
    <w:bookmarkEnd w:id="87"/>
    <w:bookmarkEnd w:id="91"/>
    <w:bookmarkEnd w:id="92"/>
    <w:bookmarkEnd w:id="93"/>
    <w:bookmarkEnd w:id="94"/>
    <w:bookmarkEnd w:id="95"/>
    <w:bookmarkEnd w:id="96"/>
    <w:bookmarkEnd w:id="97"/>
    <w:p w14:paraId="5E1B80AC">
      <w:pPr>
        <w:spacing w:line="460" w:lineRule="exact"/>
        <w:ind w:firstLine="420" w:firstLineChars="200"/>
        <w:jc w:val="left"/>
        <w:rPr>
          <w:rFonts w:hint="eastAsia" w:ascii="宋体" w:hAnsi="宋体" w:eastAsia="宋体" w:cs="宋体"/>
          <w:color w:val="auto"/>
          <w:szCs w:val="21"/>
        </w:rPr>
      </w:pPr>
    </w:p>
    <w:p w14:paraId="6F2E4C54">
      <w:pPr>
        <w:spacing w:line="460" w:lineRule="exact"/>
        <w:ind w:firstLine="630" w:firstLineChars="300"/>
        <w:jc w:val="right"/>
        <w:rPr>
          <w:rFonts w:hint="eastAsia" w:ascii="宋体" w:hAnsi="宋体" w:eastAsia="宋体" w:cs="宋体"/>
          <w:color w:val="auto"/>
          <w:szCs w:val="21"/>
        </w:rPr>
      </w:pPr>
    </w:p>
    <w:bookmarkEnd w:id="11"/>
    <w:p w14:paraId="62A8D0BD">
      <w:pPr>
        <w:pStyle w:val="3"/>
        <w:spacing w:before="0" w:after="0"/>
        <w:jc w:val="center"/>
        <w:rPr>
          <w:rFonts w:hint="eastAsia" w:ascii="宋体" w:hAnsi="宋体" w:eastAsia="宋体" w:cs="宋体"/>
          <w:color w:val="auto"/>
        </w:rPr>
      </w:pPr>
      <w:bookmarkStart w:id="98" w:name="_Toc35611512"/>
      <w:bookmarkStart w:id="99" w:name="_Toc11635"/>
      <w:bookmarkStart w:id="100" w:name="_Toc10950"/>
      <w:bookmarkStart w:id="101" w:name="_Toc19418"/>
      <w:r>
        <w:rPr>
          <w:rFonts w:hint="eastAsia" w:ascii="宋体" w:hAnsi="宋体" w:eastAsia="宋体" w:cs="宋体"/>
          <w:b w:val="0"/>
          <w:color w:val="auto"/>
        </w:rPr>
        <w:br w:type="page"/>
      </w:r>
      <w:bookmarkStart w:id="102" w:name="_Toc7266"/>
      <w:bookmarkStart w:id="103" w:name="_Toc26254"/>
      <w:bookmarkStart w:id="104" w:name="_Toc15310"/>
      <w:bookmarkStart w:id="105" w:name="_Toc22491"/>
      <w:bookmarkStart w:id="106" w:name="_Toc19624"/>
      <w:bookmarkStart w:id="107" w:name="_Toc19577"/>
      <w:bookmarkStart w:id="108" w:name="_Toc4904"/>
      <w:r>
        <w:rPr>
          <w:rFonts w:hint="eastAsia" w:ascii="宋体" w:hAnsi="宋体" w:eastAsia="宋体" w:cs="宋体"/>
          <w:color w:val="auto"/>
        </w:rPr>
        <w:t>第二章 供应商须知</w:t>
      </w:r>
      <w:bookmarkEnd w:id="102"/>
      <w:bookmarkEnd w:id="103"/>
      <w:bookmarkEnd w:id="104"/>
      <w:bookmarkEnd w:id="105"/>
      <w:bookmarkEnd w:id="106"/>
      <w:bookmarkEnd w:id="107"/>
      <w:bookmarkEnd w:id="108"/>
    </w:p>
    <w:p w14:paraId="65711BEA">
      <w:pPr>
        <w:spacing w:line="40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供应商须知前附表</w:t>
      </w:r>
    </w:p>
    <w:p w14:paraId="58AF0886">
      <w:pPr>
        <w:spacing w:line="400" w:lineRule="exact"/>
        <w:jc w:val="center"/>
        <w:rPr>
          <w:rFonts w:hint="eastAsia" w:ascii="宋体" w:hAnsi="宋体" w:eastAsia="宋体" w:cs="宋体"/>
          <w:b/>
          <w:color w:val="auto"/>
          <w:sz w:val="32"/>
          <w:szCs w:val="32"/>
        </w:rPr>
      </w:pPr>
    </w:p>
    <w:tbl>
      <w:tblPr>
        <w:tblStyle w:val="30"/>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29BAA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0C590409">
            <w:pPr>
              <w:spacing w:line="440" w:lineRule="exact"/>
              <w:jc w:val="center"/>
              <w:rPr>
                <w:rFonts w:hint="eastAsia" w:ascii="宋体" w:hAnsi="宋体" w:eastAsia="宋体" w:cs="宋体"/>
                <w:b/>
                <w:color w:val="auto"/>
                <w:szCs w:val="21"/>
              </w:rPr>
            </w:pPr>
            <w:r>
              <w:rPr>
                <w:rFonts w:hint="eastAsia" w:ascii="宋体" w:hAnsi="宋体" w:eastAsia="宋体" w:cs="宋体"/>
                <w:b/>
                <w:color w:val="auto"/>
                <w:szCs w:val="21"/>
              </w:rPr>
              <w:t>条款号</w:t>
            </w:r>
          </w:p>
        </w:tc>
        <w:tc>
          <w:tcPr>
            <w:tcW w:w="7912" w:type="dxa"/>
          </w:tcPr>
          <w:p w14:paraId="4985FBA3">
            <w:pPr>
              <w:spacing w:line="440" w:lineRule="exact"/>
              <w:jc w:val="center"/>
              <w:rPr>
                <w:rFonts w:hint="eastAsia" w:ascii="宋体" w:hAnsi="宋体" w:eastAsia="宋体" w:cs="宋体"/>
                <w:b/>
                <w:color w:val="auto"/>
                <w:szCs w:val="21"/>
              </w:rPr>
            </w:pPr>
            <w:r>
              <w:rPr>
                <w:rFonts w:hint="eastAsia" w:ascii="宋体" w:hAnsi="宋体" w:eastAsia="宋体" w:cs="宋体"/>
                <w:b/>
                <w:color w:val="auto"/>
                <w:szCs w:val="21"/>
              </w:rPr>
              <w:t>内    容</w:t>
            </w:r>
          </w:p>
        </w:tc>
      </w:tr>
      <w:tr w14:paraId="7CF7D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CEAEF1C">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7912" w:type="dxa"/>
            <w:vAlign w:val="center"/>
          </w:tcPr>
          <w:p w14:paraId="3BAC07C1">
            <w:pPr>
              <w:spacing w:line="440" w:lineRule="exact"/>
              <w:rPr>
                <w:rFonts w:hint="eastAsia" w:ascii="宋体" w:hAnsi="宋体" w:eastAsia="宋体" w:cs="宋体"/>
                <w:color w:val="auto"/>
                <w:szCs w:val="21"/>
              </w:rPr>
            </w:pPr>
            <w:r>
              <w:rPr>
                <w:rFonts w:hint="eastAsia" w:ascii="宋体" w:hAnsi="宋体" w:eastAsia="宋体" w:cs="宋体"/>
                <w:color w:val="auto"/>
                <w:szCs w:val="21"/>
              </w:rPr>
              <w:t>供应商的资格条件：详见竞争性谈判公告。</w:t>
            </w:r>
          </w:p>
        </w:tc>
      </w:tr>
      <w:tr w14:paraId="10BC6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B1BE77">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5.1</w:t>
            </w:r>
          </w:p>
        </w:tc>
        <w:tc>
          <w:tcPr>
            <w:tcW w:w="7912" w:type="dxa"/>
            <w:vAlign w:val="center"/>
          </w:tcPr>
          <w:p w14:paraId="5355B628">
            <w:pPr>
              <w:spacing w:line="440" w:lineRule="exact"/>
              <w:rPr>
                <w:rFonts w:hint="eastAsia" w:ascii="宋体" w:hAnsi="宋体" w:eastAsia="宋体" w:cs="宋体"/>
                <w:color w:val="auto"/>
                <w:szCs w:val="21"/>
              </w:rPr>
            </w:pPr>
            <w:r>
              <w:rPr>
                <w:rFonts w:hint="eastAsia" w:ascii="宋体" w:hAnsi="宋体" w:eastAsia="宋体" w:cs="宋体"/>
                <w:color w:val="auto"/>
                <w:szCs w:val="21"/>
              </w:rPr>
              <w:t>是否接受联合体竞标：详见竞争性谈判公告。</w:t>
            </w:r>
          </w:p>
        </w:tc>
      </w:tr>
      <w:tr w14:paraId="4B84D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76C586">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5.2</w:t>
            </w:r>
          </w:p>
        </w:tc>
        <w:tc>
          <w:tcPr>
            <w:tcW w:w="7912" w:type="dxa"/>
            <w:vAlign w:val="center"/>
          </w:tcPr>
          <w:p w14:paraId="6AFD4BEC">
            <w:pPr>
              <w:spacing w:line="440" w:lineRule="exact"/>
              <w:rPr>
                <w:rFonts w:hint="eastAsia" w:ascii="宋体" w:hAnsi="宋体" w:eastAsia="宋体" w:cs="宋体"/>
                <w:color w:val="auto"/>
                <w:szCs w:val="21"/>
              </w:rPr>
            </w:pPr>
            <w:r>
              <w:rPr>
                <w:rFonts w:hint="eastAsia" w:ascii="宋体" w:hAnsi="宋体" w:eastAsia="宋体" w:cs="宋体"/>
                <w:color w:val="auto"/>
                <w:szCs w:val="21"/>
              </w:rPr>
              <w:t>如接受联合体竞标，联合体竞标要求如下：无。</w:t>
            </w:r>
          </w:p>
        </w:tc>
      </w:tr>
      <w:tr w14:paraId="4759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58B8028">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6.2</w:t>
            </w:r>
          </w:p>
        </w:tc>
        <w:tc>
          <w:tcPr>
            <w:tcW w:w="7912" w:type="dxa"/>
            <w:vAlign w:val="center"/>
          </w:tcPr>
          <w:p w14:paraId="3DA0692B">
            <w:pPr>
              <w:pStyle w:val="10"/>
              <w:spacing w:line="440" w:lineRule="exact"/>
              <w:rPr>
                <w:rFonts w:hint="eastAsia" w:ascii="宋体" w:hAnsi="宋体" w:eastAsia="宋体" w:cs="宋体"/>
                <w:color w:val="auto"/>
                <w:szCs w:val="21"/>
              </w:rPr>
            </w:pPr>
            <w:r>
              <w:rPr>
                <w:rFonts w:hint="eastAsia" w:ascii="宋体" w:hAnsi="宋体" w:eastAsia="宋体" w:cs="宋体"/>
                <w:color w:val="auto"/>
                <w:szCs w:val="21"/>
              </w:rPr>
              <w:t>☑不允许分包</w:t>
            </w:r>
          </w:p>
          <w:p w14:paraId="1C6D146C">
            <w:pPr>
              <w:pStyle w:val="10"/>
              <w:spacing w:line="440" w:lineRule="exact"/>
              <w:rPr>
                <w:rFonts w:hint="eastAsia" w:ascii="宋体" w:hAnsi="宋体" w:eastAsia="宋体" w:cs="宋体"/>
                <w:color w:val="auto"/>
                <w:szCs w:val="21"/>
              </w:rPr>
            </w:pPr>
            <w:r>
              <w:rPr>
                <w:rFonts w:hint="eastAsia" w:ascii="宋体" w:hAnsi="宋体" w:eastAsia="宋体" w:cs="宋体"/>
                <w:color w:val="auto"/>
                <w:szCs w:val="21"/>
              </w:rPr>
              <w:t>□允许分包</w:t>
            </w:r>
          </w:p>
          <w:p w14:paraId="33199EB0">
            <w:pPr>
              <w:pStyle w:val="10"/>
              <w:spacing w:line="440" w:lineRule="exact"/>
              <w:rPr>
                <w:rFonts w:hint="eastAsia" w:ascii="宋体" w:hAnsi="宋体" w:eastAsia="宋体" w:cs="宋体"/>
                <w:color w:val="auto"/>
                <w:szCs w:val="21"/>
                <w:u w:val="single"/>
              </w:rPr>
            </w:pPr>
            <w:r>
              <w:rPr>
                <w:rFonts w:hint="eastAsia" w:ascii="宋体" w:hAnsi="宋体" w:eastAsia="宋体" w:cs="宋体"/>
                <w:color w:val="auto"/>
                <w:szCs w:val="21"/>
              </w:rPr>
              <w:t>分包内容：</w:t>
            </w:r>
            <w:r>
              <w:rPr>
                <w:rFonts w:hint="eastAsia" w:ascii="宋体" w:hAnsi="宋体" w:eastAsia="宋体" w:cs="宋体"/>
                <w:color w:val="auto"/>
                <w:szCs w:val="21"/>
                <w:u w:val="single"/>
              </w:rPr>
              <w:t>/。</w:t>
            </w:r>
          </w:p>
          <w:p w14:paraId="73CD87B7">
            <w:pPr>
              <w:pStyle w:val="10"/>
              <w:spacing w:line="440" w:lineRule="exact"/>
              <w:rPr>
                <w:rFonts w:hint="eastAsia" w:ascii="宋体" w:hAnsi="宋体" w:eastAsia="宋体" w:cs="宋体"/>
                <w:color w:val="auto"/>
                <w:szCs w:val="21"/>
                <w:u w:val="single"/>
              </w:rPr>
            </w:pPr>
            <w:r>
              <w:rPr>
                <w:rFonts w:hint="eastAsia" w:ascii="宋体" w:hAnsi="宋体" w:eastAsia="宋体" w:cs="宋体"/>
                <w:color w:val="auto"/>
                <w:szCs w:val="21"/>
              </w:rPr>
              <w:t>分包金额或者比例：</w:t>
            </w:r>
            <w:r>
              <w:rPr>
                <w:rFonts w:hint="eastAsia" w:ascii="宋体" w:hAnsi="宋体" w:eastAsia="宋体" w:cs="宋体"/>
                <w:color w:val="auto"/>
                <w:szCs w:val="21"/>
                <w:u w:val="single"/>
              </w:rPr>
              <w:t>/。</w:t>
            </w:r>
          </w:p>
          <w:p w14:paraId="15AB8AA4">
            <w:pPr>
              <w:pStyle w:val="10"/>
              <w:spacing w:line="440" w:lineRule="exact"/>
              <w:rPr>
                <w:rFonts w:hint="eastAsia" w:ascii="宋体" w:hAnsi="宋体" w:eastAsia="宋体" w:cs="宋体"/>
                <w:color w:val="auto"/>
                <w:szCs w:val="21"/>
                <w:u w:val="single"/>
              </w:rPr>
            </w:pPr>
            <w:r>
              <w:rPr>
                <w:rFonts w:hint="eastAsia" w:ascii="宋体" w:hAnsi="宋体" w:eastAsia="宋体" w:cs="宋体"/>
                <w:color w:val="auto"/>
                <w:szCs w:val="21"/>
              </w:rPr>
              <w:t>分包供应商必须具备的资质：</w:t>
            </w:r>
            <w:r>
              <w:rPr>
                <w:rFonts w:hint="eastAsia" w:ascii="宋体" w:hAnsi="宋体" w:eastAsia="宋体" w:cs="宋体"/>
                <w:color w:val="auto"/>
                <w:szCs w:val="21"/>
                <w:u w:val="single"/>
              </w:rPr>
              <w:t>/。</w:t>
            </w:r>
          </w:p>
        </w:tc>
      </w:tr>
      <w:tr w14:paraId="6FDF0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FBBC632">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12.1.1</w:t>
            </w:r>
          </w:p>
        </w:tc>
        <w:tc>
          <w:tcPr>
            <w:tcW w:w="7912" w:type="dxa"/>
            <w:vAlign w:val="center"/>
          </w:tcPr>
          <w:p w14:paraId="7AC832E7">
            <w:pPr>
              <w:snapToGrid w:val="0"/>
              <w:spacing w:line="360" w:lineRule="auto"/>
              <w:jc w:val="left"/>
              <w:rPr>
                <w:rFonts w:hint="eastAsia" w:ascii="宋体" w:hAnsi="宋体" w:eastAsia="宋体" w:cs="宋体"/>
                <w:b/>
                <w:color w:val="auto"/>
                <w:szCs w:val="21"/>
              </w:rPr>
            </w:pPr>
            <w:r>
              <w:rPr>
                <w:rFonts w:hint="eastAsia" w:ascii="宋体" w:hAnsi="宋体" w:eastAsia="宋体" w:cs="宋体"/>
                <w:b/>
                <w:color w:val="auto"/>
                <w:szCs w:val="21"/>
              </w:rPr>
              <w:t>资格证明文件</w:t>
            </w:r>
          </w:p>
          <w:p w14:paraId="296BF8F1">
            <w:pPr>
              <w:snapToGrid w:val="0"/>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1.供应商为法人或者其他组织的提供其营业执照等证明文件（如营业执照或者事业单位法人证书或者执业许可证等），供应商为自然人的提供其身份证扫描件；（</w:t>
            </w:r>
            <w:r>
              <w:rPr>
                <w:rFonts w:hint="eastAsia" w:ascii="宋体" w:hAnsi="宋体" w:eastAsia="宋体" w:cs="宋体"/>
                <w:b/>
                <w:color w:val="auto"/>
                <w:szCs w:val="21"/>
              </w:rPr>
              <w:t>必须提供，否则响应文件按无效响应处理</w:t>
            </w:r>
            <w:r>
              <w:rPr>
                <w:rFonts w:hint="eastAsia" w:ascii="宋体" w:hAnsi="宋体" w:eastAsia="宋体" w:cs="宋体"/>
                <w:color w:val="auto"/>
                <w:szCs w:val="21"/>
              </w:rPr>
              <w:t>）</w:t>
            </w:r>
          </w:p>
          <w:p w14:paraId="1EBCEE08">
            <w:pPr>
              <w:snapToGrid w:val="0"/>
              <w:spacing w:line="360" w:lineRule="auto"/>
              <w:jc w:val="left"/>
              <w:rPr>
                <w:rFonts w:hint="eastAsia" w:ascii="宋体" w:hAnsi="宋体" w:eastAsia="宋体" w:cs="宋体"/>
                <w:b/>
                <w:bCs/>
                <w:color w:val="auto"/>
                <w:szCs w:val="21"/>
              </w:rPr>
            </w:pPr>
            <w:r>
              <w:rPr>
                <w:rFonts w:hint="eastAsia" w:ascii="宋体" w:hAnsi="宋体" w:eastAsia="宋体" w:cs="宋体"/>
                <w:color w:val="auto"/>
                <w:szCs w:val="21"/>
              </w:rPr>
              <w:t>2.供应商依法缴纳税收的相关材料（</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color w:val="auto"/>
                <w:szCs w:val="21"/>
              </w:rPr>
              <w:t>年</w:t>
            </w:r>
            <w:r>
              <w:rPr>
                <w:rFonts w:hint="eastAsia" w:ascii="宋体" w:hAnsi="宋体" w:cs="宋体"/>
                <w:color w:val="auto"/>
                <w:szCs w:val="21"/>
                <w:u w:val="single"/>
                <w:lang w:val="en-US" w:eastAsia="zh-CN"/>
              </w:rPr>
              <w:t>3</w:t>
            </w:r>
            <w:r>
              <w:rPr>
                <w:rFonts w:hint="eastAsia" w:ascii="宋体" w:hAnsi="宋体" w:eastAsia="宋体" w:cs="宋体"/>
                <w:color w:val="auto"/>
                <w:szCs w:val="21"/>
              </w:rPr>
              <w:t>月至</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color w:val="auto"/>
                <w:szCs w:val="21"/>
              </w:rPr>
              <w:t>年</w:t>
            </w:r>
            <w:r>
              <w:rPr>
                <w:rFonts w:hint="eastAsia" w:ascii="宋体" w:hAnsi="宋体" w:cs="宋体"/>
                <w:color w:val="auto"/>
                <w:szCs w:val="21"/>
                <w:u w:val="single"/>
                <w:lang w:val="en-US" w:eastAsia="zh-CN"/>
              </w:rPr>
              <w:t>8</w:t>
            </w:r>
            <w:r>
              <w:rPr>
                <w:rFonts w:hint="eastAsia" w:ascii="宋体" w:hAnsi="宋体" w:eastAsia="宋体" w:cs="宋体"/>
                <w:color w:val="auto"/>
                <w:szCs w:val="21"/>
              </w:rPr>
              <w:t>月内任意</w:t>
            </w:r>
            <w:r>
              <w:rPr>
                <w:rFonts w:hint="eastAsia" w:ascii="宋体" w:hAnsi="宋体" w:eastAsia="宋体" w:cs="宋体"/>
                <w:color w:val="auto"/>
                <w:szCs w:val="21"/>
                <w:u w:val="single"/>
              </w:rPr>
              <w:t>1</w:t>
            </w:r>
            <w:r>
              <w:rPr>
                <w:rFonts w:hint="eastAsia" w:ascii="宋体" w:hAnsi="宋体" w:eastAsia="宋体" w:cs="宋体"/>
                <w:color w:val="auto"/>
                <w:szCs w:val="21"/>
              </w:rPr>
              <w:t>个月的依法缴纳税收的凭据；依法免税的，必须提供相应文件证明其依法免税。从取得营业执照时间起到首次响应文件提交截止时间为止不足要求月数的，只需提供从取得营业执照起的依法缴纳税收相应证明文件。可以提供依法缴纳税的承诺函（格式自拟））；</w:t>
            </w:r>
            <w:r>
              <w:rPr>
                <w:rFonts w:hint="eastAsia" w:ascii="宋体" w:hAnsi="宋体" w:eastAsia="宋体" w:cs="宋体"/>
                <w:b/>
                <w:bCs/>
                <w:color w:val="auto"/>
                <w:szCs w:val="21"/>
              </w:rPr>
              <w:t>（必须提供，否则响应文件按无效响应处理）</w:t>
            </w:r>
          </w:p>
          <w:p w14:paraId="0AE55A61">
            <w:pPr>
              <w:snapToGrid w:val="0"/>
              <w:spacing w:line="360" w:lineRule="auto"/>
              <w:jc w:val="left"/>
              <w:rPr>
                <w:rFonts w:hint="eastAsia" w:ascii="宋体" w:hAnsi="宋体" w:eastAsia="宋体" w:cs="宋体"/>
                <w:b/>
                <w:bCs/>
                <w:color w:val="auto"/>
                <w:szCs w:val="21"/>
              </w:rPr>
            </w:pPr>
            <w:r>
              <w:rPr>
                <w:rFonts w:hint="eastAsia" w:ascii="宋体" w:hAnsi="宋体" w:eastAsia="宋体" w:cs="宋体"/>
                <w:color w:val="auto"/>
                <w:szCs w:val="21"/>
              </w:rPr>
              <w:t>3.供应商依法缴纳社会保障资金的相关材料[</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color w:val="auto"/>
                <w:szCs w:val="21"/>
              </w:rPr>
              <w:t>年</w:t>
            </w:r>
            <w:r>
              <w:rPr>
                <w:rFonts w:hint="eastAsia" w:ascii="宋体" w:hAnsi="宋体" w:cs="宋体"/>
                <w:color w:val="auto"/>
                <w:szCs w:val="21"/>
                <w:u w:val="single"/>
                <w:lang w:val="en-US" w:eastAsia="zh-CN"/>
              </w:rPr>
              <w:t>3</w:t>
            </w:r>
            <w:r>
              <w:rPr>
                <w:rFonts w:hint="eastAsia" w:ascii="宋体" w:hAnsi="宋体" w:eastAsia="宋体" w:cs="宋体"/>
                <w:color w:val="auto"/>
                <w:szCs w:val="21"/>
              </w:rPr>
              <w:t>月至</w:t>
            </w:r>
            <w:r>
              <w:rPr>
                <w:rFonts w:hint="eastAsia" w:ascii="宋体" w:hAnsi="宋体" w:eastAsia="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eastAsia="宋体" w:cs="宋体"/>
                <w:color w:val="auto"/>
                <w:szCs w:val="21"/>
              </w:rPr>
              <w:t>年</w:t>
            </w:r>
            <w:r>
              <w:rPr>
                <w:rFonts w:hint="eastAsia" w:ascii="宋体" w:hAnsi="宋体" w:cs="宋体"/>
                <w:color w:val="auto"/>
                <w:szCs w:val="21"/>
                <w:u w:val="single"/>
                <w:lang w:val="en-US" w:eastAsia="zh-CN"/>
              </w:rPr>
              <w:t>8</w:t>
            </w:r>
            <w:r>
              <w:rPr>
                <w:rFonts w:hint="eastAsia" w:ascii="宋体" w:hAnsi="宋体" w:eastAsia="宋体" w:cs="宋体"/>
                <w:color w:val="auto"/>
                <w:szCs w:val="21"/>
              </w:rPr>
              <w:t>月内任意</w:t>
            </w:r>
            <w:r>
              <w:rPr>
                <w:rFonts w:hint="eastAsia" w:ascii="宋体" w:hAnsi="宋体" w:eastAsia="宋体" w:cs="宋体"/>
                <w:color w:val="auto"/>
                <w:szCs w:val="21"/>
                <w:u w:val="single"/>
              </w:rPr>
              <w:t>1</w:t>
            </w:r>
            <w:r>
              <w:rPr>
                <w:rFonts w:hint="eastAsia" w:ascii="宋体" w:hAnsi="宋体" w:eastAsia="宋体" w:cs="宋体"/>
                <w:color w:val="auto"/>
                <w:szCs w:val="21"/>
              </w:rPr>
              <w:t>个月的依法缴纳社会保障资金的缴费凭证（专用收据或者社会保险缴纳清单）；依法不需要缴纳社会保障资金的，必须提供相应文件证明不需要缴纳社会保障资金。从取得营业执照时间起到首次响应文件提交截止时间为止不足要求月数的只需提供从取得营业执照起的依法缴纳社会保障资金的相应证明文件。可以提供依法缴纳社会保障资金的承诺函（格式自拟）]；</w:t>
            </w:r>
            <w:r>
              <w:rPr>
                <w:rFonts w:hint="eastAsia" w:ascii="宋体" w:hAnsi="宋体" w:eastAsia="宋体" w:cs="宋体"/>
                <w:b/>
                <w:bCs/>
                <w:color w:val="auto"/>
                <w:szCs w:val="21"/>
              </w:rPr>
              <w:t>（必须提供，否则响应文件按无效响应处理）</w:t>
            </w:r>
          </w:p>
          <w:p w14:paraId="5797CB6B">
            <w:pPr>
              <w:snapToGrid w:val="0"/>
              <w:spacing w:line="360" w:lineRule="auto"/>
              <w:jc w:val="left"/>
              <w:rPr>
                <w:rFonts w:hint="eastAsia" w:ascii="宋体" w:hAnsi="宋体" w:eastAsia="宋体" w:cs="宋体"/>
                <w:bCs/>
                <w:color w:val="auto"/>
                <w:szCs w:val="21"/>
              </w:rPr>
            </w:pPr>
            <w:r>
              <w:rPr>
                <w:rFonts w:hint="eastAsia" w:ascii="宋体" w:hAnsi="宋体" w:eastAsia="宋体" w:cs="宋体"/>
                <w:color w:val="auto"/>
                <w:szCs w:val="21"/>
              </w:rPr>
              <w:t>4.供应商财务状况报告：</w:t>
            </w:r>
            <w:r>
              <w:rPr>
                <w:rFonts w:hint="eastAsia" w:ascii="宋体" w:hAnsi="宋体" w:eastAsia="宋体" w:cs="宋体"/>
                <w:color w:val="auto"/>
              </w:rPr>
              <w:t>[</w:t>
            </w:r>
            <w:r>
              <w:rPr>
                <w:rFonts w:hint="eastAsia" w:ascii="宋体" w:hAnsi="宋体" w:eastAsia="宋体" w:cs="宋体"/>
                <w:b/>
                <w:color w:val="auto"/>
                <w:u w:val="single"/>
              </w:rPr>
              <w:t>202</w:t>
            </w:r>
            <w:r>
              <w:rPr>
                <w:rFonts w:hint="eastAsia" w:ascii="宋体" w:hAnsi="宋体" w:cs="宋体"/>
                <w:b/>
                <w:color w:val="auto"/>
                <w:u w:val="single"/>
                <w:lang w:val="en-US" w:eastAsia="zh-CN"/>
              </w:rPr>
              <w:t>4</w:t>
            </w:r>
            <w:r>
              <w:rPr>
                <w:rFonts w:hint="eastAsia" w:ascii="宋体" w:hAnsi="宋体" w:eastAsia="宋体" w:cs="宋体"/>
                <w:b/>
                <w:color w:val="auto"/>
              </w:rPr>
              <w:t>年</w:t>
            </w:r>
            <w:r>
              <w:rPr>
                <w:rFonts w:hint="eastAsia" w:ascii="宋体" w:hAnsi="宋体" w:eastAsia="宋体" w:cs="宋体"/>
                <w:color w:val="auto"/>
              </w:rPr>
              <w:t>]</w:t>
            </w:r>
            <w:r>
              <w:rPr>
                <w:rFonts w:hint="eastAsia" w:ascii="宋体" w:hAnsi="宋体" w:eastAsia="宋体" w:cs="宋体"/>
                <w:color w:val="auto"/>
                <w:szCs w:val="21"/>
              </w:rPr>
              <w:t>财务状况报告（供应商成立不满一年的应按提供首次响应文件提交截止时间上一个月的财务状况报告扫描件）</w:t>
            </w:r>
            <w:r>
              <w:rPr>
                <w:rFonts w:hint="eastAsia" w:ascii="宋体" w:hAnsi="宋体" w:eastAsia="宋体" w:cs="宋体"/>
                <w:color w:val="auto"/>
              </w:rPr>
              <w:t>或者其银行出具的资信证明（注明有效期的，应在有效期内；未注明有效期的，出具时间至竞标截止时间不超过一年）</w:t>
            </w:r>
            <w:r>
              <w:rPr>
                <w:rFonts w:hint="eastAsia" w:ascii="宋体" w:hAnsi="宋体" w:eastAsia="宋体" w:cs="宋体"/>
                <w:color w:val="auto"/>
                <w:szCs w:val="21"/>
              </w:rPr>
              <w:t>。（上述财务状况报告包括：供应商执行《企业会计准则》的，提供资产负债表、利润表、现金流量表、所有者权益变动表及其附注（以下称“四表一注”）；供应商执行《小企业会计准则》的，提供资产负债表、利润表、现金流量表（以下称“三表”）；供应商执行《政府会计制度》的，提供资产负债表、收入费用表和净资产变动表及其附注)；</w:t>
            </w:r>
            <w:r>
              <w:rPr>
                <w:rFonts w:hint="eastAsia" w:ascii="宋体" w:hAnsi="宋体" w:eastAsia="宋体" w:cs="宋体"/>
                <w:bCs/>
                <w:color w:val="auto"/>
                <w:szCs w:val="21"/>
              </w:rPr>
              <w:t>（</w:t>
            </w:r>
            <w:r>
              <w:rPr>
                <w:rFonts w:hint="eastAsia" w:ascii="宋体" w:hAnsi="宋体" w:eastAsia="宋体" w:cs="宋体"/>
                <w:b/>
                <w:color w:val="auto"/>
                <w:szCs w:val="21"/>
              </w:rPr>
              <w:t>必须提供，否则响应文件按无效响应处理</w:t>
            </w:r>
            <w:r>
              <w:rPr>
                <w:rFonts w:hint="eastAsia" w:ascii="宋体" w:hAnsi="宋体" w:eastAsia="宋体" w:cs="宋体"/>
                <w:bCs/>
                <w:color w:val="auto"/>
                <w:szCs w:val="21"/>
              </w:rPr>
              <w:t>）</w:t>
            </w:r>
          </w:p>
          <w:p w14:paraId="7D9D6FB7">
            <w:pPr>
              <w:snapToGrid w:val="0"/>
              <w:spacing w:line="360" w:lineRule="auto"/>
              <w:jc w:val="left"/>
              <w:rPr>
                <w:rFonts w:hint="eastAsia" w:ascii="宋体" w:hAnsi="宋体" w:eastAsia="宋体" w:cs="宋体"/>
                <w:color w:val="auto"/>
                <w:szCs w:val="21"/>
              </w:rPr>
            </w:pPr>
            <w:r>
              <w:rPr>
                <w:rFonts w:hint="eastAsia" w:ascii="宋体" w:hAnsi="宋体" w:eastAsia="宋体" w:cs="宋体"/>
                <w:bCs/>
                <w:color w:val="auto"/>
                <w:szCs w:val="21"/>
              </w:rPr>
              <w:t>5</w:t>
            </w:r>
            <w:r>
              <w:rPr>
                <w:rFonts w:hint="eastAsia" w:ascii="宋体" w:hAnsi="宋体" w:eastAsia="宋体" w:cs="宋体"/>
                <w:color w:val="auto"/>
                <w:szCs w:val="21"/>
              </w:rPr>
              <w:t>.供应商直接控股、管理关系信息表（格式后附）；（</w:t>
            </w:r>
            <w:r>
              <w:rPr>
                <w:rFonts w:hint="eastAsia" w:ascii="宋体" w:hAnsi="宋体" w:eastAsia="宋体" w:cs="宋体"/>
                <w:b/>
                <w:color w:val="auto"/>
                <w:szCs w:val="21"/>
              </w:rPr>
              <w:t>必须提供，否则响应文件作无效处理</w:t>
            </w:r>
            <w:r>
              <w:rPr>
                <w:rFonts w:hint="eastAsia" w:ascii="宋体" w:hAnsi="宋体" w:eastAsia="宋体" w:cs="宋体"/>
                <w:color w:val="auto"/>
                <w:szCs w:val="21"/>
              </w:rPr>
              <w:t>）</w:t>
            </w:r>
          </w:p>
          <w:p w14:paraId="1FE7E7F2">
            <w:pPr>
              <w:snapToGrid w:val="0"/>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6.竞标声明（格式后附）；（</w:t>
            </w:r>
            <w:r>
              <w:rPr>
                <w:rFonts w:hint="eastAsia" w:ascii="宋体" w:hAnsi="宋体" w:eastAsia="宋体" w:cs="宋体"/>
                <w:b/>
                <w:color w:val="auto"/>
                <w:szCs w:val="21"/>
              </w:rPr>
              <w:t>必须提供，否则响应文件作无效处理</w:t>
            </w:r>
            <w:r>
              <w:rPr>
                <w:rFonts w:hint="eastAsia" w:ascii="宋体" w:hAnsi="宋体" w:eastAsia="宋体" w:cs="宋体"/>
                <w:color w:val="auto"/>
                <w:szCs w:val="21"/>
              </w:rPr>
              <w:t>）</w:t>
            </w:r>
          </w:p>
          <w:p w14:paraId="3CBD865B">
            <w:pPr>
              <w:snapToGrid w:val="0"/>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7.联合体协议书（格式后附）；（</w:t>
            </w:r>
            <w:r>
              <w:rPr>
                <w:rFonts w:hint="eastAsia" w:ascii="宋体" w:hAnsi="宋体" w:eastAsia="宋体" w:cs="宋体"/>
                <w:b/>
                <w:color w:val="auto"/>
                <w:szCs w:val="21"/>
              </w:rPr>
              <w:t>联合体竞标时必须提供，否则响应文件作无效处理</w:t>
            </w:r>
            <w:r>
              <w:rPr>
                <w:rFonts w:hint="eastAsia" w:ascii="宋体" w:hAnsi="宋体" w:eastAsia="宋体" w:cs="宋体"/>
                <w:color w:val="auto"/>
                <w:szCs w:val="21"/>
              </w:rPr>
              <w:t>）</w:t>
            </w:r>
          </w:p>
          <w:p w14:paraId="757535A8">
            <w:pPr>
              <w:snapToGrid w:val="0"/>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8.中小企业声明函（格式后附）或残疾人福利性单位声明函（格式后附）或供应商属于监狱企业的证明材料；（</w:t>
            </w:r>
            <w:r>
              <w:rPr>
                <w:rFonts w:hint="eastAsia" w:ascii="宋体" w:hAnsi="宋体" w:eastAsia="宋体" w:cs="宋体"/>
                <w:b/>
                <w:bCs/>
                <w:color w:val="auto"/>
                <w:szCs w:val="21"/>
              </w:rPr>
              <w:t>如专门面向中小微企业采购的项目则</w:t>
            </w:r>
            <w:r>
              <w:rPr>
                <w:rFonts w:hint="eastAsia" w:ascii="宋体" w:hAnsi="宋体" w:eastAsia="宋体" w:cs="宋体"/>
                <w:b/>
                <w:color w:val="auto"/>
                <w:szCs w:val="21"/>
              </w:rPr>
              <w:t>必须提供，否则响应文件按无效响应处理</w:t>
            </w:r>
            <w:r>
              <w:rPr>
                <w:rFonts w:hint="eastAsia" w:ascii="宋体" w:hAnsi="宋体" w:eastAsia="宋体" w:cs="宋体"/>
                <w:color w:val="auto"/>
                <w:szCs w:val="21"/>
              </w:rPr>
              <w:t>）</w:t>
            </w:r>
          </w:p>
          <w:p w14:paraId="6D8A0B15">
            <w:pPr>
              <w:snapToGrid w:val="0"/>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9.除竞争性谈判文件规定必须提供以外，供应商认为需要提供的其他证明材料；</w:t>
            </w:r>
          </w:p>
          <w:p w14:paraId="192188EE">
            <w:pPr>
              <w:snapToGrid w:val="0"/>
              <w:spacing w:line="360" w:lineRule="auto"/>
              <w:jc w:val="left"/>
              <w:rPr>
                <w:rFonts w:hint="eastAsia" w:ascii="宋体" w:hAnsi="宋体" w:eastAsia="宋体" w:cs="宋体"/>
                <w:b/>
                <w:color w:val="auto"/>
                <w:szCs w:val="21"/>
              </w:rPr>
            </w:pPr>
            <w:r>
              <w:rPr>
                <w:rFonts w:hint="eastAsia" w:ascii="宋体" w:hAnsi="宋体" w:eastAsia="宋体" w:cs="宋体"/>
                <w:b/>
                <w:color w:val="auto"/>
                <w:szCs w:val="21"/>
              </w:rPr>
              <w:t>注：</w:t>
            </w:r>
          </w:p>
          <w:p w14:paraId="1FBB0F0F">
            <w:pPr>
              <w:snapToGrid w:val="0"/>
              <w:spacing w:line="440" w:lineRule="exact"/>
              <w:ind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1.以上标明“必须提供”的材料，必须加盖供应商电子公章，否则响应文件按无效响应处理。</w:t>
            </w:r>
          </w:p>
          <w:p w14:paraId="6765ABC7">
            <w:pPr>
              <w:snapToGrid w:val="0"/>
              <w:spacing w:line="440" w:lineRule="exact"/>
              <w:ind w:firstLine="422" w:firstLineChars="200"/>
              <w:jc w:val="left"/>
              <w:rPr>
                <w:rFonts w:hint="eastAsia" w:ascii="宋体" w:hAnsi="宋体" w:eastAsia="宋体" w:cs="宋体"/>
                <w:b/>
                <w:color w:val="auto"/>
                <w:szCs w:val="21"/>
              </w:rPr>
            </w:pPr>
            <w:r>
              <w:rPr>
                <w:rFonts w:hint="eastAsia" w:ascii="宋体" w:hAnsi="宋体" w:eastAsia="宋体" w:cs="宋体"/>
                <w:b/>
                <w:color w:val="auto"/>
                <w:szCs w:val="21"/>
              </w:rPr>
              <w:t>2.联合体竞标时，第1-5项资格证明文件联合体各方均必须分别提供，联合体各方分别加盖供应商公章（或电子签章）和签字（或个人CA签章），否则响应文件按无效响应处理。</w:t>
            </w:r>
          </w:p>
        </w:tc>
      </w:tr>
      <w:tr w14:paraId="5448E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87" w:hRule="atLeast"/>
          <w:jc w:val="center"/>
        </w:trPr>
        <w:tc>
          <w:tcPr>
            <w:tcW w:w="992" w:type="dxa"/>
            <w:vAlign w:val="center"/>
          </w:tcPr>
          <w:p w14:paraId="561D05A6">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12.1.2</w:t>
            </w:r>
          </w:p>
        </w:tc>
        <w:tc>
          <w:tcPr>
            <w:tcW w:w="7912" w:type="dxa"/>
            <w:vAlign w:val="center"/>
          </w:tcPr>
          <w:p w14:paraId="6B75B916">
            <w:pPr>
              <w:snapToGrid w:val="0"/>
              <w:spacing w:line="360" w:lineRule="auto"/>
              <w:jc w:val="left"/>
              <w:rPr>
                <w:rFonts w:hint="eastAsia" w:ascii="宋体" w:hAnsi="宋体" w:eastAsia="宋体" w:cs="宋体"/>
                <w:color w:val="auto"/>
              </w:rPr>
            </w:pPr>
            <w:r>
              <w:rPr>
                <w:rFonts w:hint="eastAsia" w:ascii="宋体" w:hAnsi="宋体" w:eastAsia="宋体" w:cs="宋体"/>
                <w:b/>
                <w:bCs/>
                <w:color w:val="auto"/>
              </w:rPr>
              <w:t>报价商务技术文件</w:t>
            </w:r>
          </w:p>
          <w:p w14:paraId="06B29273">
            <w:pPr>
              <w:snapToGrid w:val="0"/>
              <w:spacing w:line="360" w:lineRule="auto"/>
              <w:ind w:firstLine="411" w:firstLineChars="196"/>
              <w:jc w:val="left"/>
              <w:rPr>
                <w:rFonts w:hint="eastAsia" w:ascii="宋体" w:hAnsi="宋体" w:eastAsia="宋体" w:cs="宋体"/>
                <w:b/>
                <w:bCs/>
                <w:color w:val="auto"/>
              </w:rPr>
            </w:pPr>
            <w:r>
              <w:rPr>
                <w:rFonts w:hint="eastAsia" w:ascii="宋体" w:hAnsi="宋体" w:eastAsia="宋体" w:cs="宋体"/>
                <w:color w:val="auto"/>
              </w:rPr>
              <w:t>1.无串通竞标行为的承诺函（格式后附）；</w:t>
            </w:r>
            <w:r>
              <w:rPr>
                <w:rFonts w:hint="eastAsia" w:ascii="宋体" w:hAnsi="宋体" w:eastAsia="宋体" w:cs="宋体"/>
                <w:b/>
                <w:bCs/>
                <w:color w:val="auto"/>
              </w:rPr>
              <w:t>（必须提供，否则响应文件作无效处理）</w:t>
            </w:r>
          </w:p>
          <w:p w14:paraId="3A128B1F">
            <w:pPr>
              <w:snapToGrid w:val="0"/>
              <w:spacing w:line="360" w:lineRule="auto"/>
              <w:ind w:firstLine="411" w:firstLineChars="196"/>
              <w:jc w:val="left"/>
              <w:rPr>
                <w:rFonts w:hint="eastAsia" w:ascii="宋体" w:hAnsi="宋体" w:eastAsia="宋体" w:cs="宋体"/>
                <w:b/>
                <w:bCs/>
                <w:color w:val="auto"/>
              </w:rPr>
            </w:pPr>
            <w:r>
              <w:rPr>
                <w:rFonts w:hint="eastAsia" w:ascii="宋体" w:hAnsi="宋体" w:eastAsia="宋体" w:cs="宋体"/>
                <w:color w:val="auto"/>
              </w:rPr>
              <w:t>2.竞标报价表（格式后附）；</w:t>
            </w:r>
            <w:r>
              <w:rPr>
                <w:rFonts w:hint="eastAsia" w:ascii="宋体" w:hAnsi="宋体" w:eastAsia="宋体" w:cs="宋体"/>
                <w:b/>
                <w:bCs/>
                <w:color w:val="auto"/>
              </w:rPr>
              <w:t>（必须提供，否则响应文件作无效处理）</w:t>
            </w:r>
          </w:p>
          <w:p w14:paraId="76462F0C">
            <w:pPr>
              <w:snapToGrid w:val="0"/>
              <w:spacing w:line="360" w:lineRule="auto"/>
              <w:ind w:firstLine="411" w:firstLineChars="196"/>
              <w:jc w:val="left"/>
              <w:rPr>
                <w:rFonts w:hint="eastAsia" w:ascii="宋体" w:hAnsi="宋体" w:eastAsia="宋体" w:cs="宋体"/>
                <w:b/>
                <w:bCs/>
                <w:color w:val="auto"/>
              </w:rPr>
            </w:pPr>
            <w:r>
              <w:rPr>
                <w:rFonts w:hint="eastAsia" w:ascii="宋体" w:hAnsi="宋体" w:eastAsia="宋体" w:cs="宋体"/>
                <w:color w:val="auto"/>
              </w:rPr>
              <w:t>3.法定代表人身份证明书及法定代表人有效身份证正反面扫描件（格式后附）；</w:t>
            </w:r>
            <w:r>
              <w:rPr>
                <w:rFonts w:hint="eastAsia" w:ascii="宋体" w:hAnsi="宋体" w:eastAsia="宋体" w:cs="宋体"/>
                <w:b/>
                <w:bCs/>
                <w:color w:val="auto"/>
              </w:rPr>
              <w:t>（必须提供，否则响应文件作无效处理）</w:t>
            </w:r>
          </w:p>
          <w:p w14:paraId="51640BAD">
            <w:pPr>
              <w:snapToGrid w:val="0"/>
              <w:spacing w:line="360" w:lineRule="auto"/>
              <w:ind w:firstLine="411" w:firstLineChars="196"/>
              <w:jc w:val="left"/>
              <w:rPr>
                <w:rFonts w:hint="eastAsia" w:ascii="宋体" w:hAnsi="宋体" w:eastAsia="宋体" w:cs="宋体"/>
                <w:b/>
                <w:bCs/>
                <w:color w:val="auto"/>
              </w:rPr>
            </w:pPr>
            <w:r>
              <w:rPr>
                <w:rFonts w:hint="eastAsia" w:ascii="宋体" w:hAnsi="宋体" w:eastAsia="宋体" w:cs="宋体"/>
                <w:color w:val="auto"/>
              </w:rPr>
              <w:t>4.法定代表人授权委托书及委托代理人有效身份证正反面扫描件（格式后附）；</w:t>
            </w:r>
            <w:r>
              <w:rPr>
                <w:rFonts w:hint="eastAsia" w:ascii="宋体" w:hAnsi="宋体" w:eastAsia="宋体" w:cs="宋体"/>
                <w:b/>
                <w:bCs/>
                <w:color w:val="auto"/>
              </w:rPr>
              <w:t>（委托时必须提供，否则响应文件作无效处理）</w:t>
            </w:r>
          </w:p>
          <w:p w14:paraId="658332BB">
            <w:pPr>
              <w:snapToGrid w:val="0"/>
              <w:spacing w:line="360" w:lineRule="auto"/>
              <w:ind w:firstLine="411" w:firstLineChars="196"/>
              <w:jc w:val="left"/>
              <w:rPr>
                <w:rFonts w:hint="eastAsia" w:ascii="宋体" w:hAnsi="宋体" w:eastAsia="宋体" w:cs="宋体"/>
                <w:b/>
                <w:bCs/>
                <w:color w:val="auto"/>
              </w:rPr>
            </w:pPr>
            <w:r>
              <w:rPr>
                <w:rFonts w:hint="eastAsia" w:ascii="宋体" w:hAnsi="宋体" w:eastAsia="宋体" w:cs="宋体"/>
                <w:color w:val="auto"/>
              </w:rPr>
              <w:t>5.商务条款偏离表（格式后附）；</w:t>
            </w:r>
            <w:r>
              <w:rPr>
                <w:rFonts w:hint="eastAsia" w:ascii="宋体" w:hAnsi="宋体" w:eastAsia="宋体" w:cs="宋体"/>
                <w:b/>
                <w:bCs/>
                <w:color w:val="auto"/>
              </w:rPr>
              <w:t>（必须提供，否则响应文件作无效处理）</w:t>
            </w:r>
          </w:p>
          <w:p w14:paraId="56394736">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6.售后服务承诺；</w:t>
            </w:r>
            <w:r>
              <w:rPr>
                <w:rFonts w:hint="eastAsia" w:ascii="宋体" w:hAnsi="宋体" w:eastAsia="宋体" w:cs="宋体"/>
                <w:b/>
                <w:bCs/>
                <w:color w:val="auto"/>
              </w:rPr>
              <w:t>（必须提供，否则响应文件作无效处理）</w:t>
            </w:r>
          </w:p>
          <w:p w14:paraId="67D35905">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7.配置清单（均不含报价）（格式后附）；</w:t>
            </w:r>
            <w:r>
              <w:rPr>
                <w:rFonts w:hint="eastAsia" w:ascii="宋体" w:hAnsi="宋体" w:eastAsia="宋体" w:cs="宋体"/>
                <w:b/>
                <w:bCs/>
                <w:color w:val="auto"/>
              </w:rPr>
              <w:t>（必须提供，否则响应文件作无效处理）</w:t>
            </w:r>
          </w:p>
          <w:p w14:paraId="25B8D983">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8.技术偏离表（格式后附）；</w:t>
            </w:r>
            <w:r>
              <w:rPr>
                <w:rFonts w:hint="eastAsia" w:ascii="宋体" w:hAnsi="宋体" w:eastAsia="宋体" w:cs="宋体"/>
                <w:b/>
                <w:bCs/>
                <w:color w:val="auto"/>
              </w:rPr>
              <w:t>（必须提供，否则响应文件作无效处理）</w:t>
            </w:r>
          </w:p>
          <w:p w14:paraId="63C6516C">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9.售后服务及技术方案（格式自拟）；</w:t>
            </w:r>
            <w:r>
              <w:rPr>
                <w:rFonts w:hint="eastAsia" w:ascii="宋体" w:hAnsi="宋体" w:eastAsia="宋体" w:cs="宋体"/>
                <w:b/>
                <w:bCs/>
                <w:color w:val="auto"/>
              </w:rPr>
              <w:t>（必须提供，否则响应文件作无效处理）</w:t>
            </w:r>
          </w:p>
          <w:p w14:paraId="5CFE969C">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10.</w:t>
            </w:r>
            <w:r>
              <w:rPr>
                <w:rFonts w:hint="eastAsia" w:ascii="宋体" w:hAnsi="宋体" w:eastAsia="宋体" w:cs="宋体"/>
                <w:color w:val="auto"/>
                <w:szCs w:val="21"/>
              </w:rPr>
              <w:t>项目实施人员一览表（</w:t>
            </w:r>
            <w:r>
              <w:rPr>
                <w:rFonts w:hint="eastAsia" w:ascii="宋体" w:hAnsi="宋体" w:eastAsia="宋体" w:cs="宋体"/>
                <w:b/>
                <w:color w:val="auto"/>
                <w:szCs w:val="21"/>
              </w:rPr>
              <w:t>如有请提供</w:t>
            </w:r>
            <w:r>
              <w:rPr>
                <w:rFonts w:hint="eastAsia" w:ascii="宋体" w:hAnsi="宋体" w:eastAsia="宋体" w:cs="宋体"/>
                <w:color w:val="auto"/>
                <w:szCs w:val="21"/>
              </w:rPr>
              <w:t>）；</w:t>
            </w:r>
          </w:p>
          <w:p w14:paraId="7B49AC82">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11.对应采购需求的技术需求、商务条款提供的其他文件资料；</w:t>
            </w:r>
          </w:p>
          <w:p w14:paraId="6125E34E">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12.供应商认为需要提供的其他有关资料。</w:t>
            </w:r>
          </w:p>
          <w:p w14:paraId="6420B0C9">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注：</w:t>
            </w:r>
          </w:p>
          <w:p w14:paraId="47CE77DB">
            <w:pPr>
              <w:widowControl/>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1.法定代表人授权委托书必须由法定代表人及委托代理人签字（或个人CA签章），并加盖供应商公章（或电子签章），否则响应文件按无效响应处理。</w:t>
            </w:r>
          </w:p>
          <w:p w14:paraId="377E9FE6">
            <w:pPr>
              <w:snapToGrid w:val="0"/>
              <w:spacing w:line="360" w:lineRule="auto"/>
              <w:ind w:firstLine="411" w:firstLineChars="196"/>
              <w:jc w:val="left"/>
              <w:rPr>
                <w:rFonts w:hint="eastAsia" w:ascii="宋体" w:hAnsi="宋体" w:eastAsia="宋体" w:cs="宋体"/>
                <w:color w:val="auto"/>
              </w:rPr>
            </w:pPr>
            <w:r>
              <w:rPr>
                <w:rFonts w:hint="eastAsia" w:ascii="宋体" w:hAnsi="宋体" w:eastAsia="宋体" w:cs="宋体"/>
                <w:color w:val="auto"/>
              </w:rPr>
              <w:t>2.以上标明“必须提供”的材料，必须加盖供应商公章（或电子签章），否则响应文件按无效响应处理。</w:t>
            </w:r>
          </w:p>
          <w:p w14:paraId="7A0DC53C">
            <w:pPr>
              <w:snapToGrid w:val="0"/>
              <w:ind w:firstLine="411" w:firstLineChars="196"/>
              <w:jc w:val="left"/>
              <w:rPr>
                <w:rFonts w:hint="eastAsia" w:ascii="宋体" w:hAnsi="宋体" w:eastAsia="宋体" w:cs="宋体"/>
                <w:color w:val="auto"/>
              </w:rPr>
            </w:pPr>
            <w:r>
              <w:rPr>
                <w:rFonts w:hint="eastAsia" w:ascii="宋体" w:hAnsi="宋体" w:eastAsia="宋体" w:cs="宋体"/>
                <w:color w:val="auto"/>
              </w:rPr>
              <w:t>3.以上材料未附格式的，由供应商自行拟定。</w:t>
            </w:r>
          </w:p>
        </w:tc>
      </w:tr>
      <w:tr w14:paraId="3392A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0D7438F">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12.2</w:t>
            </w:r>
          </w:p>
        </w:tc>
        <w:tc>
          <w:tcPr>
            <w:tcW w:w="7912" w:type="dxa"/>
            <w:vAlign w:val="center"/>
          </w:tcPr>
          <w:p w14:paraId="73FBD8DA">
            <w:pPr>
              <w:pStyle w:val="4"/>
              <w:spacing w:before="0" w:after="0" w:line="360" w:lineRule="auto"/>
              <w:ind w:firstLine="420" w:firstLineChars="200"/>
              <w:rPr>
                <w:rFonts w:hint="eastAsia" w:ascii="宋体" w:hAnsi="宋体" w:eastAsia="宋体" w:cs="宋体"/>
                <w:b w:val="0"/>
                <w:bCs/>
                <w:color w:val="auto"/>
                <w:sz w:val="21"/>
                <w:szCs w:val="21"/>
              </w:rPr>
            </w:pPr>
            <w:bookmarkStart w:id="109" w:name="_Toc19911"/>
            <w:bookmarkStart w:id="110" w:name="_Toc27452"/>
            <w:bookmarkStart w:id="111" w:name="_Toc20470"/>
            <w:bookmarkStart w:id="112" w:name="_Toc3230"/>
            <w:bookmarkStart w:id="113" w:name="_Toc18829"/>
            <w:bookmarkStart w:id="114" w:name="_Toc23302"/>
            <w:bookmarkStart w:id="115" w:name="_Toc19062"/>
            <w:r>
              <w:rPr>
                <w:rFonts w:hint="eastAsia" w:ascii="宋体" w:hAnsi="宋体" w:eastAsia="宋体" w:cs="宋体"/>
                <w:b w:val="0"/>
                <w:bCs/>
                <w:color w:val="auto"/>
                <w:sz w:val="21"/>
                <w:szCs w:val="21"/>
              </w:rPr>
              <w:t>电子响应文件的制作</w:t>
            </w:r>
            <w:bookmarkEnd w:id="109"/>
            <w:bookmarkEnd w:id="110"/>
            <w:bookmarkEnd w:id="111"/>
            <w:r>
              <w:rPr>
                <w:rFonts w:hint="eastAsia" w:ascii="宋体" w:hAnsi="宋体" w:eastAsia="宋体" w:cs="宋体"/>
                <w:b w:val="0"/>
                <w:bCs/>
                <w:color w:val="auto"/>
                <w:sz w:val="21"/>
                <w:szCs w:val="21"/>
              </w:rPr>
              <w:t>：</w:t>
            </w:r>
            <w:bookmarkEnd w:id="112"/>
            <w:bookmarkEnd w:id="113"/>
            <w:bookmarkEnd w:id="114"/>
            <w:bookmarkEnd w:id="115"/>
          </w:p>
          <w:p w14:paraId="0AFF64F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1.电子响应文件中须加盖供应商公章部分均采用 CA 签章，并根据“政府采购项目电子交易管理操作指南-供应商” 及本采购文件规定的格式和顺序编制电子响应文件并进行关联定位，以便谈判小组在评审时，点击评审项可直接定位到该评审项内容。如对采购文件的某项要求，供应商的电子响应文件未能关联定位提供相应的内容与其对应，则谈判小组在评审时如做出对供应商不利的评审由供应商自行承担。电子响应文件如内容不完整、编排混乱导致响应文件被误读、漏读，或者在按采购文件规定的部位查找不到相关内容的，由供应商自行承担。</w:t>
            </w:r>
          </w:p>
          <w:p w14:paraId="08EF5B0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供应商法定代表人或授权代表持有广西政府采购云平台个人CA签章的，应在响应文件中涉及到签字的位置使用个人CA签章，没有办理广西政府采购云平台个人CA签章的可在响应文件中涉及到签字的位置手写签字后扫描或者拍照做成PDF的格式上传即可。</w:t>
            </w:r>
          </w:p>
          <w:p w14:paraId="2F453AD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3.响应文件不得涂改，若有修改错漏处，须法定代表人或授权委托人签字（或个人CA签章）。响应文件因字迹潦草或表达不清所引起的后果由供应商负责。</w:t>
            </w:r>
          </w:p>
          <w:p w14:paraId="46F0C38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4.谈判前准备 </w:t>
            </w:r>
          </w:p>
          <w:p w14:paraId="2A29D88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4.1本项目实行在线谈判，采用电子响应文件。若供应商参与谈判，自行承担谈判一切费用。</w:t>
            </w:r>
          </w:p>
          <w:p w14:paraId="4BFC976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4.2各供应商应在截标前应确保成为广西政府采购云平台正式注册入库供应商，并完成 CA 数字证书申领。因未注册入库、未办理CA数字证书等原因造成无法谈判或谈判失败等后果由供应商自行承担。 </w:t>
            </w:r>
          </w:p>
          <w:p w14:paraId="496166BD">
            <w:pPr>
              <w:snapToGrid w:val="0"/>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4.3供应商将广西政府采购云平台客户端下载、安装完成后，可通过账号密码或CA 登录客户端进行响应文件制作。客户端请至网站下载专区查看，如有问题可拨打</w:t>
            </w:r>
            <w:r>
              <w:rPr>
                <w:rFonts w:hint="eastAsia" w:ascii="宋体" w:hAnsi="宋体" w:eastAsia="宋体" w:cs="宋体"/>
                <w:color w:val="auto"/>
                <w:kern w:val="0"/>
                <w:szCs w:val="21"/>
              </w:rPr>
              <w:t>广西政府采购云客服热线95763</w:t>
            </w:r>
            <w:r>
              <w:rPr>
                <w:rFonts w:hint="eastAsia" w:ascii="宋体" w:hAnsi="宋体" w:eastAsia="宋体" w:cs="宋体"/>
                <w:color w:val="auto"/>
                <w:szCs w:val="21"/>
              </w:rPr>
              <w:t>进行咨询。</w:t>
            </w:r>
          </w:p>
        </w:tc>
      </w:tr>
      <w:tr w14:paraId="34500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CA4D16">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15.2</w:t>
            </w:r>
          </w:p>
        </w:tc>
        <w:tc>
          <w:tcPr>
            <w:tcW w:w="7912" w:type="dxa"/>
            <w:vAlign w:val="center"/>
          </w:tcPr>
          <w:p w14:paraId="5E43DD8B">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竞标报价的价格</w:t>
            </w:r>
            <w:r>
              <w:rPr>
                <w:rFonts w:hint="eastAsia" w:ascii="宋体" w:hAnsi="宋体" w:eastAsia="宋体" w:cs="宋体"/>
                <w:color w:val="auto"/>
                <w:kern w:val="0"/>
                <w:szCs w:val="21"/>
                <w:lang w:bidi="ar"/>
              </w:rPr>
              <w:t>包括货物及服务采购、检验检测、包装、运输、仓储、人工费、配送费等各种费用和售后服务、税金及其它所有成本费用的总和。</w:t>
            </w:r>
          </w:p>
        </w:tc>
      </w:tr>
      <w:tr w14:paraId="43E7A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3B99B5">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16.2</w:t>
            </w:r>
          </w:p>
        </w:tc>
        <w:tc>
          <w:tcPr>
            <w:tcW w:w="7912" w:type="dxa"/>
            <w:vAlign w:val="center"/>
          </w:tcPr>
          <w:p w14:paraId="53E97DB8">
            <w:pPr>
              <w:pStyle w:val="9"/>
              <w:widowControl w:val="0"/>
              <w:tabs>
                <w:tab w:val="clear" w:pos="454"/>
              </w:tabs>
              <w:snapToGrid w:val="0"/>
              <w:spacing w:after="0" w:afterLines="0" w:line="440" w:lineRule="exact"/>
              <w:ind w:left="283" w:hanging="283" w:hangingChars="135"/>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竞标有效期：自首次响应文件提交截止之日起</w:t>
            </w:r>
            <w:r>
              <w:rPr>
                <w:rFonts w:hint="eastAsia" w:ascii="宋体" w:hAnsi="宋体" w:eastAsia="宋体" w:cs="宋体"/>
                <w:color w:val="auto"/>
                <w:kern w:val="2"/>
                <w:sz w:val="21"/>
                <w:szCs w:val="21"/>
                <w:u w:val="single"/>
              </w:rPr>
              <w:t xml:space="preserve"> 90 </w:t>
            </w:r>
            <w:r>
              <w:rPr>
                <w:rFonts w:hint="eastAsia" w:ascii="宋体" w:hAnsi="宋体" w:eastAsia="宋体" w:cs="宋体"/>
                <w:color w:val="auto"/>
                <w:kern w:val="2"/>
                <w:sz w:val="21"/>
                <w:szCs w:val="21"/>
              </w:rPr>
              <w:t>日。</w:t>
            </w:r>
          </w:p>
        </w:tc>
      </w:tr>
      <w:tr w14:paraId="60CE1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C5AFA8">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17.1</w:t>
            </w:r>
          </w:p>
        </w:tc>
        <w:tc>
          <w:tcPr>
            <w:tcW w:w="7912" w:type="dxa"/>
            <w:vAlign w:val="center"/>
          </w:tcPr>
          <w:p w14:paraId="2DC96F49">
            <w:pPr>
              <w:autoSpaceDE w:val="0"/>
              <w:autoSpaceDN w:val="0"/>
              <w:snapToGrid w:val="0"/>
              <w:spacing w:line="440" w:lineRule="exact"/>
              <w:textAlignment w:val="bottom"/>
              <w:rPr>
                <w:rFonts w:hint="eastAsia" w:ascii="宋体" w:hAnsi="宋体" w:eastAsia="宋体" w:cs="宋体"/>
                <w:color w:val="auto"/>
                <w:szCs w:val="21"/>
              </w:rPr>
            </w:pPr>
            <w:r>
              <w:rPr>
                <w:rFonts w:hint="eastAsia" w:ascii="宋体" w:hAnsi="宋体" w:cs="宋体"/>
                <w:color w:val="auto"/>
                <w:szCs w:val="21"/>
                <w:lang w:eastAsia="zh-CN"/>
              </w:rPr>
              <w:t>☑</w:t>
            </w:r>
            <w:r>
              <w:rPr>
                <w:rFonts w:hint="eastAsia" w:ascii="宋体" w:hAnsi="宋体" w:eastAsia="宋体" w:cs="宋体"/>
                <w:color w:val="auto"/>
                <w:szCs w:val="21"/>
              </w:rPr>
              <w:t>本项目不收取</w:t>
            </w:r>
            <w:r>
              <w:rPr>
                <w:rFonts w:hint="eastAsia" w:ascii="宋体" w:hAnsi="宋体" w:cs="宋体"/>
                <w:color w:val="auto"/>
                <w:szCs w:val="21"/>
                <w:lang w:eastAsia="zh-CN"/>
              </w:rPr>
              <w:t>竞标</w:t>
            </w:r>
            <w:r>
              <w:rPr>
                <w:rFonts w:hint="eastAsia" w:ascii="宋体" w:hAnsi="宋体" w:eastAsia="宋体" w:cs="宋体"/>
                <w:color w:val="auto"/>
                <w:szCs w:val="21"/>
              </w:rPr>
              <w:t>保证金。</w:t>
            </w:r>
          </w:p>
        </w:tc>
      </w:tr>
      <w:tr w14:paraId="18238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992" w:type="dxa"/>
            <w:vAlign w:val="center"/>
          </w:tcPr>
          <w:p w14:paraId="76CE21B9">
            <w:pPr>
              <w:snapToGrid w:val="0"/>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20.1</w:t>
            </w:r>
          </w:p>
        </w:tc>
        <w:tc>
          <w:tcPr>
            <w:tcW w:w="7912" w:type="dxa"/>
            <w:vAlign w:val="center"/>
          </w:tcPr>
          <w:p w14:paraId="714B0AD7">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首次响应文件提交起止时间：详见竞争性谈判公告。</w:t>
            </w:r>
          </w:p>
          <w:p w14:paraId="37B4D0C3">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首次响应文件提交截止时间：详见竞争性谈判公告。</w:t>
            </w:r>
          </w:p>
          <w:p w14:paraId="6FE6FB09">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首次响应文件提交地点：详见竞争性谈判公告。</w:t>
            </w:r>
          </w:p>
        </w:tc>
      </w:tr>
      <w:tr w14:paraId="00B47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7D86BB">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20.6</w:t>
            </w:r>
          </w:p>
        </w:tc>
        <w:tc>
          <w:tcPr>
            <w:tcW w:w="7912" w:type="dxa"/>
            <w:vAlign w:val="center"/>
          </w:tcPr>
          <w:p w14:paraId="334ADCC8">
            <w:pPr>
              <w:snapToGrid w:val="0"/>
              <w:spacing w:line="44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备份响应文件：</w:t>
            </w:r>
            <w:r>
              <w:rPr>
                <w:rFonts w:hint="eastAsia" w:ascii="宋体" w:hAnsi="宋体" w:eastAsia="宋体" w:cs="宋体"/>
                <w:color w:val="auto"/>
                <w:kern w:val="0"/>
                <w:szCs w:val="21"/>
              </w:rPr>
              <w:t>供应商在在线上传加密文件后可以在开标前向代理机构提供加密副本文件（与加密文件同时生成的），当解密时间内供应商由于非人为操作导致无法解密的，可以由代理机构用备份文件进行异常处理，</w:t>
            </w:r>
            <w:r>
              <w:rPr>
                <w:rFonts w:hint="eastAsia" w:ascii="宋体" w:hAnsi="宋体" w:eastAsia="宋体" w:cs="宋体"/>
                <w:color w:val="auto"/>
                <w:szCs w:val="21"/>
              </w:rPr>
              <w:t>详见竞争性谈判公告。</w:t>
            </w:r>
          </w:p>
        </w:tc>
      </w:tr>
      <w:tr w14:paraId="1B3D3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5B608C">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24.1</w:t>
            </w:r>
          </w:p>
        </w:tc>
        <w:tc>
          <w:tcPr>
            <w:tcW w:w="7912" w:type="dxa"/>
            <w:vAlign w:val="center"/>
          </w:tcPr>
          <w:p w14:paraId="1A9153EC">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采购代理机构根据竞标项目的特点组建谈判小组，本采购项目的谈判小组分别由专家2人、采购单位代表1人构成，谈判小组成员人数为3人。</w:t>
            </w:r>
          </w:p>
          <w:p w14:paraId="21B3CA3A">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专家抽取方式：随机抽取。</w:t>
            </w:r>
          </w:p>
        </w:tc>
      </w:tr>
      <w:tr w14:paraId="5012F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C6BD77">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25</w:t>
            </w:r>
          </w:p>
        </w:tc>
        <w:tc>
          <w:tcPr>
            <w:tcW w:w="7912" w:type="dxa"/>
            <w:vAlign w:val="center"/>
          </w:tcPr>
          <w:p w14:paraId="71E307BB">
            <w:pPr>
              <w:snapToGrid w:val="0"/>
              <w:spacing w:line="440" w:lineRule="exact"/>
              <w:jc w:val="left"/>
              <w:rPr>
                <w:rFonts w:hint="eastAsia" w:ascii="宋体" w:hAnsi="宋体" w:eastAsia="宋体" w:cs="宋体"/>
                <w:color w:val="auto"/>
                <w:szCs w:val="21"/>
              </w:rPr>
            </w:pPr>
            <w:r>
              <w:rPr>
                <w:rFonts w:hint="eastAsia" w:ascii="宋体" w:hAnsi="宋体" w:eastAsia="宋体" w:cs="宋体"/>
                <w:color w:val="auto"/>
                <w:szCs w:val="21"/>
              </w:rPr>
              <w:t>首次响应文件开启时间详见“竞争性谈判公告”。</w:t>
            </w:r>
          </w:p>
        </w:tc>
      </w:tr>
      <w:tr w14:paraId="3A78C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3D9CAE4B">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26</w:t>
            </w:r>
          </w:p>
        </w:tc>
        <w:tc>
          <w:tcPr>
            <w:tcW w:w="7912" w:type="dxa"/>
            <w:vAlign w:val="center"/>
          </w:tcPr>
          <w:p w14:paraId="16787EAA">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商务条款评审中允许负偏离的条款数为</w:t>
            </w:r>
            <w:r>
              <w:rPr>
                <w:rFonts w:hint="eastAsia" w:ascii="宋体" w:hAnsi="宋体" w:eastAsia="宋体" w:cs="宋体"/>
                <w:color w:val="auto"/>
                <w:szCs w:val="21"/>
                <w:u w:val="single"/>
              </w:rPr>
              <w:t xml:space="preserve"> 0 </w:t>
            </w:r>
            <w:r>
              <w:rPr>
                <w:rFonts w:hint="eastAsia" w:ascii="宋体" w:hAnsi="宋体" w:eastAsia="宋体" w:cs="宋体"/>
                <w:color w:val="auto"/>
                <w:szCs w:val="21"/>
              </w:rPr>
              <w:t>项。</w:t>
            </w:r>
          </w:p>
          <w:p w14:paraId="02F192C0">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技术需求评审中允许负偏离的条款数为</w:t>
            </w:r>
            <w:r>
              <w:rPr>
                <w:rFonts w:hint="eastAsia" w:ascii="宋体" w:hAnsi="宋体" w:eastAsia="宋体" w:cs="宋体"/>
                <w:color w:val="auto"/>
                <w:szCs w:val="21"/>
                <w:u w:val="single"/>
              </w:rPr>
              <w:t xml:space="preserve"> 0 </w:t>
            </w:r>
            <w:r>
              <w:rPr>
                <w:rFonts w:hint="eastAsia" w:ascii="宋体" w:hAnsi="宋体" w:eastAsia="宋体" w:cs="宋体"/>
                <w:color w:val="auto"/>
                <w:szCs w:val="21"/>
              </w:rPr>
              <w:t>项。</w:t>
            </w:r>
          </w:p>
        </w:tc>
      </w:tr>
      <w:tr w14:paraId="50F75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5C45F519">
            <w:pPr>
              <w:spacing w:line="440" w:lineRule="exact"/>
              <w:jc w:val="center"/>
              <w:rPr>
                <w:rFonts w:hint="eastAsia" w:ascii="宋体" w:hAnsi="宋体" w:eastAsia="宋体" w:cs="宋体"/>
                <w:color w:val="auto"/>
                <w:szCs w:val="21"/>
              </w:rPr>
            </w:pPr>
          </w:p>
        </w:tc>
        <w:tc>
          <w:tcPr>
            <w:tcW w:w="7912" w:type="dxa"/>
            <w:vAlign w:val="center"/>
          </w:tcPr>
          <w:p w14:paraId="76A0166C">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谈判的顺序：</w:t>
            </w:r>
          </w:p>
          <w:p w14:paraId="6E03BCEB">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 xml:space="preserve">□提交响应文件的先后顺序。通知谈判时，若某供应商不在通知现场时（该供应商排序到最后谈判），按照签到的顺序由其下一位供应商先参与谈判。 </w:t>
            </w:r>
          </w:p>
          <w:p w14:paraId="11D77E0F">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☑随机排序。</w:t>
            </w:r>
          </w:p>
          <w:p w14:paraId="46C1345D">
            <w:pPr>
              <w:spacing w:line="360" w:lineRule="auto"/>
              <w:ind w:left="315" w:hanging="315" w:hangingChars="150"/>
              <w:jc w:val="left"/>
              <w:rPr>
                <w:rFonts w:hint="eastAsia" w:ascii="宋体" w:hAnsi="宋体" w:eastAsia="宋体" w:cs="宋体"/>
                <w:color w:val="auto"/>
                <w:szCs w:val="21"/>
              </w:rPr>
            </w:pPr>
            <w:r>
              <w:rPr>
                <w:rFonts w:hint="eastAsia" w:ascii="宋体" w:hAnsi="宋体" w:eastAsia="宋体" w:cs="宋体"/>
                <w:color w:val="auto"/>
                <w:szCs w:val="21"/>
              </w:rPr>
              <w:t>谈判时间：响应文件递交截止时间后。</w:t>
            </w:r>
          </w:p>
          <w:p w14:paraId="3EBEE8BB">
            <w:pPr>
              <w:spacing w:line="360" w:lineRule="auto"/>
              <w:jc w:val="left"/>
              <w:rPr>
                <w:rFonts w:hint="eastAsia" w:ascii="宋体" w:hAnsi="宋体" w:eastAsia="宋体" w:cs="宋体"/>
                <w:color w:val="auto"/>
                <w:szCs w:val="21"/>
              </w:rPr>
            </w:pPr>
            <w:r>
              <w:rPr>
                <w:rFonts w:hint="eastAsia" w:ascii="宋体" w:hAnsi="宋体" w:eastAsia="宋体" w:cs="宋体"/>
                <w:color w:val="auto"/>
                <w:szCs w:val="21"/>
              </w:rPr>
              <w:t>谈判地点：本项目需要谈判供应商代表在截标当天截标后，按谈判小组要求及时登陆广西政府采购云平台等候在线谈判。</w:t>
            </w:r>
          </w:p>
          <w:p w14:paraId="6152C4C6">
            <w:pPr>
              <w:spacing w:line="360" w:lineRule="auto"/>
              <w:ind w:left="15" w:hanging="14" w:hangingChars="7"/>
              <w:jc w:val="left"/>
              <w:rPr>
                <w:rFonts w:hint="eastAsia" w:ascii="宋体" w:hAnsi="宋体" w:eastAsia="宋体" w:cs="宋体"/>
                <w:color w:val="auto"/>
                <w:szCs w:val="21"/>
              </w:rPr>
            </w:pPr>
            <w:r>
              <w:rPr>
                <w:rFonts w:hint="eastAsia" w:ascii="宋体" w:hAnsi="宋体" w:eastAsia="宋体" w:cs="宋体"/>
                <w:color w:val="auto"/>
                <w:szCs w:val="21"/>
              </w:rPr>
              <w:t>谈判参加人员：供应商法定代表人、负责人、自然人或相应的委托代理人持有效身份证原件和供应商广西政府采购云平台CA数字证书参加谈判。请供应商按时到达指定地点等候谈判。</w:t>
            </w:r>
          </w:p>
          <w:p w14:paraId="4B861D7E">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响应文件递交截止时间后，由谈判小组在评标室内线上开启响应文件</w:t>
            </w:r>
            <w:r>
              <w:rPr>
                <w:rFonts w:hint="eastAsia" w:ascii="宋体" w:hAnsi="宋体" w:eastAsia="宋体" w:cs="宋体"/>
                <w:b/>
                <w:color w:val="auto"/>
                <w:szCs w:val="21"/>
              </w:rPr>
              <w:t>。</w:t>
            </w:r>
          </w:p>
        </w:tc>
      </w:tr>
      <w:tr w14:paraId="05B36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10E41CA3">
            <w:pPr>
              <w:spacing w:line="440" w:lineRule="exact"/>
              <w:jc w:val="center"/>
              <w:rPr>
                <w:rFonts w:hint="eastAsia" w:ascii="宋体" w:hAnsi="宋体" w:eastAsia="宋体" w:cs="宋体"/>
                <w:color w:val="auto"/>
                <w:szCs w:val="21"/>
              </w:rPr>
            </w:pPr>
          </w:p>
        </w:tc>
        <w:tc>
          <w:tcPr>
            <w:tcW w:w="7912" w:type="dxa"/>
            <w:vAlign w:val="center"/>
          </w:tcPr>
          <w:p w14:paraId="4F317554">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评审价相同时，按照最后报价由低到高顺序依次推荐；最后报价相同时，按以下原则确定成交候选人的顺序：</w:t>
            </w:r>
          </w:p>
          <w:p w14:paraId="5611A6DC">
            <w:pPr>
              <w:snapToGrid w:val="0"/>
              <w:spacing w:line="440" w:lineRule="exact"/>
              <w:rPr>
                <w:rFonts w:hint="eastAsia" w:ascii="宋体" w:hAnsi="宋体" w:eastAsia="宋体" w:cs="宋体"/>
                <w:color w:val="auto"/>
                <w:szCs w:val="21"/>
              </w:rPr>
            </w:pPr>
            <w:r>
              <w:rPr>
                <w:rFonts w:hint="eastAsia" w:ascii="宋体" w:hAnsi="宋体" w:cs="宋体"/>
                <w:color w:val="auto"/>
                <w:szCs w:val="21"/>
                <w:lang w:eastAsia="zh-CN"/>
              </w:rPr>
              <w:t>☑</w:t>
            </w:r>
            <w:r>
              <w:rPr>
                <w:rFonts w:hint="eastAsia" w:ascii="宋体" w:hAnsi="宋体" w:eastAsia="宋体" w:cs="宋体"/>
                <w:color w:val="auto"/>
                <w:szCs w:val="21"/>
              </w:rPr>
              <w:t>依次按节能、环保产品累计金额高的优先、实质性要求正偏离项数多的优先、质量保证期长优先、交货期短优先、故障响应时间短优先的顺序排列。</w:t>
            </w:r>
          </w:p>
          <w:p w14:paraId="1E0A0AC6">
            <w:pPr>
              <w:snapToGrid w:val="0"/>
              <w:spacing w:line="440" w:lineRule="exact"/>
              <w:rPr>
                <w:rFonts w:hint="eastAsia" w:ascii="宋体" w:hAnsi="宋体" w:eastAsia="宋体" w:cs="宋体"/>
                <w:color w:val="auto"/>
                <w:szCs w:val="21"/>
              </w:rPr>
            </w:pPr>
            <w:r>
              <w:rPr>
                <w:rFonts w:hint="eastAsia" w:ascii="宋体" w:hAnsi="宋体" w:cs="宋体"/>
                <w:color w:val="auto"/>
                <w:szCs w:val="21"/>
                <w:lang w:eastAsia="zh-CN"/>
              </w:rPr>
              <w:t>□</w:t>
            </w:r>
            <w:r>
              <w:rPr>
                <w:rFonts w:hint="eastAsia" w:ascii="宋体" w:hAnsi="宋体" w:eastAsia="宋体" w:cs="宋体"/>
                <w:color w:val="auto"/>
                <w:szCs w:val="21"/>
              </w:rPr>
              <w:t>由谈判小组推荐代表随机抽取。</w:t>
            </w:r>
          </w:p>
        </w:tc>
      </w:tr>
      <w:tr w14:paraId="262C9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4CFFA2">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28.1</w:t>
            </w:r>
          </w:p>
        </w:tc>
        <w:tc>
          <w:tcPr>
            <w:tcW w:w="7912" w:type="dxa"/>
            <w:vAlign w:val="center"/>
          </w:tcPr>
          <w:p w14:paraId="146DDBDF">
            <w:pPr>
              <w:snapToGrid w:val="0"/>
              <w:spacing w:line="360" w:lineRule="auto"/>
              <w:rPr>
                <w:rFonts w:hint="eastAsia" w:ascii="宋体" w:hAnsi="宋体" w:eastAsia="宋体" w:cs="宋体"/>
                <w:color w:val="auto"/>
                <w:szCs w:val="21"/>
              </w:rPr>
            </w:pPr>
            <w:r>
              <w:rPr>
                <w:rFonts w:hint="eastAsia" w:ascii="宋体" w:hAnsi="宋体" w:eastAsia="宋体" w:cs="宋体"/>
                <w:color w:val="auto"/>
                <w:szCs w:val="21"/>
              </w:rPr>
              <w:t>履约保证金</w:t>
            </w:r>
            <w:r>
              <w:rPr>
                <w:rFonts w:hint="eastAsia" w:ascii="宋体" w:hAnsi="宋体" w:eastAsia="宋体" w:cs="宋体"/>
                <w:color w:val="auto"/>
              </w:rPr>
              <w:t>金额：无需缴纳履约保证金。</w:t>
            </w:r>
          </w:p>
        </w:tc>
      </w:tr>
      <w:tr w14:paraId="314F2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37801E0">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29.1</w:t>
            </w:r>
          </w:p>
        </w:tc>
        <w:tc>
          <w:tcPr>
            <w:tcW w:w="7912" w:type="dxa"/>
            <w:vAlign w:val="center"/>
          </w:tcPr>
          <w:p w14:paraId="51B57C34">
            <w:pPr>
              <w:pStyle w:val="10"/>
              <w:spacing w:line="360" w:lineRule="auto"/>
              <w:rPr>
                <w:rFonts w:hint="eastAsia" w:ascii="宋体" w:hAnsi="宋体" w:eastAsia="宋体" w:cs="宋体"/>
                <w:color w:val="auto"/>
                <w:szCs w:val="21"/>
              </w:rPr>
            </w:pPr>
            <w:r>
              <w:rPr>
                <w:rFonts w:hint="eastAsia" w:ascii="宋体" w:hAnsi="宋体" w:eastAsia="宋体" w:cs="宋体"/>
                <w:color w:val="auto"/>
                <w:szCs w:val="21"/>
              </w:rPr>
              <w:t>签订合同携带的证明材料：</w:t>
            </w:r>
          </w:p>
          <w:p w14:paraId="143B23CA">
            <w:pPr>
              <w:pStyle w:val="1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委托代理人负责签订合同的，须携带授权委托书及委托代理人身份证原件等其他资格证件。</w:t>
            </w:r>
          </w:p>
          <w:p w14:paraId="62A5DB85">
            <w:pPr>
              <w:autoSpaceDE w:val="0"/>
              <w:autoSpaceDN w:val="0"/>
              <w:snapToGrid w:val="0"/>
              <w:spacing w:line="440" w:lineRule="exact"/>
              <w:ind w:firstLine="420" w:firstLineChars="200"/>
              <w:textAlignment w:val="bottom"/>
              <w:rPr>
                <w:rFonts w:hint="eastAsia" w:ascii="宋体" w:hAnsi="宋体" w:eastAsia="宋体" w:cs="宋体"/>
                <w:color w:val="auto"/>
                <w:szCs w:val="21"/>
              </w:rPr>
            </w:pPr>
            <w:r>
              <w:rPr>
                <w:rFonts w:hint="eastAsia" w:ascii="宋体" w:hAnsi="宋体" w:eastAsia="宋体" w:cs="宋体"/>
                <w:color w:val="auto"/>
                <w:szCs w:val="21"/>
              </w:rPr>
              <w:t>法定代表人负责签订合同的，须携带法定代表人身份证明原件及身份证原件等其他证明材料。</w:t>
            </w:r>
          </w:p>
        </w:tc>
      </w:tr>
      <w:tr w14:paraId="3D05F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46D273">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30</w:t>
            </w:r>
          </w:p>
        </w:tc>
        <w:tc>
          <w:tcPr>
            <w:tcW w:w="7912" w:type="dxa"/>
            <w:vAlign w:val="center"/>
          </w:tcPr>
          <w:p w14:paraId="311D1D08">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签订合同时间：成交通知书发出25日内。</w:t>
            </w:r>
          </w:p>
          <w:p w14:paraId="0066FDCC">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合同备案存档：合同双方自签订之日起二个工作日内将合同原件一份交采购代理机构。</w:t>
            </w:r>
          </w:p>
        </w:tc>
      </w:tr>
      <w:tr w14:paraId="2EED4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4CC5FA5">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31.2</w:t>
            </w:r>
          </w:p>
        </w:tc>
        <w:tc>
          <w:tcPr>
            <w:tcW w:w="7912" w:type="dxa"/>
            <w:vAlign w:val="center"/>
          </w:tcPr>
          <w:p w14:paraId="1E5F6A81">
            <w:pPr>
              <w:snapToGrid w:val="0"/>
              <w:spacing w:line="440" w:lineRule="exact"/>
              <w:rPr>
                <w:rFonts w:hint="eastAsia" w:ascii="宋体" w:hAnsi="宋体" w:eastAsia="宋体" w:cs="宋体"/>
                <w:color w:val="auto"/>
                <w:szCs w:val="21"/>
              </w:rPr>
            </w:pPr>
            <w:r>
              <w:rPr>
                <w:rFonts w:hint="eastAsia" w:ascii="宋体" w:hAnsi="宋体" w:eastAsia="宋体" w:cs="宋体"/>
                <w:color w:val="auto"/>
                <w:szCs w:val="21"/>
              </w:rPr>
              <w:t>接收质疑函方式：以书面形式。</w:t>
            </w:r>
          </w:p>
          <w:p w14:paraId="322E53EE">
            <w:pPr>
              <w:pStyle w:val="19"/>
              <w:snapToGrid w:val="0"/>
              <w:spacing w:line="440" w:lineRule="exact"/>
              <w:rPr>
                <w:rFonts w:hint="eastAsia" w:ascii="宋体" w:hAnsi="宋体" w:eastAsia="宋体" w:cs="宋体"/>
                <w:color w:val="auto"/>
                <w:kern w:val="2"/>
                <w:sz w:val="21"/>
              </w:rPr>
            </w:pPr>
            <w:r>
              <w:rPr>
                <w:rFonts w:hint="eastAsia" w:ascii="宋体" w:hAnsi="宋体" w:eastAsia="宋体" w:cs="宋体"/>
                <w:color w:val="auto"/>
                <w:kern w:val="2"/>
                <w:sz w:val="21"/>
              </w:rPr>
              <w:t>质疑联系部门及联系方式：</w:t>
            </w:r>
            <w:r>
              <w:rPr>
                <w:rFonts w:hint="eastAsia" w:hAnsi="宋体" w:cs="宋体"/>
                <w:color w:val="auto"/>
                <w:kern w:val="2"/>
                <w:sz w:val="21"/>
                <w:u w:val="single"/>
                <w:lang w:eastAsia="zh-CN"/>
              </w:rPr>
              <w:t>大华建设项目管理有限公司</w:t>
            </w:r>
            <w:r>
              <w:rPr>
                <w:rFonts w:hint="eastAsia" w:ascii="宋体" w:hAnsi="宋体" w:eastAsia="宋体" w:cs="宋体"/>
                <w:color w:val="auto"/>
                <w:kern w:val="2"/>
                <w:sz w:val="21"/>
              </w:rPr>
              <w:t>，联系电话：</w:t>
            </w:r>
            <w:r>
              <w:rPr>
                <w:rFonts w:hint="eastAsia" w:hAnsi="宋体" w:cs="宋体"/>
                <w:color w:val="auto"/>
                <w:kern w:val="2"/>
                <w:sz w:val="21"/>
                <w:u w:val="single"/>
                <w:lang w:eastAsia="zh-CN"/>
              </w:rPr>
              <w:t>0772-2997381</w:t>
            </w:r>
            <w:r>
              <w:rPr>
                <w:rFonts w:hint="eastAsia" w:ascii="宋体" w:hAnsi="宋体" w:eastAsia="宋体" w:cs="宋体"/>
                <w:color w:val="auto"/>
                <w:kern w:val="2"/>
                <w:sz w:val="21"/>
              </w:rPr>
              <w:t>，通讯地址：</w:t>
            </w:r>
            <w:r>
              <w:rPr>
                <w:rFonts w:hint="eastAsia" w:hAnsi="宋体" w:cs="宋体"/>
                <w:color w:val="auto"/>
                <w:kern w:val="2"/>
                <w:sz w:val="21"/>
                <w:u w:val="single"/>
                <w:lang w:eastAsia="zh-CN"/>
              </w:rPr>
              <w:t>钦州市钦北区燕舞路36号</w:t>
            </w:r>
            <w:r>
              <w:rPr>
                <w:rFonts w:hint="eastAsia" w:ascii="宋体" w:hAnsi="宋体" w:eastAsia="宋体" w:cs="宋体"/>
                <w:color w:val="auto"/>
                <w:kern w:val="2"/>
                <w:sz w:val="21"/>
                <w:u w:val="single"/>
              </w:rPr>
              <w:t xml:space="preserve"> </w:t>
            </w:r>
            <w:r>
              <w:rPr>
                <w:rFonts w:hint="eastAsia" w:ascii="宋体" w:hAnsi="宋体" w:eastAsia="宋体" w:cs="宋体"/>
                <w:color w:val="auto"/>
                <w:kern w:val="2"/>
                <w:sz w:val="21"/>
              </w:rPr>
              <w:t>。</w:t>
            </w:r>
          </w:p>
          <w:p w14:paraId="240596AE">
            <w:pPr>
              <w:pStyle w:val="19"/>
              <w:snapToGrid w:val="0"/>
              <w:spacing w:line="440" w:lineRule="exact"/>
              <w:rPr>
                <w:rFonts w:hint="eastAsia" w:ascii="宋体" w:hAnsi="宋体" w:eastAsia="宋体" w:cs="宋体"/>
                <w:color w:val="auto"/>
                <w:kern w:val="2"/>
                <w:sz w:val="21"/>
              </w:rPr>
            </w:pPr>
            <w:r>
              <w:rPr>
                <w:rFonts w:hint="eastAsia" w:ascii="宋体" w:hAnsi="宋体" w:eastAsia="宋体" w:cs="宋体"/>
                <w:color w:val="auto"/>
                <w:sz w:val="21"/>
              </w:rPr>
              <w:t>业务时间：每天上午9时00分到12时00分，下午15时00分到17时30分，双休日和法定节假日不办理业务。</w:t>
            </w:r>
          </w:p>
        </w:tc>
      </w:tr>
      <w:tr w14:paraId="2C6B9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F646D80">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32.1</w:t>
            </w:r>
          </w:p>
        </w:tc>
        <w:tc>
          <w:tcPr>
            <w:tcW w:w="7912" w:type="dxa"/>
            <w:vAlign w:val="center"/>
          </w:tcPr>
          <w:p w14:paraId="640081A0">
            <w:pPr>
              <w:pStyle w:val="8"/>
              <w:spacing w:line="360" w:lineRule="auto"/>
              <w:ind w:left="0"/>
              <w:rPr>
                <w:rFonts w:hint="eastAsia" w:ascii="宋体" w:hAnsi="宋体" w:eastAsia="宋体" w:cs="宋体"/>
                <w:color w:val="auto"/>
              </w:rPr>
            </w:pPr>
            <w:r>
              <w:rPr>
                <w:rFonts w:hint="eastAsia" w:ascii="宋体" w:hAnsi="宋体" w:eastAsia="宋体" w:cs="宋体"/>
                <w:color w:val="auto"/>
              </w:rPr>
              <w:t>1.采购代理服务费收取标准：</w:t>
            </w:r>
          </w:p>
          <w:p w14:paraId="36082A2E">
            <w:pPr>
              <w:pStyle w:val="8"/>
              <w:spacing w:line="360" w:lineRule="auto"/>
              <w:ind w:left="0"/>
              <w:rPr>
                <w:rFonts w:hint="eastAsia" w:ascii="宋体" w:hAnsi="宋体" w:eastAsia="宋体" w:cs="宋体"/>
                <w:color w:val="auto"/>
              </w:rPr>
            </w:pPr>
            <w:r>
              <w:rPr>
                <w:rFonts w:hint="eastAsia" w:ascii="宋体" w:hAnsi="宋体" w:eastAsia="宋体" w:cs="宋体"/>
                <w:color w:val="auto"/>
              </w:rPr>
              <w:t>☑本项目代理服务费由成交供应商领取成交通知书前，一次性向采购代理机构支付。</w:t>
            </w:r>
          </w:p>
          <w:p w14:paraId="203EF154">
            <w:pPr>
              <w:pStyle w:val="8"/>
              <w:spacing w:line="360" w:lineRule="auto"/>
              <w:ind w:left="0"/>
              <w:rPr>
                <w:rFonts w:hint="eastAsia" w:ascii="宋体" w:hAnsi="宋体" w:eastAsia="宋体" w:cs="宋体"/>
                <w:color w:val="auto"/>
              </w:rPr>
            </w:pPr>
            <w:r>
              <w:rPr>
                <w:rFonts w:hint="eastAsia" w:ascii="宋体" w:hAnsi="宋体" w:eastAsia="宋体" w:cs="宋体"/>
                <w:color w:val="auto"/>
              </w:rPr>
              <w:t>2.代理服务费收取标准：</w:t>
            </w:r>
          </w:p>
          <w:p w14:paraId="750C5FB7">
            <w:pPr>
              <w:pStyle w:val="8"/>
              <w:spacing w:line="360" w:lineRule="auto"/>
              <w:ind w:left="0"/>
              <w:rPr>
                <w:rFonts w:hint="eastAsia" w:ascii="宋体" w:hAnsi="宋体" w:eastAsia="宋体" w:cs="宋体"/>
                <w:color w:val="auto"/>
              </w:rPr>
            </w:pPr>
            <w:r>
              <w:rPr>
                <w:rFonts w:hint="eastAsia" w:ascii="宋体" w:hAnsi="宋体" w:eastAsia="宋体" w:cs="宋体"/>
                <w:color w:val="auto"/>
              </w:rPr>
              <w:t>☑参照原国家计委关于印发《招标代理服务收费管理暂行办法》的通知（计价格[2002]1980号）、国家发展改革委《关于降低部分建设项目收费标准规范收费行为等有关问题的通知》（发改价格【2011】534号）招标代理服务收费标准，以分标暂定成交金额为计费额，按货物类采用差额定率累进法计算出收费基准价格，采购代理收费以收费基准价格收取</w:t>
            </w:r>
            <w:r>
              <w:rPr>
                <w:rFonts w:hint="eastAsia" w:ascii="宋体" w:hAnsi="宋体" w:cs="宋体"/>
                <w:color w:val="auto"/>
                <w:lang w:eastAsia="zh-CN"/>
              </w:rPr>
              <w:t>（不足三千按三千收取）</w:t>
            </w:r>
            <w:r>
              <w:rPr>
                <w:rFonts w:hint="eastAsia" w:ascii="宋体" w:hAnsi="宋体" w:eastAsia="宋体" w:cs="宋体"/>
                <w:color w:val="auto"/>
              </w:rPr>
              <w:t>。</w:t>
            </w:r>
          </w:p>
        </w:tc>
      </w:tr>
      <w:tr w14:paraId="6CB6A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9593295">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33.1</w:t>
            </w:r>
          </w:p>
        </w:tc>
        <w:tc>
          <w:tcPr>
            <w:tcW w:w="7912" w:type="dxa"/>
            <w:vAlign w:val="center"/>
          </w:tcPr>
          <w:p w14:paraId="0C645390">
            <w:pPr>
              <w:pStyle w:val="19"/>
              <w:snapToGrid w:val="0"/>
              <w:spacing w:line="440" w:lineRule="exact"/>
              <w:rPr>
                <w:rFonts w:hint="eastAsia" w:ascii="宋体" w:hAnsi="宋体" w:eastAsia="宋体" w:cs="宋体"/>
                <w:color w:val="auto"/>
                <w:sz w:val="21"/>
              </w:rPr>
            </w:pPr>
            <w:r>
              <w:rPr>
                <w:rFonts w:hint="eastAsia" w:ascii="宋体" w:hAnsi="宋体" w:eastAsia="宋体" w:cs="宋体"/>
                <w:color w:val="auto"/>
                <w:sz w:val="21"/>
              </w:rPr>
              <w:t>解释：构成本竞争性谈判文件的各个组成文件应互为解释，互为说明；除竞争性谈判文件中有特别规定外，仅适用于竞标阶段的规定，按更正公告（澄清公告）、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与同步更新的竞争性谈判文件不一致时以更正公告（澄清公告）为准。按本款前述规定仍不能形成结论的，由采购人或者采购代理机构负责解释。</w:t>
            </w:r>
          </w:p>
        </w:tc>
      </w:tr>
      <w:tr w14:paraId="7CE56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729CC86">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33.2</w:t>
            </w:r>
          </w:p>
        </w:tc>
        <w:tc>
          <w:tcPr>
            <w:tcW w:w="7912" w:type="dxa"/>
            <w:vAlign w:val="center"/>
          </w:tcPr>
          <w:p w14:paraId="7B9BF740">
            <w:pPr>
              <w:pStyle w:val="19"/>
              <w:snapToGrid w:val="0"/>
              <w:spacing w:line="440" w:lineRule="exact"/>
              <w:rPr>
                <w:rFonts w:hint="eastAsia" w:ascii="宋体" w:hAnsi="宋体" w:eastAsia="宋体" w:cs="宋体"/>
                <w:color w:val="auto"/>
                <w:sz w:val="21"/>
              </w:rPr>
            </w:pPr>
            <w:r>
              <w:rPr>
                <w:rFonts w:hint="eastAsia" w:ascii="宋体" w:hAnsi="宋体" w:eastAsia="宋体" w:cs="宋体"/>
                <w:color w:val="auto"/>
                <w:sz w:val="21"/>
              </w:rPr>
              <w:t>1.本文件中描述供应商的“公章”是指根据我国对公章的管理规定，用供应商法定主体行为名称制作的印章（或CA签章），除本文件有特殊规定外，供应商的财务章、部门章、分公司章、工会章、合同章、竞标专用章、业务专用章及银行的转账章、现金收讫章、现金付讫章等其他形式印章均不能代替公章（或CA签章）。</w:t>
            </w:r>
          </w:p>
          <w:p w14:paraId="033A93E0">
            <w:pPr>
              <w:pStyle w:val="19"/>
              <w:snapToGrid w:val="0"/>
              <w:spacing w:line="440" w:lineRule="exact"/>
              <w:rPr>
                <w:rFonts w:hint="eastAsia" w:ascii="宋体" w:hAnsi="宋体" w:eastAsia="宋体" w:cs="宋体"/>
                <w:color w:val="auto"/>
                <w:sz w:val="21"/>
              </w:rPr>
            </w:pPr>
            <w:r>
              <w:rPr>
                <w:rFonts w:hint="eastAsia" w:ascii="宋体" w:hAnsi="宋体" w:eastAsia="宋体" w:cs="宋体"/>
                <w:color w:val="auto"/>
                <w:sz w:val="21"/>
              </w:rPr>
              <w:t>2.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14:paraId="05F32195">
            <w:pPr>
              <w:pStyle w:val="19"/>
              <w:snapToGrid w:val="0"/>
              <w:spacing w:line="440" w:lineRule="exact"/>
              <w:rPr>
                <w:rFonts w:hint="eastAsia" w:ascii="宋体" w:hAnsi="宋体" w:eastAsia="宋体" w:cs="宋体"/>
                <w:color w:val="auto"/>
                <w:sz w:val="21"/>
              </w:rPr>
            </w:pPr>
            <w:r>
              <w:rPr>
                <w:rFonts w:hint="eastAsia" w:ascii="宋体" w:hAnsi="宋体" w:eastAsia="宋体" w:cs="宋体"/>
                <w:color w:val="auto"/>
                <w:sz w:val="21"/>
              </w:rPr>
              <w:t>3.本文件中描述供应商的“签字”是指供应商的法定代表人或者委托代理人亲自在文件规定签署处亲笔写上个人的名字的行为，私章、签字章、印鉴、影印等其他形式均不能代替亲笔签字（个人CA签章除外）。</w:t>
            </w:r>
          </w:p>
          <w:p w14:paraId="33CD67F8">
            <w:pPr>
              <w:pStyle w:val="19"/>
              <w:snapToGrid w:val="0"/>
              <w:spacing w:line="440" w:lineRule="exact"/>
              <w:rPr>
                <w:rFonts w:hint="eastAsia" w:ascii="宋体" w:hAnsi="宋体" w:eastAsia="宋体" w:cs="宋体"/>
                <w:color w:val="auto"/>
                <w:sz w:val="21"/>
              </w:rPr>
            </w:pPr>
            <w:r>
              <w:rPr>
                <w:rFonts w:hint="eastAsia" w:ascii="宋体" w:hAnsi="宋体" w:eastAsia="宋体" w:cs="宋体"/>
                <w:color w:val="auto"/>
                <w:sz w:val="21"/>
              </w:rPr>
              <w:t>4.自然人竞标的，竞争性谈判文件规定盖章的地方自然人可以加盖手指指印。</w:t>
            </w:r>
          </w:p>
        </w:tc>
      </w:tr>
    </w:tbl>
    <w:p w14:paraId="5BC3CC6D">
      <w:pPr>
        <w:spacing w:line="360" w:lineRule="auto"/>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r>
        <w:rPr>
          <w:rFonts w:hint="eastAsia" w:ascii="宋体" w:hAnsi="宋体" w:eastAsia="宋体" w:cs="宋体"/>
          <w:b/>
          <w:color w:val="auto"/>
          <w:sz w:val="32"/>
          <w:szCs w:val="32"/>
        </w:rPr>
        <w:t>供应商须知正文</w:t>
      </w:r>
    </w:p>
    <w:p w14:paraId="226938A8">
      <w:pPr>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一、总则</w:t>
      </w:r>
    </w:p>
    <w:p w14:paraId="45386BE2">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 适用范围</w:t>
      </w:r>
    </w:p>
    <w:p w14:paraId="12036ED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34C21FC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w:t>
      </w:r>
      <w:r>
        <w:rPr>
          <w:rFonts w:hint="eastAsia" w:ascii="宋体" w:hAnsi="宋体" w:eastAsia="宋体" w:cs="宋体"/>
          <w:color w:val="auto"/>
          <w:spacing w:val="-6"/>
          <w:szCs w:val="21"/>
        </w:rPr>
        <w:t>本竞争性谈判文件适用于本项目的所有采购程序和环节（法律、法规另有规定的，从其规定）。</w:t>
      </w:r>
    </w:p>
    <w:p w14:paraId="3A201A2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 定义</w:t>
      </w:r>
    </w:p>
    <w:p w14:paraId="73E4776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2.1“采购人”是指依法进行采购的国家机关、事业单位、团体组织。</w:t>
      </w:r>
    </w:p>
    <w:p w14:paraId="55A9FA62">
      <w:pPr>
        <w:spacing w:line="360" w:lineRule="auto"/>
        <w:ind w:firstLine="420" w:firstLineChars="200"/>
        <w:rPr>
          <w:rFonts w:hint="eastAsia" w:ascii="宋体" w:hAnsi="宋体" w:eastAsia="宋体" w:cs="宋体"/>
          <w:b/>
          <w:color w:val="auto"/>
          <w:szCs w:val="21"/>
        </w:rPr>
      </w:pPr>
      <w:r>
        <w:rPr>
          <w:rFonts w:hint="eastAsia" w:ascii="宋体" w:hAnsi="宋体" w:eastAsia="宋体" w:cs="宋体"/>
          <w:color w:val="auto"/>
          <w:szCs w:val="21"/>
        </w:rPr>
        <w:t>2.2“采购代理机构”</w:t>
      </w:r>
      <w:r>
        <w:rPr>
          <w:rFonts w:hint="eastAsia" w:ascii="宋体" w:hAnsi="宋体" w:eastAsia="宋体" w:cs="宋体"/>
          <w:b/>
          <w:color w:val="auto"/>
          <w:szCs w:val="21"/>
        </w:rPr>
        <w:t>是指政府采购集中采购机构和集中采购机构以外的采购代理机构。</w:t>
      </w:r>
    </w:p>
    <w:p w14:paraId="52C3543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2.3“供应商”是指向采购人提供货物、工程或者服务的法人、其他组织或者自然人。</w:t>
      </w:r>
    </w:p>
    <w:p w14:paraId="5B1DC74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2.4“货物”是指各种形态和种类的物品，包括原材料、燃料、设备、产品等。</w:t>
      </w:r>
    </w:p>
    <w:p w14:paraId="6D524D9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2.5“配套（售后）服务”是指包含但不限于供应商须承担的备品备件、包装、运输、装卸、保险、货到就位以及安装、调试、培训、保修和其他类似的义务。</w:t>
      </w:r>
    </w:p>
    <w:p w14:paraId="4947888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2.6“书面形式”是指合同书、信件和数据电文（包括电报、电传、传真、电子数据交换和电子邮件）等可以有形地表现所载内容的形式。</w:t>
      </w:r>
    </w:p>
    <w:p w14:paraId="09598C7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2.7“响应文件”</w:t>
      </w:r>
      <w:r>
        <w:rPr>
          <w:rFonts w:hint="eastAsia" w:ascii="宋体" w:hAnsi="宋体" w:eastAsia="宋体" w:cs="宋体"/>
          <w:color w:val="auto"/>
          <w:spacing w:val="-6"/>
          <w:szCs w:val="21"/>
        </w:rPr>
        <w:t>是指：供应商根据本文件要求，编制包含报价、技术和服务等所有内容的文件。</w:t>
      </w:r>
    </w:p>
    <w:p w14:paraId="205B2CA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2.8 “实质性要求”是指采购需求中不能负偏离的条款或者已经指明不满足按响应文件作无效处理的条款。</w:t>
      </w:r>
    </w:p>
    <w:p w14:paraId="214D7C7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2.9 “正偏离”，是指响应文件对竞争性谈判文件“采购需求”中有关条款作出优于条款要求并有利于采购人的响应情形；“负偏离”，是指响应文件对竞争性谈判文件“采购需求”中有关条款作出的响应不满足条款要求，导致采购人要求不能得到满足的情形。“满足”是指响应文件对竞争性谈判文件“采购需求”中有关条款作出无“负偏离”或者“正偏离”的情形。</w:t>
      </w:r>
    </w:p>
    <w:p w14:paraId="124EC61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2.10 “允许负偏离的条款”是指采购需求中的不属于“实质性要求”的条款。</w:t>
      </w:r>
    </w:p>
    <w:p w14:paraId="00F2188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2.11响应文件对竞争性谈判文件中的实质性要求必须作出无偏离或者正偏离响应，实质性要求不允许负偏离。</w:t>
      </w:r>
    </w:p>
    <w:p w14:paraId="4877F28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2.12技术参数或者配置缺项漏项的，或者商务条款未承诺的视同为该项负偏离。</w:t>
      </w:r>
    </w:p>
    <w:p w14:paraId="3F7C69A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2.13“竞标”是指供应商获取竞争性谈判文件、提交响应文件并希望获得标的的行为。</w:t>
      </w:r>
    </w:p>
    <w:p w14:paraId="757EAE3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2.14“首次报价”是指供应商提交的首次响应文件中的竞标报价。</w:t>
      </w:r>
    </w:p>
    <w:p w14:paraId="07D055E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2.15“评审价”是指供应商提交的最后报价并经修正和政策功能价格扣除后的价格。</w:t>
      </w:r>
    </w:p>
    <w:p w14:paraId="312B6766">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 供应商的资格条件：详见“供应商须知前附表”。</w:t>
      </w:r>
    </w:p>
    <w:p w14:paraId="732AD41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4. 竞标费用</w:t>
      </w:r>
    </w:p>
    <w:p w14:paraId="0F1415F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4.1竞标费用：供应商应承担参与本次采购活动有关的所有费用，包括但不限于获取竞争性谈判文件、勘查现场、编制和提交响应文件、参加谈判与应答、签订合同等，不论竞标结果如何，均应自行承担。</w:t>
      </w:r>
    </w:p>
    <w:p w14:paraId="73AFB79C">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5.联合体竞标</w:t>
      </w:r>
    </w:p>
    <w:p w14:paraId="1AA76AD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5.1本项目是否接受联合体竞标，详见“供应商须知前附表”。</w:t>
      </w:r>
    </w:p>
    <w:p w14:paraId="60E6336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5.2联合体竞标要求，详见“供应商须知前附表”。</w:t>
      </w:r>
    </w:p>
    <w:p w14:paraId="5AE9448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5.3根据《政府采购促进中小企业发展管理办法》（财库〔2020〕46号）</w:t>
      </w:r>
      <w:r>
        <w:rPr>
          <w:rFonts w:hint="eastAsia" w:ascii="宋体" w:hAnsi="宋体" w:eastAsia="宋体" w:cs="宋体"/>
          <w:color w:val="auto"/>
        </w:rPr>
        <w:t>及</w:t>
      </w:r>
      <w:r>
        <w:rPr>
          <w:rFonts w:hint="eastAsia" w:ascii="宋体" w:hAnsi="宋体" w:eastAsia="宋体" w:cs="宋体"/>
          <w:color w:val="auto"/>
          <w:szCs w:val="21"/>
        </w:rPr>
        <w:t>《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4F23B05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 xml:space="preserve">6.转包与分包             </w:t>
      </w:r>
    </w:p>
    <w:p w14:paraId="4CD2E09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6.1本项目不允许转包。</w:t>
      </w:r>
    </w:p>
    <w:p w14:paraId="3FC0D34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6.2本项目是否允许分包详见“供应商须知前附表”，本项目不允许违法分包 。</w:t>
      </w:r>
    </w:p>
    <w:p w14:paraId="75C35430">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7.特别说明</w:t>
      </w:r>
    </w:p>
    <w:p w14:paraId="79FC8A1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"_8.1" </w:instrText>
      </w:r>
      <w:r>
        <w:rPr>
          <w:rFonts w:hint="eastAsia" w:ascii="宋体" w:hAnsi="宋体" w:eastAsia="宋体" w:cs="宋体"/>
          <w:color w:val="auto"/>
        </w:rPr>
        <w:fldChar w:fldCharType="separate"/>
      </w:r>
      <w:r>
        <w:rPr>
          <w:rFonts w:hint="eastAsia" w:ascii="宋体" w:hAnsi="宋体" w:eastAsia="宋体" w:cs="宋体"/>
          <w:color w:val="auto"/>
          <w:szCs w:val="21"/>
        </w:rPr>
        <w:t>7.1</w:t>
      </w:r>
      <w:r>
        <w:rPr>
          <w:rFonts w:hint="eastAsia" w:ascii="宋体" w:hAnsi="宋体" w:eastAsia="宋体" w:cs="宋体"/>
          <w:color w:val="auto"/>
          <w:szCs w:val="21"/>
        </w:rPr>
        <w:fldChar w:fldCharType="end"/>
      </w:r>
      <w:r>
        <w:rPr>
          <w:rFonts w:hint="eastAsia" w:ascii="宋体" w:hAnsi="宋体" w:eastAsia="宋体" w:cs="宋体"/>
          <w:color w:val="auto"/>
          <w:szCs w:val="21"/>
        </w:rPr>
        <w:t>提供相同品牌产品的不同供应商参加同一合同项下竞标的，以其中通过资格审查、符合性审查、谈判且最后报价最低的参加报价评审；最后报价相同的，由采购人或者采购人委托谈判小组按照竞争性谈判文件规定的方式确定一个参加评审的供应商，竞争性谈判文件未规定的采取随机抽取方式确定，其他响应文件作无效处理。</w:t>
      </w:r>
    </w:p>
    <w:p w14:paraId="082BD03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非单一产品采购项目，多家供应商提供的核心产品品牌相同的，按前款规定处理。</w:t>
      </w:r>
    </w:p>
    <w:p w14:paraId="6DA5B5A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7.2如果本竞争性谈判文件要求提供供应商或制造商的资格、信誉、荣誉、业绩与企业认证等材料的，资格、信誉、荣誉、业绩与企业认证等必须为供应商或者制造商所拥有或自身获得 。</w:t>
      </w:r>
    </w:p>
    <w:p w14:paraId="1AD17C8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7.3供应商应仔细阅读竞争性谈判文件的所有内容，按照竞争性谈判文件的要求提交响应文件，并对所提供的全部资料的真实性承担法律责任。</w:t>
      </w:r>
    </w:p>
    <w:p w14:paraId="74E036E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7.4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6F57D9E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7.5在政府采购活动中，采购人员及相关人员与供应商有下列利害关系之一的，应当回避：</w:t>
      </w:r>
    </w:p>
    <w:p w14:paraId="3F285E0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（1）参加采购活动前3年内与供应商存在劳动关系；</w:t>
      </w:r>
    </w:p>
    <w:p w14:paraId="360A862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（2）参加采购活动前3年内担任供应商的董事、监事；</w:t>
      </w:r>
    </w:p>
    <w:p w14:paraId="17B196C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（3）参加采购活动前3年内是供应商的控股股东或者实际控制人；</w:t>
      </w:r>
    </w:p>
    <w:p w14:paraId="29EC325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（4）与供应商的法定代表人或者负责人有夫妻、直系血亲、三代以内旁系血亲或者近姻亲关系；</w:t>
      </w:r>
    </w:p>
    <w:p w14:paraId="1816DF2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（5）与供应商有其他可能影响政府采购活动公平、公正进行的关系。</w:t>
      </w:r>
    </w:p>
    <w:p w14:paraId="1313E13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F32E4F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7.6有下列情形之一的视为供应商相互串通竞标，响应文件将被视为无效：</w:t>
      </w:r>
    </w:p>
    <w:p w14:paraId="5F32360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（1）不同供应商的响应文件由同一单位或者个人编制；</w:t>
      </w:r>
    </w:p>
    <w:p w14:paraId="3CBBDE5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（2）不同供应商委托同一单位或者个人办理竞标事宜；</w:t>
      </w:r>
    </w:p>
    <w:p w14:paraId="2C9ECAE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（3）不同的供应商的响应文件载明的项目管理员为同一个人；</w:t>
      </w:r>
    </w:p>
    <w:p w14:paraId="13602A1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（4）不同供应商的响应文件异常一致或者报价呈规律性差异；</w:t>
      </w:r>
    </w:p>
    <w:p w14:paraId="7D0A3C0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（5）不同供应商的响应文件相互混装；</w:t>
      </w:r>
    </w:p>
    <w:p w14:paraId="5AB9AF1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（6）不同供应商的竞标保证金从同一单位或者个人账户转出。</w:t>
      </w:r>
    </w:p>
    <w:p w14:paraId="17FECFE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7.7供应商有下列情形之一的，属于恶意串通行为，将报同级监督管理部门：</w:t>
      </w:r>
    </w:p>
    <w:p w14:paraId="52A89C1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（1）供应商直接或者间接从采购人或者采购代理机构处获得其他供应商的相关信息并修改其响应文件；</w:t>
      </w:r>
    </w:p>
    <w:p w14:paraId="685824D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（2）供应商按照采购人或者采购代理机构的授意撤换、修改响应文件；</w:t>
      </w:r>
    </w:p>
    <w:p w14:paraId="5FE5542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（3）供应商之间协商报价、技术方案等响应文件或者响应文件的实质性内容；</w:t>
      </w:r>
    </w:p>
    <w:p w14:paraId="76767C8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（4）属于同一集团、协会、商会等组织成员的供应商按照该组织要求协同参加政府采购活动；</w:t>
      </w:r>
    </w:p>
    <w:p w14:paraId="40BE9E9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7277652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（6）供应商之间商定部分供应商放弃参加政府采购活动或者放弃成交；</w:t>
      </w:r>
    </w:p>
    <w:p w14:paraId="574A61D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（7）供应商与采购人或者采购代理机构之间、供应商相互之间，为谋求特定供应商成交或者排斥其他供应商的其他串通行为。</w:t>
      </w:r>
    </w:p>
    <w:p w14:paraId="582ABC56">
      <w:pPr>
        <w:spacing w:before="156" w:beforeLines="50" w:after="156" w:afterLines="50"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二、竞争性谈判文件</w:t>
      </w:r>
    </w:p>
    <w:p w14:paraId="7B6A182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8.竞争性谈判文件的构成</w:t>
      </w:r>
    </w:p>
    <w:p w14:paraId="50E3B451">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（1）竞争性谈判公告；</w:t>
      </w:r>
    </w:p>
    <w:p w14:paraId="3E3D8EAF">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 xml:space="preserve">（2）供应商须知； </w:t>
      </w:r>
    </w:p>
    <w:p w14:paraId="201686C9">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（3）采购需求；</w:t>
      </w:r>
    </w:p>
    <w:p w14:paraId="630E6862">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（4）响应文件格式</w:t>
      </w:r>
    </w:p>
    <w:p w14:paraId="11620F94">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（5）合同文本；</w:t>
      </w:r>
    </w:p>
    <w:p w14:paraId="0C6346AC">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（6）评审程序和评定成交的标准；</w:t>
      </w:r>
    </w:p>
    <w:p w14:paraId="0638609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9.供应商的询问</w:t>
      </w:r>
    </w:p>
    <w:p w14:paraId="4A9365A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供应商应认真阅读谈判文件的采购需求，如供应商对竞争性谈判文件有疑问的，如要求采购人作出澄清或者修改的，供应商尽可能在提交首次响应文件截止之日前，以书面形式向采购人、采购代理机构提出。</w:t>
      </w:r>
    </w:p>
    <w:p w14:paraId="512C61E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10.竞争性谈判文件的澄清和修改</w:t>
      </w:r>
    </w:p>
    <w:p w14:paraId="49F6138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网上公告形式通知所有接收谈判文件的供应商，不足3个工作日的，应当顺延提交首次响应文件截止之日。</w:t>
      </w:r>
    </w:p>
    <w:p w14:paraId="767CA9BF">
      <w:pPr>
        <w:spacing w:before="156" w:beforeLines="50" w:after="156" w:afterLines="50"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三、响应文件的编制</w:t>
      </w:r>
    </w:p>
    <w:p w14:paraId="39F7950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11.响应文件的编制原则</w:t>
      </w:r>
    </w:p>
    <w:p w14:paraId="2351861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供应商必须按照竞争性谈判文件的要求编制响应文件，并对其提交的响应文件的真实性、合法性承担法律责任。响应文件必须对竞争性谈判文件作出实质性响应。</w:t>
      </w:r>
    </w:p>
    <w:p w14:paraId="2E6E6A49">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12.响应文件的组成</w:t>
      </w:r>
    </w:p>
    <w:p w14:paraId="444153C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12.1响应文件由资格证明文件、报价商务技术文件两部分组成。</w:t>
      </w:r>
    </w:p>
    <w:p w14:paraId="61770C6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12.1.1资格证明文件：详见须知前附表</w:t>
      </w:r>
    </w:p>
    <w:p w14:paraId="704C64D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12.1.2报价商务技术文件：详见须知前附表</w:t>
      </w:r>
    </w:p>
    <w:p w14:paraId="35C6D051">
      <w:pPr>
        <w:spacing w:line="360" w:lineRule="auto"/>
        <w:ind w:left="840" w:leftChars="200" w:hanging="420" w:hangingChars="200"/>
        <w:rPr>
          <w:rFonts w:hint="eastAsia" w:ascii="宋体" w:hAnsi="宋体" w:eastAsia="宋体" w:cs="宋体"/>
          <w:color w:val="auto"/>
          <w:szCs w:val="21"/>
        </w:rPr>
      </w:pPr>
      <w:r>
        <w:rPr>
          <w:rFonts w:hint="eastAsia" w:ascii="宋体" w:hAnsi="宋体" w:eastAsia="宋体" w:cs="宋体"/>
          <w:color w:val="auto"/>
          <w:szCs w:val="21"/>
        </w:rPr>
        <w:t>12.2</w:t>
      </w:r>
      <w:r>
        <w:rPr>
          <w:rFonts w:hint="eastAsia" w:ascii="宋体" w:hAnsi="宋体" w:eastAsia="宋体" w:cs="宋体"/>
          <w:bCs/>
          <w:color w:val="auto"/>
          <w:szCs w:val="21"/>
        </w:rPr>
        <w:t>电子竞争性</w:t>
      </w:r>
      <w:r>
        <w:rPr>
          <w:rFonts w:hint="eastAsia" w:ascii="宋体" w:hAnsi="宋体" w:cs="宋体"/>
          <w:bCs/>
          <w:color w:val="auto"/>
          <w:szCs w:val="21"/>
          <w:lang w:eastAsia="zh-CN"/>
        </w:rPr>
        <w:t>谈判</w:t>
      </w:r>
      <w:r>
        <w:rPr>
          <w:rFonts w:hint="eastAsia" w:ascii="宋体" w:hAnsi="宋体" w:eastAsia="宋体" w:cs="宋体"/>
          <w:bCs/>
          <w:color w:val="auto"/>
          <w:szCs w:val="21"/>
        </w:rPr>
        <w:t>响应文件的制作</w:t>
      </w:r>
      <w:r>
        <w:rPr>
          <w:rFonts w:hint="eastAsia" w:ascii="宋体" w:hAnsi="宋体" w:eastAsia="宋体" w:cs="宋体"/>
          <w:color w:val="auto"/>
          <w:szCs w:val="21"/>
        </w:rPr>
        <w:t>：详见须知前附表</w:t>
      </w:r>
    </w:p>
    <w:p w14:paraId="759545C5">
      <w:pPr>
        <w:spacing w:line="360" w:lineRule="auto"/>
        <w:ind w:firstLine="420"/>
        <w:rPr>
          <w:rFonts w:hint="eastAsia" w:ascii="宋体" w:hAnsi="宋体" w:eastAsia="宋体" w:cs="宋体"/>
          <w:b/>
          <w:bCs/>
          <w:color w:val="auto"/>
        </w:rPr>
      </w:pPr>
      <w:r>
        <w:rPr>
          <w:rFonts w:hint="eastAsia" w:ascii="宋体" w:hAnsi="宋体" w:eastAsia="宋体" w:cs="宋体"/>
          <w:b/>
          <w:bCs/>
          <w:color w:val="auto"/>
          <w:szCs w:val="21"/>
        </w:rPr>
        <w:t>供应商</w:t>
      </w:r>
      <w:r>
        <w:rPr>
          <w:rFonts w:hint="eastAsia" w:ascii="宋体" w:hAnsi="宋体" w:eastAsia="宋体" w:cs="宋体"/>
          <w:b/>
          <w:bCs/>
          <w:color w:val="auto"/>
        </w:rPr>
        <w:t>提供的以上相关证明材料属于“必须提供”的文件应加盖供应商公章（CA签章）/自然人签字或个人CA签章，否则响应无效。</w:t>
      </w:r>
    </w:p>
    <w:p w14:paraId="0DAB8B55">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特别说明：</w:t>
      </w:r>
    </w:p>
    <w:p w14:paraId="79623464">
      <w:pPr>
        <w:spacing w:line="360" w:lineRule="auto"/>
        <w:ind w:firstLine="422" w:firstLineChars="200"/>
        <w:rPr>
          <w:rFonts w:hint="eastAsia" w:ascii="宋体" w:hAnsi="宋体" w:eastAsia="宋体" w:cs="宋体"/>
          <w:b/>
          <w:color w:val="auto"/>
          <w:szCs w:val="21"/>
        </w:rPr>
      </w:pPr>
      <w:r>
        <w:rPr>
          <w:rFonts w:hint="eastAsia" w:ascii="宋体" w:hAnsi="宋体" w:eastAsia="宋体" w:cs="宋体"/>
          <w:b/>
          <w:bCs/>
          <w:color w:val="auto"/>
          <w:szCs w:val="21"/>
        </w:rPr>
        <w:t>（1）响</w:t>
      </w:r>
      <w:r>
        <w:rPr>
          <w:rFonts w:hint="eastAsia" w:ascii="宋体" w:hAnsi="宋体" w:eastAsia="宋体" w:cs="宋体"/>
          <w:b/>
          <w:color w:val="auto"/>
          <w:szCs w:val="21"/>
        </w:rPr>
        <w:t>应文件（电子响应文件），其中电子响应文件中所须加盖公章部分均采用CA签章。若采购文件中有专门标注的某关联点，并要求供应商在电子投标系统中作出谈判响应的，如供应商未对关联点进行响应或者在响应文件其它内容进行描述，造成电子评审不能查询的责任由供应商自行承担。</w:t>
      </w:r>
    </w:p>
    <w:p w14:paraId="7C43616B">
      <w:pPr>
        <w:numPr>
          <w:ilvl w:val="0"/>
          <w:numId w:val="2"/>
        </w:numPr>
        <w:spacing w:line="360" w:lineRule="auto"/>
        <w:ind w:firstLine="422" w:firstLineChars="200"/>
        <w:rPr>
          <w:rFonts w:hint="eastAsia" w:ascii="宋体" w:hAnsi="宋体" w:eastAsia="宋体" w:cs="宋体"/>
          <w:b/>
          <w:color w:val="auto"/>
          <w:szCs w:val="21"/>
        </w:rPr>
      </w:pPr>
      <w:r>
        <w:rPr>
          <w:rFonts w:hint="eastAsia" w:ascii="宋体" w:hAnsi="宋体" w:eastAsia="宋体" w:cs="宋体"/>
          <w:b/>
          <w:bCs/>
          <w:color w:val="auto"/>
          <w:szCs w:val="21"/>
        </w:rPr>
        <w:t>采购文件要求法定代表人或委托代理人签字的部分必须签字然后扫描或者拍照做成 pdf 格式上传（或加盖个人CA签章），无签字的视为响应无效。</w:t>
      </w:r>
    </w:p>
    <w:p w14:paraId="5F8677EE">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13.计量单位</w:t>
      </w:r>
    </w:p>
    <w:p w14:paraId="3081F50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竞争性谈判文件已有明确规定的，使用竞争性谈判文件规定的计量单位；竞争性谈判文件没有规定的，应采用中华人民共和国法定计量单位，货币种类为人民币，否则视同未响应。</w:t>
      </w:r>
    </w:p>
    <w:p w14:paraId="7A855FAC">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14.竞标的风险</w:t>
      </w:r>
    </w:p>
    <w:p w14:paraId="55F2614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供应商没有按照竞争性谈判文件要求提供全部资料，或者供应商没有对竞争性谈判文件在各方面作出实质性响应可能导致其响应文件作无效处理，是供应商应当考虑的风险。</w:t>
      </w:r>
    </w:p>
    <w:p w14:paraId="48B52D5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15.竞标报价要求和构成</w:t>
      </w:r>
    </w:p>
    <w:p w14:paraId="1D03652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15.1竞标报价应按竞争性谈判文件中“竞标报价表”格式填写。</w:t>
      </w:r>
    </w:p>
    <w:p w14:paraId="232A2683">
      <w:pPr>
        <w:tabs>
          <w:tab w:val="left" w:pos="2492"/>
        </w:tabs>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15.2竞标报价的价格构成见“供应商须知前附表”。</w:t>
      </w:r>
    </w:p>
    <w:p w14:paraId="35D6247E">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15.3竞标报价要求</w:t>
      </w:r>
    </w:p>
    <w:p w14:paraId="07B366B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15.3.1供应商的竞标报价应符合以下要求，否则响应文件按无效响应处理：</w:t>
      </w:r>
    </w:p>
    <w:p w14:paraId="7D0539D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（1）供应商必须就“采购需求”中所竞标的每个分标的全部内容分别作完整唯一总价报价，不得存在漏项报价；</w:t>
      </w:r>
    </w:p>
    <w:p w14:paraId="1C5DEA4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（2）供应商必须就所竞标的单项内容作唯一报价。</w:t>
      </w:r>
    </w:p>
    <w:p w14:paraId="64F98F4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15.3.2竞标报价（包含首次报价、最后报价）超过所竞标分标规定的采购预算金额或者最高限价的，其响应文件将作无效处理。</w:t>
      </w:r>
    </w:p>
    <w:p w14:paraId="0A80165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15.3.3竞标报价（包含首次报价、最后报价）超过分项采购预算金额或者最高限价的，其响应文件将作无效处理。</w:t>
      </w:r>
    </w:p>
    <w:p w14:paraId="6C0FD00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16.竞标有效期</w:t>
      </w:r>
    </w:p>
    <w:p w14:paraId="6A551A4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1F5061E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16.2 竞标有效期应由供应商按“供应商须知前附表”规定的期限作出响应。</w:t>
      </w:r>
    </w:p>
    <w:p w14:paraId="36CE29C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16.3供应商的响应文件在竞标有效期内均保持有效。</w:t>
      </w:r>
    </w:p>
    <w:p w14:paraId="05B7B6F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17.竞标保证金</w:t>
      </w:r>
    </w:p>
    <w:p w14:paraId="74944F1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本项目</w:t>
      </w:r>
      <w:r>
        <w:rPr>
          <w:rFonts w:hint="eastAsia" w:ascii="宋体" w:hAnsi="宋体" w:cs="宋体"/>
          <w:color w:val="auto"/>
          <w:szCs w:val="21"/>
          <w:lang w:eastAsia="zh-CN"/>
        </w:rPr>
        <w:t>无</w:t>
      </w:r>
      <w:r>
        <w:rPr>
          <w:rFonts w:hint="eastAsia" w:ascii="宋体" w:hAnsi="宋体" w:eastAsia="宋体" w:cs="宋体"/>
          <w:color w:val="auto"/>
          <w:szCs w:val="21"/>
        </w:rPr>
        <w:t>需缴纳竞标保证金。</w:t>
      </w:r>
    </w:p>
    <w:p w14:paraId="66576F83">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18.响应文件编制的要求</w:t>
      </w:r>
    </w:p>
    <w:p w14:paraId="66BCD18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18.1本项目实行电子竞标，供应商应准备电子谈判响应文件：</w:t>
      </w:r>
    </w:p>
    <w:p w14:paraId="09D94C12">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18.1.1电子响应文件按广西政府采购云平台要求及本采购文件要求制作、加密并递交。</w:t>
      </w:r>
    </w:p>
    <w:p w14:paraId="46FE950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18.1.2 电子谈判响应文件中须加盖供应商公章部分均采用CA签章，并根据“政府采购项目电子交易管理操作指南-供应商”及本采购文件规定的格式和顺序编制电子谈判响应文件并进行关联定位，以便谈判小组在评审时，点击评审项可直接定位到该评审项内容。如对采购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漏读，或者在按采购文件规定的部位查找不到相关内容的，由供应商自行承担。</w:t>
      </w:r>
    </w:p>
    <w:p w14:paraId="0FBEFA9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18.1.2供应商法定代表人或授权代表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66CB667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18.1.3谈判响应文件不得涂改，若有修改错漏处，须法定代表人或授权委托人签字（或个人CA签章）。谈判响应文件因字迹潦草或表达不清所引起的后果由供应商负责。</w:t>
      </w:r>
    </w:p>
    <w:p w14:paraId="78F8AC68">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19.响应文件的密封和标记</w:t>
      </w:r>
    </w:p>
    <w:p w14:paraId="0E6E23AD">
      <w:pPr>
        <w:spacing w:line="360" w:lineRule="auto"/>
        <w:ind w:firstLine="420" w:firstLineChars="200"/>
        <w:rPr>
          <w:rFonts w:hint="eastAsia" w:ascii="宋体" w:hAnsi="宋体" w:eastAsia="宋体" w:cs="宋体"/>
          <w:color w:val="auto"/>
          <w:kern w:val="0"/>
          <w:szCs w:val="21"/>
          <w:lang w:val="zh-CN"/>
        </w:rPr>
      </w:pPr>
      <w:r>
        <w:rPr>
          <w:rFonts w:hint="eastAsia" w:ascii="宋体" w:hAnsi="宋体" w:eastAsia="宋体" w:cs="宋体"/>
          <w:color w:val="auto"/>
          <w:kern w:val="0"/>
          <w:szCs w:val="21"/>
          <w:lang w:val="zh-CN"/>
        </w:rPr>
        <w:t>19.1供应商进行电子交易应安装客户端软件—“广西政府采购云平台客户端”，并按照谈判文件和电子交易平台的要求编制并加密响应文件。供应商未按规定加密的响应文件，电子交易平台将拒收并提示。</w:t>
      </w:r>
    </w:p>
    <w:p w14:paraId="60078DCF">
      <w:pPr>
        <w:spacing w:line="360" w:lineRule="auto"/>
        <w:ind w:firstLine="420" w:firstLineChars="200"/>
        <w:rPr>
          <w:rFonts w:hint="eastAsia" w:ascii="宋体" w:hAnsi="宋体" w:eastAsia="宋体" w:cs="宋体"/>
          <w:color w:val="auto"/>
          <w:kern w:val="0"/>
          <w:szCs w:val="21"/>
          <w:lang w:val="zh-CN"/>
        </w:rPr>
      </w:pPr>
      <w:r>
        <w:rPr>
          <w:rFonts w:hint="eastAsia" w:ascii="宋体" w:hAnsi="宋体" w:eastAsia="宋体" w:cs="宋体"/>
          <w:color w:val="auto"/>
          <w:kern w:val="0"/>
          <w:szCs w:val="21"/>
          <w:lang w:val="zh-CN"/>
        </w:rPr>
        <w:t>19.2使用“广西政府采购云平台客户端”需要提前申领CA数字证书，申领流程见该项目采购公告附件。</w:t>
      </w:r>
    </w:p>
    <w:p w14:paraId="3230DABA">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19.3为确保网上操作合法、有效和安全，供应商应当在响应文件提交截止时间前完成在“政府采购云平台”的身份认证，确保在电子交易过程中能够对相关数据电文进行加密和使用电子签名。</w:t>
      </w:r>
    </w:p>
    <w:p w14:paraId="2A316449">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20.响应文件的提交</w:t>
      </w:r>
    </w:p>
    <w:p w14:paraId="01C2686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20.1供应商必须在“供应商须知前附表”规定的时间和地点提交响应文件。</w:t>
      </w:r>
    </w:p>
    <w:p w14:paraId="0D267E7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20.2 在响应文件提交截止时间以后，不能补充、修改响应文件。</w:t>
      </w:r>
    </w:p>
    <w:p w14:paraId="2762595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20.3 在提交“最后报价”后，供应商不能退出谈判。</w:t>
      </w:r>
    </w:p>
    <w:p w14:paraId="107DC8C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482A0FA6">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20.5 采购机构不可视情况延长提交响应文件的截止时间。</w:t>
      </w:r>
    </w:p>
    <w:p w14:paraId="7CDEFD00">
      <w:pPr>
        <w:spacing w:line="360" w:lineRule="auto"/>
        <w:ind w:firstLine="420" w:firstLineChars="200"/>
        <w:rPr>
          <w:rFonts w:hint="eastAsia" w:ascii="宋体" w:hAnsi="宋体" w:eastAsia="宋体" w:cs="宋体"/>
          <w:color w:val="auto"/>
          <w:sz w:val="24"/>
        </w:rPr>
      </w:pPr>
      <w:r>
        <w:rPr>
          <w:rFonts w:hint="eastAsia" w:ascii="宋体" w:hAnsi="宋体" w:eastAsia="宋体" w:cs="宋体"/>
          <w:color w:val="auto"/>
          <w:szCs w:val="21"/>
        </w:rPr>
        <w:t>20.6备份响应文件。</w:t>
      </w:r>
      <w:r>
        <w:rPr>
          <w:rFonts w:hint="eastAsia" w:ascii="宋体" w:hAnsi="宋体" w:eastAsia="宋体" w:cs="宋体"/>
          <w:bCs/>
          <w:color w:val="auto"/>
          <w:szCs w:val="21"/>
        </w:rPr>
        <w:t>详见在“供应商须知前附表”。</w:t>
      </w:r>
    </w:p>
    <w:p w14:paraId="7816AF6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21.首次响应文件的补充、修改与撤回</w:t>
      </w:r>
    </w:p>
    <w:p w14:paraId="61BA2493">
      <w:pPr>
        <w:adjustRightInd w:val="0"/>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14:paraId="50E95534">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22.首次响应文件的退回</w:t>
      </w:r>
    </w:p>
    <w:p w14:paraId="05AE7B7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采购人和采购代理机构对所接收的响应文件除“第四章 评审程序和评定成交的标准”第3.6条规定的情形外，在首次响应文件提交截止时间止提交响应文件的供应商不足3家的，应当由供应商法定代表人或者委托代理人签字领回响应文件（响应文件采用邮寄方式提交的，以到付的方式寄回至原地址），除此之外采购人和采购代理机构对已开启的响应文件概不退回。</w:t>
      </w:r>
    </w:p>
    <w:p w14:paraId="0F0E36D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23. 截止时间后的撤回</w:t>
      </w:r>
    </w:p>
    <w:p w14:paraId="0AA7315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供应商在首次响应文件提交截止时间后向采购人、采购代理机构书面申请撤回响应文件的，将根据本须知正文第17.4条的规定不予退还其竞标保证金。</w:t>
      </w:r>
    </w:p>
    <w:p w14:paraId="07175978">
      <w:pPr>
        <w:spacing w:before="156" w:beforeLines="50" w:after="156" w:afterLines="50"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四、评审及谈判</w:t>
      </w:r>
    </w:p>
    <w:p w14:paraId="06F6AE91">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24.谈判小组成立</w:t>
      </w:r>
    </w:p>
    <w:p w14:paraId="27BF35C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24.1竞争性谈判小组成立：谈判小组由采购人代表和评审专家共3人以上单数组成，具体人数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35713BD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6655A2CF">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25. 首次响应文件的开启</w:t>
      </w:r>
    </w:p>
    <w:p w14:paraId="456FBCC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25.1首次响应文件由谈判小组或者采购代理机构在“供应商须知前附表”规定的时间开启。</w:t>
      </w:r>
    </w:p>
    <w:p w14:paraId="3E0307B1">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25.2 响应文件解密       </w:t>
      </w:r>
    </w:p>
    <w:p w14:paraId="0FDDDD06">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szCs w:val="21"/>
        </w:rPr>
        <w:t>采购代理机构将在“供应商须知前附表”规定</w:t>
      </w:r>
      <w:r>
        <w:rPr>
          <w:rFonts w:hint="eastAsia" w:ascii="宋体" w:hAnsi="宋体" w:eastAsia="宋体" w:cs="宋体"/>
          <w:bCs/>
          <w:color w:val="auto"/>
          <w:kern w:val="0"/>
          <w:szCs w:val="21"/>
        </w:rPr>
        <w:t>的时</w:t>
      </w:r>
      <w:r>
        <w:rPr>
          <w:rFonts w:hint="eastAsia" w:ascii="宋体" w:hAnsi="宋体" w:eastAsia="宋体" w:cs="宋体"/>
          <w:color w:val="auto"/>
          <w:kern w:val="0"/>
          <w:szCs w:val="21"/>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rPr>
        <w:t>须携带加密时所用的CA锁按平台提示和采购文件的规定登录到“</w:t>
      </w:r>
      <w:r>
        <w:rPr>
          <w:rFonts w:hint="eastAsia" w:ascii="宋体" w:hAnsi="宋体" w:eastAsia="宋体" w:cs="宋体"/>
          <w:b/>
          <w:bCs/>
          <w:color w:val="auto"/>
          <w:szCs w:val="21"/>
        </w:rPr>
        <w:t>广西政府采购云平台</w:t>
      </w:r>
      <w:r>
        <w:rPr>
          <w:rFonts w:hint="eastAsia" w:ascii="宋体" w:hAnsi="宋体" w:eastAsia="宋体" w:cs="宋体"/>
          <w:b/>
          <w:color w:val="auto"/>
          <w:kern w:val="0"/>
          <w:szCs w:val="21"/>
        </w:rPr>
        <w:t>”电子开标大厅签到并在发起解密指令之时起30分钟内完成对电子响应文件在线解密</w:t>
      </w:r>
      <w:r>
        <w:rPr>
          <w:rFonts w:hint="eastAsia" w:ascii="宋体" w:hAnsi="宋体" w:eastAsia="宋体" w:cs="宋体"/>
          <w:color w:val="auto"/>
          <w:kern w:val="0"/>
          <w:szCs w:val="21"/>
        </w:rPr>
        <w:t>。发起解密指令之时起5分钟内供应商还未进行解密的，代理机构要通知供应商，供应商没预留联系方式或预留联系方式无效，导致代理机构无法联系到供应商进行解密的，</w:t>
      </w:r>
      <w:r>
        <w:rPr>
          <w:rFonts w:hint="eastAsia" w:ascii="宋体" w:hAnsi="宋体" w:eastAsia="宋体" w:cs="宋体"/>
          <w:b/>
          <w:color w:val="auto"/>
          <w:kern w:val="0"/>
          <w:szCs w:val="21"/>
        </w:rPr>
        <w:t>视为响应文件无效。</w:t>
      </w:r>
      <w:r>
        <w:rPr>
          <w:rFonts w:hint="eastAsia" w:ascii="宋体" w:hAnsi="宋体" w:eastAsia="宋体" w:cs="宋体"/>
          <w:color w:val="auto"/>
          <w:kern w:val="0"/>
          <w:szCs w:val="21"/>
        </w:rPr>
        <w:t>（解密</w:t>
      </w:r>
      <w:r>
        <w:rPr>
          <w:rFonts w:hint="eastAsia" w:ascii="宋体" w:hAnsi="宋体" w:eastAsia="宋体" w:cs="宋体"/>
          <w:bCs/>
          <w:color w:val="auto"/>
          <w:kern w:val="0"/>
          <w:szCs w:val="21"/>
        </w:rPr>
        <w:t>异常情况处理：详见本章</w:t>
      </w:r>
      <w:r>
        <w:rPr>
          <w:rFonts w:hint="eastAsia" w:ascii="宋体" w:hAnsi="宋体" w:eastAsia="宋体" w:cs="宋体"/>
          <w:color w:val="auto"/>
          <w:kern w:val="0"/>
          <w:szCs w:val="21"/>
        </w:rPr>
        <w:t>26.3 电子交易活动的中止。）</w:t>
      </w:r>
    </w:p>
    <w:p w14:paraId="4AFFC0E9">
      <w:pPr>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如</w:t>
      </w:r>
      <w:r>
        <w:rPr>
          <w:rFonts w:hint="eastAsia" w:ascii="宋体" w:hAnsi="宋体" w:eastAsia="宋体" w:cs="宋体"/>
          <w:bCs/>
          <w:color w:val="auto"/>
          <w:kern w:val="0"/>
          <w:szCs w:val="21"/>
        </w:rPr>
        <w:t>供应商成功解密响应文件，但未在“广西政府采购云平台”电子开标大厅参加谈判的，视同认可谈判过程和结果，</w:t>
      </w:r>
      <w:r>
        <w:rPr>
          <w:rFonts w:hint="eastAsia" w:ascii="宋体" w:hAnsi="宋体" w:eastAsia="宋体" w:cs="宋体"/>
          <w:color w:val="auto"/>
          <w:kern w:val="0"/>
          <w:szCs w:val="21"/>
        </w:rPr>
        <w:t>由此产生的后果由供应商自行负责。 参与谈判的供应商不足3家的，不得谈判。</w:t>
      </w:r>
    </w:p>
    <w:p w14:paraId="0ECEA4ED">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26. 评审程序和评定成交的标准</w:t>
      </w:r>
    </w:p>
    <w:p w14:paraId="4F70FDF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26.1谈判小组按照“第四章 评审程序、评审方法和成交标准”规定的方法、评审因素、标准和程序对响应文件进行评审。</w:t>
      </w:r>
    </w:p>
    <w:p w14:paraId="72728F3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26.2 采购需求负偏离要求及谈判顺序详见 “供应商须知前附表”。</w:t>
      </w:r>
    </w:p>
    <w:p w14:paraId="13AC263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26.3电子交易活动的中止。采购过程中出现以下情形，导致电子交易平台无法正常运行，或者无法保证电子交易的公平、公正和安全时，采购机构可中止电子交易活动：</w:t>
      </w:r>
    </w:p>
    <w:p w14:paraId="7E29C4C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（1）电子交易平台发生故障而无法登录访问的； </w:t>
      </w:r>
    </w:p>
    <w:p w14:paraId="3E079E3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（2）电子交易平台应用或数据库出现错误，不能进行正常操作的；</w:t>
      </w:r>
    </w:p>
    <w:p w14:paraId="360F8ADF">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（3）电子交易平台发现严重安全漏洞，有潜在泄密危险的；</w:t>
      </w:r>
    </w:p>
    <w:p w14:paraId="4A19A83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（4）病毒发作导致不能进行正常操作的； </w:t>
      </w:r>
    </w:p>
    <w:p w14:paraId="0D24D32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（4）其他无法保证电子交易的公平、公正和安全的情况。</w:t>
      </w:r>
    </w:p>
    <w:p w14:paraId="75A6236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787199B">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27.确定成交供应商及结果公告</w:t>
      </w:r>
    </w:p>
    <w:p w14:paraId="7A0C012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27.1</w:t>
      </w:r>
      <w:r>
        <w:rPr>
          <w:rFonts w:hint="eastAsia" w:ascii="宋体" w:hAnsi="宋体" w:eastAsia="宋体" w:cs="宋体"/>
          <w:color w:val="auto"/>
          <w:kern w:val="0"/>
          <w:szCs w:val="21"/>
        </w:rPr>
        <w:t xml:space="preserve"> 采购</w:t>
      </w:r>
      <w:r>
        <w:rPr>
          <w:rFonts w:hint="eastAsia" w:ascii="宋体" w:hAnsi="宋体" w:eastAsia="宋体" w:cs="宋体"/>
          <w:color w:val="auto"/>
          <w:szCs w:val="21"/>
        </w:rPr>
        <w:t>代理</w:t>
      </w:r>
      <w:r>
        <w:rPr>
          <w:rFonts w:hint="eastAsia" w:ascii="宋体" w:hAnsi="宋体" w:eastAsia="宋体" w:cs="宋体"/>
          <w:color w:val="auto"/>
          <w:kern w:val="0"/>
          <w:szCs w:val="21"/>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157CD77D">
      <w:pPr>
        <w:pStyle w:val="10"/>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27.2采购代理机构应当在成交供应商确定后2个工作日内，在同采购公告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eastAsia="宋体" w:cs="宋体"/>
          <w:color w:val="auto"/>
          <w:szCs w:val="21"/>
        </w:rPr>
        <w:t>成交供应商享受《政府采购促进中小企业发展管理办法》（财库〔2020〕46号）规定的中小企业扶持政策的，采购人、采购代理机构应当随成交结果公开成交供应商的《中小企业声明函》。</w:t>
      </w:r>
    </w:p>
    <w:p w14:paraId="1EB48BAF">
      <w:pPr>
        <w:pStyle w:val="10"/>
        <w:spacing w:line="360" w:lineRule="auto"/>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27.3</w:t>
      </w:r>
      <w:r>
        <w:rPr>
          <w:rFonts w:hint="eastAsia" w:ascii="宋体" w:hAnsi="宋体" w:eastAsia="宋体" w:cs="宋体"/>
          <w:color w:val="auto"/>
          <w:szCs w:val="21"/>
        </w:rPr>
        <w:t>除“第四章 评审程序和评定成交的标准”第3.6条规定的情形外，在采购过程中符合竞争要求的供应商或者报价未超过采购预算的供应商不足3家的，采购活动终止；终止后，若采购人需要采取调整采购预算或者项目配置标准等，或者采取其他采购方式的，应当在采购活动开始前通过财政部门批准或者备案。</w:t>
      </w:r>
    </w:p>
    <w:p w14:paraId="5D9B208A">
      <w:pPr>
        <w:pStyle w:val="10"/>
        <w:spacing w:line="360" w:lineRule="auto"/>
        <w:ind w:firstLine="420" w:firstLineChars="200"/>
        <w:rPr>
          <w:rFonts w:hint="eastAsia" w:ascii="宋体" w:hAnsi="宋体" w:eastAsia="宋体" w:cs="宋体"/>
          <w:bCs/>
          <w:color w:val="auto"/>
          <w:szCs w:val="21"/>
        </w:rPr>
      </w:pPr>
      <w:r>
        <w:rPr>
          <w:rFonts w:hint="eastAsia" w:ascii="宋体" w:hAnsi="宋体" w:eastAsia="宋体" w:cs="宋体"/>
          <w:bCs/>
          <w:color w:val="auto"/>
          <w:szCs w:val="21"/>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DEB7287">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28.履约保证金</w:t>
      </w:r>
    </w:p>
    <w:p w14:paraId="12EFE281">
      <w:pPr>
        <w:pStyle w:val="1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28.1履约保证金的金额、提交方式、退付的时间和条件详见 “供应商须知前附表”。成交供应商未按规定提交履约保证金的，视为拒绝与采购人签订合同，采购人可以按照评审报告推荐的成交候选人名单排序，确定下一候选人为成交供应商，也可以重新开展政府采购活动。</w:t>
      </w:r>
    </w:p>
    <w:p w14:paraId="06AE8642">
      <w:pPr>
        <w:spacing w:line="360" w:lineRule="auto"/>
        <w:ind w:firstLine="424" w:firstLineChars="202"/>
        <w:rPr>
          <w:rFonts w:hint="eastAsia" w:ascii="宋体" w:hAnsi="宋体" w:eastAsia="宋体" w:cs="宋体"/>
          <w:color w:val="auto"/>
          <w:szCs w:val="21"/>
        </w:rPr>
      </w:pPr>
      <w:r>
        <w:rPr>
          <w:rFonts w:hint="eastAsia" w:ascii="宋体" w:hAnsi="宋体" w:eastAsia="宋体" w:cs="宋体"/>
          <w:color w:val="auto"/>
          <w:szCs w:val="21"/>
        </w:rPr>
        <w:t>28.2签订合同后，如成交供应商不按双方签订的合同规定履约，则没收其全部履约保证金，履约保证金不足以赔偿损失的，按实际损失赔偿。</w:t>
      </w:r>
    </w:p>
    <w:p w14:paraId="08636A2F">
      <w:pPr>
        <w:spacing w:line="360" w:lineRule="auto"/>
        <w:ind w:firstLine="424" w:firstLineChars="202"/>
        <w:rPr>
          <w:rFonts w:hint="eastAsia" w:ascii="宋体" w:hAnsi="宋体" w:eastAsia="宋体" w:cs="宋体"/>
          <w:color w:val="auto"/>
          <w:szCs w:val="21"/>
        </w:rPr>
      </w:pPr>
      <w:r>
        <w:rPr>
          <w:rFonts w:hint="eastAsia" w:ascii="宋体" w:hAnsi="宋体" w:eastAsia="宋体" w:cs="宋体"/>
          <w:color w:val="auto"/>
          <w:szCs w:val="21"/>
        </w:rPr>
        <w:t>28.3在履约保证金退还日期前，若成交供应商的开户名称、开户银行、帐号有变动的，请以书面形式通知履约保证金收取单位，否则由此产生的后果由成交供应商自负。</w:t>
      </w:r>
    </w:p>
    <w:p w14:paraId="43F1F342">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29.签订合同</w:t>
      </w:r>
    </w:p>
    <w:p w14:paraId="3C90024F">
      <w:pPr>
        <w:spacing w:line="360" w:lineRule="auto"/>
        <w:ind w:firstLine="424" w:firstLineChars="202"/>
        <w:rPr>
          <w:rFonts w:hint="eastAsia" w:ascii="宋体" w:hAnsi="宋体" w:eastAsia="宋体" w:cs="宋体"/>
          <w:color w:val="auto"/>
          <w:szCs w:val="21"/>
        </w:rPr>
      </w:pPr>
      <w:r>
        <w:rPr>
          <w:rFonts w:hint="eastAsia" w:ascii="宋体" w:hAnsi="宋体" w:eastAsia="宋体" w:cs="宋体"/>
          <w:color w:val="auto"/>
          <w:szCs w:val="21"/>
        </w:rPr>
        <w:t>29.1成交供应商在收到成交通知书后，按须知前附表规定向采购人出示相关证明材料，经采购人核验合格后方可签订合同。</w:t>
      </w:r>
    </w:p>
    <w:p w14:paraId="0FC2A6E2">
      <w:pPr>
        <w:spacing w:line="360" w:lineRule="auto"/>
        <w:ind w:firstLine="424" w:firstLineChars="202"/>
        <w:rPr>
          <w:rFonts w:hint="eastAsia" w:ascii="宋体" w:hAnsi="宋体" w:eastAsia="宋体" w:cs="宋体"/>
          <w:color w:val="auto"/>
          <w:szCs w:val="21"/>
        </w:rPr>
      </w:pPr>
      <w:r>
        <w:rPr>
          <w:rFonts w:hint="eastAsia" w:ascii="宋体" w:hAnsi="宋体" w:eastAsia="宋体" w:cs="宋体"/>
          <w:color w:val="auto"/>
          <w:szCs w:val="21"/>
        </w:rPr>
        <w:t>29.2签订合同时间：成交通知书发出25日内。</w:t>
      </w:r>
    </w:p>
    <w:p w14:paraId="0935C77F">
      <w:pPr>
        <w:spacing w:line="360" w:lineRule="auto"/>
        <w:ind w:firstLine="424" w:firstLineChars="202"/>
        <w:rPr>
          <w:rFonts w:hint="eastAsia" w:ascii="宋体" w:hAnsi="宋体" w:eastAsia="宋体" w:cs="宋体"/>
          <w:color w:val="auto"/>
          <w:szCs w:val="21"/>
        </w:rPr>
      </w:pPr>
      <w:r>
        <w:rPr>
          <w:rFonts w:hint="eastAsia" w:ascii="宋体" w:hAnsi="宋体" w:eastAsia="宋体" w:cs="宋体"/>
          <w:color w:val="auto"/>
          <w:szCs w:val="21"/>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1ACA9837">
      <w:pPr>
        <w:adjustRightInd w:val="0"/>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30.政府采购合同公告</w:t>
      </w:r>
    </w:p>
    <w:p w14:paraId="328286B9">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6C53960">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31.询问、质疑和投诉</w:t>
      </w:r>
    </w:p>
    <w:p w14:paraId="082A71A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31.1供应商对政府采购活动事项有疑问的，可以向采购人、采购代理机构提出询问，采购人或者采购代理机构应当在3个工作日内对供应商依法提出的询问作出答复。</w:t>
      </w:r>
    </w:p>
    <w:p w14:paraId="0382B69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31.2供应商认为谈判文件、采购过程或者成交结果使自己的合法权益受到损害的，应当在知道或者应知其权益受到损害之日起7个工作日内，以书面形式向采购人、采购代理机构提出质疑，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szCs w:val="21"/>
          <w:shd w:val="clear" w:color="auto" w:fill="FFFFFF"/>
        </w:rPr>
        <w:t>接收质疑函的方式、联系部门、联系电话和通讯地址等信息详见本须知前附表</w:t>
      </w:r>
      <w:r>
        <w:rPr>
          <w:rFonts w:hint="eastAsia" w:ascii="宋体" w:hAnsi="宋体" w:eastAsia="宋体" w:cs="宋体"/>
          <w:color w:val="auto"/>
          <w:szCs w:val="21"/>
        </w:rPr>
        <w:t>。具体质疑起算时间如下：</w:t>
      </w:r>
    </w:p>
    <w:p w14:paraId="15C506E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（1）对可以质疑的谈判文件提出质疑的，为获取谈判文件之日；</w:t>
      </w:r>
    </w:p>
    <w:p w14:paraId="440C153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（2）对采购过程提出质疑的，为各采购程序环节结束之日；</w:t>
      </w:r>
    </w:p>
    <w:p w14:paraId="4258F97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（3）对成交结果提出质疑的，为成交结果公告期限届满之日。</w:t>
      </w:r>
    </w:p>
    <w:p w14:paraId="4937FA8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23CC6A03">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31.4供应商提出质疑应当提交质疑函和必要的证明材料，针对同一采购程序环节的质疑必须在法定质疑期内一次性提出。质疑函应当包括下列内容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szCs w:val="21"/>
        </w:rPr>
        <w:t>（质疑函格式后附）</w:t>
      </w:r>
      <w:r>
        <w:rPr>
          <w:rFonts w:hint="eastAsia" w:ascii="宋体" w:hAnsi="宋体" w:eastAsia="宋体" w:cs="宋体"/>
          <w:color w:val="auto"/>
          <w:szCs w:val="21"/>
        </w:rPr>
        <w:t>：</w:t>
      </w:r>
    </w:p>
    <w:p w14:paraId="1E36658D">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（1）供应商的姓名或者名称、地址、邮编、联系人及联系电话；</w:t>
      </w:r>
    </w:p>
    <w:p w14:paraId="6FE0D8D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（2）质疑项目的名称、编号；</w:t>
      </w:r>
    </w:p>
    <w:p w14:paraId="6BEC882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（3）具体、明确的质疑事项和与质疑事项相关的请求；</w:t>
      </w:r>
    </w:p>
    <w:p w14:paraId="22B2414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（4）事实依据；</w:t>
      </w:r>
    </w:p>
    <w:p w14:paraId="0CD177F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（5）必要的法律依据；</w:t>
      </w:r>
    </w:p>
    <w:p w14:paraId="0955A380">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（6）提出质疑的日期。</w:t>
      </w:r>
    </w:p>
    <w:p w14:paraId="2DBEA4F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供应商为自然人的，应当由本人签字；供应商为法人或者其他组织的，应当由法定代表人、主要负责人，或者其委托代理人签字或者盖章，并加盖公章。</w:t>
      </w:r>
    </w:p>
    <w:p w14:paraId="35746BE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31.5采购人、采购代理机构认为供应商质疑不成立，或者成立但未对成交结果构成影响的，继续开展采购活动；认为供应商质疑成立且影响或者可能影响成交结果的，按照下列情况处理：</w:t>
      </w:r>
    </w:p>
    <w:p w14:paraId="03A5E54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（一）对采购文件提出的质疑，依法通过澄清或者修改可以继续开展采购活动的，澄清或者修改采购文件后继续开展采购活动；否则应当修改采购文件后重新开展采购活动。</w:t>
      </w:r>
    </w:p>
    <w:p w14:paraId="389EEED2">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（二）对采购过程或者成交结果提出的质疑，合格供应商符合法定数量时，可以从合格的成交候选人中另行确定成交供应商的，应当依法另行确定成交供应商；否则应当重新开展采购活动。</w:t>
      </w:r>
    </w:p>
    <w:p w14:paraId="07BCBEB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质疑答复导致成交结果改变的，采购人或者采购代理机构应当将有关情况书面报告本级财政部门。</w:t>
      </w:r>
    </w:p>
    <w:p w14:paraId="5DCB281C">
      <w:pPr>
        <w:spacing w:line="360" w:lineRule="auto"/>
        <w:ind w:firstLine="420" w:firstLineChars="200"/>
        <w:rPr>
          <w:rFonts w:hint="eastAsia" w:ascii="宋体" w:hAnsi="宋体" w:eastAsia="宋体" w:cs="宋体"/>
          <w:b/>
          <w:bCs/>
          <w:color w:val="auto"/>
          <w:szCs w:val="21"/>
        </w:rPr>
      </w:pPr>
      <w:r>
        <w:rPr>
          <w:rFonts w:hint="eastAsia" w:ascii="宋体" w:hAnsi="宋体" w:eastAsia="宋体" w:cs="宋体"/>
          <w:color w:val="auto"/>
          <w:szCs w:val="21"/>
        </w:rPr>
        <w:t>31.6投诉的权利。质疑供应商对采购人、采购代理机构的答复不满意，或者采购人、采购代理机构未在规定时间内作出答复的，可以在答复期满后15个工作日内向《政府采购质疑和投诉办法》（财政部令第94号）第六条规定的</w:t>
      </w:r>
      <w:r>
        <w:rPr>
          <w:rFonts w:hint="eastAsia" w:ascii="宋体" w:hAnsi="宋体" w:eastAsia="宋体" w:cs="宋体"/>
          <w:color w:val="auto"/>
        </w:rPr>
        <w:t>财政部门</w:t>
      </w:r>
      <w:r>
        <w:rPr>
          <w:rFonts w:hint="eastAsia" w:ascii="宋体" w:hAnsi="宋体" w:eastAsia="宋体" w:cs="宋体"/>
          <w:color w:val="auto"/>
          <w:szCs w:val="21"/>
        </w:rPr>
        <w:t>提起投诉（投诉书格式后附）。</w:t>
      </w:r>
    </w:p>
    <w:p w14:paraId="00DD33B2">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32.其他内容</w:t>
      </w:r>
    </w:p>
    <w:p w14:paraId="5C47E32E">
      <w:pPr>
        <w:tabs>
          <w:tab w:val="left" w:pos="2835"/>
        </w:tabs>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32.1代理服务收费标准详见“供应商须知前附表”，供应商为联合体的，可以由联合体中的一方或者多方共同交纳代理服务费。</w:t>
      </w:r>
    </w:p>
    <w:p w14:paraId="31475239">
      <w:pPr>
        <w:spacing w:line="360" w:lineRule="auto"/>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32.2采购代理机构的银行账户：详见“供应商须知前附表”。</w:t>
      </w:r>
    </w:p>
    <w:p w14:paraId="70E53621">
      <w:pPr>
        <w:spacing w:line="360" w:lineRule="auto"/>
        <w:ind w:firstLine="422" w:firstLineChars="200"/>
        <w:contextualSpacing/>
        <w:rPr>
          <w:rFonts w:hint="eastAsia" w:ascii="宋体" w:hAnsi="宋体" w:eastAsia="宋体" w:cs="宋体"/>
          <w:b/>
          <w:bCs/>
          <w:color w:val="auto"/>
          <w:szCs w:val="21"/>
        </w:rPr>
      </w:pPr>
      <w:r>
        <w:rPr>
          <w:rFonts w:hint="eastAsia" w:ascii="宋体" w:hAnsi="宋体" w:eastAsia="宋体" w:cs="宋体"/>
          <w:b/>
          <w:bCs/>
          <w:color w:val="auto"/>
          <w:szCs w:val="21"/>
        </w:rPr>
        <w:t>33.需要补充的其他内容</w:t>
      </w:r>
    </w:p>
    <w:p w14:paraId="0E2B0F4F">
      <w:pPr>
        <w:pStyle w:val="19"/>
        <w:spacing w:line="360" w:lineRule="auto"/>
        <w:ind w:firstLine="420" w:firstLineChars="200"/>
        <w:contextualSpacing/>
        <w:rPr>
          <w:rFonts w:hint="eastAsia" w:ascii="宋体" w:hAnsi="宋体" w:eastAsia="宋体" w:cs="宋体"/>
          <w:color w:val="auto"/>
          <w:sz w:val="21"/>
        </w:rPr>
      </w:pPr>
      <w:r>
        <w:rPr>
          <w:rFonts w:hint="eastAsia" w:ascii="宋体" w:hAnsi="宋体" w:eastAsia="宋体" w:cs="宋体"/>
          <w:color w:val="auto"/>
          <w:sz w:val="21"/>
        </w:rPr>
        <w:t>33.1本竞争性谈判文件解释规则详见“供应商须知前附表”。</w:t>
      </w:r>
    </w:p>
    <w:p w14:paraId="7D401481">
      <w:pPr>
        <w:spacing w:line="360" w:lineRule="auto"/>
        <w:ind w:firstLine="420" w:firstLineChars="200"/>
        <w:contextualSpacing/>
        <w:rPr>
          <w:rFonts w:hint="eastAsia" w:ascii="宋体" w:hAnsi="宋体" w:eastAsia="宋体" w:cs="宋体"/>
          <w:color w:val="auto"/>
          <w:szCs w:val="21"/>
        </w:rPr>
      </w:pPr>
      <w:r>
        <w:rPr>
          <w:rFonts w:hint="eastAsia" w:ascii="宋体" w:hAnsi="宋体" w:eastAsia="宋体" w:cs="宋体"/>
          <w:color w:val="auto"/>
          <w:kern w:val="0"/>
          <w:szCs w:val="21"/>
        </w:rPr>
        <w:t>33.2 其他事</w:t>
      </w:r>
      <w:r>
        <w:rPr>
          <w:rFonts w:hint="eastAsia" w:ascii="宋体" w:hAnsi="宋体" w:eastAsia="宋体" w:cs="宋体"/>
          <w:color w:val="auto"/>
          <w:szCs w:val="21"/>
        </w:rPr>
        <w:t>项详见“供应商须知前附表”。</w:t>
      </w:r>
    </w:p>
    <w:p w14:paraId="5E696B40">
      <w:pPr>
        <w:widowControl/>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rPr>
        <w:t>33.3</w:t>
      </w:r>
      <w:r>
        <w:rPr>
          <w:rFonts w:hint="eastAsia" w:ascii="宋体" w:hAnsi="宋体" w:eastAsia="宋体" w:cs="宋体"/>
          <w:color w:val="auto"/>
          <w:kern w:val="0"/>
          <w:szCs w:val="21"/>
        </w:rPr>
        <w:t>在线竞标响应（电子投标）说明</w:t>
      </w:r>
    </w:p>
    <w:p w14:paraId="77E5D891">
      <w:pPr>
        <w:tabs>
          <w:tab w:val="left" w:pos="312"/>
        </w:tabs>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33.3.1本项目通过</w:t>
      </w:r>
      <w:r>
        <w:rPr>
          <w:rFonts w:hint="eastAsia" w:ascii="宋体" w:hAnsi="宋体" w:eastAsia="宋体" w:cs="宋体"/>
          <w:color w:val="auto"/>
          <w:szCs w:val="21"/>
        </w:rPr>
        <w:t>广西政府采购云</w:t>
      </w:r>
      <w:r>
        <w:rPr>
          <w:rFonts w:hint="eastAsia" w:ascii="宋体" w:hAnsi="宋体" w:eastAsia="宋体" w:cs="宋体"/>
          <w:color w:val="auto"/>
          <w:kern w:val="0"/>
          <w:szCs w:val="21"/>
        </w:rPr>
        <w:t>平台实行在线竞标响应（电子投标），供应商需要先安装“广西政府采购云平台客户端”，并按照本采购文件和政</w:t>
      </w:r>
      <w:r>
        <w:rPr>
          <w:rFonts w:hint="eastAsia" w:ascii="宋体" w:hAnsi="宋体" w:eastAsia="宋体" w:cs="宋体"/>
          <w:color w:val="auto"/>
          <w:szCs w:val="21"/>
        </w:rPr>
        <w:t>广西政府采购云</w:t>
      </w:r>
      <w:r>
        <w:rPr>
          <w:rFonts w:hint="eastAsia" w:ascii="宋体" w:hAnsi="宋体" w:eastAsia="宋体" w:cs="宋体"/>
          <w:color w:val="auto"/>
          <w:kern w:val="0"/>
          <w:szCs w:val="21"/>
        </w:rPr>
        <w:t>平台的要求，通过“广西政府采购云平台客户端”编制并加密响应文件。供应商未按规定编制并加密的响应文件，广西政府采购云平台将予以拒收。</w:t>
      </w:r>
    </w:p>
    <w:p w14:paraId="72B0AABA">
      <w:pPr>
        <w:tabs>
          <w:tab w:val="left" w:pos="312"/>
        </w:tabs>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33.3.2为确保网上操作合法、有效和安全，</w:t>
      </w:r>
      <w:r>
        <w:rPr>
          <w:rFonts w:hint="eastAsia" w:ascii="宋体" w:hAnsi="宋体" w:cs="宋体"/>
          <w:color w:val="auto"/>
          <w:kern w:val="0"/>
          <w:szCs w:val="21"/>
          <w:lang w:eastAsia="zh-CN"/>
        </w:rPr>
        <w:t>谈判</w:t>
      </w:r>
      <w:r>
        <w:rPr>
          <w:rFonts w:hint="eastAsia" w:ascii="宋体" w:hAnsi="宋体" w:eastAsia="宋体" w:cs="宋体"/>
          <w:color w:val="auto"/>
          <w:kern w:val="0"/>
          <w:szCs w:val="21"/>
        </w:rPr>
        <w:t>供应商应当在</w:t>
      </w:r>
      <w:r>
        <w:rPr>
          <w:rFonts w:hint="eastAsia" w:ascii="宋体" w:hAnsi="宋体" w:cs="宋体"/>
          <w:color w:val="auto"/>
          <w:kern w:val="0"/>
          <w:szCs w:val="21"/>
          <w:lang w:eastAsia="zh-CN"/>
        </w:rPr>
        <w:t>谈判</w:t>
      </w:r>
      <w:r>
        <w:rPr>
          <w:rFonts w:hint="eastAsia" w:ascii="宋体" w:hAnsi="宋体" w:eastAsia="宋体" w:cs="宋体"/>
          <w:color w:val="auto"/>
          <w:kern w:val="0"/>
          <w:szCs w:val="21"/>
        </w:rPr>
        <w:t>截止时间前完成在“广西政府采购云平台”的身份认证，确保在电子竞标过程中能够对相关数据电文进行加密和使用电子签章。使用“广西政府采购云平台客户端”需要提前申领CA数字证书，申领流程请自行前往广西政府采购云平台网站进行查阅；（完成CA数字证书办理预计一周左右，建议供应商获取采购文件后立即办理。）</w:t>
      </w:r>
    </w:p>
    <w:p w14:paraId="6941C6DE">
      <w:pPr>
        <w:tabs>
          <w:tab w:val="left" w:pos="312"/>
        </w:tabs>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33.3.3谈判供应商应当在谈判截止时间前，将生成的“电子谈判响应文件”上传递交至广西政府采购云平台。响应文件递交截止时间前可以撤回电子谈判响应文件。补充或者修改电子谈判响应文件的，应当先行撤回原文件，补充、修改后重新传输递交，谈判响应文件递交截止时间前未完成传输的，视为撤回谈判响应文件。</w:t>
      </w:r>
    </w:p>
    <w:p w14:paraId="52784789">
      <w:pPr>
        <w:tabs>
          <w:tab w:val="left" w:pos="312"/>
        </w:tabs>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33.3.4本项目需要谈判供应商代表在截标当天截标后，按谈判小组要求及时登陆广西政府采购云平台等候在线谈判及提交最后报价。</w:t>
      </w:r>
    </w:p>
    <w:p w14:paraId="24D4BEF2">
      <w:pPr>
        <w:tabs>
          <w:tab w:val="left" w:pos="312"/>
        </w:tabs>
        <w:spacing w:line="360" w:lineRule="auto"/>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本采购项目为广西政府采购云平台全流程电子化操作，参与谈判的供应商需自备计算机和网络设备（设备需可视频通话和读取广西政府采购云平台CA数字证书），确保谈判过程顺利进行；因供应商自身设备或网络原因造成的一切后果，由供应商自行承担。</w:t>
      </w:r>
    </w:p>
    <w:p w14:paraId="15C3A5A4">
      <w:pPr>
        <w:pStyle w:val="14"/>
        <w:rPr>
          <w:rFonts w:hint="eastAsia" w:ascii="宋体" w:hAnsi="宋体" w:eastAsia="宋体" w:cs="宋体"/>
          <w:color w:val="auto"/>
          <w:kern w:val="0"/>
          <w:szCs w:val="21"/>
        </w:rPr>
      </w:pPr>
    </w:p>
    <w:p w14:paraId="6E3440A2">
      <w:pPr>
        <w:pStyle w:val="19"/>
        <w:snapToGrid w:val="0"/>
        <w:spacing w:line="360" w:lineRule="auto"/>
        <w:rPr>
          <w:rFonts w:hint="eastAsia" w:ascii="宋体" w:hAnsi="宋体" w:eastAsia="宋体" w:cs="宋体"/>
          <w:color w:val="auto"/>
        </w:rPr>
      </w:pPr>
      <w:r>
        <w:rPr>
          <w:rFonts w:hint="eastAsia" w:ascii="宋体" w:hAnsi="宋体" w:eastAsia="宋体" w:cs="宋体"/>
          <w:bCs/>
          <w:color w:val="auto"/>
          <w:sz w:val="32"/>
          <w:szCs w:val="32"/>
        </w:rPr>
        <w:br w:type="page"/>
      </w:r>
      <w:r>
        <w:rPr>
          <w:rFonts w:hint="eastAsia" w:ascii="宋体" w:hAnsi="宋体" w:eastAsia="宋体" w:cs="宋体"/>
          <w:bCs/>
          <w:color w:val="auto"/>
          <w:sz w:val="32"/>
          <w:szCs w:val="32"/>
        </w:rPr>
        <w:t>附件1：</w:t>
      </w:r>
    </w:p>
    <w:p w14:paraId="2172B08B">
      <w:pPr>
        <w:widowControl/>
        <w:shd w:val="clear" w:color="auto" w:fill="FFFFFF"/>
        <w:spacing w:line="480" w:lineRule="atLeast"/>
        <w:jc w:val="center"/>
        <w:rPr>
          <w:rFonts w:hint="eastAsia" w:ascii="宋体" w:hAnsi="宋体" w:eastAsia="宋体" w:cs="宋体"/>
          <w:color w:val="auto"/>
          <w:kern w:val="0"/>
          <w:sz w:val="32"/>
          <w:szCs w:val="32"/>
        </w:rPr>
      </w:pPr>
      <w:r>
        <w:rPr>
          <w:rFonts w:hint="eastAsia" w:ascii="宋体" w:hAnsi="宋体" w:eastAsia="宋体" w:cs="宋体"/>
          <w:b/>
          <w:bCs/>
          <w:color w:val="auto"/>
          <w:kern w:val="0"/>
          <w:sz w:val="32"/>
          <w:szCs w:val="32"/>
        </w:rPr>
        <w:t>广西壮族自治区政府采购项目合同验收书（格式）</w:t>
      </w:r>
    </w:p>
    <w:p w14:paraId="4F965FEE">
      <w:pPr>
        <w:widowControl/>
        <w:shd w:val="clear" w:color="auto" w:fill="FFFFFF"/>
        <w:spacing w:line="480" w:lineRule="atLeast"/>
        <w:jc w:val="center"/>
        <w:rPr>
          <w:rFonts w:hint="eastAsia" w:ascii="宋体" w:hAnsi="宋体" w:eastAsia="宋体" w:cs="宋体"/>
          <w:color w:val="auto"/>
          <w:kern w:val="0"/>
          <w:sz w:val="32"/>
          <w:szCs w:val="32"/>
        </w:rPr>
      </w:pPr>
    </w:p>
    <w:p w14:paraId="3678AD9C">
      <w:pPr>
        <w:widowControl/>
        <w:shd w:val="clear" w:color="auto" w:fill="FFFFFF"/>
        <w:snapToGrid w:val="0"/>
        <w:spacing w:line="320" w:lineRule="atLeast"/>
        <w:ind w:firstLine="480"/>
        <w:jc w:val="left"/>
        <w:rPr>
          <w:rFonts w:hint="eastAsia" w:ascii="宋体" w:hAnsi="宋体" w:eastAsia="宋体" w:cs="宋体"/>
          <w:color w:val="auto"/>
          <w:kern w:val="0"/>
          <w:szCs w:val="21"/>
        </w:rPr>
      </w:pPr>
      <w:r>
        <w:rPr>
          <w:rFonts w:hint="eastAsia" w:ascii="宋体" w:hAnsi="宋体" w:eastAsia="宋体" w:cs="宋体"/>
          <w:color w:val="auto"/>
          <w:kern w:val="0"/>
          <w:szCs w:val="21"/>
        </w:rPr>
        <w:t>根据政府采购项目（</w:t>
      </w:r>
      <w:r>
        <w:rPr>
          <w:rFonts w:hint="eastAsia" w:ascii="宋体" w:hAnsi="宋体" w:eastAsia="宋体" w:cs="宋体"/>
          <w:color w:val="auto"/>
          <w:kern w:val="0"/>
          <w:szCs w:val="21"/>
          <w:u w:val="single"/>
        </w:rPr>
        <w:t>采购合同编号：</w:t>
      </w:r>
      <w:r>
        <w:rPr>
          <w:rFonts w:hint="eastAsia" w:ascii="宋体" w:hAnsi="宋体" w:eastAsia="宋体" w:cs="宋体"/>
          <w:color w:val="auto"/>
          <w:kern w:val="0"/>
          <w:szCs w:val="21"/>
          <w:u w:val="single"/>
        </w:rPr>
        <w:softHyphen/>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）的约定，我单位对（</w:t>
      </w:r>
      <w:r>
        <w:rPr>
          <w:rFonts w:hint="eastAsia" w:ascii="宋体" w:hAnsi="宋体" w:eastAsia="宋体" w:cs="宋体"/>
          <w:color w:val="auto"/>
          <w:kern w:val="0"/>
          <w:szCs w:val="21"/>
          <w:u w:val="single"/>
        </w:rPr>
        <w:t xml:space="preserve"> 项目名称 </w:t>
      </w:r>
      <w:r>
        <w:rPr>
          <w:rFonts w:hint="eastAsia" w:ascii="宋体" w:hAnsi="宋体" w:eastAsia="宋体" w:cs="宋体"/>
          <w:color w:val="auto"/>
          <w:kern w:val="0"/>
          <w:szCs w:val="21"/>
        </w:rPr>
        <w:t>） 政府采购项目成交供应商（</w:t>
      </w:r>
      <w:r>
        <w:rPr>
          <w:rFonts w:hint="eastAsia" w:ascii="宋体" w:hAnsi="宋体" w:eastAsia="宋体" w:cs="宋体"/>
          <w:color w:val="auto"/>
          <w:kern w:val="0"/>
          <w:szCs w:val="21"/>
          <w:u w:val="single"/>
        </w:rPr>
        <w:t xml:space="preserve"> 公司名称 </w:t>
      </w:r>
      <w:r>
        <w:rPr>
          <w:rFonts w:hint="eastAsia" w:ascii="宋体" w:hAnsi="宋体" w:eastAsia="宋体" w:cs="宋体"/>
          <w:color w:val="auto"/>
          <w:kern w:val="0"/>
          <w:szCs w:val="21"/>
        </w:rPr>
        <w:t>） 提供的货物（或者工程、服务）进行了验收，验收情况如下：</w:t>
      </w:r>
    </w:p>
    <w:tbl>
      <w:tblPr>
        <w:tblStyle w:val="30"/>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783D15F8">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3DFB8203">
            <w:pPr>
              <w:widowControl/>
              <w:snapToGrid w:val="0"/>
              <w:spacing w:before="100" w:beforeAutospacing="1" w:after="100" w:afterAutospacing="1" w:line="320" w:lineRule="atLeast"/>
              <w:ind w:firstLine="5"/>
              <w:jc w:val="center"/>
              <w:rPr>
                <w:rFonts w:hint="eastAsia" w:ascii="宋体" w:hAnsi="宋体" w:eastAsia="宋体" w:cs="宋体"/>
                <w:color w:val="auto"/>
                <w:kern w:val="0"/>
                <w:szCs w:val="21"/>
              </w:rPr>
            </w:pPr>
            <w:r>
              <w:rPr>
                <w:rFonts w:hint="eastAsia" w:ascii="宋体" w:hAnsi="宋体" w:eastAsia="宋体" w:cs="宋体"/>
                <w:color w:val="auto"/>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76DF7968">
            <w:pPr>
              <w:widowControl/>
              <w:snapToGrid w:val="0"/>
              <w:spacing w:before="100" w:beforeAutospacing="1" w:after="100" w:afterAutospacing="1" w:line="32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□自行验收 □委托验收</w:t>
            </w:r>
          </w:p>
        </w:tc>
      </w:tr>
      <w:tr w14:paraId="2808BD13">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605CF3C4">
            <w:pPr>
              <w:widowControl/>
              <w:snapToGrid w:val="0"/>
              <w:spacing w:before="100" w:beforeAutospacing="1" w:after="100" w:afterAutospacing="1" w:line="320" w:lineRule="atLeast"/>
              <w:ind w:firstLine="2"/>
              <w:jc w:val="center"/>
              <w:rPr>
                <w:rFonts w:hint="eastAsia" w:ascii="宋体" w:hAnsi="宋体" w:eastAsia="宋体" w:cs="宋体"/>
                <w:color w:val="auto"/>
                <w:kern w:val="0"/>
                <w:szCs w:val="21"/>
              </w:rPr>
            </w:pPr>
            <w:r>
              <w:rPr>
                <w:rFonts w:hint="eastAsia" w:ascii="宋体" w:hAnsi="宋体" w:eastAsia="宋体" w:cs="宋体"/>
                <w:color w:val="auto"/>
                <w:kern w:val="0"/>
                <w:szCs w:val="21"/>
              </w:rPr>
              <w:t>序号</w:t>
            </w:r>
          </w:p>
        </w:tc>
        <w:tc>
          <w:tcPr>
            <w:tcW w:w="2448" w:type="dxa"/>
            <w:gridSpan w:val="2"/>
            <w:tcBorders>
              <w:top w:val="nil"/>
              <w:left w:val="nil"/>
              <w:bottom w:val="single" w:color="auto" w:sz="8" w:space="0"/>
              <w:right w:val="single" w:color="auto" w:sz="8" w:space="0"/>
            </w:tcBorders>
            <w:vAlign w:val="center"/>
          </w:tcPr>
          <w:p w14:paraId="353DFA24">
            <w:pPr>
              <w:widowControl/>
              <w:snapToGrid w:val="0"/>
              <w:spacing w:before="100" w:beforeAutospacing="1" w:after="100" w:afterAutospacing="1" w:line="320" w:lineRule="atLeast"/>
              <w:ind w:firstLine="2"/>
              <w:jc w:val="center"/>
              <w:rPr>
                <w:rFonts w:hint="eastAsia" w:ascii="宋体" w:hAnsi="宋体" w:eastAsia="宋体" w:cs="宋体"/>
                <w:color w:val="auto"/>
                <w:kern w:val="0"/>
                <w:szCs w:val="21"/>
              </w:rPr>
            </w:pPr>
            <w:r>
              <w:rPr>
                <w:rFonts w:hint="eastAsia" w:ascii="宋体" w:hAnsi="宋体" w:eastAsia="宋体" w:cs="宋体"/>
                <w:color w:val="auto"/>
                <w:kern w:val="0"/>
                <w:szCs w:val="21"/>
              </w:rPr>
              <w:t>名称</w:t>
            </w:r>
          </w:p>
        </w:tc>
        <w:tc>
          <w:tcPr>
            <w:tcW w:w="2902" w:type="dxa"/>
            <w:gridSpan w:val="3"/>
            <w:tcBorders>
              <w:top w:val="nil"/>
              <w:left w:val="nil"/>
              <w:bottom w:val="single" w:color="auto" w:sz="8" w:space="0"/>
              <w:right w:val="single" w:color="auto" w:sz="8" w:space="0"/>
            </w:tcBorders>
            <w:vAlign w:val="center"/>
          </w:tcPr>
          <w:p w14:paraId="5E3D911C">
            <w:pPr>
              <w:widowControl/>
              <w:snapToGrid w:val="0"/>
              <w:spacing w:before="100" w:beforeAutospacing="1" w:after="100" w:afterAutospacing="1" w:line="320" w:lineRule="atLeast"/>
              <w:ind w:firstLine="2"/>
              <w:jc w:val="center"/>
              <w:rPr>
                <w:rFonts w:hint="eastAsia" w:ascii="宋体" w:hAnsi="宋体" w:eastAsia="宋体" w:cs="宋体"/>
                <w:color w:val="auto"/>
                <w:kern w:val="0"/>
                <w:szCs w:val="21"/>
              </w:rPr>
            </w:pPr>
            <w:r>
              <w:rPr>
                <w:rFonts w:hint="eastAsia" w:ascii="宋体" w:hAnsi="宋体" w:eastAsia="宋体" w:cs="宋体"/>
                <w:color w:val="auto"/>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35373324">
            <w:pPr>
              <w:widowControl/>
              <w:snapToGrid w:val="0"/>
              <w:spacing w:before="100" w:beforeAutospacing="1" w:after="100" w:afterAutospacing="1" w:line="320" w:lineRule="atLeast"/>
              <w:jc w:val="center"/>
              <w:rPr>
                <w:rFonts w:hint="eastAsia" w:ascii="宋体" w:hAnsi="宋体" w:eastAsia="宋体" w:cs="宋体"/>
                <w:color w:val="auto"/>
                <w:kern w:val="0"/>
                <w:szCs w:val="21"/>
              </w:rPr>
            </w:pPr>
            <w:r>
              <w:rPr>
                <w:rFonts w:hint="eastAsia" w:ascii="宋体" w:hAnsi="宋体" w:eastAsia="宋体" w:cs="宋体"/>
                <w:color w:val="auto"/>
                <w:kern w:val="0"/>
                <w:szCs w:val="21"/>
              </w:rPr>
              <w:t>数量</w:t>
            </w:r>
          </w:p>
        </w:tc>
        <w:tc>
          <w:tcPr>
            <w:tcW w:w="1428" w:type="dxa"/>
            <w:tcBorders>
              <w:top w:val="nil"/>
              <w:left w:val="nil"/>
              <w:bottom w:val="single" w:color="auto" w:sz="8" w:space="0"/>
              <w:right w:val="single" w:color="auto" w:sz="8" w:space="0"/>
            </w:tcBorders>
            <w:vAlign w:val="center"/>
          </w:tcPr>
          <w:p w14:paraId="4DA9466B">
            <w:pPr>
              <w:widowControl/>
              <w:snapToGrid w:val="0"/>
              <w:spacing w:before="100" w:beforeAutospacing="1" w:after="100" w:afterAutospacing="1" w:line="320" w:lineRule="atLeast"/>
              <w:ind w:firstLine="2"/>
              <w:jc w:val="center"/>
              <w:rPr>
                <w:rFonts w:hint="eastAsia" w:ascii="宋体" w:hAnsi="宋体" w:eastAsia="宋体" w:cs="宋体"/>
                <w:color w:val="auto"/>
                <w:kern w:val="0"/>
                <w:szCs w:val="21"/>
              </w:rPr>
            </w:pPr>
            <w:r>
              <w:rPr>
                <w:rFonts w:hint="eastAsia" w:ascii="宋体" w:hAnsi="宋体" w:eastAsia="宋体" w:cs="宋体"/>
                <w:color w:val="auto"/>
                <w:kern w:val="0"/>
                <w:szCs w:val="21"/>
              </w:rPr>
              <w:t>金额</w:t>
            </w:r>
          </w:p>
        </w:tc>
      </w:tr>
      <w:tr w14:paraId="02D1147C">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E2BB0BD">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0E627021">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04803AA1">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253CF5EC">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1428" w:type="dxa"/>
            <w:tcBorders>
              <w:top w:val="nil"/>
              <w:left w:val="nil"/>
              <w:bottom w:val="single" w:color="auto" w:sz="8" w:space="0"/>
              <w:right w:val="single" w:color="auto" w:sz="8" w:space="0"/>
            </w:tcBorders>
            <w:vAlign w:val="center"/>
          </w:tcPr>
          <w:p w14:paraId="3565980F">
            <w:pPr>
              <w:widowControl/>
              <w:spacing w:before="100" w:beforeAutospacing="1" w:after="100" w:afterAutospacing="1" w:line="240" w:lineRule="atLeast"/>
              <w:jc w:val="center"/>
              <w:rPr>
                <w:rFonts w:hint="eastAsia" w:ascii="宋体" w:hAnsi="宋体" w:eastAsia="宋体" w:cs="宋体"/>
                <w:color w:val="auto"/>
                <w:kern w:val="0"/>
                <w:szCs w:val="21"/>
              </w:rPr>
            </w:pPr>
          </w:p>
        </w:tc>
      </w:tr>
      <w:tr w14:paraId="08F90A3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B27AB28">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06589566">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7EEEB80D">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5D70CB1B">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1428" w:type="dxa"/>
            <w:tcBorders>
              <w:top w:val="nil"/>
              <w:left w:val="nil"/>
              <w:bottom w:val="single" w:color="auto" w:sz="8" w:space="0"/>
              <w:right w:val="single" w:color="auto" w:sz="8" w:space="0"/>
            </w:tcBorders>
            <w:vAlign w:val="center"/>
          </w:tcPr>
          <w:p w14:paraId="477AA387">
            <w:pPr>
              <w:widowControl/>
              <w:spacing w:before="100" w:beforeAutospacing="1" w:after="100" w:afterAutospacing="1" w:line="240" w:lineRule="atLeast"/>
              <w:jc w:val="center"/>
              <w:rPr>
                <w:rFonts w:hint="eastAsia" w:ascii="宋体" w:hAnsi="宋体" w:eastAsia="宋体" w:cs="宋体"/>
                <w:color w:val="auto"/>
                <w:kern w:val="0"/>
                <w:szCs w:val="21"/>
              </w:rPr>
            </w:pPr>
          </w:p>
        </w:tc>
      </w:tr>
      <w:tr w14:paraId="59B78F90">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0B631CF1">
            <w:pPr>
              <w:widowControl/>
              <w:snapToGrid w:val="0"/>
              <w:spacing w:before="100" w:beforeAutospacing="1" w:after="100" w:afterAutospacing="1" w:line="320" w:lineRule="atLeast"/>
              <w:ind w:firstLine="5"/>
              <w:jc w:val="center"/>
              <w:rPr>
                <w:rFonts w:hint="eastAsia" w:ascii="宋体" w:hAnsi="宋体" w:eastAsia="宋体" w:cs="宋体"/>
                <w:color w:val="auto"/>
                <w:kern w:val="0"/>
                <w:szCs w:val="21"/>
              </w:rPr>
            </w:pPr>
            <w:r>
              <w:rPr>
                <w:rFonts w:hint="eastAsia" w:ascii="宋体" w:hAnsi="宋体" w:eastAsia="宋体" w:cs="宋体"/>
                <w:color w:val="auto"/>
                <w:kern w:val="0"/>
                <w:szCs w:val="21"/>
              </w:rPr>
              <w:t>合 计</w:t>
            </w:r>
          </w:p>
        </w:tc>
        <w:tc>
          <w:tcPr>
            <w:tcW w:w="863" w:type="dxa"/>
            <w:gridSpan w:val="2"/>
            <w:tcBorders>
              <w:top w:val="nil"/>
              <w:left w:val="nil"/>
              <w:bottom w:val="single" w:color="auto" w:sz="8" w:space="0"/>
              <w:right w:val="single" w:color="auto" w:sz="8" w:space="0"/>
            </w:tcBorders>
            <w:vAlign w:val="center"/>
          </w:tcPr>
          <w:p w14:paraId="069FBE66">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1428" w:type="dxa"/>
            <w:tcBorders>
              <w:top w:val="nil"/>
              <w:left w:val="nil"/>
              <w:bottom w:val="single" w:color="auto" w:sz="8" w:space="0"/>
              <w:right w:val="single" w:color="auto" w:sz="8" w:space="0"/>
            </w:tcBorders>
            <w:vAlign w:val="center"/>
          </w:tcPr>
          <w:p w14:paraId="05E62F89">
            <w:pPr>
              <w:widowControl/>
              <w:spacing w:before="100" w:beforeAutospacing="1" w:after="100" w:afterAutospacing="1" w:line="240" w:lineRule="atLeast"/>
              <w:jc w:val="center"/>
              <w:rPr>
                <w:rFonts w:hint="eastAsia" w:ascii="宋体" w:hAnsi="宋体" w:eastAsia="宋体" w:cs="宋体"/>
                <w:color w:val="auto"/>
                <w:kern w:val="0"/>
                <w:szCs w:val="21"/>
              </w:rPr>
            </w:pPr>
          </w:p>
        </w:tc>
      </w:tr>
      <w:tr w14:paraId="04CDD091">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3D25063B">
            <w:pPr>
              <w:widowControl/>
              <w:snapToGrid w:val="0"/>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合计大写金额：  仟  佰  拾  万  仟  佰  拾  元</w:t>
            </w:r>
          </w:p>
        </w:tc>
      </w:tr>
      <w:tr w14:paraId="5795E601">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06ABAB0B">
            <w:pPr>
              <w:widowControl/>
              <w:snapToGrid w:val="0"/>
              <w:spacing w:before="100" w:beforeAutospacing="1" w:after="100" w:afterAutospacing="1" w:line="320" w:lineRule="atLeast"/>
              <w:ind w:firstLine="2"/>
              <w:jc w:val="center"/>
              <w:rPr>
                <w:rFonts w:hint="eastAsia" w:ascii="宋体" w:hAnsi="宋体" w:eastAsia="宋体" w:cs="宋体"/>
                <w:color w:val="auto"/>
                <w:kern w:val="0"/>
                <w:szCs w:val="21"/>
              </w:rPr>
            </w:pPr>
            <w:r>
              <w:rPr>
                <w:rFonts w:hint="eastAsia" w:ascii="宋体" w:hAnsi="宋体" w:eastAsia="宋体" w:cs="宋体"/>
                <w:color w:val="auto"/>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3D198109">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282" w:type="dxa"/>
            <w:gridSpan w:val="3"/>
            <w:tcBorders>
              <w:top w:val="nil"/>
              <w:left w:val="nil"/>
              <w:bottom w:val="single" w:color="auto" w:sz="8" w:space="0"/>
              <w:right w:val="single" w:color="auto" w:sz="8" w:space="0"/>
            </w:tcBorders>
            <w:vAlign w:val="center"/>
          </w:tcPr>
          <w:p w14:paraId="0E502310">
            <w:pPr>
              <w:widowControl/>
              <w:snapToGrid w:val="0"/>
              <w:spacing w:before="100" w:beforeAutospacing="1" w:after="100" w:afterAutospacing="1" w:line="320" w:lineRule="atLeast"/>
              <w:ind w:firstLine="46"/>
              <w:jc w:val="center"/>
              <w:rPr>
                <w:rFonts w:hint="eastAsia" w:ascii="宋体" w:hAnsi="宋体" w:eastAsia="宋体" w:cs="宋体"/>
                <w:color w:val="auto"/>
                <w:kern w:val="0"/>
                <w:szCs w:val="21"/>
              </w:rPr>
            </w:pPr>
            <w:r>
              <w:rPr>
                <w:rFonts w:hint="eastAsia" w:ascii="宋体" w:hAnsi="宋体" w:eastAsia="宋体" w:cs="宋体"/>
                <w:color w:val="auto"/>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62E8EEE3">
            <w:pPr>
              <w:widowControl/>
              <w:spacing w:before="100" w:beforeAutospacing="1" w:after="100" w:afterAutospacing="1" w:line="240" w:lineRule="atLeast"/>
              <w:jc w:val="center"/>
              <w:rPr>
                <w:rFonts w:hint="eastAsia" w:ascii="宋体" w:hAnsi="宋体" w:eastAsia="宋体" w:cs="宋体"/>
                <w:color w:val="auto"/>
                <w:kern w:val="0"/>
                <w:szCs w:val="21"/>
              </w:rPr>
            </w:pPr>
          </w:p>
        </w:tc>
      </w:tr>
      <w:tr w14:paraId="72DC6CBD">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62A586FF">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421" w:type="dxa"/>
            <w:gridSpan w:val="2"/>
            <w:tcBorders>
              <w:top w:val="nil"/>
              <w:left w:val="nil"/>
              <w:bottom w:val="single" w:color="auto" w:sz="8" w:space="0"/>
              <w:right w:val="single" w:color="auto" w:sz="8" w:space="0"/>
            </w:tcBorders>
            <w:vAlign w:val="center"/>
          </w:tcPr>
          <w:p w14:paraId="37E066F0">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282" w:type="dxa"/>
            <w:gridSpan w:val="3"/>
            <w:tcBorders>
              <w:top w:val="nil"/>
              <w:left w:val="nil"/>
              <w:bottom w:val="single" w:color="auto" w:sz="8" w:space="0"/>
              <w:right w:val="single" w:color="auto" w:sz="8" w:space="0"/>
            </w:tcBorders>
            <w:vAlign w:val="center"/>
          </w:tcPr>
          <w:p w14:paraId="2BB20F14">
            <w:pPr>
              <w:widowControl/>
              <w:spacing w:before="100" w:beforeAutospacing="1" w:after="100" w:afterAutospacing="1" w:line="240" w:lineRule="atLeast"/>
              <w:jc w:val="center"/>
              <w:rPr>
                <w:rFonts w:hint="eastAsia" w:ascii="宋体" w:hAnsi="宋体" w:eastAsia="宋体" w:cs="宋体"/>
                <w:color w:val="auto"/>
                <w:kern w:val="0"/>
                <w:szCs w:val="21"/>
              </w:rPr>
            </w:pPr>
          </w:p>
        </w:tc>
        <w:tc>
          <w:tcPr>
            <w:tcW w:w="2113" w:type="dxa"/>
            <w:gridSpan w:val="2"/>
            <w:tcBorders>
              <w:top w:val="nil"/>
              <w:left w:val="nil"/>
              <w:bottom w:val="single" w:color="auto" w:sz="8" w:space="0"/>
              <w:right w:val="single" w:color="auto" w:sz="8" w:space="0"/>
            </w:tcBorders>
            <w:vAlign w:val="center"/>
          </w:tcPr>
          <w:p w14:paraId="3544441F">
            <w:pPr>
              <w:widowControl/>
              <w:spacing w:before="100" w:beforeAutospacing="1" w:after="100" w:afterAutospacing="1" w:line="240" w:lineRule="atLeast"/>
              <w:jc w:val="center"/>
              <w:rPr>
                <w:rFonts w:hint="eastAsia" w:ascii="宋体" w:hAnsi="宋体" w:eastAsia="宋体" w:cs="宋体"/>
                <w:color w:val="auto"/>
                <w:kern w:val="0"/>
                <w:szCs w:val="21"/>
              </w:rPr>
            </w:pPr>
          </w:p>
        </w:tc>
      </w:tr>
      <w:tr w14:paraId="0CE44451">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DC4A255">
            <w:pPr>
              <w:widowControl/>
              <w:snapToGrid w:val="0"/>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511230CA">
            <w:pPr>
              <w:widowControl/>
              <w:snapToGrid w:val="0"/>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57D3F54A">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0728694">
            <w:pPr>
              <w:widowControl/>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49C46E7A">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验收结论性意见：</w:t>
            </w:r>
          </w:p>
        </w:tc>
      </w:tr>
      <w:tr w14:paraId="71716D10">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3BD56C15">
            <w:pPr>
              <w:widowControl/>
              <w:jc w:val="left"/>
              <w:rPr>
                <w:rFonts w:hint="eastAsia" w:ascii="宋体" w:hAnsi="宋体" w:eastAsia="宋体" w:cs="宋体"/>
                <w:color w:val="auto"/>
                <w:kern w:val="0"/>
                <w:szCs w:val="21"/>
              </w:rPr>
            </w:pPr>
          </w:p>
        </w:tc>
        <w:tc>
          <w:tcPr>
            <w:tcW w:w="6816" w:type="dxa"/>
            <w:gridSpan w:val="7"/>
            <w:tcBorders>
              <w:top w:val="nil"/>
              <w:left w:val="nil"/>
              <w:bottom w:val="single" w:color="auto" w:sz="8" w:space="0"/>
              <w:right w:val="single" w:color="auto" w:sz="8" w:space="0"/>
            </w:tcBorders>
            <w:vAlign w:val="center"/>
          </w:tcPr>
          <w:p w14:paraId="1452ADD3">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有异议的意见和说明理由：</w:t>
            </w:r>
          </w:p>
          <w:p w14:paraId="1DB9BBF7">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签字：</w:t>
            </w:r>
          </w:p>
        </w:tc>
      </w:tr>
      <w:tr w14:paraId="0CD54290">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379BD38">
            <w:pPr>
              <w:widowControl/>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验收小组成员签字：</w:t>
            </w:r>
          </w:p>
        </w:tc>
      </w:tr>
      <w:tr w14:paraId="1F594437">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36B3B1">
            <w:pPr>
              <w:widowControl/>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监督人员或者其他相关人员签字：</w:t>
            </w:r>
          </w:p>
          <w:p w14:paraId="332DFCA9">
            <w:pPr>
              <w:widowControl/>
              <w:spacing w:before="100" w:beforeAutospacing="1" w:after="100" w:afterAutospacing="1" w:line="320" w:lineRule="atLeast"/>
              <w:ind w:firstLine="74"/>
              <w:jc w:val="left"/>
              <w:rPr>
                <w:rFonts w:hint="eastAsia" w:ascii="宋体" w:hAnsi="宋体" w:eastAsia="宋体" w:cs="宋体"/>
                <w:color w:val="auto"/>
                <w:kern w:val="0"/>
                <w:szCs w:val="21"/>
              </w:rPr>
            </w:pPr>
            <w:r>
              <w:rPr>
                <w:rFonts w:hint="eastAsia" w:ascii="宋体" w:hAnsi="宋体" w:eastAsia="宋体" w:cs="宋体"/>
                <w:color w:val="auto"/>
                <w:kern w:val="0"/>
                <w:szCs w:val="21"/>
              </w:rPr>
              <w:t>或者受邀机构的意见（盖章）：</w:t>
            </w:r>
          </w:p>
        </w:tc>
      </w:tr>
      <w:tr w14:paraId="44D77235">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568D58FD">
            <w:pPr>
              <w:widowControl/>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成交供应商负责人签字或者盖章：</w:t>
            </w:r>
          </w:p>
          <w:p w14:paraId="13B7F732">
            <w:pPr>
              <w:widowControl/>
              <w:spacing w:before="100" w:beforeAutospacing="1" w:after="100" w:afterAutospacing="1" w:line="320" w:lineRule="atLeast"/>
              <w:jc w:val="left"/>
              <w:rPr>
                <w:rFonts w:hint="eastAsia" w:ascii="宋体" w:hAnsi="宋体" w:eastAsia="宋体" w:cs="宋体"/>
                <w:color w:val="auto"/>
                <w:kern w:val="0"/>
                <w:szCs w:val="21"/>
              </w:rPr>
            </w:pPr>
          </w:p>
          <w:p w14:paraId="40785B16">
            <w:pPr>
              <w:widowControl/>
              <w:spacing w:before="100" w:beforeAutospacing="1" w:after="100" w:afterAutospacing="1" w:line="320" w:lineRule="atLeast"/>
              <w:jc w:val="left"/>
              <w:rPr>
                <w:rFonts w:hint="eastAsia" w:ascii="宋体" w:hAnsi="宋体" w:eastAsia="宋体" w:cs="宋体"/>
                <w:color w:val="auto"/>
                <w:kern w:val="0"/>
                <w:szCs w:val="21"/>
              </w:rPr>
            </w:pPr>
            <w:r>
              <w:rPr>
                <w:rFonts w:hint="eastAsia" w:ascii="宋体" w:hAnsi="宋体" w:eastAsia="宋体" w:cs="宋体"/>
                <w:color w:val="auto"/>
                <w:kern w:val="0"/>
                <w:szCs w:val="21"/>
              </w:rPr>
              <w:t>联系电话：                年  月  日</w:t>
            </w:r>
          </w:p>
        </w:tc>
        <w:tc>
          <w:tcPr>
            <w:tcW w:w="4293" w:type="dxa"/>
            <w:gridSpan w:val="4"/>
            <w:tcBorders>
              <w:top w:val="nil"/>
              <w:left w:val="nil"/>
              <w:bottom w:val="single" w:color="auto" w:sz="8" w:space="0"/>
              <w:right w:val="single" w:color="auto" w:sz="8" w:space="0"/>
            </w:tcBorders>
            <w:vAlign w:val="center"/>
          </w:tcPr>
          <w:p w14:paraId="6050DE8E">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采购人或者受托机构的意见（盖章）：</w:t>
            </w:r>
          </w:p>
          <w:p w14:paraId="47B9EAD3">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p>
          <w:p w14:paraId="14A677D8">
            <w:pPr>
              <w:widowControl/>
              <w:spacing w:before="100" w:beforeAutospacing="1" w:after="100" w:afterAutospacing="1" w:line="320" w:lineRule="atLeast"/>
              <w:ind w:firstLine="210" w:firstLineChars="100"/>
              <w:jc w:val="left"/>
              <w:rPr>
                <w:rFonts w:hint="eastAsia" w:ascii="宋体" w:hAnsi="宋体" w:eastAsia="宋体" w:cs="宋体"/>
                <w:color w:val="auto"/>
                <w:kern w:val="0"/>
                <w:szCs w:val="21"/>
              </w:rPr>
            </w:pPr>
            <w:r>
              <w:rPr>
                <w:rFonts w:hint="eastAsia" w:ascii="宋体" w:hAnsi="宋体" w:eastAsia="宋体" w:cs="宋体"/>
                <w:color w:val="auto"/>
                <w:kern w:val="0"/>
                <w:szCs w:val="21"/>
              </w:rPr>
              <w:t>联系电话：                  年  月  日</w:t>
            </w:r>
          </w:p>
        </w:tc>
      </w:tr>
    </w:tbl>
    <w:p w14:paraId="58566EB3">
      <w:pPr>
        <w:pStyle w:val="19"/>
        <w:snapToGrid w:val="0"/>
        <w:rPr>
          <w:rFonts w:hint="eastAsia" w:ascii="宋体" w:hAnsi="宋体" w:eastAsia="宋体" w:cs="宋体"/>
          <w:color w:val="auto"/>
        </w:rPr>
      </w:pPr>
      <w:r>
        <w:rPr>
          <w:rFonts w:hint="eastAsia" w:ascii="宋体" w:hAnsi="宋体" w:eastAsia="宋体" w:cs="宋体"/>
          <w:color w:val="auto"/>
        </w:rPr>
        <w:br w:type="page"/>
      </w:r>
    </w:p>
    <w:p w14:paraId="34070FE8">
      <w:pPr>
        <w:pStyle w:val="19"/>
        <w:snapToGrid w:val="0"/>
        <w:rPr>
          <w:rFonts w:hint="eastAsia" w:ascii="宋体" w:hAnsi="宋体" w:eastAsia="宋体" w:cs="宋体"/>
          <w:color w:val="auto"/>
          <w:sz w:val="32"/>
          <w:szCs w:val="32"/>
        </w:rPr>
      </w:pPr>
      <w:r>
        <w:rPr>
          <w:rFonts w:hint="eastAsia" w:ascii="宋体" w:hAnsi="宋体" w:eastAsia="宋体" w:cs="宋体"/>
          <w:color w:val="auto"/>
          <w:sz w:val="32"/>
          <w:szCs w:val="32"/>
        </w:rPr>
        <w:t>附件2：</w:t>
      </w:r>
    </w:p>
    <w:p w14:paraId="76F2FC83">
      <w:pPr>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政府采购项目履约保证金退付意见书</w:t>
      </w:r>
    </w:p>
    <w:p w14:paraId="66BDD790">
      <w:pPr>
        <w:jc w:val="center"/>
        <w:rPr>
          <w:rFonts w:hint="eastAsia" w:ascii="宋体" w:hAnsi="宋体" w:eastAsia="宋体" w:cs="宋体"/>
          <w:color w:val="auto"/>
          <w:sz w:val="36"/>
          <w:szCs w:val="36"/>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7EAA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4EF57DBF">
            <w:pPr>
              <w:jc w:val="center"/>
              <w:rPr>
                <w:rFonts w:hint="eastAsia" w:ascii="宋体" w:hAnsi="宋体" w:eastAsia="宋体" w:cs="宋体"/>
                <w:color w:val="auto"/>
                <w:sz w:val="24"/>
              </w:rPr>
            </w:pPr>
            <w:r>
              <w:rPr>
                <w:rFonts w:hint="eastAsia" w:ascii="宋体" w:hAnsi="宋体" w:eastAsia="宋体" w:cs="宋体"/>
                <w:color w:val="auto"/>
                <w:sz w:val="24"/>
              </w:rPr>
              <w:t>供</w:t>
            </w:r>
          </w:p>
          <w:p w14:paraId="1053A7DB">
            <w:pPr>
              <w:jc w:val="center"/>
              <w:rPr>
                <w:rFonts w:hint="eastAsia" w:ascii="宋体" w:hAnsi="宋体" w:eastAsia="宋体" w:cs="宋体"/>
                <w:color w:val="auto"/>
                <w:sz w:val="24"/>
              </w:rPr>
            </w:pPr>
            <w:r>
              <w:rPr>
                <w:rFonts w:hint="eastAsia" w:ascii="宋体" w:hAnsi="宋体" w:eastAsia="宋体" w:cs="宋体"/>
                <w:color w:val="auto"/>
                <w:sz w:val="24"/>
              </w:rPr>
              <w:t>应</w:t>
            </w:r>
          </w:p>
          <w:p w14:paraId="0EC39040">
            <w:pPr>
              <w:jc w:val="center"/>
              <w:rPr>
                <w:rFonts w:hint="eastAsia" w:ascii="宋体" w:hAnsi="宋体" w:eastAsia="宋体" w:cs="宋体"/>
                <w:color w:val="auto"/>
                <w:sz w:val="24"/>
              </w:rPr>
            </w:pPr>
            <w:r>
              <w:rPr>
                <w:rFonts w:hint="eastAsia" w:ascii="宋体" w:hAnsi="宋体" w:eastAsia="宋体" w:cs="宋体"/>
                <w:color w:val="auto"/>
                <w:sz w:val="24"/>
              </w:rPr>
              <w:t>商</w:t>
            </w:r>
          </w:p>
          <w:p w14:paraId="5867822F">
            <w:pPr>
              <w:jc w:val="center"/>
              <w:rPr>
                <w:rFonts w:hint="eastAsia" w:ascii="宋体" w:hAnsi="宋体" w:eastAsia="宋体" w:cs="宋体"/>
                <w:color w:val="auto"/>
                <w:sz w:val="24"/>
              </w:rPr>
            </w:pPr>
            <w:r>
              <w:rPr>
                <w:rFonts w:hint="eastAsia" w:ascii="宋体" w:hAnsi="宋体" w:eastAsia="宋体" w:cs="宋体"/>
                <w:color w:val="auto"/>
                <w:sz w:val="24"/>
              </w:rPr>
              <w:t>申</w:t>
            </w:r>
          </w:p>
          <w:p w14:paraId="25F2ED69">
            <w:pPr>
              <w:jc w:val="center"/>
              <w:rPr>
                <w:rFonts w:hint="eastAsia" w:ascii="宋体" w:hAnsi="宋体" w:eastAsia="宋体" w:cs="宋体"/>
                <w:color w:val="auto"/>
                <w:sz w:val="24"/>
              </w:rPr>
            </w:pPr>
            <w:r>
              <w:rPr>
                <w:rFonts w:hint="eastAsia" w:ascii="宋体" w:hAnsi="宋体" w:eastAsia="宋体" w:cs="宋体"/>
                <w:color w:val="auto"/>
                <w:sz w:val="24"/>
              </w:rPr>
              <w:t>请</w:t>
            </w:r>
          </w:p>
        </w:tc>
        <w:tc>
          <w:tcPr>
            <w:tcW w:w="8009" w:type="dxa"/>
            <w:vAlign w:val="center"/>
          </w:tcPr>
          <w:p w14:paraId="00FA98E3">
            <w:pPr>
              <w:rPr>
                <w:rFonts w:hint="eastAsia" w:ascii="宋体" w:hAnsi="宋体" w:eastAsia="宋体" w:cs="宋体"/>
                <w:color w:val="auto"/>
                <w:sz w:val="24"/>
              </w:rPr>
            </w:pPr>
            <w:r>
              <w:rPr>
                <w:rFonts w:hint="eastAsia" w:ascii="宋体" w:hAnsi="宋体" w:eastAsia="宋体" w:cs="宋体"/>
                <w:color w:val="auto"/>
                <w:sz w:val="24"/>
              </w:rPr>
              <w:t>项目编号：</w:t>
            </w:r>
          </w:p>
        </w:tc>
      </w:tr>
      <w:tr w14:paraId="2D17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3BF79EC8">
            <w:pPr>
              <w:rPr>
                <w:rFonts w:hint="eastAsia" w:ascii="宋体" w:hAnsi="宋体" w:eastAsia="宋体" w:cs="宋体"/>
                <w:color w:val="auto"/>
                <w:sz w:val="24"/>
              </w:rPr>
            </w:pPr>
          </w:p>
        </w:tc>
        <w:tc>
          <w:tcPr>
            <w:tcW w:w="8009" w:type="dxa"/>
            <w:vAlign w:val="center"/>
          </w:tcPr>
          <w:p w14:paraId="366788F4">
            <w:pPr>
              <w:rPr>
                <w:rFonts w:hint="eastAsia" w:ascii="宋体" w:hAnsi="宋体" w:eastAsia="宋体" w:cs="宋体"/>
                <w:color w:val="auto"/>
                <w:sz w:val="24"/>
              </w:rPr>
            </w:pPr>
            <w:r>
              <w:rPr>
                <w:rFonts w:hint="eastAsia" w:ascii="宋体" w:hAnsi="宋体" w:eastAsia="宋体" w:cs="宋体"/>
                <w:color w:val="auto"/>
                <w:sz w:val="24"/>
              </w:rPr>
              <w:t>项目名称：</w:t>
            </w:r>
          </w:p>
        </w:tc>
      </w:tr>
      <w:tr w14:paraId="2C0D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6277F915">
            <w:pPr>
              <w:rPr>
                <w:rFonts w:hint="eastAsia" w:ascii="宋体" w:hAnsi="宋体" w:eastAsia="宋体" w:cs="宋体"/>
                <w:color w:val="auto"/>
                <w:sz w:val="24"/>
              </w:rPr>
            </w:pPr>
          </w:p>
        </w:tc>
        <w:tc>
          <w:tcPr>
            <w:tcW w:w="8009" w:type="dxa"/>
          </w:tcPr>
          <w:p w14:paraId="5B24BAB8">
            <w:pPr>
              <w:rPr>
                <w:rFonts w:hint="eastAsia" w:ascii="宋体" w:hAnsi="宋体" w:eastAsia="宋体" w:cs="宋体"/>
                <w:color w:val="auto"/>
                <w:sz w:val="24"/>
              </w:rPr>
            </w:pPr>
            <w:r>
              <w:rPr>
                <w:rFonts w:hint="eastAsia" w:ascii="宋体" w:hAnsi="宋体" w:eastAsia="宋体" w:cs="宋体"/>
                <w:color w:val="auto"/>
                <w:sz w:val="24"/>
              </w:rPr>
              <w:t xml:space="preserve">  </w:t>
            </w:r>
          </w:p>
          <w:p w14:paraId="6B541725">
            <w:pPr>
              <w:ind w:firstLine="480" w:firstLineChars="200"/>
              <w:rPr>
                <w:rFonts w:hint="eastAsia" w:ascii="宋体" w:hAnsi="宋体" w:eastAsia="宋体" w:cs="宋体"/>
                <w:color w:val="auto"/>
                <w:sz w:val="24"/>
              </w:rPr>
            </w:pPr>
            <w:r>
              <w:rPr>
                <w:rFonts w:hint="eastAsia" w:ascii="宋体" w:hAnsi="宋体" w:eastAsia="宋体" w:cs="宋体"/>
                <w:color w:val="auto"/>
                <w:sz w:val="24"/>
              </w:rPr>
              <w:t>该项目已于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日验收并交付使用。根据合同规定，该项目的履约保证金期限于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日已满，请将履约保证金</w:t>
            </w:r>
          </w:p>
          <w:p w14:paraId="08695700">
            <w:pPr>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（大写）¥</w:t>
            </w:r>
            <w:r>
              <w:rPr>
                <w:rFonts w:hint="eastAsia" w:ascii="宋体" w:hAnsi="宋体" w:eastAsia="宋体" w:cs="宋体"/>
                <w:color w:val="auto"/>
                <w:sz w:val="24"/>
                <w:u w:val="single"/>
              </w:rPr>
              <w:t xml:space="preserve">          </w:t>
            </w:r>
            <w:r>
              <w:rPr>
                <w:rFonts w:hint="eastAsia" w:ascii="宋体" w:hAnsi="宋体" w:eastAsia="宋体" w:cs="宋体"/>
                <w:color w:val="auto"/>
                <w:sz w:val="24"/>
              </w:rPr>
              <w:t>（小写）退付到达以下帐户。</w:t>
            </w:r>
          </w:p>
          <w:p w14:paraId="0E5DC776">
            <w:pPr>
              <w:rPr>
                <w:rFonts w:hint="eastAsia" w:ascii="宋体" w:hAnsi="宋体" w:eastAsia="宋体" w:cs="宋体"/>
                <w:color w:val="auto"/>
                <w:sz w:val="24"/>
              </w:rPr>
            </w:pPr>
            <w:r>
              <w:rPr>
                <w:rFonts w:hint="eastAsia" w:ascii="宋体" w:hAnsi="宋体" w:eastAsia="宋体" w:cs="宋体"/>
                <w:color w:val="auto"/>
                <w:sz w:val="24"/>
              </w:rPr>
              <w:t>单位名称：</w:t>
            </w:r>
          </w:p>
          <w:p w14:paraId="3BEF15A9">
            <w:pPr>
              <w:rPr>
                <w:rFonts w:hint="eastAsia" w:ascii="宋体" w:hAnsi="宋体" w:eastAsia="宋体" w:cs="宋体"/>
                <w:color w:val="auto"/>
                <w:sz w:val="24"/>
              </w:rPr>
            </w:pPr>
            <w:r>
              <w:rPr>
                <w:rFonts w:hint="eastAsia" w:ascii="宋体" w:hAnsi="宋体" w:eastAsia="宋体" w:cs="宋体"/>
                <w:color w:val="auto"/>
                <w:sz w:val="24"/>
              </w:rPr>
              <w:t>开户银行：</w:t>
            </w:r>
          </w:p>
          <w:p w14:paraId="7ECF3B79">
            <w:pPr>
              <w:rPr>
                <w:rFonts w:hint="eastAsia" w:ascii="宋体" w:hAnsi="宋体" w:eastAsia="宋体" w:cs="宋体"/>
                <w:color w:val="auto"/>
                <w:sz w:val="24"/>
              </w:rPr>
            </w:pPr>
            <w:r>
              <w:rPr>
                <w:rFonts w:hint="eastAsia" w:ascii="宋体" w:hAnsi="宋体" w:eastAsia="宋体" w:cs="宋体"/>
                <w:color w:val="auto"/>
                <w:sz w:val="24"/>
              </w:rPr>
              <w:t>帐    号：</w:t>
            </w:r>
          </w:p>
          <w:p w14:paraId="3E1260B5">
            <w:pPr>
              <w:rPr>
                <w:rFonts w:hint="eastAsia" w:ascii="宋体" w:hAnsi="宋体" w:eastAsia="宋体" w:cs="宋体"/>
                <w:color w:val="auto"/>
                <w:sz w:val="24"/>
              </w:rPr>
            </w:pPr>
            <w:r>
              <w:rPr>
                <w:rFonts w:hint="eastAsia" w:ascii="宋体" w:hAnsi="宋体" w:eastAsia="宋体" w:cs="宋体"/>
                <w:color w:val="auto"/>
                <w:sz w:val="24"/>
              </w:rPr>
              <w:t>联系人及电话：</w:t>
            </w:r>
          </w:p>
          <w:p w14:paraId="478A87A0">
            <w:pPr>
              <w:rPr>
                <w:rFonts w:hint="eastAsia" w:ascii="宋体" w:hAnsi="宋体" w:eastAsia="宋体" w:cs="宋体"/>
                <w:color w:val="auto"/>
                <w:sz w:val="24"/>
              </w:rPr>
            </w:pPr>
          </w:p>
          <w:p w14:paraId="3B82F272">
            <w:pPr>
              <w:jc w:val="center"/>
              <w:rPr>
                <w:rFonts w:hint="eastAsia" w:ascii="宋体" w:hAnsi="宋体" w:eastAsia="宋体" w:cs="宋体"/>
                <w:color w:val="auto"/>
                <w:sz w:val="24"/>
              </w:rPr>
            </w:pPr>
            <w:r>
              <w:rPr>
                <w:rFonts w:hint="eastAsia" w:ascii="宋体" w:hAnsi="宋体" w:eastAsia="宋体" w:cs="宋体"/>
                <w:color w:val="auto"/>
                <w:sz w:val="24"/>
              </w:rPr>
              <w:t xml:space="preserve">                           供应商签章：</w:t>
            </w:r>
          </w:p>
          <w:p w14:paraId="71B3B100">
            <w:pPr>
              <w:jc w:val="center"/>
              <w:rPr>
                <w:rFonts w:hint="eastAsia" w:ascii="宋体" w:hAnsi="宋体" w:eastAsia="宋体" w:cs="宋体"/>
                <w:color w:val="auto"/>
                <w:sz w:val="24"/>
              </w:rPr>
            </w:pPr>
            <w:r>
              <w:rPr>
                <w:rFonts w:hint="eastAsia" w:ascii="宋体" w:hAnsi="宋体" w:eastAsia="宋体" w:cs="宋体"/>
                <w:color w:val="auto"/>
                <w:sz w:val="24"/>
              </w:rPr>
              <w:t xml:space="preserve">                                                年    月    日</w:t>
            </w:r>
          </w:p>
        </w:tc>
      </w:tr>
      <w:tr w14:paraId="4073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23C35DEE">
            <w:pPr>
              <w:jc w:val="center"/>
              <w:rPr>
                <w:rFonts w:hint="eastAsia" w:ascii="宋体" w:hAnsi="宋体" w:eastAsia="宋体" w:cs="宋体"/>
                <w:color w:val="auto"/>
                <w:sz w:val="24"/>
              </w:rPr>
            </w:pPr>
            <w:r>
              <w:rPr>
                <w:rFonts w:hint="eastAsia" w:ascii="宋体" w:hAnsi="宋体" w:eastAsia="宋体" w:cs="宋体"/>
                <w:color w:val="auto"/>
                <w:sz w:val="24"/>
              </w:rPr>
              <w:t>采</w:t>
            </w:r>
          </w:p>
          <w:p w14:paraId="6467F822">
            <w:pPr>
              <w:jc w:val="center"/>
              <w:rPr>
                <w:rFonts w:hint="eastAsia" w:ascii="宋体" w:hAnsi="宋体" w:eastAsia="宋体" w:cs="宋体"/>
                <w:color w:val="auto"/>
                <w:sz w:val="24"/>
              </w:rPr>
            </w:pPr>
            <w:r>
              <w:rPr>
                <w:rFonts w:hint="eastAsia" w:ascii="宋体" w:hAnsi="宋体" w:eastAsia="宋体" w:cs="宋体"/>
                <w:color w:val="auto"/>
                <w:sz w:val="24"/>
              </w:rPr>
              <w:t>购</w:t>
            </w:r>
          </w:p>
          <w:p w14:paraId="24083026">
            <w:pPr>
              <w:jc w:val="center"/>
              <w:rPr>
                <w:rFonts w:hint="eastAsia" w:ascii="宋体" w:hAnsi="宋体" w:eastAsia="宋体" w:cs="宋体"/>
                <w:color w:val="auto"/>
                <w:sz w:val="24"/>
              </w:rPr>
            </w:pPr>
            <w:r>
              <w:rPr>
                <w:rFonts w:hint="eastAsia" w:ascii="宋体" w:hAnsi="宋体" w:eastAsia="宋体" w:cs="宋体"/>
                <w:color w:val="auto"/>
                <w:sz w:val="24"/>
              </w:rPr>
              <w:t>单</w:t>
            </w:r>
          </w:p>
          <w:p w14:paraId="300080D2">
            <w:pPr>
              <w:jc w:val="center"/>
              <w:rPr>
                <w:rFonts w:hint="eastAsia" w:ascii="宋体" w:hAnsi="宋体" w:eastAsia="宋体" w:cs="宋体"/>
                <w:color w:val="auto"/>
                <w:sz w:val="24"/>
              </w:rPr>
            </w:pPr>
            <w:r>
              <w:rPr>
                <w:rFonts w:hint="eastAsia" w:ascii="宋体" w:hAnsi="宋体" w:eastAsia="宋体" w:cs="宋体"/>
                <w:color w:val="auto"/>
                <w:sz w:val="24"/>
              </w:rPr>
              <w:t>位</w:t>
            </w:r>
          </w:p>
          <w:p w14:paraId="4A44405B">
            <w:pPr>
              <w:jc w:val="center"/>
              <w:rPr>
                <w:rFonts w:hint="eastAsia" w:ascii="宋体" w:hAnsi="宋体" w:eastAsia="宋体" w:cs="宋体"/>
                <w:color w:val="auto"/>
                <w:sz w:val="24"/>
              </w:rPr>
            </w:pPr>
            <w:r>
              <w:rPr>
                <w:rFonts w:hint="eastAsia" w:ascii="宋体" w:hAnsi="宋体" w:eastAsia="宋体" w:cs="宋体"/>
                <w:color w:val="auto"/>
                <w:sz w:val="24"/>
              </w:rPr>
              <w:t>意</w:t>
            </w:r>
          </w:p>
          <w:p w14:paraId="47E73CE0">
            <w:pPr>
              <w:jc w:val="center"/>
              <w:rPr>
                <w:rFonts w:hint="eastAsia" w:ascii="宋体" w:hAnsi="宋体" w:eastAsia="宋体" w:cs="宋体"/>
                <w:color w:val="auto"/>
                <w:sz w:val="24"/>
              </w:rPr>
            </w:pPr>
            <w:r>
              <w:rPr>
                <w:rFonts w:hint="eastAsia" w:ascii="宋体" w:hAnsi="宋体" w:eastAsia="宋体" w:cs="宋体"/>
                <w:color w:val="auto"/>
                <w:sz w:val="24"/>
              </w:rPr>
              <w:t>见</w:t>
            </w:r>
          </w:p>
        </w:tc>
        <w:tc>
          <w:tcPr>
            <w:tcW w:w="8009" w:type="dxa"/>
          </w:tcPr>
          <w:p w14:paraId="13C9BD7F">
            <w:pPr>
              <w:rPr>
                <w:rFonts w:hint="eastAsia" w:ascii="宋体" w:hAnsi="宋体" w:eastAsia="宋体" w:cs="宋体"/>
                <w:color w:val="auto"/>
                <w:sz w:val="24"/>
              </w:rPr>
            </w:pPr>
          </w:p>
          <w:p w14:paraId="2AF44036">
            <w:pPr>
              <w:rPr>
                <w:rFonts w:hint="eastAsia" w:ascii="宋体" w:hAnsi="宋体" w:eastAsia="宋体" w:cs="宋体"/>
                <w:color w:val="auto"/>
                <w:sz w:val="24"/>
              </w:rPr>
            </w:pPr>
            <w:r>
              <w:rPr>
                <w:rFonts w:hint="eastAsia" w:ascii="宋体" w:hAnsi="宋体" w:eastAsia="宋体" w:cs="宋体"/>
                <w:color w:val="auto"/>
                <w:sz w:val="24"/>
              </w:rPr>
              <w:t>退付意见：是否同意退付履约保证金及退付金额：</w:t>
            </w:r>
          </w:p>
          <w:p w14:paraId="1E20AC1D">
            <w:pPr>
              <w:rPr>
                <w:rFonts w:hint="eastAsia" w:ascii="宋体" w:hAnsi="宋体" w:eastAsia="宋体" w:cs="宋体"/>
                <w:color w:val="auto"/>
                <w:sz w:val="24"/>
              </w:rPr>
            </w:pPr>
          </w:p>
          <w:p w14:paraId="04695E29">
            <w:pPr>
              <w:rPr>
                <w:rFonts w:hint="eastAsia" w:ascii="宋体" w:hAnsi="宋体" w:eastAsia="宋体" w:cs="宋体"/>
                <w:color w:val="auto"/>
                <w:sz w:val="24"/>
              </w:rPr>
            </w:pPr>
          </w:p>
          <w:p w14:paraId="009A035E">
            <w:pPr>
              <w:rPr>
                <w:rFonts w:hint="eastAsia" w:ascii="宋体" w:hAnsi="宋体" w:eastAsia="宋体" w:cs="宋体"/>
                <w:color w:val="auto"/>
                <w:sz w:val="24"/>
              </w:rPr>
            </w:pPr>
            <w:r>
              <w:rPr>
                <w:rFonts w:hint="eastAsia" w:ascii="宋体" w:hAnsi="宋体" w:eastAsia="宋体" w:cs="宋体"/>
                <w:color w:val="auto"/>
                <w:sz w:val="24"/>
              </w:rPr>
              <w:t xml:space="preserve">联系人及电话：                                </w:t>
            </w:r>
          </w:p>
          <w:p w14:paraId="0D966AE8">
            <w:pPr>
              <w:rPr>
                <w:rFonts w:hint="eastAsia" w:ascii="宋体" w:hAnsi="宋体" w:eastAsia="宋体" w:cs="宋体"/>
                <w:color w:val="auto"/>
                <w:sz w:val="24"/>
              </w:rPr>
            </w:pPr>
          </w:p>
          <w:p w14:paraId="0142AF42">
            <w:pPr>
              <w:ind w:firstLine="4560" w:firstLineChars="1900"/>
              <w:rPr>
                <w:rFonts w:hint="eastAsia" w:ascii="宋体" w:hAnsi="宋体" w:eastAsia="宋体" w:cs="宋体"/>
                <w:color w:val="auto"/>
                <w:sz w:val="24"/>
              </w:rPr>
            </w:pPr>
            <w:r>
              <w:rPr>
                <w:rFonts w:hint="eastAsia" w:ascii="宋体" w:hAnsi="宋体" w:eastAsia="宋体" w:cs="宋体"/>
                <w:color w:val="auto"/>
                <w:sz w:val="24"/>
              </w:rPr>
              <w:t xml:space="preserve"> 采购单位签章：</w:t>
            </w:r>
          </w:p>
          <w:p w14:paraId="7DC9EDC6">
            <w:pPr>
              <w:jc w:val="center"/>
              <w:rPr>
                <w:rFonts w:hint="eastAsia" w:ascii="宋体" w:hAnsi="宋体" w:eastAsia="宋体" w:cs="宋体"/>
                <w:color w:val="auto"/>
                <w:sz w:val="24"/>
              </w:rPr>
            </w:pPr>
            <w:r>
              <w:rPr>
                <w:rFonts w:hint="eastAsia" w:ascii="宋体" w:hAnsi="宋体" w:eastAsia="宋体" w:cs="宋体"/>
                <w:color w:val="auto"/>
                <w:sz w:val="24"/>
              </w:rPr>
              <w:t xml:space="preserve">                                                年    月    日</w:t>
            </w:r>
          </w:p>
        </w:tc>
      </w:tr>
      <w:tr w14:paraId="3AF5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3A33C1F8">
            <w:pPr>
              <w:jc w:val="center"/>
              <w:rPr>
                <w:rFonts w:hint="eastAsia" w:ascii="宋体" w:hAnsi="宋体" w:eastAsia="宋体" w:cs="宋体"/>
                <w:color w:val="auto"/>
                <w:sz w:val="24"/>
              </w:rPr>
            </w:pPr>
            <w:r>
              <w:rPr>
                <w:rFonts w:hint="eastAsia" w:ascii="宋体" w:hAnsi="宋体" w:eastAsia="宋体" w:cs="宋体"/>
                <w:color w:val="auto"/>
                <w:sz w:val="24"/>
              </w:rPr>
              <w:t>财</w:t>
            </w:r>
          </w:p>
          <w:p w14:paraId="1121D1CF">
            <w:pPr>
              <w:jc w:val="center"/>
              <w:rPr>
                <w:rFonts w:hint="eastAsia" w:ascii="宋体" w:hAnsi="宋体" w:eastAsia="宋体" w:cs="宋体"/>
                <w:color w:val="auto"/>
                <w:sz w:val="24"/>
              </w:rPr>
            </w:pPr>
            <w:r>
              <w:rPr>
                <w:rFonts w:hint="eastAsia" w:ascii="宋体" w:hAnsi="宋体" w:eastAsia="宋体" w:cs="宋体"/>
                <w:color w:val="auto"/>
                <w:sz w:val="24"/>
              </w:rPr>
              <w:t>务</w:t>
            </w:r>
          </w:p>
          <w:p w14:paraId="1B41A57C">
            <w:pPr>
              <w:jc w:val="center"/>
              <w:rPr>
                <w:rFonts w:hint="eastAsia" w:ascii="宋体" w:hAnsi="宋体" w:eastAsia="宋体" w:cs="宋体"/>
                <w:color w:val="auto"/>
                <w:sz w:val="24"/>
              </w:rPr>
            </w:pPr>
            <w:r>
              <w:rPr>
                <w:rFonts w:hint="eastAsia" w:ascii="宋体" w:hAnsi="宋体" w:eastAsia="宋体" w:cs="宋体"/>
                <w:color w:val="auto"/>
                <w:sz w:val="24"/>
              </w:rPr>
              <w:t>部</w:t>
            </w:r>
          </w:p>
          <w:p w14:paraId="518BF189">
            <w:pPr>
              <w:jc w:val="center"/>
              <w:rPr>
                <w:rFonts w:hint="eastAsia" w:ascii="宋体" w:hAnsi="宋体" w:eastAsia="宋体" w:cs="宋体"/>
                <w:color w:val="auto"/>
                <w:sz w:val="24"/>
              </w:rPr>
            </w:pPr>
            <w:r>
              <w:rPr>
                <w:rFonts w:hint="eastAsia" w:ascii="宋体" w:hAnsi="宋体" w:eastAsia="宋体" w:cs="宋体"/>
                <w:color w:val="auto"/>
                <w:sz w:val="24"/>
              </w:rPr>
              <w:t>门</w:t>
            </w:r>
          </w:p>
          <w:p w14:paraId="696608AD">
            <w:pPr>
              <w:jc w:val="center"/>
              <w:rPr>
                <w:rFonts w:hint="eastAsia" w:ascii="宋体" w:hAnsi="宋体" w:eastAsia="宋体" w:cs="宋体"/>
                <w:color w:val="auto"/>
                <w:sz w:val="24"/>
              </w:rPr>
            </w:pPr>
            <w:r>
              <w:rPr>
                <w:rFonts w:hint="eastAsia" w:ascii="宋体" w:hAnsi="宋体" w:eastAsia="宋体" w:cs="宋体"/>
                <w:color w:val="auto"/>
                <w:sz w:val="24"/>
              </w:rPr>
              <w:t>意</w:t>
            </w:r>
          </w:p>
          <w:p w14:paraId="3D52F358">
            <w:pPr>
              <w:jc w:val="center"/>
              <w:rPr>
                <w:rFonts w:hint="eastAsia" w:ascii="宋体" w:hAnsi="宋体" w:eastAsia="宋体" w:cs="宋体"/>
                <w:color w:val="auto"/>
                <w:sz w:val="24"/>
              </w:rPr>
            </w:pPr>
            <w:r>
              <w:rPr>
                <w:rFonts w:hint="eastAsia" w:ascii="宋体" w:hAnsi="宋体" w:eastAsia="宋体" w:cs="宋体"/>
                <w:color w:val="auto"/>
                <w:sz w:val="24"/>
              </w:rPr>
              <w:t>见</w:t>
            </w:r>
          </w:p>
        </w:tc>
        <w:tc>
          <w:tcPr>
            <w:tcW w:w="8009" w:type="dxa"/>
          </w:tcPr>
          <w:p w14:paraId="5C8ECA11">
            <w:pPr>
              <w:rPr>
                <w:rFonts w:hint="eastAsia" w:ascii="宋体" w:hAnsi="宋体" w:eastAsia="宋体" w:cs="宋体"/>
                <w:color w:val="auto"/>
                <w:sz w:val="24"/>
              </w:rPr>
            </w:pPr>
            <w:r>
              <w:rPr>
                <w:rFonts w:hint="eastAsia" w:ascii="宋体" w:hAnsi="宋体" w:eastAsia="宋体" w:cs="宋体"/>
                <w:color w:val="auto"/>
                <w:sz w:val="24"/>
              </w:rPr>
              <w:t>此表于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日收到。</w:t>
            </w:r>
          </w:p>
          <w:p w14:paraId="2F8100F7">
            <w:pPr>
              <w:rPr>
                <w:rFonts w:hint="eastAsia" w:ascii="宋体" w:hAnsi="宋体" w:eastAsia="宋体" w:cs="宋体"/>
                <w:color w:val="auto"/>
                <w:sz w:val="24"/>
              </w:rPr>
            </w:pPr>
          </w:p>
          <w:p w14:paraId="5209319D">
            <w:pPr>
              <w:rPr>
                <w:rFonts w:hint="eastAsia" w:ascii="宋体" w:hAnsi="宋体" w:eastAsia="宋体" w:cs="宋体"/>
                <w:color w:val="auto"/>
                <w:sz w:val="24"/>
              </w:rPr>
            </w:pPr>
            <w:r>
              <w:rPr>
                <w:rFonts w:hint="eastAsia" w:ascii="宋体" w:hAnsi="宋体" w:eastAsia="宋体" w:cs="宋体"/>
                <w:color w:val="auto"/>
                <w:sz w:val="24"/>
              </w:rPr>
              <w:t>会计审核：</w:t>
            </w:r>
          </w:p>
          <w:p w14:paraId="4CC25DE8">
            <w:pPr>
              <w:rPr>
                <w:rFonts w:hint="eastAsia" w:ascii="宋体" w:hAnsi="宋体" w:eastAsia="宋体" w:cs="宋体"/>
                <w:color w:val="auto"/>
                <w:sz w:val="24"/>
              </w:rPr>
            </w:pPr>
          </w:p>
          <w:p w14:paraId="6097C490">
            <w:pPr>
              <w:rPr>
                <w:rFonts w:hint="eastAsia" w:ascii="宋体" w:hAnsi="宋体" w:eastAsia="宋体" w:cs="宋体"/>
                <w:color w:val="auto"/>
                <w:sz w:val="24"/>
              </w:rPr>
            </w:pPr>
            <w:r>
              <w:rPr>
                <w:rFonts w:hint="eastAsia" w:ascii="宋体" w:hAnsi="宋体" w:eastAsia="宋体" w:cs="宋体"/>
                <w:color w:val="auto"/>
                <w:sz w:val="24"/>
              </w:rPr>
              <w:t>财务负责人审核：</w:t>
            </w:r>
          </w:p>
          <w:p w14:paraId="62A14973">
            <w:pPr>
              <w:rPr>
                <w:rFonts w:hint="eastAsia" w:ascii="宋体" w:hAnsi="宋体" w:eastAsia="宋体" w:cs="宋体"/>
                <w:color w:val="auto"/>
                <w:sz w:val="24"/>
              </w:rPr>
            </w:pPr>
          </w:p>
          <w:p w14:paraId="3452170F">
            <w:pPr>
              <w:rPr>
                <w:rFonts w:hint="eastAsia" w:ascii="宋体" w:hAnsi="宋体" w:eastAsia="宋体" w:cs="宋体"/>
                <w:color w:val="auto"/>
                <w:sz w:val="24"/>
              </w:rPr>
            </w:pPr>
            <w:r>
              <w:rPr>
                <w:rFonts w:hint="eastAsia" w:ascii="宋体" w:hAnsi="宋体" w:eastAsia="宋体" w:cs="宋体"/>
                <w:color w:val="auto"/>
                <w:sz w:val="24"/>
              </w:rPr>
              <w:t>单位负责人签字：</w:t>
            </w:r>
          </w:p>
          <w:p w14:paraId="2FE88BFA">
            <w:pPr>
              <w:rPr>
                <w:rFonts w:hint="eastAsia" w:ascii="宋体" w:hAnsi="宋体" w:eastAsia="宋体" w:cs="宋体"/>
                <w:color w:val="auto"/>
                <w:sz w:val="24"/>
              </w:rPr>
            </w:pPr>
          </w:p>
          <w:p w14:paraId="51775191">
            <w:pPr>
              <w:rPr>
                <w:rFonts w:hint="eastAsia" w:ascii="宋体" w:hAnsi="宋体" w:eastAsia="宋体" w:cs="宋体"/>
                <w:color w:val="auto"/>
                <w:sz w:val="24"/>
              </w:rPr>
            </w:pPr>
            <w:r>
              <w:rPr>
                <w:rFonts w:hint="eastAsia" w:ascii="宋体" w:hAnsi="宋体" w:eastAsia="宋体" w:cs="宋体"/>
                <w:color w:val="auto"/>
                <w:sz w:val="24"/>
              </w:rPr>
              <w:t>出纳办理转帐日期：</w:t>
            </w:r>
          </w:p>
        </w:tc>
      </w:tr>
    </w:tbl>
    <w:p w14:paraId="096C12FB">
      <w:pPr>
        <w:pStyle w:val="14"/>
        <w:ind w:left="1" w:firstLine="2" w:firstLineChars="1"/>
        <w:rPr>
          <w:rFonts w:hint="eastAsia" w:ascii="宋体" w:hAnsi="宋体" w:eastAsia="宋体" w:cs="宋体"/>
          <w:b/>
          <w:bCs/>
          <w:color w:val="auto"/>
          <w:szCs w:val="21"/>
        </w:rPr>
      </w:pPr>
      <w:r>
        <w:rPr>
          <w:rFonts w:hint="eastAsia" w:ascii="宋体" w:hAnsi="宋体" w:eastAsia="宋体" w:cs="宋体"/>
          <w:b/>
          <w:bCs/>
          <w:color w:val="auto"/>
          <w:szCs w:val="21"/>
        </w:rPr>
        <w:t>注：供应商凭经采购单位审批的退付意见书到履约保证金收取单位财务部门办理履约保证金退付事宜。</w:t>
      </w:r>
    </w:p>
    <w:p w14:paraId="2DC6CE35">
      <w:pPr>
        <w:pStyle w:val="19"/>
        <w:snapToGrid w:val="0"/>
        <w:spacing w:before="120" w:after="120"/>
        <w:rPr>
          <w:rFonts w:hint="eastAsia" w:ascii="宋体" w:hAnsi="宋体" w:eastAsia="宋体" w:cs="宋体"/>
          <w:color w:val="auto"/>
        </w:rPr>
      </w:pPr>
    </w:p>
    <w:p w14:paraId="60B60C9A">
      <w:pPr>
        <w:jc w:val="left"/>
        <w:rPr>
          <w:rFonts w:hint="eastAsia" w:ascii="宋体" w:hAnsi="宋体" w:eastAsia="宋体" w:cs="宋体"/>
          <w:b/>
          <w:color w:val="auto"/>
          <w:sz w:val="32"/>
          <w:szCs w:val="32"/>
        </w:rPr>
      </w:pPr>
    </w:p>
    <w:p w14:paraId="0919B2A6">
      <w:pPr>
        <w:pStyle w:val="3"/>
        <w:numPr>
          <w:ilvl w:val="0"/>
          <w:numId w:val="3"/>
        </w:numPr>
        <w:jc w:val="center"/>
        <w:rPr>
          <w:rFonts w:hint="eastAsia" w:ascii="宋体" w:hAnsi="宋体" w:eastAsia="宋体" w:cs="宋体"/>
          <w:color w:val="auto"/>
        </w:rPr>
      </w:pPr>
      <w:bookmarkStart w:id="116" w:name="_Toc30764"/>
      <w:bookmarkStart w:id="117" w:name="_Toc4515"/>
      <w:bookmarkStart w:id="118" w:name="_Toc12548"/>
      <w:bookmarkStart w:id="119" w:name="_Toc28342"/>
      <w:bookmarkStart w:id="120" w:name="_Toc3396"/>
      <w:bookmarkStart w:id="121" w:name="_Toc24419"/>
      <w:bookmarkStart w:id="122" w:name="_Toc7083"/>
      <w:r>
        <w:rPr>
          <w:rFonts w:hint="eastAsia" w:ascii="宋体" w:hAnsi="宋体" w:eastAsia="宋体" w:cs="宋体"/>
          <w:color w:val="auto"/>
        </w:rPr>
        <w:t>采购需求</w:t>
      </w:r>
      <w:bookmarkEnd w:id="98"/>
      <w:bookmarkEnd w:id="99"/>
      <w:bookmarkEnd w:id="100"/>
      <w:bookmarkEnd w:id="101"/>
      <w:bookmarkEnd w:id="116"/>
      <w:bookmarkEnd w:id="117"/>
      <w:bookmarkEnd w:id="118"/>
      <w:bookmarkEnd w:id="119"/>
      <w:bookmarkEnd w:id="120"/>
      <w:bookmarkEnd w:id="121"/>
      <w:bookmarkEnd w:id="122"/>
    </w:p>
    <w:p w14:paraId="0359DF78">
      <w:pPr>
        <w:spacing w:line="44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采购项目技术规格、参数及要求</w:t>
      </w:r>
    </w:p>
    <w:p w14:paraId="4B2E0904">
      <w:pPr>
        <w:spacing w:line="440" w:lineRule="exact"/>
        <w:jc w:val="left"/>
        <w:rPr>
          <w:rFonts w:hint="eastAsia" w:ascii="宋体" w:hAnsi="宋体" w:eastAsia="宋体" w:cs="宋体"/>
          <w:color w:val="auto"/>
        </w:rPr>
      </w:pPr>
      <w:r>
        <w:rPr>
          <w:rFonts w:hint="eastAsia" w:ascii="宋体" w:hAnsi="宋体" w:eastAsia="宋体" w:cs="宋体"/>
          <w:color w:val="auto"/>
          <w:szCs w:val="21"/>
        </w:rPr>
        <w:t>说明：</w:t>
      </w:r>
    </w:p>
    <w:p w14:paraId="2678AF89">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rPr>
        <w:t>1.为落实政府采购政策需满足的要求</w:t>
      </w:r>
    </w:p>
    <w:p w14:paraId="34D9B97F">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本竞争性谈判采购文件所称中小企业必须符合《政府采购促进中小企业发展管理办法》（财库〔2020〕46号）的规定及《广西壮族自治区财政厅关于持续优化政府采购营商环境推动高质量发展的通知》（桂财采〔2024〕55号）的规定。</w:t>
      </w:r>
    </w:p>
    <w:p w14:paraId="30D51DDE">
      <w:pPr>
        <w:spacing w:line="360" w:lineRule="auto"/>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（2）根据《财政部 （财库〔2019〕9号）和《关于印发节能产品政府采购品目清单的通知》（财库〔2019〕19号）的规定，采购需求中的产品属于节能产品政府采购品目清单内标注“</w:t>
      </w:r>
      <w:r>
        <w:rPr>
          <w:rFonts w:hint="eastAsia" w:ascii="宋体" w:hAnsi="宋体" w:cs="宋体"/>
          <w:color w:val="auto"/>
          <w:szCs w:val="21"/>
          <w:lang w:eastAsia="zh-CN"/>
        </w:rPr>
        <w:t>★</w:t>
      </w:r>
      <w:r>
        <w:rPr>
          <w:rFonts w:hint="eastAsia" w:ascii="宋体" w:hAnsi="宋体" w:eastAsia="宋体" w:cs="宋体"/>
          <w:color w:val="auto"/>
          <w:szCs w:val="21"/>
        </w:rPr>
        <w:t>”的，供应商必须在响应文件中提供所竞标产品的节能产品认证证书扫描件（加盖供应商CA电子公章），否则响应文件作无效处理。如本项目包含的配套货物属于品目清单内非标注“</w:t>
      </w:r>
      <w:r>
        <w:rPr>
          <w:rFonts w:hint="eastAsia" w:ascii="宋体" w:hAnsi="宋体" w:cs="宋体"/>
          <w:color w:val="auto"/>
          <w:szCs w:val="21"/>
          <w:lang w:eastAsia="zh-CN"/>
        </w:rPr>
        <w:t>★</w:t>
      </w:r>
      <w:r>
        <w:rPr>
          <w:rFonts w:hint="eastAsia" w:ascii="宋体" w:hAnsi="宋体" w:eastAsia="宋体" w:cs="宋体"/>
          <w:color w:val="auto"/>
          <w:szCs w:val="21"/>
        </w:rPr>
        <w:t>”的产品时，应优先采购，具体详见“第四章 评审程序和评定成交的标准”。</w:t>
      </w:r>
    </w:p>
    <w:p w14:paraId="4F338518">
      <w:pPr>
        <w:spacing w:line="360" w:lineRule="auto"/>
        <w:ind w:firstLine="426" w:firstLineChars="202"/>
        <w:jc w:val="left"/>
        <w:rPr>
          <w:rFonts w:hint="eastAsia" w:ascii="宋体" w:hAnsi="宋体" w:eastAsia="宋体" w:cs="宋体"/>
          <w:b/>
          <w:bCs/>
          <w:color w:val="auto"/>
          <w:szCs w:val="21"/>
        </w:rPr>
      </w:pPr>
      <w:r>
        <w:rPr>
          <w:rFonts w:hint="eastAsia" w:ascii="宋体" w:hAnsi="宋体" w:eastAsia="宋体" w:cs="宋体"/>
          <w:b/>
          <w:color w:val="auto"/>
          <w:szCs w:val="21"/>
        </w:rPr>
        <w:t>（3）</w:t>
      </w:r>
      <w:r>
        <w:rPr>
          <w:rFonts w:hint="eastAsia" w:ascii="宋体" w:hAnsi="宋体" w:eastAsia="宋体" w:cs="宋体"/>
          <w:b/>
          <w:bCs/>
          <w:color w:val="auto"/>
          <w:szCs w:val="21"/>
        </w:rPr>
        <w:t>根据《关于调整网络安全专用产品安全管理有关事项的公告》（国家互联网信息办公室工业和信息化部公安部财政部国家认证认可监督管理委员会公告2023年第1号)的规定，采购标的中包含列入《网络关键设备和网络安全专用产品目录》的网络安全专用产品，供应商应当按照《信息安全技术网络安全专用产品安全技术要求》等相关国家标准的强制性要求，提供由具备资格的机构安全认证合格或者安全检测符合要求证明材料（加盖供应商公章），否则响应无效。</w:t>
      </w:r>
    </w:p>
    <w:p w14:paraId="45C4967F">
      <w:pPr>
        <w:spacing w:line="360" w:lineRule="auto"/>
        <w:ind w:firstLine="426" w:firstLineChars="202"/>
        <w:jc w:val="left"/>
        <w:rPr>
          <w:rFonts w:hint="eastAsia" w:ascii="宋体" w:hAnsi="宋体" w:eastAsia="宋体" w:cs="宋体"/>
          <w:color w:val="auto"/>
          <w:szCs w:val="21"/>
        </w:rPr>
      </w:pPr>
      <w:r>
        <w:rPr>
          <w:rFonts w:hint="eastAsia" w:ascii="宋体" w:hAnsi="宋体" w:eastAsia="宋体" w:cs="宋体"/>
          <w:b/>
          <w:bCs/>
          <w:color w:val="auto"/>
          <w:szCs w:val="21"/>
        </w:rPr>
        <w:t>（4）依据国家市场监督管理总局《关于发布强制性产品认证且录描述与界定表的公告》(2023年第36号)中《强制性产品认证目录描述与界定表》(2023年修订)的界定，本项目采购范围包含强制性产品认证目录内产品的，根据《强制性产品认证管理规定》2009年7月3日国家质量监督检验检疫总局令第117号公布，根据2022年9月29日国家市场监督管理总局令第61号修订第十条：“列入目录产品的生产者或者销售者、进口商(以下统称认证委托人)应当委托经国家认监委指定的认证机构(以下简称认证机构)对其生产、销售或者进口的产品进行认证。”规定，生产厂家应当进行强制性认证，供应商必须在响应文件中提供强制性认证证书（加盖供应商公章），否则响应文件作无效处理。</w:t>
      </w:r>
    </w:p>
    <w:p w14:paraId="4E270229">
      <w:pPr>
        <w:spacing w:line="360" w:lineRule="auto"/>
        <w:ind w:firstLine="424" w:firstLineChars="202"/>
        <w:jc w:val="left"/>
        <w:rPr>
          <w:rFonts w:hint="eastAsia" w:ascii="宋体" w:hAnsi="宋体" w:eastAsia="宋体" w:cs="宋体"/>
          <w:color w:val="auto"/>
          <w:szCs w:val="21"/>
        </w:rPr>
      </w:pPr>
      <w:r>
        <w:rPr>
          <w:rFonts w:hint="eastAsia" w:ascii="宋体" w:hAnsi="宋体" w:eastAsia="宋体" w:cs="宋体"/>
          <w:color w:val="auto"/>
          <w:szCs w:val="21"/>
        </w:rPr>
        <w:t>2.“实质性要求”是指采购文件中已经指明不满足则响应无效的条款，或者不能负偏离的条款，或者采购需求中带“▲”的条款。</w:t>
      </w:r>
    </w:p>
    <w:p w14:paraId="33BCB2DE">
      <w:pPr>
        <w:spacing w:line="440" w:lineRule="exact"/>
        <w:ind w:firstLine="424" w:firstLineChars="202"/>
        <w:jc w:val="left"/>
        <w:rPr>
          <w:rFonts w:hint="eastAsia" w:ascii="宋体" w:hAnsi="宋体" w:eastAsia="宋体" w:cs="宋体"/>
          <w:color w:val="auto"/>
          <w:szCs w:val="21"/>
        </w:rPr>
      </w:pPr>
      <w:r>
        <w:rPr>
          <w:rFonts w:hint="eastAsia" w:ascii="宋体" w:hAnsi="宋体" w:eastAsia="宋体" w:cs="宋体"/>
          <w:color w:val="auto"/>
          <w:szCs w:val="21"/>
        </w:rPr>
        <w:t>3.采购需求中出现的品牌、型号或者生产供应商仅起参考作用，不属于指定品牌、型号或者生产供应商的情形。供应商可参照或者选用其他相当的品牌、型号或者生产供应商替代。</w:t>
      </w:r>
    </w:p>
    <w:p w14:paraId="04EDDF23">
      <w:pPr>
        <w:spacing w:line="440" w:lineRule="exact"/>
        <w:ind w:firstLine="426" w:firstLineChars="202"/>
        <w:jc w:val="left"/>
        <w:rPr>
          <w:rFonts w:hint="eastAsia" w:ascii="宋体" w:hAnsi="宋体" w:eastAsia="宋体" w:cs="宋体"/>
          <w:b/>
          <w:bCs/>
          <w:color w:val="auto"/>
        </w:rPr>
      </w:pPr>
      <w:r>
        <w:rPr>
          <w:rFonts w:hint="eastAsia" w:ascii="宋体" w:hAnsi="宋体" w:eastAsia="宋体" w:cs="宋体"/>
          <w:b/>
          <w:bCs/>
          <w:color w:val="auto"/>
          <w:szCs w:val="21"/>
        </w:rPr>
        <w:t>4.供应商应根据自身实际情况如实响应竞争性谈判文件，不得仅将竞争性谈判文件内容简单复制粘贴作为竞标响应，还应当提供相关证明材料，否则将作无效响应处理（定制采购项目不适用本条款）。</w:t>
      </w:r>
      <w:r>
        <w:rPr>
          <w:rFonts w:hint="eastAsia" w:ascii="宋体" w:hAnsi="宋体" w:eastAsia="宋体" w:cs="宋体"/>
          <w:b/>
          <w:bCs/>
          <w:color w:val="auto"/>
        </w:rPr>
        <w:t>对于重要技术条款或技术参数应当在响应文件中提供技术支持资料，技术支持资料以竞争性谈判文件中规定的形式为准，否则将视为无效技术支持资料。（本项目不适用</w:t>
      </w:r>
      <w:r>
        <w:rPr>
          <w:rFonts w:hint="eastAsia" w:ascii="宋体" w:hAnsi="宋体" w:eastAsia="宋体" w:cs="宋体"/>
          <w:b/>
          <w:bCs/>
          <w:color w:val="auto"/>
          <w:szCs w:val="21"/>
        </w:rPr>
        <w:t>本条款</w:t>
      </w:r>
      <w:r>
        <w:rPr>
          <w:rFonts w:hint="eastAsia" w:ascii="宋体" w:hAnsi="宋体" w:eastAsia="宋体" w:cs="宋体"/>
          <w:b/>
          <w:bCs/>
          <w:color w:val="auto"/>
        </w:rPr>
        <w:t>）</w:t>
      </w:r>
    </w:p>
    <w:p w14:paraId="551B80DF">
      <w:pPr>
        <w:spacing w:line="440" w:lineRule="exact"/>
        <w:ind w:firstLine="424" w:firstLineChars="202"/>
        <w:jc w:val="left"/>
        <w:rPr>
          <w:rFonts w:hint="eastAsia" w:ascii="宋体" w:hAnsi="宋体" w:eastAsia="宋体" w:cs="宋体"/>
          <w:color w:val="auto"/>
        </w:rPr>
      </w:pPr>
      <w:r>
        <w:rPr>
          <w:rFonts w:hint="eastAsia" w:ascii="宋体" w:hAnsi="宋体" w:eastAsia="宋体" w:cs="宋体"/>
          <w:color w:val="auto"/>
          <w:szCs w:val="21"/>
        </w:rPr>
        <w:t>5.</w:t>
      </w:r>
      <w:r>
        <w:rPr>
          <w:rFonts w:hint="eastAsia" w:ascii="宋体" w:hAnsi="宋体" w:eastAsia="宋体" w:cs="宋体"/>
          <w:color w:val="auto"/>
        </w:rPr>
        <w:t>供应商必须自行为其竞标产品侵犯他人的知识产权或者专利成果的行为承担相应法律责任。</w:t>
      </w:r>
    </w:p>
    <w:p w14:paraId="743CF660">
      <w:pPr>
        <w:spacing w:line="440" w:lineRule="exact"/>
        <w:ind w:firstLine="424" w:firstLineChars="202"/>
        <w:jc w:val="left"/>
        <w:rPr>
          <w:rFonts w:hint="eastAsia" w:ascii="宋体" w:hAnsi="宋体" w:eastAsia="宋体" w:cs="宋体"/>
          <w:color w:val="auto"/>
        </w:rPr>
      </w:pPr>
      <w:r>
        <w:rPr>
          <w:rFonts w:hint="eastAsia" w:ascii="宋体" w:hAnsi="宋体" w:eastAsia="宋体" w:cs="宋体"/>
          <w:color w:val="auto"/>
        </w:rPr>
        <w:t>6.本项目采购标的所属行业为：</w:t>
      </w:r>
      <w:r>
        <w:rPr>
          <w:rFonts w:hint="eastAsia" w:ascii="宋体" w:hAnsi="宋体" w:cs="宋体"/>
          <w:b/>
          <w:bCs/>
          <w:color w:val="000000" w:themeColor="text1"/>
          <w:szCs w:val="21"/>
          <w:highlight w:val="none"/>
          <w:u w:val="single"/>
          <w14:textFill>
            <w14:solidFill>
              <w14:schemeClr w14:val="tx1"/>
            </w14:solidFill>
          </w14:textFill>
        </w:rPr>
        <w:t>工业</w:t>
      </w:r>
      <w:r>
        <w:rPr>
          <w:rFonts w:hint="eastAsia" w:ascii="宋体" w:hAnsi="宋体" w:eastAsia="宋体" w:cs="宋体"/>
          <w:color w:val="auto"/>
        </w:rPr>
        <w:t xml:space="preserve">  。</w:t>
      </w:r>
    </w:p>
    <w:p w14:paraId="1556347C">
      <w:pPr>
        <w:spacing w:line="440" w:lineRule="exact"/>
        <w:jc w:val="left"/>
        <w:outlineLvl w:val="2"/>
        <w:rPr>
          <w:rFonts w:hint="eastAsia" w:ascii="宋体" w:hAnsi="宋体" w:eastAsia="宋体" w:cs="宋体"/>
          <w:b/>
          <w:bCs/>
          <w:color w:val="auto"/>
          <w:kern w:val="0"/>
          <w:sz w:val="27"/>
          <w:szCs w:val="27"/>
        </w:rPr>
      </w:pPr>
      <w:r>
        <w:rPr>
          <w:rFonts w:hint="eastAsia" w:ascii="宋体" w:hAnsi="宋体" w:eastAsia="宋体" w:cs="宋体"/>
          <w:b/>
          <w:color w:val="auto"/>
          <w:sz w:val="24"/>
        </w:rPr>
        <w:br w:type="page"/>
      </w:r>
      <w:r>
        <w:rPr>
          <w:rFonts w:hint="eastAsia" w:ascii="宋体" w:hAnsi="宋体" w:eastAsia="宋体" w:cs="宋体"/>
          <w:b/>
          <w:bCs/>
          <w:color w:val="auto"/>
          <w:kern w:val="0"/>
          <w:sz w:val="27"/>
          <w:szCs w:val="27"/>
        </w:rPr>
        <w:t>采购需求一览表</w:t>
      </w:r>
    </w:p>
    <w:tbl>
      <w:tblPr>
        <w:tblStyle w:val="30"/>
        <w:tblW w:w="106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718"/>
        <w:gridCol w:w="199"/>
        <w:gridCol w:w="196"/>
        <w:gridCol w:w="655"/>
        <w:gridCol w:w="6791"/>
        <w:gridCol w:w="1679"/>
      </w:tblGrid>
      <w:tr w14:paraId="15C0C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1B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04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E9F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7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需购数量</w:t>
            </w:r>
          </w:p>
        </w:tc>
        <w:tc>
          <w:tcPr>
            <w:tcW w:w="6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1D6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参数要求</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09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3D3A8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33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A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3.9米橡皮艇</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B4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93D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4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1.救援艇提供由国家级权威检测机构出具的检测/检验/试验/测试报告（报告中的型号须与所投产品型号一致）复印件盖鲜章证明；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2.救援艇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 船长 ≥3900±50mm，船宽 ≥1810±30mm，艇高≥580±2mm,浮筒≥450±2mm，载重≥900KG，设计动力30HP，时速≥40（km/h）.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 气囊数 ≥3+3+2 个，型深≥370mm，艉板高度 ≥385±5mm,结构:船底“V”型充气拉丝底板，M 型艇底，船底增项，浮筒底部增加夹网材质耐磨层装甲。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 质量符合：GJB9001C-2017 标准，符合船级社：GB/T 20897.3-2017 充气艇第3部分 发动机最大额定功率为 15KW 及以上的艇， 符合SL297-2004防汛储备物资验收标准。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 艇艉板为铝合金材质，艇艉板应设置有不少于2个单向止回功能的泄水孔，泄水孔宽度&gt;75mm,高度&gt;35mm，艇身材质：PVC 厚度≥0.9夹网材质。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 船体结构：底板为一体式三气室拉丝底板。底部水刀两端为坡面设计，水刀之间前端间距≥后端间距。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根据流体力学原理，采用涡旋式导流倾斜船艉；（投标时提供船艉产品照片佐证）。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 艇体工艺：浮筒采用热风技术、采用抛边工艺，气室密封性和耐压性更强。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▲2.7 耐压性：空载状态下，龙骨和浮简充气至40kPa，静放30min,气压不低于 38kPa,无异常;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 气密性：空载状态下，龙骨和浮筒充气至40kPa，静放120min,气压不低于 38kPa,无异常;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▲2.9 艇静态稳性能试验要求：静态稳性≤15°，干舷；救援艇满载额定乘员时，其干舷不低于 1/2浮筒直径;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2.10 空载状态，排出 500L 水所用时间≤110s。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2.11 载重 460kg 时，航速≥35km/h；空载状态，航速≥40km/h。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2.12 空载状态，航速 16km/h，左右回转直径均≤6.8m。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▲2.13 充气时间：采用气瓶充气时间≤140s，气瓶充气转换接头、充气压力显示表1个，电动充气泵将救援艇充气至工作压力&gt;0.25bar，时间不超过 120S;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2.14 艇身配置：配备三角形弧度船头油箱或30升软囊、隐藏式油管和油管保护套（投标时提供实物产品照片），具备常规方形油箱固定装置；底部稳定水刀一对；重心稳定绳一根；艇身安装 3M 防水反光条≥8处；翻船自救辅助绳包；艇艉安装引擎工具包一个；艇艏安装挡水片；艉板安装单向快速双排水装置(可单向、不反水)；艉板安装多功能双向金属牵引环；艇身安装缆绳不锈钢固定环；根据船体重量重心，分配≥6 处顺向抬船把手。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2.15 艇身配有≥5 条条形档；每个条形档上有安装口并配有绳索，方便救援人员及被救者抓握；拉丝底板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表面增加防滑材料（非 EVA）；充气底板可快速拆装，必要时作为救生浮板使用。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2.16 艉板采用铝镁合金材质，艉板处单独配有不锈钢发动机固定销（投标时提供产品照片佐证）。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2.17 为避免艇体充气爆炸，艇体配备可连接标准接口气瓶的高压充气管，自带压力表）和自动或手动安全泄压阀。；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标▲项，提供“市级及以上权威检测机构出具的报告及证书”佐证；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产品通过中国船级社（CCS）工业产品检验报告及检验证书 作为佐证</w:t>
            </w:r>
            <w:r>
              <w:rPr>
                <w:rFonts w:hint="eastAsia" w:ascii="宋体" w:hAnsi="宋体" w:eastAsia="宋体" w:cs="宋体"/>
                <w:b/>
                <w:bCs/>
                <w:color w:val="000000" w:themeColor="text1"/>
                <w:sz w:val="21"/>
                <w:szCs w:val="21"/>
                <w:highlight w:val="none"/>
                <w14:textFill>
                  <w14:solidFill>
                    <w14:schemeClr w14:val="tx1"/>
                  </w14:solidFill>
                </w14:textFill>
              </w:rPr>
              <w:t>（签订合同后供应商向采购人提供检测报告相应</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原件核查）</w:t>
            </w:r>
            <w:r>
              <w:rPr>
                <w:rFonts w:hint="eastAsia" w:ascii="宋体" w:hAnsi="宋体" w:eastAsia="宋体" w:cs="宋体"/>
                <w:i w:val="0"/>
                <w:iCs w:val="0"/>
                <w:color w:val="000000"/>
                <w:kern w:val="0"/>
                <w:sz w:val="21"/>
                <w:szCs w:val="21"/>
                <w:u w:val="none"/>
                <w:lang w:val="en-US" w:eastAsia="zh-CN" w:bidi="ar"/>
              </w:rPr>
              <w:t>。</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C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底部及艇头附带夹网布装甲</w:t>
            </w:r>
          </w:p>
        </w:tc>
      </w:tr>
      <w:tr w14:paraId="171F6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F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4C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4.2米橡皮艇</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4B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50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4C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1.救援艇提供由国家级权威检测机构出具的检测/检验/试验/测试报告（报告中的型号须与所投产品型号一致）复印件盖鲜章证明；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2.救援艇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 船长 ≥4200±50mm，船宽 ≥1810±30mm，艇高≥580±2mm,浮筒≥450±2mm，载重≥1000KG，设计动力30HP，时速≥40（km/h）.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 气囊数 ≥3+3+2 个，型深≥370mm，艉板高度 ≥385±5mm,结构:船底“V”型充气拉丝底板，M 型艇底，船底增项，浮筒底部增加夹网材质耐磨层装甲。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 质量符合：GJB9001C-2017 标准，符合船级社：GB/T 20897.3-2017 充气艇第3部分 发动机最大额定功率为 15KW 及以上的艇， 符合SL297-2004防汛储备物资验收标准。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 艇艉板为铝合金材质，艇艉板应设置有不少于2个单向止回功能的泄水孔，泄水孔宽度&gt;75mm,高度&gt;35mm，艇身材质：PVC 厚度≥0.9夹网材质。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2.5 船体结构：底板为一体式三气室拉丝底板。底部水刀两端为坡面设计，水刀之间前端间距≥后端间距。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根据流体力学原理，采用涡旋式导流倾斜船艉；（投标时提供船艉产品照片佐证）。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2.6 艇体工艺：浮筒采用热风技术、采用抛边工艺，气室密封性和耐压性更强。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▲2.7 耐压性：空载状态下，龙骨和浮简充气至40kPa，静放30min,气压不低于 38kPa,无异常;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▲2.8 气密性：空载状态下，龙骨和浮筒充气至40kPa，静放120min,气压不低于 38kPa,无异常;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▲2.9 艇静态稳性能试验要求：静态稳性≤15°，干舷；救援艇满载额定乘员时，其干舷不低于 1/2浮筒直径;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2.10 空载状态，排出 500L 水所用时间≤110s。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2.11 载重 460kg 时，航速≥35km/h；空载状态，航速≥40km/h。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2.12 空载状态，航速 16km/h，左右回转直径均≤6.8m。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▲2.13 充气时间：采用气瓶充气时间≤140s，气瓶充气转换接头、充气压力显示表1个，电动充气泵将救援艇充气至工作压力&gt;0.25bar，时间不超过 120S;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2.14 艇身配置：配备三角形弧度船头油箱或30升软囊、隐藏式油管和油管保护套（投标时提供实物产品照片），具备常规方形油箱固定装置；底部稳定水刀一对；重心稳定绳一根；艇身安装 3M 防水反光条≥8处；翻船自救辅助绳包；艇艉安装引擎工具包一个；艇艏安装挡水片；艉板安装单向快速双排水装置(可单向、不反水)；艉板安装多功能双向金属牵引环；艇身安装缆绳不锈钢固定环；根据船体重量重心，分配≥6 处顺向抬船把手。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2.15 艇身配有≥5 条条形档；每个条形档上有安装口并配有绳索，方便救援人员及被救者抓握；拉丝底板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表面增加防滑材料（非 EVA）；充气底板可快速拆装，必要时作为救生浮板使用。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2.16 艉板采用铝镁合金材质，艉板处单独配有不锈钢发动机固定销（投标时提供产品照片佐证）。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2.17 为避免艇体充气爆炸，艇体配备可连接标准接口气瓶的高压充气管，自带压力表）和自动或手动安全泄压阀。；</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标▲项，提供“市级及以上权威检测机构出具的报告及证书”佐证；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产品通过中国船级社（CCS）工业产品检验报告及检验证书 作为佐证</w:t>
            </w:r>
            <w:r>
              <w:rPr>
                <w:rFonts w:hint="eastAsia" w:ascii="宋体" w:hAnsi="宋体" w:eastAsia="宋体" w:cs="宋体"/>
                <w:b/>
                <w:bCs/>
                <w:color w:val="000000" w:themeColor="text1"/>
                <w:sz w:val="21"/>
                <w:szCs w:val="21"/>
                <w:highlight w:val="none"/>
                <w14:textFill>
                  <w14:solidFill>
                    <w14:schemeClr w14:val="tx1"/>
                  </w14:solidFill>
                </w14:textFill>
              </w:rPr>
              <w:t>（签订合同后供应商向采购人提供检测报告相应</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原件核查）</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13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底部及艇头附带夹网布装甲</w:t>
            </w:r>
          </w:p>
        </w:tc>
      </w:tr>
      <w:tr w14:paraId="6AADB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7A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7A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30匹马力船外机（配套备用螺旋桨）</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E9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C1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7031">
            <w:pPr>
              <w:keepNext w:val="0"/>
              <w:keepLines w:val="0"/>
              <w:widowControl/>
              <w:numPr>
                <w:ilvl w:val="0"/>
                <w:numId w:val="4"/>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功率：30马力（22.1千瓦）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质量符合：GJB9001C-2017 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最大功率：23千瓦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转速：4500-5500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冲程：2冲程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3、缸体：2缸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4、排气量cc：496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5、缸径*行程：72.01*61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6、重量：53kg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7、齿轮比：27:13</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8、档位：前进档-空档-倒档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9、点火系统：CDI</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10、冷却系统：水冷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11、启动系统：手启动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12、燃油进气系统：化油器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13、操作：操舵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14、油箱标准：24升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15、标准油耗：≤11.5L/H，</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16、换挡操作：连续换挡操作3次，换挡顺畅，精准到位，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冷机启动：启动5次，均成功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热机启动：启动5次，均成功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倾斜摇摆：在工装上调整发动机角度分别在左倾10°、前纵倾5°，左倾10°后纵倾5°，右倾10°、前纵倾5°右倾10°、后纵倾5°，启动发动机，运转 10min，发动机工作正常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20、起动锁止：发动机与变速箱未脱开，安全扣未与紧急停车机构妥善链接时，发动机无法起动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21、紧急停车：发动机运行时，安全扣手动脱离，发动机自动熄火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倒车运转： 发动机换在倒挡时能提供后退动力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22、水密性：发动机落水1分钟后，沥干，排水后，1次拉发启动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满舵角度： 向左最大角度:48°，向右最大角度:46°</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起翘角度：起翘角度:65.6°</w:t>
            </w:r>
          </w:p>
          <w:p w14:paraId="532C4081">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olor w:val="000000"/>
                <w:kern w:val="0"/>
                <w:lang w:eastAsia="zh-CN"/>
              </w:rPr>
              <w:t>▲</w:t>
            </w:r>
            <w:r>
              <w:rPr>
                <w:rFonts w:hint="eastAsia" w:ascii="宋体" w:hAnsi="宋体"/>
                <w:color w:val="000000"/>
                <w:kern w:val="0"/>
              </w:rPr>
              <w:t>产品通过中国船级社（CCS）工业产品检验报告及检验证书 作为佐证；</w:t>
            </w:r>
            <w:r>
              <w:rPr>
                <w:rFonts w:hint="eastAsia" w:ascii="宋体" w:hAnsi="宋体" w:eastAsia="宋体" w:cs="宋体"/>
                <w:b/>
                <w:bCs/>
                <w:color w:val="000000" w:themeColor="text1"/>
                <w:sz w:val="21"/>
                <w:szCs w:val="21"/>
                <w:highlight w:val="none"/>
                <w14:textFill>
                  <w14:solidFill>
                    <w14:schemeClr w14:val="tx1"/>
                  </w14:solidFill>
                </w14:textFill>
              </w:rPr>
              <w:t>（签订合同后供应商向采购人提供检测报告相应</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原件核查）</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F6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电启动功能</w:t>
            </w:r>
          </w:p>
        </w:tc>
      </w:tr>
      <w:tr w14:paraId="5399C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81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0C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防水运动摄像机</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12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8F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1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防水与防护等级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防护等级：IP68（水下5米长期作业）+ NEMA 4X盐雾防护，通过1.5米水深60分钟浸泡测试，配备专用防腐蚀线缆，适合沿海高湿度环境。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NEMA 4X认证：有效抵御盐雾腐蚀，适合沿海高湿度环境。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抗冲击性：未明确MIL-STD-810H认证，但采用防腐蚀复合材料外壳，实测1.22米跌落测试后功能正常。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视频性能：400万像素（2560×1440），支持H.265/Smart264编码，宽动态130dB，低照度0.005Lux（彩色）+红外补光，可穿透浊水（NTU&gt;15时仍能识别0.2米内目标）。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环境适应性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环境适应：-10℃至50℃工作温度，支持玻璃加热除雾，满足浅滩、水库等常规水域救援需求。</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11D2">
            <w:pPr>
              <w:jc w:val="center"/>
              <w:rPr>
                <w:rFonts w:hint="eastAsia" w:ascii="宋体" w:hAnsi="宋体" w:eastAsia="宋体" w:cs="宋体"/>
                <w:i w:val="0"/>
                <w:iCs w:val="0"/>
                <w:color w:val="000000"/>
                <w:sz w:val="21"/>
                <w:szCs w:val="21"/>
                <w:u w:val="none"/>
              </w:rPr>
            </w:pPr>
          </w:p>
        </w:tc>
      </w:tr>
      <w:tr w14:paraId="7E817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3D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54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水深探测仪</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4D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6F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8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测量范围与精度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量程：覆盖0-150米。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精度：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常规场景：≤±1%FS（满量程误差），TH-CSW150量程150米时精度为±1.5米。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分辨率：≥1mm。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盲区与声呐特性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盲区：≤0.5米（标准环境）。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声呐频率：200-2000kHz可调。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声呐角度：18°。</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环境适应性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防水等级：IP68认证（1.5米水深无时间限制）。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温度范围：-30℃至70℃宽温域运行，适应高原、寒区等极端环境。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抗腐蚀：盐雾测试（5% NaCl溶液，96小时无锈蚀）。</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CE2B">
            <w:pPr>
              <w:jc w:val="center"/>
              <w:rPr>
                <w:rFonts w:hint="eastAsia" w:ascii="宋体" w:hAnsi="宋体" w:eastAsia="宋体" w:cs="宋体"/>
                <w:i w:val="0"/>
                <w:iCs w:val="0"/>
                <w:color w:val="000000"/>
                <w:sz w:val="21"/>
                <w:szCs w:val="21"/>
                <w:u w:val="none"/>
              </w:rPr>
            </w:pPr>
          </w:p>
        </w:tc>
      </w:tr>
      <w:tr w14:paraId="08247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9"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38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02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漏电探测仪</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FA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4F5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F4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1.探测电压范围120V/60Hz或220V/50Hz或380V/50Hz，无须接触电源即可探测安全距离范围内的交流泄漏电源，接近泄露电源时，声光报警，灵敏度可调，可鉴别电源短路或断路。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2.直径：≥44.0mm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3.长度：≥533.0mm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4.重量：≤524.2g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5.高温50℃，持续时间≥2h</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D861">
            <w:pPr>
              <w:jc w:val="center"/>
              <w:rPr>
                <w:rFonts w:hint="eastAsia" w:ascii="宋体" w:hAnsi="宋体" w:eastAsia="宋体" w:cs="宋体"/>
                <w:i w:val="0"/>
                <w:iCs w:val="0"/>
                <w:color w:val="000000"/>
                <w:sz w:val="21"/>
                <w:szCs w:val="21"/>
                <w:u w:val="none"/>
              </w:rPr>
            </w:pPr>
          </w:p>
        </w:tc>
      </w:tr>
      <w:tr w14:paraId="563B1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9"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7D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41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绳索救援套装</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91D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F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D7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1、轻型O型锁扣（4个）：材质：铝 ,断裂负荷≥12KNG 锁门为自动闭合式，三段保护。O型轮廓椭园外形，有助于更好结合器械工作提高安全性。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2、静力绳（1根）：规格：10.5mm，长度100米破断强度：≥25kN（符合GB/T 23568-2009标准），垂直燃烧≤10秒自熄。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3、类绳扁带（2个）：聚酯成型，重量：≤98g:，长度：120cm，材质(涤纶)断裂强度≥22kN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4、救援手套（3双）：材质：山羊皮，具有防磨性，双面设计，采用特殊防磨材料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多功能下降器，即使在重负载情况下也能实现出色的控制（对于两人救援情况，最高可达250公斤）。操纵杆具有防恐慌系统，可以打开插入或取出绳子，而无需拆除挂钩，重量：≥540g,拉力：≥20KN,过绳直径：9.9-11.5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6、牛尾（2条）：尼龙合金，可调臂长。 拉力：≥12KNG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7、分力板1个：铝合金材质，5孔设计，产品尺寸：15.5（±1）x12（±0.5）cm，重量≤210g，断裂负荷≥40kN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8、止坠器2个（适合绳径：10 - 13 mm ，铝合金材料,属于简便的上升保护器,通常与锁扣连接,可做背部保护用，带有自锁装置的保护器,可以随使用者上升,多用于各种工程,具备自动跟随移动、锁定功能的为佳。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9、装备包（1个）：采用高强度的 TPU 材质，利于频繁使用，防水级别达到国家 ip67 标准。容量：85L。</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10、脚踏带（1根）：增强型、绳环调节扣上下可调度≥30cm。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11、万向单滑轮2个（材质：7075航空铝材质或优质材质，工作负荷≥2 x 4=8kN，适合绳径: 7-13 mm，型号以1.5-2寸，断裂负荷≥36KN）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12、万向双滑轮1个（材质：7075航空铝材质或优质材质，工作负荷≥2x4 kN=8kN，断裂负荷≥36KN，适合绳径: 7-13 mm，高效能万向滑轮，型号以1.5-2寸）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13、缓冲带（1根）：长度 ≥40cm，重量 205g，最大负荷 ≥250kg；断裂负荷：≥25KN ，8 字结断裂负荷≥18KN ，缝合终端断裂负荷：≥22KN ，延展性：≤3%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水域绳索救援套装配置：轻型O型锁扣×4、万向单滑轮×2、万向双滑轮×1、多功能下降器×3、10.5mm静力绳100米×1、缓冲带×1、类绳扁带×2、救援手套×3、牛尾×2、分力板×1、止坠器×1、脚踏带×1、装备包×1。 </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6C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水域绳索救援套装配置：轻型O型锁扣×4、万向单滑轮×2、万向双滑轮×1、多功能下降器×3、10.5mm静力绳100米×1、缓冲带×1、类绳扁带×2、救援手套×3、牛尾×2、分力板×1、止坠器×1、脚踏带×1、装备包×1。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w:t>
            </w:r>
          </w:p>
        </w:tc>
      </w:tr>
      <w:tr w14:paraId="1C36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6D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FD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遥控救生圈</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B5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89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7A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通过遥控的方式快速到达落水者身旁，待落水者抓住机身两侧的手带或抓住中间的横梁后，操作者通过遥控机器至安全地带使落水者成功获救。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1.遥控救生圈采用抗腐蚀和抗紫外线的HDPE材质,韧性高,耐撞击,防磨损。经过GB/T 1843-2008冲击强度的测试。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2.遥控救生圈分别采用双电机或四电机推进两种结构模式;螺旋桨具有安全防护罩,进水口间隙不大于4mm。。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3.遥控救生圈遥控器能够正常按照加减速、左右方向运行。待机时间大于23小时。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遥控救生圈在水中行驶发生翻转时，可正常航行。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5.救援机器人本身重量≤14Kg ，设备尺寸≤1020 *800*200±5（mm）。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遥控救生圈空载航行速度≥6.8m/s。遥控救生圈负载≥85kg的成年人时，航行速度≥3m/s。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遥控救生圈在水中可拖动6个体重80kg人员移动,拉力480kg(4704N)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为保障救援使用，遥控救生圈以最低运行速度续航时间≥93min。负载(80kg)人体,续航时间≥60min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9.保障救援中遥控距离应满足在空旷且直线遥控距离≥1500m；高空抛投高度≥28m。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遥控救生圈具备本机操控功能，在遥控信号不佳的情况下，被救人员可通过本机配备内嵌式操控键,控制救援遥控救生圈向前航行。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11.遥控救生圈具有救援拉绳，拉绳直径≥10mm,破断强度≥30kN。遥控救生圈具备反光警示标识，淋水后反光条带在观测角12'，入射角5°时逆反射系数 60cd/(lxm)。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两面分别配备两个嵌入式黄色闪烁雾灯或者红外爆闪灯，微光情况下机头部位具有导航灯显示遥控救生圈位置、闪烁次数≥120次每分钟(即闪光频率2Hz)，满足CCS《水面智能搜救机器人技术指南》(2021)T/ZHUSA01-2021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遥控救生圈防水等级应在1M深水下2小时机器未进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水未损坏(IP68);遥控器符合GB/T4208-2017中IPX8等级要求。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14.空载原地转向半径：≤1m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遥控救生圈具有预留扩展接口,便于需求功能的扩展及通信。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16.将非工作状态的遥控救生圈放在温度-20℃的环境中,放置2h。测试后,样品应功能正常将非工作状态的样品放在温度65℃的环境中,放置2h。测试后,样品应功能正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遥控救生圈应符合《GA/T 1776-2021警用机器人系统通用技术要求》的检测标准,满足CCS《水面智能搜救机器人技术指南》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18.遥控救生圈应具备在三级海况下能够正常航行,抗风浪等级≥5级标                                                                                                                                                                    </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项产品通过具有带CMA或CANS的检验报告作为佐证</w:t>
            </w:r>
            <w:r>
              <w:rPr>
                <w:rFonts w:hint="eastAsia" w:ascii="宋体" w:hAnsi="宋体" w:eastAsia="宋体" w:cs="宋体"/>
                <w:b/>
                <w:bCs/>
                <w:color w:val="000000" w:themeColor="text1"/>
                <w:sz w:val="21"/>
                <w:szCs w:val="21"/>
                <w:highlight w:val="none"/>
                <w14:textFill>
                  <w14:solidFill>
                    <w14:schemeClr w14:val="tx1"/>
                  </w14:solidFill>
                </w14:textFill>
              </w:rPr>
              <w:t>（签订合同后供应商向采购人提供检测报告相应</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原件核查）</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1429">
            <w:pPr>
              <w:jc w:val="center"/>
              <w:rPr>
                <w:rFonts w:hint="eastAsia" w:ascii="宋体" w:hAnsi="宋体" w:eastAsia="宋体" w:cs="宋体"/>
                <w:i w:val="0"/>
                <w:iCs w:val="0"/>
                <w:color w:val="000000"/>
                <w:sz w:val="21"/>
                <w:szCs w:val="21"/>
                <w:u w:val="none"/>
              </w:rPr>
            </w:pPr>
          </w:p>
        </w:tc>
      </w:tr>
      <w:tr w14:paraId="2855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3"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67A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4B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救生抛投器</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FBA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F0A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639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产品符合GB/T27906-2011《救生抛投器》的标准要求；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一、应用领域：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1、水上救生：适用河边、湖边、江边和海边等复杂救援场所，可实现远距离水上救生；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2、陆用救援：适用消防、船对船、船对岸、高楼或山涧等救援场合的抛绳作业；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二、技术参数：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使用压缩空气，工作压力：≥8.5MaP，重量≥7kg（净重不含底座），抛射质量≥1.8kg；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抛射距离：水用时抛射自动充气救生圈距离≥320m，陆用时抛绳距离最高≥395m；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抛绳规格：陆用抛绳断裂强度不小于2kN，水用抛绳断裂强度不小于6kN，救援弹、救援绳及水用保护套可反复使用；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空中飞行时间：3-5秒钟，发射初速≥:60m/s；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水用救援弹里的水用浮具入水不大于5秒自动充气成为救生圈，产生上浮力≥8kg；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以压缩气体为动力，可将绳索或自动充气救生圈快速安全准确地发射目标，包括水用和陆用两种。两种打抛方式:A:内置高压气瓶充气打抛:B:可外接高压气瓶充气打抛；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设备带有发射保险装置，保险装置的解脱工作应区别于抛投器的开启动作；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抛投器配有缓冲底座，配备航空铝多功能底座，有27°、35°、45°、55°、65°、75°等6 个调整角度；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抛投器配有安全阀的开启压力为额定工作压力的1.1倍，误差不得超过±0.5MPa；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抛投器缸体上面配有气压表，且压力表的量程满足工作要求；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水用抛绳具备悬浮性能。</w:t>
            </w:r>
          </w:p>
          <w:p w14:paraId="2EE9D95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olor w:val="000000"/>
                <w:kern w:val="0"/>
                <w:lang w:eastAsia="zh-CN"/>
              </w:rPr>
              <w:t>▲</w:t>
            </w:r>
            <w:r>
              <w:rPr>
                <w:rFonts w:hint="eastAsia" w:ascii="宋体" w:hAnsi="宋体" w:eastAsia="宋体" w:cs="宋体"/>
                <w:i w:val="0"/>
                <w:iCs w:val="0"/>
                <w:color w:val="000000"/>
                <w:kern w:val="0"/>
                <w:sz w:val="21"/>
                <w:szCs w:val="21"/>
                <w:u w:val="none"/>
                <w:lang w:val="en-US" w:eastAsia="zh-CN" w:bidi="ar"/>
              </w:rPr>
              <w:t>项产品通过具有带CMA或CANS的检验报告作为佐证</w:t>
            </w:r>
            <w:r>
              <w:rPr>
                <w:rFonts w:hint="eastAsia" w:ascii="宋体" w:hAnsi="宋体" w:eastAsia="宋体" w:cs="宋体"/>
                <w:b/>
                <w:bCs/>
                <w:color w:val="000000" w:themeColor="text1"/>
                <w:sz w:val="21"/>
                <w:szCs w:val="21"/>
                <w:highlight w:val="none"/>
                <w14:textFill>
                  <w14:solidFill>
                    <w14:schemeClr w14:val="tx1"/>
                  </w14:solidFill>
                </w14:textFill>
              </w:rPr>
              <w:t>（签订合同后供应商向采购人提供检测报告相应</w:t>
            </w:r>
            <w:r>
              <w:rPr>
                <w:rFonts w:hint="eastAsia" w:ascii="宋体" w:hAnsi="宋体" w:eastAsia="宋体" w:cs="宋体"/>
                <w:b/>
                <w:bCs/>
                <w:color w:val="000000" w:themeColor="text1"/>
                <w:sz w:val="21"/>
                <w:szCs w:val="21"/>
                <w:highlight w:val="none"/>
                <w:lang w:eastAsia="zh-CN"/>
                <w14:textFill>
                  <w14:solidFill>
                    <w14:schemeClr w14:val="tx1"/>
                  </w14:solidFill>
                </w14:textFill>
              </w:rPr>
              <w:t>的</w:t>
            </w:r>
            <w:r>
              <w:rPr>
                <w:rFonts w:hint="eastAsia" w:ascii="宋体" w:hAnsi="宋体" w:eastAsia="宋体" w:cs="宋体"/>
                <w:b/>
                <w:bCs/>
                <w:color w:val="000000" w:themeColor="text1"/>
                <w:sz w:val="21"/>
                <w:szCs w:val="21"/>
                <w:highlight w:val="none"/>
                <w14:textFill>
                  <w14:solidFill>
                    <w14:schemeClr w14:val="tx1"/>
                  </w14:solidFill>
                </w14:textFill>
              </w:rPr>
              <w:t>原件核查）</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9D148">
            <w:pPr>
              <w:jc w:val="center"/>
              <w:rPr>
                <w:rFonts w:hint="eastAsia" w:ascii="宋体" w:hAnsi="宋体" w:eastAsia="宋体" w:cs="宋体"/>
                <w:i w:val="0"/>
                <w:iCs w:val="0"/>
                <w:color w:val="000000"/>
                <w:sz w:val="21"/>
                <w:szCs w:val="21"/>
                <w:u w:val="none"/>
              </w:rPr>
            </w:pPr>
          </w:p>
        </w:tc>
      </w:tr>
      <w:tr w14:paraId="0E94F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4C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D5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16-250-20消防水带</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2C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捆</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54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9E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1.消防水带严格按照GB6246-2011《消防水带》标准进行生产。符合消防类产品认证实施规则CCCF-CPRZ-25:2019的要求。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带口径为250mm，内衬材质采用聚氨酯（耐寒耐高温），厚度均匀，表面光滑清洁，无褶皱，不渗水，不霉变，柔软轻便易卷缠，耐老化，水流阻力小，使用寿命长标准工作压力≥1.6MPa，爆破压力为≥4.8MPa，在1.6MPa工作压力下延伸率为＜8%，直径膨胀率为≤5%，衬里与编织层间的附着力强度≥2.5N/cm（测试时衬里无剥离、起层现象，确保结构整体性）,每卷长度为20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3.水带两头均配有250mm口径的三爪内扣接口。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4.水带外层经线为涤纶纱材质，纬线为涤纶长丝材质，可根据客户要求定做各种颜色。</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51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w:t>
            </w:r>
          </w:p>
        </w:tc>
      </w:tr>
      <w:tr w14:paraId="3366D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9"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EDD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99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25-65-20消防水带</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F8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捆</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4E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48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1.消防水带严格按照GB6246-2011《消防水带》标准进行生产。符合消防类产品认证实施规则CCCF-CPRZ-25:2019的要求。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带口径为65mm，内衬材质采用聚氨酯（耐寒耐高温），厚度均匀，表面光滑清洁，无褶皱，不渗水，不霉变，柔软轻便易卷缠，耐老化，水流阻力小，使用寿命长标准工作压力≥2.5MPa，爆破压力为≥8.31MPa，延伸率为≤5%，膨胀率为≤6.5%，附着力强度为50N/25MM,每卷长度为20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3.水带两头均配有65口径的快速接口。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4.水带外层经线为涤纶纱材质，纬线为涤纶长丝材质，可根据客户要求定做各种颜色。</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42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w:t>
            </w:r>
          </w:p>
        </w:tc>
      </w:tr>
      <w:tr w14:paraId="75DF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3"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78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02B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25-50-20消防水带</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A2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捆</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CCA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711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1.消防水带严格按照GB6246-2011《消防水带》标准进行生产。符合消防类产品认证实施规则CCCF-CPRZ-25:2019的要求。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带口径为50mm。内衬材质采用聚氨酯（耐寒耐高温），厚度均匀，表面光滑清洁，无褶皱，不渗水，不霉变，柔软轻便易卷缠，耐老化，水流阻力小，使用寿命长标准工作压力≥2.5MPa，爆破压力为≥7.5MPa，延伸率为≤3.8%，膨胀率为≤5%，附着力强度为20N/25MM,每卷长度为20米，允许偏差±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3.水带两头均配有50mm口径的快速接口。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4.水带外层经线为涤纶纱材质，纬线为涤纶长丝材质，可根据客户要求定做各种颜色。</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48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w:t>
            </w:r>
          </w:p>
        </w:tc>
      </w:tr>
      <w:tr w14:paraId="0E9B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EB8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B6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250/80三分水器</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3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FE0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B05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1.符合XF868 2010标准。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2.分水器有一个250mm口径进水口和三个80mm口径出水口，可供同时使用，也可分别使用。其250mm进水口为内扣式三爪接口、出水口为80mm快速接口（母口）。</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3.出水口均装有球阀，可以随时开启和关闭，控制水流，便于调换支线配件，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4.接口：采用铸造工艺，选用铝镁合金6061材质，表面金色阳极氧化防腐处理；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5.阀体：采用压铸工艺，选用YL104材质，表面红色喷塑防腐处理。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6.手柄：采用铸造工艺，选用铝镁合金6061材质，表面阳极氧化防腐处理。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43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                                                                                              250三爪内扣转80快速接口（母口）</w:t>
            </w:r>
          </w:p>
        </w:tc>
      </w:tr>
      <w:tr w14:paraId="43C1B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6"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B6A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27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250/150排水接口</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55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E4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09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1.符合GB12514.1-2005、GB12514.2-2006标准。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2.转换接口是消防工作中常用的一种接口，主要用于不同口径消防产品之间的连接，它具有连接简便，解脱迅速的优点。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3.可装备于各种消防车，消防艇，海轮，石油钻进平台。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4.250三爪内扣转150二爪内扣接口，密封性能0.3～2.5MPa，适用介质水、泡沫混合液。</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AB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                                                                                       250三爪内扣转150二爪内扣排水转换接口</w:t>
            </w:r>
          </w:p>
        </w:tc>
      </w:tr>
      <w:tr w14:paraId="76C89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E6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34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150/125排水接口</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F6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42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48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1.符合GB12514.1-2005、GB12514.2-2006标准。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2.转换接口是消防工作中常用的一种接口，主要用于不同口径消防产品之间的连接，它具有连接简便，解脱迅速的优点。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3.可装备于各种消防车，消防艇，海轮，石油钻进平台。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4.150二爪内扣转150二爪内扣接口，密封性能0.3～2.5MPa，适用介质水、泡沫混合液。</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F2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排涝车配件                                                                                           250三爪内扣转150二爪内扣排水转换接口</w:t>
            </w:r>
          </w:p>
        </w:tc>
      </w:tr>
      <w:tr w14:paraId="4D2E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9"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2CB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08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救生拦截网</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0D6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AD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E2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9669145</wp:posOffset>
                  </wp:positionH>
                  <wp:positionV relativeFrom="paragraph">
                    <wp:posOffset>3970655</wp:posOffset>
                  </wp:positionV>
                  <wp:extent cx="1095375" cy="981075"/>
                  <wp:effectExtent l="0" t="0" r="9525" b="9525"/>
                  <wp:wrapNone/>
                  <wp:docPr id="8" name="ID_C8A4A75FD0544334B0471BB2A2EC3DCC"/>
                  <wp:cNvGraphicFramePr/>
                  <a:graphic xmlns:a="http://schemas.openxmlformats.org/drawingml/2006/main">
                    <a:graphicData uri="http://schemas.openxmlformats.org/drawingml/2006/picture">
                      <pic:pic xmlns:pic="http://schemas.openxmlformats.org/drawingml/2006/picture">
                        <pic:nvPicPr>
                          <pic:cNvPr id="8" name="ID_C8A4A75FD0544334B0471BB2A2EC3DCC"/>
                          <pic:cNvPicPr/>
                        </pic:nvPicPr>
                        <pic:blipFill>
                          <a:blip r:embed="rId8"/>
                          <a:stretch>
                            <a:fillRect/>
                          </a:stretch>
                        </pic:blipFill>
                        <pic:spPr>
                          <a:xfrm>
                            <a:off x="0" y="0"/>
                            <a:ext cx="1095375" cy="981075"/>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1. 整体规格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尺寸：长度50m，高度5m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展开面积：≥180㎡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 材质要求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主体材料：采用高强度涤纶布或尼龙织带，具备抗撕裂、耐磨、耐酸碱及抗紫外线性能，适应水域环境长期使用。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材质技术指标：断裂强力≥1000N，撕破强力≥200N（依据GB/T 3923.1-2013标准测试）。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 结构设计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织带规格：边缘加固织带宽度6cm，采用双针车缝工艺，确保网体强度。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框架支撑：四周配置高强度环形承重绳，与织带通过锁扣式连接，便于快速拆装。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 配件要求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救援绳：直径12.0mm，长度≥50m，断裂强度≥41KN（符合EN 892标准），两端配备金属保护套。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连接扣锁：不少于8个高强度不锈钢快速连接扣锁，单个锁扣承重≥40KN，防腐蚀处理。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收纳系统：配备高强度手提收纳包，内衬防磨损材料，外部设置反光标识及便携提手。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 性能标准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耐水性：连续浸泡24小时后，材质强度损失率≤5%。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耐温性：-20℃至+60℃环境下无脆化、变形。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 认证要求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产品需通过国家消防装备质量监督检验中心检测，提供第三方检测报告。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符合GB 24543-2009《坠落防护 安全绳》等相关国家标准。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 包装与交付</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独立包装，附带产品使用说明书、检测报告及维护指南。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交付时需提供样品进行现场抽检，确保参数达标。</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7F73">
            <w:pPr>
              <w:jc w:val="center"/>
              <w:rPr>
                <w:rFonts w:hint="eastAsia" w:ascii="宋体" w:hAnsi="宋体" w:eastAsia="宋体" w:cs="宋体"/>
                <w:i w:val="0"/>
                <w:iCs w:val="0"/>
                <w:color w:val="000000"/>
                <w:sz w:val="21"/>
                <w:szCs w:val="21"/>
                <w:u w:val="none"/>
              </w:rPr>
            </w:pPr>
          </w:p>
        </w:tc>
      </w:tr>
      <w:tr w14:paraId="52962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10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DE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头盔</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A4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14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C2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材质：ABS安全帽、1mmPC超清透明面罩，抗冲击、防飞溅安全帽+1mmPC面罩，头部、面部及颈部的安全防护</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8461">
            <w:pPr>
              <w:jc w:val="center"/>
              <w:rPr>
                <w:rFonts w:hint="eastAsia" w:ascii="宋体" w:hAnsi="宋体" w:eastAsia="宋体" w:cs="宋体"/>
                <w:i w:val="0"/>
                <w:iCs w:val="0"/>
                <w:color w:val="000000"/>
                <w:sz w:val="21"/>
                <w:szCs w:val="21"/>
                <w:u w:val="none"/>
              </w:rPr>
            </w:pPr>
            <w:r>
              <w:drawing>
                <wp:inline distT="0" distB="0" distL="114300" distR="114300">
                  <wp:extent cx="883285" cy="791210"/>
                  <wp:effectExtent l="0" t="0" r="12065" b="8890"/>
                  <wp:docPr id="22" name="ID_C8A4A75FD0544334B0471BB2A2EC3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C8A4A75FD0544334B0471BB2A2EC3DCC"/>
                          <pic:cNvPicPr>
                            <a:picLocks noChangeAspect="1"/>
                          </pic:cNvPicPr>
                        </pic:nvPicPr>
                        <pic:blipFill>
                          <a:blip r:embed="rId9" cstate="print"/>
                          <a:stretch>
                            <a:fillRect/>
                          </a:stretch>
                        </pic:blipFill>
                        <pic:spPr>
                          <a:xfrm>
                            <a:off x="0" y="0"/>
                            <a:ext cx="883285" cy="791210"/>
                          </a:xfrm>
                          <a:prstGeom prst="rect">
                            <a:avLst/>
                          </a:prstGeom>
                          <a:noFill/>
                          <a:ln w="9525" cap="flat" cmpd="sng">
                            <a:noFill/>
                            <a:prstDash val="solid"/>
                            <a:round/>
                          </a:ln>
                        </pic:spPr>
                      </pic:pic>
                    </a:graphicData>
                  </a:graphic>
                </wp:inline>
              </w:drawing>
            </w:r>
          </w:p>
        </w:tc>
      </w:tr>
      <w:tr w14:paraId="5A3CD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9A4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30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护目镜</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B5C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35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FB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9678035</wp:posOffset>
                  </wp:positionH>
                  <wp:positionV relativeFrom="paragraph">
                    <wp:posOffset>346075</wp:posOffset>
                  </wp:positionV>
                  <wp:extent cx="1095375" cy="980440"/>
                  <wp:effectExtent l="0" t="0" r="9525" b="10160"/>
                  <wp:wrapNone/>
                  <wp:docPr id="9" name="ID_D118EDBD3DD448F4AF881ADF6E078EEC"/>
                  <wp:cNvGraphicFramePr/>
                  <a:graphic xmlns:a="http://schemas.openxmlformats.org/drawingml/2006/main">
                    <a:graphicData uri="http://schemas.openxmlformats.org/drawingml/2006/picture">
                      <pic:pic xmlns:pic="http://schemas.openxmlformats.org/drawingml/2006/picture">
                        <pic:nvPicPr>
                          <pic:cNvPr id="9" name="ID_D118EDBD3DD448F4AF881ADF6E078EEC"/>
                          <pic:cNvPicPr/>
                        </pic:nvPicPr>
                        <pic:blipFill>
                          <a:blip r:embed="rId10"/>
                          <a:stretch>
                            <a:fillRect/>
                          </a:stretch>
                        </pic:blipFill>
                        <pic:spPr>
                          <a:xfrm>
                            <a:off x="0" y="0"/>
                            <a:ext cx="1095375" cy="98044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lang w:val="en-US" w:eastAsia="zh-CN" w:bidi="ar"/>
              </w:rPr>
              <w:t>材质： PC聚碳酸酷，半封闭，防雾、防飞溅，技术性能符合GB-14866要求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PC材质，半封闭，防雾、防飞溅，技术性能符合GB-14866要求</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11A7">
            <w:pPr>
              <w:jc w:val="center"/>
              <w:rPr>
                <w:rFonts w:hint="eastAsia" w:ascii="宋体" w:hAnsi="宋体" w:eastAsia="宋体" w:cs="宋体"/>
                <w:i w:val="0"/>
                <w:iCs w:val="0"/>
                <w:color w:val="000000"/>
                <w:sz w:val="21"/>
                <w:szCs w:val="21"/>
                <w:u w:val="none"/>
              </w:rPr>
            </w:pPr>
            <w:r>
              <w:drawing>
                <wp:inline distT="0" distB="0" distL="114300" distR="114300">
                  <wp:extent cx="699135" cy="626110"/>
                  <wp:effectExtent l="0" t="0" r="5715" b="2540"/>
                  <wp:docPr id="23" name="ID_D118EDBD3DD448F4AF881ADF6E07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D_D118EDBD3DD448F4AF881ADF6E078EEC"/>
                          <pic:cNvPicPr>
                            <a:picLocks noChangeAspect="1"/>
                          </pic:cNvPicPr>
                        </pic:nvPicPr>
                        <pic:blipFill>
                          <a:blip r:embed="rId11" cstate="print"/>
                          <a:stretch>
                            <a:fillRect/>
                          </a:stretch>
                        </pic:blipFill>
                        <pic:spPr>
                          <a:xfrm>
                            <a:off x="0" y="0"/>
                            <a:ext cx="699135" cy="626110"/>
                          </a:xfrm>
                          <a:prstGeom prst="rect">
                            <a:avLst/>
                          </a:prstGeom>
                          <a:noFill/>
                          <a:ln w="9525" cap="flat" cmpd="sng">
                            <a:noFill/>
                            <a:prstDash val="solid"/>
                            <a:round/>
                          </a:ln>
                        </pic:spPr>
                      </pic:pic>
                    </a:graphicData>
                  </a:graphic>
                </wp:inline>
              </w:drawing>
            </w:r>
          </w:p>
        </w:tc>
      </w:tr>
      <w:tr w14:paraId="394EF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D7C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9E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防静电内衣</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02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B6D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2F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17款消防服，材质：芳纶阻燃面料，阻燃防水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纯棉、防静电纤维组合，有较强防静电功效，可燃气体、粉尘、蒸气等易燃易爆场所作业时的躯体内层防护</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02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14400" cy="1144270"/>
                  <wp:effectExtent l="0" t="0" r="0" b="17780"/>
                  <wp:docPr id="10" name="ID_A3264DD55045402C9BD3BD722007CEC5"/>
                  <wp:cNvGraphicFramePr/>
                  <a:graphic xmlns:a="http://schemas.openxmlformats.org/drawingml/2006/main">
                    <a:graphicData uri="http://schemas.openxmlformats.org/drawingml/2006/picture">
                      <pic:pic xmlns:pic="http://schemas.openxmlformats.org/drawingml/2006/picture">
                        <pic:nvPicPr>
                          <pic:cNvPr id="10" name="ID_A3264DD55045402C9BD3BD722007CEC5"/>
                          <pic:cNvPicPr/>
                        </pic:nvPicPr>
                        <pic:blipFill>
                          <a:blip r:embed="rId12"/>
                          <a:stretch>
                            <a:fillRect/>
                          </a:stretch>
                        </pic:blipFill>
                        <pic:spPr>
                          <a:xfrm>
                            <a:off x="0" y="0"/>
                            <a:ext cx="914400" cy="1144270"/>
                          </a:xfrm>
                          <a:prstGeom prst="rect">
                            <a:avLst/>
                          </a:prstGeom>
                          <a:noFill/>
                          <a:ln>
                            <a:noFill/>
                          </a:ln>
                        </pic:spPr>
                      </pic:pic>
                    </a:graphicData>
                  </a:graphic>
                </wp:inline>
              </w:drawing>
            </w:r>
          </w:p>
        </w:tc>
      </w:tr>
      <w:tr w14:paraId="3DFC1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12B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D2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防化手套</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8C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DD2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1C1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材质：纯棉、防静电纤维，较强防静电功效，吸湿、透气、舒适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橡胶工业耐酸碱，适用化工，化学实验，农业等场所，手部及腕部防护</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5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13130" cy="1144270"/>
                  <wp:effectExtent l="0" t="0" r="1270" b="17780"/>
                  <wp:docPr id="11" name="ID_30CC7F612FE14DA396F7850C278FD594"/>
                  <wp:cNvGraphicFramePr/>
                  <a:graphic xmlns:a="http://schemas.openxmlformats.org/drawingml/2006/main">
                    <a:graphicData uri="http://schemas.openxmlformats.org/drawingml/2006/picture">
                      <pic:pic xmlns:pic="http://schemas.openxmlformats.org/drawingml/2006/picture">
                        <pic:nvPicPr>
                          <pic:cNvPr id="11" name="ID_30CC7F612FE14DA396F7850C278FD594"/>
                          <pic:cNvPicPr/>
                        </pic:nvPicPr>
                        <pic:blipFill>
                          <a:blip r:embed="rId13"/>
                          <a:stretch>
                            <a:fillRect/>
                          </a:stretch>
                        </pic:blipFill>
                        <pic:spPr>
                          <a:xfrm>
                            <a:off x="0" y="0"/>
                            <a:ext cx="913130" cy="1144270"/>
                          </a:xfrm>
                          <a:prstGeom prst="rect">
                            <a:avLst/>
                          </a:prstGeom>
                          <a:noFill/>
                          <a:ln>
                            <a:noFill/>
                          </a:ln>
                        </pic:spPr>
                      </pic:pic>
                    </a:graphicData>
                  </a:graphic>
                </wp:inline>
              </w:drawing>
            </w:r>
          </w:p>
        </w:tc>
      </w:tr>
      <w:tr w14:paraId="0CCD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5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8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防化靴</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504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13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330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材质：橡胶/乳胶/合成橡胶,耐酸碱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PVC材质，化纤易干内里，耐油、耐酸碱、防腐蚀、防刺穿，事故现场作业时的脚部和小腿部防护</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99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65200" cy="1049020"/>
                  <wp:effectExtent l="0" t="0" r="6350" b="17780"/>
                  <wp:docPr id="12" name="ID_B18EDECBF3374C4EA1D8CA0F331EB5F5"/>
                  <wp:cNvGraphicFramePr/>
                  <a:graphic xmlns:a="http://schemas.openxmlformats.org/drawingml/2006/main">
                    <a:graphicData uri="http://schemas.openxmlformats.org/drawingml/2006/picture">
                      <pic:pic xmlns:pic="http://schemas.openxmlformats.org/drawingml/2006/picture">
                        <pic:nvPicPr>
                          <pic:cNvPr id="12" name="ID_B18EDECBF3374C4EA1D8CA0F331EB5F5"/>
                          <pic:cNvPicPr/>
                        </pic:nvPicPr>
                        <pic:blipFill>
                          <a:blip r:embed="rId14"/>
                          <a:stretch>
                            <a:fillRect/>
                          </a:stretch>
                        </pic:blipFill>
                        <pic:spPr>
                          <a:xfrm>
                            <a:off x="0" y="0"/>
                            <a:ext cx="965200" cy="1049020"/>
                          </a:xfrm>
                          <a:prstGeom prst="rect">
                            <a:avLst/>
                          </a:prstGeom>
                          <a:noFill/>
                          <a:ln>
                            <a:noFill/>
                          </a:ln>
                        </pic:spPr>
                      </pic:pic>
                    </a:graphicData>
                  </a:graphic>
                </wp:inline>
              </w:drawing>
            </w:r>
          </w:p>
        </w:tc>
      </w:tr>
      <w:tr w14:paraId="14E5C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C2E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FE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安全腰带</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FB5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ED8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F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材质：涤纶带，速差式腰带卡扣，防锈合金大钩，自带牛津布工具包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涤纶带，速差式腰带卡扣，防锈合金大钩，带工具包，登梯作业和逃生自救</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2F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19150" cy="958215"/>
                  <wp:effectExtent l="0" t="0" r="0" b="13335"/>
                  <wp:docPr id="13" name="ID_2F437AF4D62842D1BBC163BA1E865CCB"/>
                  <wp:cNvGraphicFramePr/>
                  <a:graphic xmlns:a="http://schemas.openxmlformats.org/drawingml/2006/main">
                    <a:graphicData uri="http://schemas.openxmlformats.org/drawingml/2006/picture">
                      <pic:pic xmlns:pic="http://schemas.openxmlformats.org/drawingml/2006/picture">
                        <pic:nvPicPr>
                          <pic:cNvPr id="13" name="ID_2F437AF4D62842D1BBC163BA1E865CCB"/>
                          <pic:cNvPicPr/>
                        </pic:nvPicPr>
                        <pic:blipFill>
                          <a:blip r:embed="rId15"/>
                          <a:stretch>
                            <a:fillRect/>
                          </a:stretch>
                        </pic:blipFill>
                        <pic:spPr>
                          <a:xfrm>
                            <a:off x="0" y="0"/>
                            <a:ext cx="819150" cy="958215"/>
                          </a:xfrm>
                          <a:prstGeom prst="rect">
                            <a:avLst/>
                          </a:prstGeom>
                          <a:noFill/>
                          <a:ln>
                            <a:noFill/>
                          </a:ln>
                        </pic:spPr>
                      </pic:pic>
                    </a:graphicData>
                  </a:graphic>
                </wp:inline>
              </w:drawing>
            </w:r>
          </w:p>
        </w:tc>
      </w:tr>
      <w:tr w14:paraId="329D4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A68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E4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佩戴式防爆照明灯</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34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0B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02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YD-498 强光20小时续航，带防爆标识,符合Q/YED 001-2020标准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YD-498强光20小时续航，带防爆标识,单人作业照明    提供省级质量监督检测报告</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38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35660" cy="1153160"/>
                  <wp:effectExtent l="0" t="0" r="2540" b="8890"/>
                  <wp:docPr id="14" name="ID_ACFE8BA8C6664243940978077AF149F0"/>
                  <wp:cNvGraphicFramePr/>
                  <a:graphic xmlns:a="http://schemas.openxmlformats.org/drawingml/2006/main">
                    <a:graphicData uri="http://schemas.openxmlformats.org/drawingml/2006/picture">
                      <pic:pic xmlns:pic="http://schemas.openxmlformats.org/drawingml/2006/picture">
                        <pic:nvPicPr>
                          <pic:cNvPr id="14" name="ID_ACFE8BA8C6664243940978077AF149F0"/>
                          <pic:cNvPicPr/>
                        </pic:nvPicPr>
                        <pic:blipFill>
                          <a:blip r:embed="rId16"/>
                          <a:stretch>
                            <a:fillRect/>
                          </a:stretch>
                        </pic:blipFill>
                        <pic:spPr>
                          <a:xfrm>
                            <a:off x="0" y="0"/>
                            <a:ext cx="835660" cy="1153160"/>
                          </a:xfrm>
                          <a:prstGeom prst="rect">
                            <a:avLst/>
                          </a:prstGeom>
                          <a:noFill/>
                          <a:ln>
                            <a:noFill/>
                          </a:ln>
                        </pic:spPr>
                      </pic:pic>
                    </a:graphicData>
                  </a:graphic>
                </wp:inline>
              </w:drawing>
            </w:r>
          </w:p>
        </w:tc>
      </w:tr>
      <w:tr w14:paraId="3E6C5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A4E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1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轻型安全绳</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23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16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14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材质：14毫米带钢丝20米双钩涤纶绳，Φ14拉伸破断力不低于15KN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15毫米带钢丝20米双钩，救援人员的救生、自救和逃生</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52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47090" cy="1170305"/>
                  <wp:effectExtent l="0" t="0" r="10160" b="10795"/>
                  <wp:docPr id="15" name="ID_B82B852935E84B818A04FFDFFB1794F6"/>
                  <wp:cNvGraphicFramePr/>
                  <a:graphic xmlns:a="http://schemas.openxmlformats.org/drawingml/2006/main">
                    <a:graphicData uri="http://schemas.openxmlformats.org/drawingml/2006/picture">
                      <pic:pic xmlns:pic="http://schemas.openxmlformats.org/drawingml/2006/picture">
                        <pic:nvPicPr>
                          <pic:cNvPr id="15" name="ID_B82B852935E84B818A04FFDFFB1794F6"/>
                          <pic:cNvPicPr/>
                        </pic:nvPicPr>
                        <pic:blipFill>
                          <a:blip r:embed="rId17"/>
                          <a:stretch>
                            <a:fillRect/>
                          </a:stretch>
                        </pic:blipFill>
                        <pic:spPr>
                          <a:xfrm>
                            <a:off x="0" y="0"/>
                            <a:ext cx="847090" cy="1170305"/>
                          </a:xfrm>
                          <a:prstGeom prst="rect">
                            <a:avLst/>
                          </a:prstGeom>
                          <a:noFill/>
                          <a:ln>
                            <a:noFill/>
                          </a:ln>
                        </pic:spPr>
                      </pic:pic>
                    </a:graphicData>
                  </a:graphic>
                </wp:inline>
              </w:drawing>
            </w:r>
          </w:p>
        </w:tc>
      </w:tr>
      <w:tr w14:paraId="06B1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6"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40B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E3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消防腰斧</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40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9AF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E3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3C认证，一体碳钢、防滑手柄，适用破拆和自救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3C认证款，一体碳钢、防滑手柄，适用破拆和自救    </w:t>
            </w:r>
          </w:p>
          <w:p w14:paraId="1B939F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所投产品具有省级及省级以上检验检测机构出具完整有效的检验报告。</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7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87730" cy="1223010"/>
                  <wp:effectExtent l="0" t="0" r="7620" b="15240"/>
                  <wp:docPr id="16" name="ID_A57899BAF9704D9EAAAB63F9B862695B"/>
                  <wp:cNvGraphicFramePr/>
                  <a:graphic xmlns:a="http://schemas.openxmlformats.org/drawingml/2006/main">
                    <a:graphicData uri="http://schemas.openxmlformats.org/drawingml/2006/picture">
                      <pic:pic xmlns:pic="http://schemas.openxmlformats.org/drawingml/2006/picture">
                        <pic:nvPicPr>
                          <pic:cNvPr id="16" name="ID_A57899BAF9704D9EAAAB63F9B862695B"/>
                          <pic:cNvPicPr/>
                        </pic:nvPicPr>
                        <pic:blipFill>
                          <a:blip r:embed="rId18"/>
                          <a:stretch>
                            <a:fillRect/>
                          </a:stretch>
                        </pic:blipFill>
                        <pic:spPr>
                          <a:xfrm>
                            <a:off x="0" y="0"/>
                            <a:ext cx="887730" cy="1223010"/>
                          </a:xfrm>
                          <a:prstGeom prst="rect">
                            <a:avLst/>
                          </a:prstGeom>
                          <a:noFill/>
                          <a:ln>
                            <a:noFill/>
                          </a:ln>
                        </pic:spPr>
                      </pic:pic>
                    </a:graphicData>
                  </a:graphic>
                </wp:inline>
              </w:drawing>
            </w:r>
          </w:p>
        </w:tc>
      </w:tr>
      <w:tr w14:paraId="30D6F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8"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3B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CC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化学防护服</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087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D5B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880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材质：Tychem C面料，内层防静电处理，技术性能符合新国标GB24539-2021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耐酸碱及尘埃颗粒物，内层防静电处理，技术性能符合新国标GB24539-2021                                                                                                                                                       所投产品具有省级及省级以上检验检测机构出具完整有效的检验报告。</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A8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88365" cy="1153160"/>
                  <wp:effectExtent l="0" t="0" r="6985" b="8890"/>
                  <wp:docPr id="17" name="ID_34554296D03A497F8635D4ACBB5A0530"/>
                  <wp:cNvGraphicFramePr/>
                  <a:graphic xmlns:a="http://schemas.openxmlformats.org/drawingml/2006/main">
                    <a:graphicData uri="http://schemas.openxmlformats.org/drawingml/2006/picture">
                      <pic:pic xmlns:pic="http://schemas.openxmlformats.org/drawingml/2006/picture">
                        <pic:nvPicPr>
                          <pic:cNvPr id="17" name="ID_34554296D03A497F8635D4ACBB5A0530"/>
                          <pic:cNvPicPr/>
                        </pic:nvPicPr>
                        <pic:blipFill>
                          <a:blip r:embed="rId19"/>
                          <a:stretch>
                            <a:fillRect/>
                          </a:stretch>
                        </pic:blipFill>
                        <pic:spPr>
                          <a:xfrm>
                            <a:off x="0" y="0"/>
                            <a:ext cx="888365" cy="1153160"/>
                          </a:xfrm>
                          <a:prstGeom prst="rect">
                            <a:avLst/>
                          </a:prstGeom>
                          <a:noFill/>
                          <a:ln>
                            <a:noFill/>
                          </a:ln>
                        </pic:spPr>
                      </pic:pic>
                    </a:graphicData>
                  </a:graphic>
                </wp:inline>
              </w:drawing>
            </w:r>
          </w:p>
        </w:tc>
      </w:tr>
      <w:tr w14:paraId="2C71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A29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1E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自吸过滤式防毒面具</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0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AA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F79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主体材质橡胶、活性炭、防静电滤棉，技术性能符合GB 2890要求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3M3200 主体材质橡胶、活性炭、防静电滤棉，技术性能符合GB 2890要求</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A4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35660" cy="1127125"/>
                  <wp:effectExtent l="0" t="0" r="2540" b="15875"/>
                  <wp:docPr id="18" name="ID_FB663F67218744FDB9DE054A76A5B130"/>
                  <wp:cNvGraphicFramePr/>
                  <a:graphic xmlns:a="http://schemas.openxmlformats.org/drawingml/2006/main">
                    <a:graphicData uri="http://schemas.openxmlformats.org/drawingml/2006/picture">
                      <pic:pic xmlns:pic="http://schemas.openxmlformats.org/drawingml/2006/picture">
                        <pic:nvPicPr>
                          <pic:cNvPr id="18" name="ID_FB663F67218744FDB9DE054A76A5B130"/>
                          <pic:cNvPicPr/>
                        </pic:nvPicPr>
                        <pic:blipFill>
                          <a:blip r:embed="rId20"/>
                          <a:stretch>
                            <a:fillRect/>
                          </a:stretch>
                        </pic:blipFill>
                        <pic:spPr>
                          <a:xfrm>
                            <a:off x="0" y="0"/>
                            <a:ext cx="835660" cy="1127125"/>
                          </a:xfrm>
                          <a:prstGeom prst="rect">
                            <a:avLst/>
                          </a:prstGeom>
                          <a:noFill/>
                          <a:ln>
                            <a:noFill/>
                          </a:ln>
                        </pic:spPr>
                      </pic:pic>
                    </a:graphicData>
                  </a:graphic>
                </wp:inline>
              </w:drawing>
            </w:r>
          </w:p>
        </w:tc>
      </w:tr>
      <w:tr w14:paraId="2CA8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6"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52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BB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气体检测仪</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6B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0D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C5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四合一气体检测仪，IP68级防护，蓝牙、WIFI传输数据，检测可燃、有毒气体浓度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四合一气体检测仪，IP68级防护，蓝牙、WIFI传输数据，检测可燃、有毒气体浓度</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54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610870" cy="980440"/>
                  <wp:effectExtent l="0" t="0" r="17780" b="10160"/>
                  <wp:docPr id="19" name="ID_A40252633D944312BA3C01CA66FBE08D"/>
                  <wp:cNvGraphicFramePr/>
                  <a:graphic xmlns:a="http://schemas.openxmlformats.org/drawingml/2006/main">
                    <a:graphicData uri="http://schemas.openxmlformats.org/drawingml/2006/picture">
                      <pic:pic xmlns:pic="http://schemas.openxmlformats.org/drawingml/2006/picture">
                        <pic:nvPicPr>
                          <pic:cNvPr id="19" name="ID_A40252633D944312BA3C01CA66FBE08D"/>
                          <pic:cNvPicPr/>
                        </pic:nvPicPr>
                        <pic:blipFill>
                          <a:blip r:embed="rId21"/>
                          <a:stretch>
                            <a:fillRect/>
                          </a:stretch>
                        </pic:blipFill>
                        <pic:spPr>
                          <a:xfrm>
                            <a:off x="0" y="0"/>
                            <a:ext cx="610870" cy="980440"/>
                          </a:xfrm>
                          <a:prstGeom prst="rect">
                            <a:avLst/>
                          </a:prstGeom>
                          <a:noFill/>
                          <a:ln>
                            <a:noFill/>
                          </a:ln>
                        </pic:spPr>
                      </pic:pic>
                    </a:graphicData>
                  </a:graphic>
                </wp:inline>
              </w:drawing>
            </w:r>
          </w:p>
        </w:tc>
      </w:tr>
      <w:tr w14:paraId="19F7E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7"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167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A4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手电筒</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6AD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87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1E7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材质：ABS 350流明及以上，7800mAH容量电池，IP68级防水机身，防爆标识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35W超亮，7800mAH容量电池，IP68级防水机身，易燃易爆场所，防爆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90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96620" cy="1075055"/>
                  <wp:effectExtent l="0" t="0" r="17780" b="10795"/>
                  <wp:docPr id="20" name="ID_A42386D0A0E741608EA6D949C804A2D2"/>
                  <wp:cNvGraphicFramePr/>
                  <a:graphic xmlns:a="http://schemas.openxmlformats.org/drawingml/2006/main">
                    <a:graphicData uri="http://schemas.openxmlformats.org/drawingml/2006/picture">
                      <pic:pic xmlns:pic="http://schemas.openxmlformats.org/drawingml/2006/picture">
                        <pic:nvPicPr>
                          <pic:cNvPr id="20" name="ID_A42386D0A0E741608EA6D949C804A2D2"/>
                          <pic:cNvPicPr/>
                        </pic:nvPicPr>
                        <pic:blipFill>
                          <a:blip r:embed="rId22"/>
                          <a:stretch>
                            <a:fillRect/>
                          </a:stretch>
                        </pic:blipFill>
                        <pic:spPr>
                          <a:xfrm>
                            <a:off x="0" y="0"/>
                            <a:ext cx="896620" cy="1075055"/>
                          </a:xfrm>
                          <a:prstGeom prst="rect">
                            <a:avLst/>
                          </a:prstGeom>
                          <a:noFill/>
                          <a:ln>
                            <a:noFill/>
                          </a:ln>
                        </pic:spPr>
                      </pic:pic>
                    </a:graphicData>
                  </a:graphic>
                </wp:inline>
              </w:drawing>
            </w:r>
          </w:p>
        </w:tc>
      </w:tr>
      <w:tr w14:paraId="054EE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1"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9F7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E89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急救箱</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6D0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9EA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80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材质：12寸银色，ABS+铝合金包角，内含20件药品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12寸银色，20件装，物资清单参考GBZ 1</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D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80745" cy="1127125"/>
                  <wp:effectExtent l="0" t="0" r="14605" b="15875"/>
                  <wp:docPr id="21" name="ID_1DF4B16BAD034A089FB1D8A07A0BDB17"/>
                  <wp:cNvGraphicFramePr/>
                  <a:graphic xmlns:a="http://schemas.openxmlformats.org/drawingml/2006/main">
                    <a:graphicData uri="http://schemas.openxmlformats.org/drawingml/2006/picture">
                      <pic:pic xmlns:pic="http://schemas.openxmlformats.org/drawingml/2006/picture">
                        <pic:nvPicPr>
                          <pic:cNvPr id="21" name="ID_1DF4B16BAD034A089FB1D8A07A0BDB17"/>
                          <pic:cNvPicPr/>
                        </pic:nvPicPr>
                        <pic:blipFill>
                          <a:blip r:embed="rId23"/>
                          <a:stretch>
                            <a:fillRect/>
                          </a:stretch>
                        </pic:blipFill>
                        <pic:spPr>
                          <a:xfrm>
                            <a:off x="0" y="0"/>
                            <a:ext cx="880745" cy="1127125"/>
                          </a:xfrm>
                          <a:prstGeom prst="rect">
                            <a:avLst/>
                          </a:prstGeom>
                          <a:noFill/>
                          <a:ln>
                            <a:noFill/>
                          </a:ln>
                        </pic:spPr>
                      </pic:pic>
                    </a:graphicData>
                  </a:graphic>
                </wp:inline>
              </w:drawing>
            </w:r>
          </w:p>
        </w:tc>
      </w:tr>
      <w:tr w14:paraId="6845E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5"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65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4B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泄漏物收容输转器具</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EF6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073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F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30L塑料堆码桶，耐酸碱，适用危化品泄漏物的收容输转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30L塑料堆码桶，危化品泄漏物的收容输转，易 燃易爆场所，防爆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91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96620" cy="1118235"/>
                  <wp:effectExtent l="0" t="0" r="17780" b="5715"/>
                  <wp:docPr id="24" name="ID_CFC95613E38B4B4BBF912E28C2D4C501"/>
                  <wp:cNvGraphicFramePr/>
                  <a:graphic xmlns:a="http://schemas.openxmlformats.org/drawingml/2006/main">
                    <a:graphicData uri="http://schemas.openxmlformats.org/drawingml/2006/picture">
                      <pic:pic xmlns:pic="http://schemas.openxmlformats.org/drawingml/2006/picture">
                        <pic:nvPicPr>
                          <pic:cNvPr id="24" name="ID_CFC95613E38B4B4BBF912E28C2D4C501"/>
                          <pic:cNvPicPr/>
                        </pic:nvPicPr>
                        <pic:blipFill>
                          <a:blip r:embed="rId24"/>
                          <a:stretch>
                            <a:fillRect/>
                          </a:stretch>
                        </pic:blipFill>
                        <pic:spPr>
                          <a:xfrm>
                            <a:off x="0" y="0"/>
                            <a:ext cx="896620" cy="1118235"/>
                          </a:xfrm>
                          <a:prstGeom prst="rect">
                            <a:avLst/>
                          </a:prstGeom>
                          <a:noFill/>
                          <a:ln>
                            <a:noFill/>
                          </a:ln>
                        </pic:spPr>
                      </pic:pic>
                    </a:graphicData>
                  </a:graphic>
                </wp:inline>
              </w:drawing>
            </w:r>
          </w:p>
        </w:tc>
      </w:tr>
      <w:tr w14:paraId="02CCD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D7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05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吸附材料</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2D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卷</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130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490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材质：聚丙烯，黄色吸附棉40cm*50m 3mm/卷，可吸收强酸碱等化学液体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黄色吸附棉40cm*50m 3mm一卷，处理化学品泄漏</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21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04875" cy="1205865"/>
                  <wp:effectExtent l="0" t="0" r="9525" b="13335"/>
                  <wp:docPr id="25" name="ID_78D90CD68A3141DA952D167471805C8D"/>
                  <wp:cNvGraphicFramePr/>
                  <a:graphic xmlns:a="http://schemas.openxmlformats.org/drawingml/2006/main">
                    <a:graphicData uri="http://schemas.openxmlformats.org/drawingml/2006/picture">
                      <pic:pic xmlns:pic="http://schemas.openxmlformats.org/drawingml/2006/picture">
                        <pic:nvPicPr>
                          <pic:cNvPr id="25" name="ID_78D90CD68A3141DA952D167471805C8D"/>
                          <pic:cNvPicPr/>
                        </pic:nvPicPr>
                        <pic:blipFill>
                          <a:blip r:embed="rId25"/>
                          <a:stretch>
                            <a:fillRect/>
                          </a:stretch>
                        </pic:blipFill>
                        <pic:spPr>
                          <a:xfrm>
                            <a:off x="0" y="0"/>
                            <a:ext cx="904875" cy="1205865"/>
                          </a:xfrm>
                          <a:prstGeom prst="rect">
                            <a:avLst/>
                          </a:prstGeom>
                          <a:noFill/>
                          <a:ln>
                            <a:noFill/>
                          </a:ln>
                        </pic:spPr>
                      </pic:pic>
                    </a:graphicData>
                  </a:graphic>
                </wp:inline>
              </w:drawing>
            </w:r>
          </w:p>
        </w:tc>
      </w:tr>
      <w:tr w14:paraId="5637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DD5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D0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应急处置工具箱</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C7F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09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E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铜质防爆工具箱，带无火花、防静电工具，附防爆证书检验报告</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铜质防爆工具箱，无火花、防静电，附防爆证书检验报告，工作箱内配备常用工具</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4C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931545" cy="1115695"/>
                  <wp:effectExtent l="0" t="0" r="1905" b="8255"/>
                  <wp:docPr id="26" name="ID_C5E847AD0B7E41869349AC5C6C52484C"/>
                  <wp:cNvGraphicFramePr/>
                  <a:graphic xmlns:a="http://schemas.openxmlformats.org/drawingml/2006/main">
                    <a:graphicData uri="http://schemas.openxmlformats.org/drawingml/2006/picture">
                      <pic:pic xmlns:pic="http://schemas.openxmlformats.org/drawingml/2006/picture">
                        <pic:nvPicPr>
                          <pic:cNvPr id="26" name="ID_C5E847AD0B7E41869349AC5C6C52484C"/>
                          <pic:cNvPicPr/>
                        </pic:nvPicPr>
                        <pic:blipFill>
                          <a:blip r:embed="rId26"/>
                          <a:stretch>
                            <a:fillRect/>
                          </a:stretch>
                        </pic:blipFill>
                        <pic:spPr>
                          <a:xfrm>
                            <a:off x="0" y="0"/>
                            <a:ext cx="931545" cy="1115695"/>
                          </a:xfrm>
                          <a:prstGeom prst="rect">
                            <a:avLst/>
                          </a:prstGeom>
                          <a:noFill/>
                          <a:ln>
                            <a:noFill/>
                          </a:ln>
                        </pic:spPr>
                      </pic:pic>
                    </a:graphicData>
                  </a:graphic>
                </wp:inline>
              </w:drawing>
            </w:r>
          </w:p>
        </w:tc>
      </w:tr>
      <w:tr w14:paraId="50E83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10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A3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对讲机</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FB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62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73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IP67级防水，可通地下室、楼梯间1-40层，带防爆证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P6600i，可通地下室、楼梯间1-40层，适用易燃易爆场所，防爆</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7D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514985" cy="980440"/>
                  <wp:effectExtent l="0" t="0" r="18415" b="10160"/>
                  <wp:docPr id="27" name="ID_6C83235791F84A4CACCAF4736E43BC32"/>
                  <wp:cNvGraphicFramePr/>
                  <a:graphic xmlns:a="http://schemas.openxmlformats.org/drawingml/2006/main">
                    <a:graphicData uri="http://schemas.openxmlformats.org/drawingml/2006/picture">
                      <pic:pic xmlns:pic="http://schemas.openxmlformats.org/drawingml/2006/picture">
                        <pic:nvPicPr>
                          <pic:cNvPr id="27" name="ID_6C83235791F84A4CACCAF4736E43BC32"/>
                          <pic:cNvPicPr/>
                        </pic:nvPicPr>
                        <pic:blipFill>
                          <a:blip r:embed="rId27"/>
                          <a:stretch>
                            <a:fillRect/>
                          </a:stretch>
                        </pic:blipFill>
                        <pic:spPr>
                          <a:xfrm>
                            <a:off x="0" y="0"/>
                            <a:ext cx="514985" cy="980440"/>
                          </a:xfrm>
                          <a:prstGeom prst="rect">
                            <a:avLst/>
                          </a:prstGeom>
                          <a:noFill/>
                          <a:ln>
                            <a:noFill/>
                          </a:ln>
                        </pic:spPr>
                      </pic:pic>
                    </a:graphicData>
                  </a:graphic>
                </wp:inline>
              </w:drawing>
            </w:r>
          </w:p>
        </w:tc>
      </w:tr>
      <w:tr w14:paraId="05DE0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3CD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404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酸碱检测仪</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02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1FE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09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ph测试笔ph计土壤酸碱ph值水质检测仪测碱器酸度. 工业级分辨率0.01ph自动检测PH</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A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08355" cy="823595"/>
                  <wp:effectExtent l="0" t="0" r="10795" b="14605"/>
                  <wp:docPr id="28" name="图片_19"/>
                  <wp:cNvGraphicFramePr/>
                  <a:graphic xmlns:a="http://schemas.openxmlformats.org/drawingml/2006/main">
                    <a:graphicData uri="http://schemas.openxmlformats.org/drawingml/2006/picture">
                      <pic:pic xmlns:pic="http://schemas.openxmlformats.org/drawingml/2006/picture">
                        <pic:nvPicPr>
                          <pic:cNvPr id="28" name="图片_19"/>
                          <pic:cNvPicPr/>
                        </pic:nvPicPr>
                        <pic:blipFill>
                          <a:blip r:embed="rId28"/>
                          <a:stretch>
                            <a:fillRect/>
                          </a:stretch>
                        </pic:blipFill>
                        <pic:spPr>
                          <a:xfrm>
                            <a:off x="0" y="0"/>
                            <a:ext cx="808355" cy="823595"/>
                          </a:xfrm>
                          <a:prstGeom prst="rect">
                            <a:avLst/>
                          </a:prstGeom>
                          <a:noFill/>
                          <a:ln>
                            <a:noFill/>
                          </a:ln>
                        </pic:spPr>
                      </pic:pic>
                    </a:graphicData>
                  </a:graphic>
                </wp:inline>
              </w:drawing>
            </w:r>
          </w:p>
        </w:tc>
      </w:tr>
      <w:tr w14:paraId="6575D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9"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5D0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96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一级化学防护服装</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78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849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A22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w:t>
            </w:r>
            <w:r>
              <w:rPr>
                <w:rFonts w:hint="eastAsia" w:ascii="宋体" w:hAnsi="宋体"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一级化学防护服是消防员进入化学危险物品或腐蚀性物品火灾事故现 场，以及有毒、有害气体事故现场，寻找火源或事故点，抢救遇险人员，进 行灭火战斗和抢险救援时穿着的防护服装。</w:t>
            </w:r>
          </w:p>
          <w:p w14:paraId="0FA2BD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具备阻燃、耐热老化、耐寒、耐汽油、抗辐射热渗透能力、绝缘、防 水、密封性强等性能。可以有效的抗御芳炷、卤代炷、酸、植物油、动物油 的危害。服装面屏为硬质透明材料，具有防割、防水雾的功能。胶靴可以防 滑、防穿刺、防静电，全套服装为双层缝制，双面热溶胶式连接,无明显接缝, 拉锁粘合，完全密封。在防护服内部具有通风管路以及分配阀。可内置空气呼 吸器和无线通信系统。</w:t>
            </w:r>
          </w:p>
          <w:p w14:paraId="774C31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防酸渗透性能：（80%H2SO4、60%HNO3, 30%HCL） : 60min不渗透 •防碱渗透性（6.1mol/LNaOH ） :60min不渗透。</w:t>
            </w:r>
          </w:p>
          <w:p w14:paraId="2C2F20E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•阻燃性能：有焰燃烧时间≤5s，无焰燃烧时间≤1s</w:t>
            </w:r>
          </w:p>
          <w:p w14:paraId="4DAEBD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•主体胶布拉伸强度经向≥19KN/M,纬向≥19KN/M</w:t>
            </w:r>
          </w:p>
          <w:p w14:paraId="5CB86A1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•主体胶布抗撕裂强度≥65KN</w:t>
            </w:r>
          </w:p>
          <w:p w14:paraId="002B31A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•损毁长度：≤8.5cm（无熔融、滴落现象）</w:t>
            </w:r>
          </w:p>
          <w:p w14:paraId="0E24C0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•鞋底抗刺穿性能：≥1150N</w:t>
            </w:r>
          </w:p>
          <w:p w14:paraId="4545E06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•重量：≤7kg</w:t>
            </w:r>
          </w:p>
          <w:p w14:paraId="375C25A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所投产品</w:t>
            </w:r>
            <w:r>
              <w:rPr>
                <w:rFonts w:hint="eastAsia" w:ascii="宋体" w:hAnsi="宋体" w:cs="宋体"/>
                <w:i w:val="0"/>
                <w:iCs w:val="0"/>
                <w:color w:val="000000"/>
                <w:kern w:val="0"/>
                <w:sz w:val="21"/>
                <w:szCs w:val="21"/>
                <w:u w:val="none"/>
                <w:lang w:val="en-US" w:eastAsia="zh-CN" w:bidi="ar"/>
              </w:rPr>
              <w:t>提供</w:t>
            </w:r>
            <w:r>
              <w:rPr>
                <w:rFonts w:hint="eastAsia" w:ascii="宋体" w:hAnsi="宋体" w:eastAsia="宋体" w:cs="宋体"/>
                <w:i w:val="0"/>
                <w:iCs w:val="0"/>
                <w:color w:val="000000"/>
                <w:kern w:val="0"/>
                <w:sz w:val="21"/>
                <w:szCs w:val="21"/>
                <w:u w:val="none"/>
                <w:lang w:val="en-US" w:eastAsia="zh-CN" w:bidi="ar"/>
              </w:rPr>
              <w:t>省级及省级以上检验检测机构出具完整有效的检验报告。作为佐证</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B4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53440" cy="1075055"/>
                  <wp:effectExtent l="0" t="0" r="3810" b="10795"/>
                  <wp:docPr id="29" name="ID_B8589DF8DB89408987B9F66207770622"/>
                  <wp:cNvGraphicFramePr/>
                  <a:graphic xmlns:a="http://schemas.openxmlformats.org/drawingml/2006/main">
                    <a:graphicData uri="http://schemas.openxmlformats.org/drawingml/2006/picture">
                      <pic:pic xmlns:pic="http://schemas.openxmlformats.org/drawingml/2006/picture">
                        <pic:nvPicPr>
                          <pic:cNvPr id="29" name="ID_B8589DF8DB89408987B9F66207770622"/>
                          <pic:cNvPicPr/>
                        </pic:nvPicPr>
                        <pic:blipFill>
                          <a:blip r:embed="rId29"/>
                          <a:stretch>
                            <a:fillRect/>
                          </a:stretch>
                        </pic:blipFill>
                        <pic:spPr>
                          <a:xfrm>
                            <a:off x="0" y="0"/>
                            <a:ext cx="853440" cy="1075055"/>
                          </a:xfrm>
                          <a:prstGeom prst="rect">
                            <a:avLst/>
                          </a:prstGeom>
                          <a:noFill/>
                          <a:ln>
                            <a:noFill/>
                          </a:ln>
                        </pic:spPr>
                      </pic:pic>
                    </a:graphicData>
                  </a:graphic>
                </wp:inline>
              </w:drawing>
            </w:r>
          </w:p>
        </w:tc>
      </w:tr>
      <w:tr w14:paraId="4219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4" w:hRule="atLeast"/>
          <w:jc w:val="center"/>
        </w:trPr>
        <w:tc>
          <w:tcPr>
            <w:tcW w:w="4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59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BA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二级化学防护服装</w:t>
            </w:r>
          </w:p>
        </w:tc>
        <w:tc>
          <w:tcPr>
            <w:tcW w:w="3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6B4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67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6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511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14:paraId="4AEC6EF5">
            <w:pPr>
              <w:keepNext w:val="0"/>
              <w:keepLines w:val="0"/>
              <w:widowControl/>
              <w:suppressLineNumbers w:val="0"/>
              <w:ind w:firstLine="420" w:firstLineChars="20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二</w:t>
            </w:r>
            <w:r>
              <w:rPr>
                <w:rFonts w:hint="eastAsia" w:ascii="宋体" w:hAnsi="宋体" w:eastAsia="宋体" w:cs="宋体"/>
                <w:i w:val="0"/>
                <w:iCs w:val="0"/>
                <w:color w:val="000000"/>
                <w:kern w:val="0"/>
                <w:sz w:val="21"/>
                <w:szCs w:val="21"/>
                <w:u w:val="none"/>
                <w:lang w:val="en-US" w:eastAsia="zh-CN" w:bidi="ar"/>
              </w:rPr>
              <w:t>级化学防护服是用于危险场所作业（除面部外）的全身保护服装。 具备防酸碱等性能。</w:t>
            </w:r>
          </w:p>
          <w:p w14:paraId="34CAB6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•主体胶布抗毒剂渗透时间：≥100分钟</w:t>
            </w:r>
          </w:p>
          <w:p w14:paraId="144453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・主体胶布拉伸强度：经向≥19KN/M,纬向</w:t>
            </w:r>
          </w:p>
          <w:p w14:paraId="3D24F9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≥19KN/M</w:t>
            </w:r>
          </w:p>
          <w:p w14:paraId="7505B9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•主体胶布抗撕裂强度：≥50KN</w:t>
            </w:r>
          </w:p>
          <w:p w14:paraId="3679BBC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・胶层与织物粘合强度：≥650KN/米</w:t>
            </w:r>
          </w:p>
          <w:p w14:paraId="116A96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•鞋底抗刺穿性：≥1100N</w:t>
            </w:r>
          </w:p>
          <w:p w14:paraId="48231DC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•主体胶布耐热性能：125^x8小时不沾、 不脆</w:t>
            </w:r>
          </w:p>
          <w:p w14:paraId="1895C2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所投产品</w:t>
            </w:r>
            <w:r>
              <w:rPr>
                <w:rFonts w:hint="eastAsia" w:ascii="宋体" w:hAnsi="宋体" w:cs="宋体"/>
                <w:i w:val="0"/>
                <w:iCs w:val="0"/>
                <w:color w:val="000000"/>
                <w:kern w:val="0"/>
                <w:sz w:val="21"/>
                <w:szCs w:val="21"/>
                <w:u w:val="none"/>
                <w:lang w:val="en-US" w:eastAsia="zh-CN" w:bidi="ar"/>
              </w:rPr>
              <w:t>提供</w:t>
            </w:r>
            <w:r>
              <w:rPr>
                <w:rFonts w:hint="eastAsia" w:ascii="宋体" w:hAnsi="宋体" w:eastAsia="宋体" w:cs="宋体"/>
                <w:i w:val="0"/>
                <w:iCs w:val="0"/>
                <w:color w:val="000000"/>
                <w:kern w:val="0"/>
                <w:sz w:val="21"/>
                <w:szCs w:val="21"/>
                <w:u w:val="none"/>
                <w:lang w:val="en-US" w:eastAsia="zh-CN" w:bidi="ar"/>
              </w:rPr>
              <w:t>省级及省级以上检验检测机构出具完整有效的检验报告。作为佐证</w:t>
            </w:r>
            <w:r>
              <w:rPr>
                <w:rFonts w:hint="eastAsia" w:ascii="宋体" w:hAnsi="宋体" w:cs="宋体"/>
                <w:i w:val="0"/>
                <w:iCs w:val="0"/>
                <w:color w:val="000000"/>
                <w:kern w:val="0"/>
                <w:sz w:val="21"/>
                <w:szCs w:val="21"/>
                <w:u w:val="none"/>
                <w:lang w:val="en-US" w:eastAsia="zh-CN" w:bidi="ar"/>
              </w:rPr>
              <w:t>。</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8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827405" cy="1136015"/>
                  <wp:effectExtent l="0" t="0" r="10795" b="6985"/>
                  <wp:docPr id="30" name="ID_0FD9A7BB31864BAE8326C5D84A143D7E"/>
                  <wp:cNvGraphicFramePr/>
                  <a:graphic xmlns:a="http://schemas.openxmlformats.org/drawingml/2006/main">
                    <a:graphicData uri="http://schemas.openxmlformats.org/drawingml/2006/picture">
                      <pic:pic xmlns:pic="http://schemas.openxmlformats.org/drawingml/2006/picture">
                        <pic:nvPicPr>
                          <pic:cNvPr id="30" name="ID_0FD9A7BB31864BAE8326C5D84A143D7E"/>
                          <pic:cNvPicPr/>
                        </pic:nvPicPr>
                        <pic:blipFill>
                          <a:blip r:embed="rId30"/>
                          <a:stretch>
                            <a:fillRect/>
                          </a:stretch>
                        </pic:blipFill>
                        <pic:spPr>
                          <a:xfrm>
                            <a:off x="0" y="0"/>
                            <a:ext cx="827405" cy="1136015"/>
                          </a:xfrm>
                          <a:prstGeom prst="rect">
                            <a:avLst/>
                          </a:prstGeom>
                          <a:noFill/>
                          <a:ln>
                            <a:noFill/>
                          </a:ln>
                        </pic:spPr>
                      </pic:pic>
                    </a:graphicData>
                  </a:graphic>
                </wp:inline>
              </w:drawing>
            </w:r>
          </w:p>
        </w:tc>
      </w:tr>
      <w:tr w14:paraId="34708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0694"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C7C5E">
            <w:pPr>
              <w:bidi w:val="0"/>
              <w:rPr>
                <w:rFonts w:hint="eastAsia" w:ascii="宋体" w:hAnsi="宋体" w:eastAsia="宋体" w:cs="宋体"/>
                <w:i w:val="0"/>
                <w:iCs w:val="0"/>
                <w:color w:val="000000"/>
                <w:kern w:val="0"/>
                <w:szCs w:val="21"/>
                <w:u w:val="none"/>
                <w:bdr w:val="single" w:color="000000" w:sz="4" w:space="0"/>
                <w:lang w:val="en-US" w:eastAsia="zh-CN" w:bidi="ar"/>
              </w:rPr>
            </w:pPr>
            <w:r>
              <w:rPr>
                <w:rStyle w:val="75"/>
                <w:rFonts w:hint="eastAsia" w:ascii="宋体" w:hAnsi="宋体" w:eastAsia="宋体" w:cs="宋体"/>
                <w:color w:val="auto"/>
                <w:lang w:bidi="ar"/>
              </w:rPr>
              <w:t>▲</w:t>
            </w:r>
            <w:r>
              <w:rPr>
                <w:rFonts w:hint="eastAsia"/>
                <w:b/>
                <w:bCs/>
                <w:lang w:val="en-US" w:eastAsia="zh-CN"/>
              </w:rPr>
              <w:t>商务要求</w:t>
            </w:r>
          </w:p>
        </w:tc>
      </w:tr>
      <w:tr w14:paraId="47535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F52D">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Style w:val="76"/>
                <w:rFonts w:hint="eastAsia" w:ascii="宋体" w:hAnsi="宋体" w:eastAsia="宋体" w:cs="宋体"/>
                <w:color w:val="auto"/>
                <w:lang w:bidi="ar"/>
              </w:rPr>
              <w:t>质保期</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85F4">
            <w:pPr>
              <w:widowControl/>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bidi="ar"/>
              </w:rPr>
              <w:t>质保期为一年，保修期内，出现故障，须派出技术工程师到达现场处理故障，并承担一切费用。</w:t>
            </w:r>
          </w:p>
        </w:tc>
      </w:tr>
      <w:tr w14:paraId="7CD89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DB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交货期</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6BF1D">
            <w:pPr>
              <w:widowControl/>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szCs w:val="21"/>
                <w:highlight w:val="none"/>
              </w:rPr>
              <w:t>自合同签订之日起</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日内交货并安装</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调试</w:t>
            </w:r>
            <w:r>
              <w:rPr>
                <w:rFonts w:hint="eastAsia" w:ascii="宋体" w:hAnsi="宋体" w:eastAsia="宋体" w:cs="宋体"/>
                <w:color w:val="auto"/>
                <w:szCs w:val="21"/>
                <w:highlight w:val="none"/>
                <w:lang w:eastAsia="zh-CN"/>
              </w:rPr>
              <w:t>、验收</w:t>
            </w:r>
            <w:r>
              <w:rPr>
                <w:rFonts w:hint="eastAsia" w:ascii="宋体" w:hAnsi="宋体" w:eastAsia="宋体" w:cs="宋体"/>
                <w:color w:val="auto"/>
                <w:szCs w:val="21"/>
                <w:highlight w:val="none"/>
              </w:rPr>
              <w:t>完毕</w:t>
            </w:r>
            <w:r>
              <w:rPr>
                <w:rFonts w:hint="eastAsia" w:ascii="宋体" w:hAnsi="宋体" w:eastAsia="宋体" w:cs="宋体"/>
                <w:color w:val="auto"/>
                <w:kern w:val="0"/>
                <w:szCs w:val="21"/>
                <w:lang w:val="en-US" w:eastAsia="zh-CN" w:bidi="ar"/>
              </w:rPr>
              <w:t>。</w:t>
            </w:r>
          </w:p>
        </w:tc>
      </w:tr>
      <w:tr w14:paraId="258AB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A2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交货地点</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D648">
            <w:pPr>
              <w:widowControl/>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采购人指定地点，现场交货。</w:t>
            </w:r>
          </w:p>
        </w:tc>
      </w:tr>
      <w:tr w14:paraId="5EAE8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160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投标要求</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976A">
            <w:pPr>
              <w:widowControl/>
              <w:numPr>
                <w:ilvl w:val="0"/>
                <w:numId w:val="0"/>
              </w:numPr>
              <w:jc w:val="left"/>
              <w:textAlignment w:val="center"/>
              <w:rPr>
                <w:rFonts w:hint="eastAsia" w:ascii="宋体" w:hAnsi="宋体" w:cs="宋体"/>
                <w:color w:val="auto"/>
                <w:kern w:val="0"/>
                <w:szCs w:val="21"/>
                <w:lang w:val="en-US" w:eastAsia="zh-CN"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Cs w:val="21"/>
                <w:lang w:val="en-US" w:eastAsia="zh-CN" w:bidi="ar"/>
              </w:rPr>
              <w:t>货物须符合国家行业有关质量标准的全新合格产品</w:t>
            </w:r>
            <w:r>
              <w:rPr>
                <w:rFonts w:hint="eastAsia" w:ascii="宋体" w:hAnsi="宋体" w:cs="宋体"/>
                <w:color w:val="auto"/>
                <w:kern w:val="0"/>
                <w:szCs w:val="21"/>
                <w:lang w:val="en-US" w:eastAsia="zh-CN" w:bidi="ar"/>
              </w:rPr>
              <w:t>；</w:t>
            </w:r>
          </w:p>
          <w:p w14:paraId="3EC4C866">
            <w:pPr>
              <w:widowControl/>
              <w:numPr>
                <w:ilvl w:val="0"/>
                <w:numId w:val="0"/>
              </w:numPr>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2、产品、设备符合国家规定的相应技术标准、环保标准和安全标准</w:t>
            </w:r>
            <w:r>
              <w:rPr>
                <w:rFonts w:hint="eastAsia" w:ascii="宋体" w:hAnsi="宋体" w:cs="宋体"/>
                <w:color w:val="auto"/>
                <w:kern w:val="0"/>
                <w:szCs w:val="21"/>
                <w:lang w:val="en-US" w:eastAsia="zh-CN" w:bidi="ar"/>
              </w:rPr>
              <w:t>；</w:t>
            </w:r>
          </w:p>
          <w:p w14:paraId="35CB7EDD">
            <w:pPr>
              <w:widowControl/>
              <w:numPr>
                <w:ilvl w:val="0"/>
                <w:numId w:val="0"/>
              </w:numPr>
              <w:jc w:val="left"/>
              <w:textAlignment w:val="center"/>
              <w:rPr>
                <w:rFonts w:hint="eastAsia" w:ascii="宋体" w:hAnsi="宋体" w:eastAsia="宋体" w:cs="宋体"/>
                <w:color w:val="auto"/>
                <w:kern w:val="0"/>
                <w:szCs w:val="21"/>
                <w:lang w:val="en-US" w:eastAsia="zh-CN" w:bidi="ar"/>
              </w:rPr>
            </w:pPr>
            <w:r>
              <w:rPr>
                <w:rFonts w:hint="eastAsia" w:ascii="宋体" w:hAnsi="宋体" w:eastAsia="宋体" w:cs="宋体"/>
                <w:color w:val="auto"/>
                <w:kern w:val="0"/>
                <w:szCs w:val="21"/>
                <w:lang w:val="en-US" w:eastAsia="zh-CN" w:bidi="ar"/>
              </w:rPr>
              <w:t>3、投标报价是履行合同的最终价格，应包括货物、服务、随配附件备品备件、工具、运抵指定交货地点的各种费用和安装、调试、验收人员培训、税金、售后服务及其他所有成本、费用的总和。</w:t>
            </w:r>
          </w:p>
        </w:tc>
      </w:tr>
      <w:tr w14:paraId="133AF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78C6">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售后服务要求</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4A2E">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1.中标供应商所提供的货物必须是整套全新且符合国家或行业质量标准的产品。</w:t>
            </w:r>
          </w:p>
          <w:p w14:paraId="5C8BEAD1">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质保期:自验收合格之日起一年，按厂家承诺实行“三包”。质保期最短不得少于1年，质保期内出现任何质量问题，中标供应商须无条件提供更换(同档次货物);严禁分包、转包生产，否则终止合同执行，赔偿由此给招标人造成的全部货款损失。</w:t>
            </w:r>
          </w:p>
          <w:p w14:paraId="08422727">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中标供应商负责处理解决货物出现的质量及安全问题并承担一切费用，所有非故意性损坏以及正常使用范围内造成的损坏均要免费更换，因人为因素出现的故障不在免费保修范围内，但中标供应商也要积极帮助采购人修理，并提供优惠价格的备品备件及相应服务。</w:t>
            </w:r>
          </w:p>
          <w:p w14:paraId="357DB26C">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4.质保期内货物出现问题，在接到电话通知后，3小时内做出响应6小时提出解决方案，24小时内到达现场换货。</w:t>
            </w:r>
          </w:p>
        </w:tc>
      </w:tr>
      <w:tr w14:paraId="4B5D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1063">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付款条件</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4517">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本项目无预付款。待交货完毕，甲方和乙方双方现场验收合格后，乙方开具合同价款100%的合法发票给甲方，甲方收到财政拨款后10个工作日内一次性支付合同总价给乙方(无息)。</w:t>
            </w:r>
          </w:p>
        </w:tc>
      </w:tr>
      <w:tr w14:paraId="24761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E82A3">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报价要求</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62797">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投标报价为采购人指定地点的现场交货价，包括:</w:t>
            </w:r>
          </w:p>
          <w:p w14:paraId="392C5BE7">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lang w:eastAsia="zh-CN"/>
              </w:rPr>
              <w:t>货物的价格:包括货款、杂配件、安装调试费、验收费。</w:t>
            </w:r>
          </w:p>
          <w:p w14:paraId="4196E822">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2.货物的标准附件、备品备件、专用工具的价格。</w:t>
            </w:r>
          </w:p>
          <w:p w14:paraId="2DE55625">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3.运输、装卸、调试、培训、技术支持、售后服务费。</w:t>
            </w:r>
          </w:p>
          <w:p w14:paraId="4FC7D586">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4.按采购人要求进行摆放的费用。</w:t>
            </w:r>
          </w:p>
          <w:p w14:paraId="33BA879D">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注:投标人自行考虑完成项目所需的辅材、杂配件等数量，投标报价中应包含全部内容，中标后采购人不再另行支付额外费用。</w:t>
            </w:r>
          </w:p>
        </w:tc>
      </w:tr>
      <w:tr w14:paraId="7E1A4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8441">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其他说明</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2C88">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1.投标产品必须是符合国家及行业标准，并按厂家标准配置的整套全新，具备正规合法经销渠道的，若产品在运输过程中损坏或擦伤须无偿调换相同产品。</w:t>
            </w:r>
          </w:p>
          <w:p w14:paraId="769EF4B1">
            <w:pPr>
              <w:jc w:val="lef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保证针对本项目的货物涉及到的知识产权和所提供的相关技术资料是合法取得，并享有完整的知识产权，不会因为采购人的使用而被责令停止使用、追偿或要求赔偿损失，如出现此情况，一切经济和法律责任均由投标人承担。</w:t>
            </w:r>
          </w:p>
          <w:p w14:paraId="4AE3B460">
            <w:pPr>
              <w:jc w:val="left"/>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3.特别说明：以上要求出具检验报告的产品，在签订合同前需提供报告原件核验其真实性，未能提供的按无效投标处理。</w:t>
            </w:r>
          </w:p>
        </w:tc>
      </w:tr>
      <w:tr w14:paraId="2CFEE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 w:hRule="atLeast"/>
          <w:jc w:val="center"/>
        </w:trPr>
        <w:tc>
          <w:tcPr>
            <w:tcW w:w="137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56C18">
            <w:p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是否接受进口产品</w:t>
            </w:r>
          </w:p>
        </w:tc>
        <w:tc>
          <w:tcPr>
            <w:tcW w:w="9321"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893A">
            <w:pPr>
              <w:jc w:val="lef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eastAsia="zh-CN"/>
              </w:rPr>
              <w:t>本项目货物不接受进口产品（即通过中国海关报关验放进入中国境内且产自关境外的产品）参与竞标，如有进口产品参与竞标的，其响应文件按无效处理。</w:t>
            </w:r>
          </w:p>
        </w:tc>
      </w:tr>
    </w:tbl>
    <w:p w14:paraId="411D1206"/>
    <w:p w14:paraId="260D877B">
      <w:pPr>
        <w:spacing w:line="440" w:lineRule="exact"/>
        <w:jc w:val="left"/>
        <w:outlineLvl w:val="2"/>
        <w:rPr>
          <w:rFonts w:hint="eastAsia" w:ascii="宋体" w:hAnsi="宋体" w:eastAsia="宋体" w:cs="宋体"/>
          <w:b/>
          <w:bCs/>
          <w:color w:val="auto"/>
        </w:rPr>
      </w:pPr>
    </w:p>
    <w:p w14:paraId="51EC684E">
      <w:pPr>
        <w:rPr>
          <w:rFonts w:hint="eastAsia" w:ascii="宋体" w:hAnsi="宋体" w:eastAsia="宋体" w:cs="宋体"/>
          <w:b/>
          <w:bCs/>
          <w:color w:val="auto"/>
        </w:rPr>
      </w:pPr>
      <w:r>
        <w:rPr>
          <w:rFonts w:hint="eastAsia" w:ascii="宋体" w:hAnsi="宋体" w:eastAsia="宋体" w:cs="宋体"/>
          <w:b/>
          <w:bCs/>
          <w:color w:val="auto"/>
        </w:rPr>
        <w:br w:type="page"/>
      </w:r>
    </w:p>
    <w:p w14:paraId="7EE3E089">
      <w:pPr>
        <w:spacing w:line="440" w:lineRule="exact"/>
        <w:jc w:val="left"/>
        <w:outlineLvl w:val="2"/>
        <w:rPr>
          <w:rFonts w:hint="eastAsia" w:ascii="宋体" w:hAnsi="宋体" w:eastAsia="宋体" w:cs="宋体"/>
          <w:b/>
          <w:bCs/>
          <w:color w:val="auto"/>
        </w:rPr>
      </w:pPr>
      <w:r>
        <w:rPr>
          <w:rFonts w:hint="eastAsia" w:ascii="宋体" w:hAnsi="宋体" w:eastAsia="宋体" w:cs="宋体"/>
          <w:b/>
          <w:bCs/>
          <w:color w:val="auto"/>
        </w:rPr>
        <w:t>附表1：节能产品政府采购品目清单</w:t>
      </w:r>
    </w:p>
    <w:p w14:paraId="08C87222">
      <w:pPr>
        <w:pStyle w:val="6"/>
        <w:rPr>
          <w:rFonts w:hint="eastAsia" w:ascii="宋体" w:hAnsi="宋体" w:eastAsia="宋体" w:cs="宋体"/>
          <w:color w:val="auto"/>
        </w:rPr>
      </w:pPr>
    </w:p>
    <w:p w14:paraId="5243FD59">
      <w:pPr>
        <w:pStyle w:val="39"/>
        <w:jc w:val="center"/>
        <w:rPr>
          <w:rFonts w:hint="eastAsia" w:ascii="宋体" w:hAnsi="宋体" w:eastAsia="宋体" w:cs="宋体"/>
          <w:b/>
          <w:bCs/>
          <w:color w:val="auto"/>
        </w:rPr>
      </w:pPr>
      <w:r>
        <w:rPr>
          <w:rFonts w:hint="eastAsia" w:ascii="宋体" w:hAnsi="宋体" w:eastAsia="宋体" w:cs="宋体"/>
          <w:b/>
          <w:bCs/>
          <w:color w:val="auto"/>
        </w:rPr>
        <w:drawing>
          <wp:inline distT="0" distB="0" distL="114300" distR="114300">
            <wp:extent cx="5920740" cy="8185150"/>
            <wp:effectExtent l="0" t="0" r="3810" b="6350"/>
            <wp:docPr id="1" name="图片 1"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节能产品政府采购品目清单_00"/>
                    <pic:cNvPicPr>
                      <a:picLocks noChangeAspect="1"/>
                    </pic:cNvPicPr>
                  </pic:nvPicPr>
                  <pic:blipFill>
                    <a:blip r:embed="rId31"/>
                    <a:stretch>
                      <a:fillRect/>
                    </a:stretch>
                  </pic:blipFill>
                  <pic:spPr>
                    <a:xfrm>
                      <a:off x="0" y="0"/>
                      <a:ext cx="5920740" cy="8185150"/>
                    </a:xfrm>
                    <a:prstGeom prst="rect">
                      <a:avLst/>
                    </a:prstGeom>
                    <a:noFill/>
                    <a:ln>
                      <a:noFill/>
                    </a:ln>
                  </pic:spPr>
                </pic:pic>
              </a:graphicData>
            </a:graphic>
          </wp:inline>
        </w:drawing>
      </w:r>
    </w:p>
    <w:p w14:paraId="41349937">
      <w:pPr>
        <w:pStyle w:val="39"/>
        <w:rPr>
          <w:rFonts w:hint="eastAsia" w:ascii="宋体" w:hAnsi="宋体" w:eastAsia="宋体" w:cs="宋体"/>
          <w:b/>
          <w:bCs/>
          <w:color w:val="auto"/>
        </w:rPr>
      </w:pPr>
      <w:r>
        <w:rPr>
          <w:rFonts w:hint="eastAsia" w:ascii="宋体" w:hAnsi="宋体" w:eastAsia="宋体" w:cs="宋体"/>
          <w:b/>
          <w:bCs/>
          <w:color w:val="auto"/>
        </w:rPr>
        <w:drawing>
          <wp:inline distT="0" distB="0" distL="114300" distR="114300">
            <wp:extent cx="5902325" cy="8191500"/>
            <wp:effectExtent l="0" t="0" r="3175" b="0"/>
            <wp:docPr id="2" name="图片 2"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节能产品政府采购品目清单_01"/>
                    <pic:cNvPicPr>
                      <a:picLocks noChangeAspect="1"/>
                    </pic:cNvPicPr>
                  </pic:nvPicPr>
                  <pic:blipFill>
                    <a:blip r:embed="rId32"/>
                    <a:stretch>
                      <a:fillRect/>
                    </a:stretch>
                  </pic:blipFill>
                  <pic:spPr>
                    <a:xfrm>
                      <a:off x="0" y="0"/>
                      <a:ext cx="5902325" cy="8191500"/>
                    </a:xfrm>
                    <a:prstGeom prst="rect">
                      <a:avLst/>
                    </a:prstGeom>
                    <a:noFill/>
                    <a:ln>
                      <a:noFill/>
                    </a:ln>
                  </pic:spPr>
                </pic:pic>
              </a:graphicData>
            </a:graphic>
          </wp:inline>
        </w:drawing>
      </w:r>
    </w:p>
    <w:p w14:paraId="762EA744">
      <w:pPr>
        <w:pStyle w:val="39"/>
        <w:rPr>
          <w:rFonts w:hint="eastAsia" w:ascii="宋体" w:hAnsi="宋体" w:eastAsia="宋体" w:cs="宋体"/>
          <w:b/>
          <w:bCs/>
          <w:color w:val="auto"/>
        </w:rPr>
      </w:pPr>
      <w:r>
        <w:rPr>
          <w:rFonts w:hint="eastAsia" w:ascii="宋体" w:hAnsi="宋体" w:eastAsia="宋体" w:cs="宋体"/>
          <w:b/>
          <w:bCs/>
          <w:color w:val="auto"/>
        </w:rPr>
        <w:drawing>
          <wp:inline distT="0" distB="0" distL="114300" distR="114300">
            <wp:extent cx="5887720" cy="8190865"/>
            <wp:effectExtent l="0" t="0" r="17780" b="635"/>
            <wp:docPr id="3" name="图片 3"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节能产品政府采购品目清单_02"/>
                    <pic:cNvPicPr>
                      <a:picLocks noChangeAspect="1"/>
                    </pic:cNvPicPr>
                  </pic:nvPicPr>
                  <pic:blipFill>
                    <a:blip r:embed="rId33"/>
                    <a:stretch>
                      <a:fillRect/>
                    </a:stretch>
                  </pic:blipFill>
                  <pic:spPr>
                    <a:xfrm>
                      <a:off x="0" y="0"/>
                      <a:ext cx="5887720" cy="8190865"/>
                    </a:xfrm>
                    <a:prstGeom prst="rect">
                      <a:avLst/>
                    </a:prstGeom>
                    <a:noFill/>
                    <a:ln>
                      <a:noFill/>
                    </a:ln>
                  </pic:spPr>
                </pic:pic>
              </a:graphicData>
            </a:graphic>
          </wp:inline>
        </w:drawing>
      </w:r>
    </w:p>
    <w:p w14:paraId="343B8497">
      <w:pPr>
        <w:pStyle w:val="14"/>
        <w:rPr>
          <w:rFonts w:hint="eastAsia" w:ascii="宋体" w:hAnsi="宋体" w:eastAsia="宋体" w:cs="宋体"/>
          <w:color w:val="auto"/>
          <w:kern w:val="0"/>
          <w:sz w:val="24"/>
        </w:rPr>
      </w:pPr>
      <w:r>
        <w:rPr>
          <w:rFonts w:hint="eastAsia" w:ascii="宋体" w:hAnsi="宋体" w:eastAsia="宋体" w:cs="宋体"/>
          <w:b/>
          <w:bCs/>
          <w:color w:val="auto"/>
        </w:rPr>
        <w:drawing>
          <wp:inline distT="0" distB="0" distL="114300" distR="114300">
            <wp:extent cx="5935980" cy="8344535"/>
            <wp:effectExtent l="0" t="0" r="7620" b="18415"/>
            <wp:docPr id="4" name="图片 4"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节能产品政府采购品目清单_03"/>
                    <pic:cNvPicPr>
                      <a:picLocks noChangeAspect="1"/>
                    </pic:cNvPicPr>
                  </pic:nvPicPr>
                  <pic:blipFill>
                    <a:blip r:embed="rId34"/>
                    <a:stretch>
                      <a:fillRect/>
                    </a:stretch>
                  </pic:blipFill>
                  <pic:spPr>
                    <a:xfrm>
                      <a:off x="0" y="0"/>
                      <a:ext cx="5935980" cy="8344535"/>
                    </a:xfrm>
                    <a:prstGeom prst="rect">
                      <a:avLst/>
                    </a:prstGeom>
                    <a:noFill/>
                    <a:ln>
                      <a:noFill/>
                    </a:ln>
                  </pic:spPr>
                </pic:pic>
              </a:graphicData>
            </a:graphic>
          </wp:inline>
        </w:drawing>
      </w:r>
      <w:r>
        <w:rPr>
          <w:rFonts w:hint="eastAsia" w:ascii="宋体" w:hAnsi="宋体" w:eastAsia="宋体" w:cs="宋体"/>
          <w:color w:val="auto"/>
        </w:rPr>
        <w:br w:type="page"/>
      </w:r>
      <w:r>
        <w:rPr>
          <w:rFonts w:hint="eastAsia" w:ascii="宋体" w:hAnsi="宋体" w:eastAsia="宋体" w:cs="宋体"/>
          <w:color w:val="auto"/>
          <w:kern w:val="0"/>
          <w:sz w:val="24"/>
        </w:rPr>
        <w:t>附表2</w:t>
      </w:r>
    </w:p>
    <w:p w14:paraId="2A4BEF62">
      <w:pPr>
        <w:jc w:val="center"/>
        <w:rPr>
          <w:rFonts w:hint="eastAsia" w:ascii="宋体" w:hAnsi="宋体" w:eastAsia="宋体" w:cs="宋体"/>
          <w:color w:val="auto"/>
          <w:sz w:val="24"/>
        </w:rPr>
      </w:pPr>
      <w:r>
        <w:rPr>
          <w:rFonts w:hint="eastAsia" w:ascii="宋体" w:hAnsi="宋体" w:eastAsia="宋体" w:cs="宋体"/>
          <w:color w:val="auto"/>
          <w:sz w:val="24"/>
        </w:rPr>
        <w:t>统计上大中小微型企业划分标准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7ED1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745811E1">
            <w:pPr>
              <w:widowControl/>
              <w:spacing w:line="240" w:lineRule="exact"/>
              <w:jc w:val="center"/>
              <w:rPr>
                <w:rFonts w:hint="eastAsia" w:ascii="宋体" w:hAnsi="宋体" w:eastAsia="宋体" w:cs="宋体"/>
                <w:b/>
                <w:bCs/>
                <w:color w:val="auto"/>
                <w:kern w:val="0"/>
                <w:sz w:val="18"/>
                <w:szCs w:val="21"/>
              </w:rPr>
            </w:pPr>
            <w:r>
              <w:rPr>
                <w:rFonts w:hint="eastAsia" w:ascii="宋体" w:hAnsi="宋体" w:eastAsia="宋体" w:cs="宋体"/>
                <w:b/>
                <w:bCs/>
                <w:color w:val="auto"/>
                <w:kern w:val="0"/>
                <w:sz w:val="18"/>
                <w:szCs w:val="21"/>
              </w:rPr>
              <w:t>行业名称</w:t>
            </w:r>
          </w:p>
        </w:tc>
        <w:tc>
          <w:tcPr>
            <w:tcW w:w="1369" w:type="dxa"/>
            <w:vAlign w:val="center"/>
          </w:tcPr>
          <w:p w14:paraId="6079D877">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指标名称</w:t>
            </w:r>
          </w:p>
        </w:tc>
        <w:tc>
          <w:tcPr>
            <w:tcW w:w="709" w:type="dxa"/>
            <w:vAlign w:val="center"/>
          </w:tcPr>
          <w:p w14:paraId="4B4A7F31">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计量</w:t>
            </w:r>
          </w:p>
          <w:p w14:paraId="2AABA766">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单位</w:t>
            </w:r>
          </w:p>
        </w:tc>
        <w:tc>
          <w:tcPr>
            <w:tcW w:w="1125" w:type="dxa"/>
            <w:vAlign w:val="center"/>
          </w:tcPr>
          <w:p w14:paraId="45A7C14A">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大型</w:t>
            </w:r>
          </w:p>
        </w:tc>
        <w:tc>
          <w:tcPr>
            <w:tcW w:w="1701" w:type="dxa"/>
            <w:vAlign w:val="center"/>
          </w:tcPr>
          <w:p w14:paraId="376BEB0B">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中型</w:t>
            </w:r>
          </w:p>
        </w:tc>
        <w:tc>
          <w:tcPr>
            <w:tcW w:w="1426" w:type="dxa"/>
            <w:vAlign w:val="center"/>
          </w:tcPr>
          <w:p w14:paraId="5A3CF9EC">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小型</w:t>
            </w:r>
          </w:p>
        </w:tc>
        <w:tc>
          <w:tcPr>
            <w:tcW w:w="992" w:type="dxa"/>
            <w:vAlign w:val="center"/>
          </w:tcPr>
          <w:p w14:paraId="461BA040">
            <w:pPr>
              <w:widowControl/>
              <w:jc w:val="center"/>
              <w:rPr>
                <w:rFonts w:hint="eastAsia" w:ascii="宋体" w:hAnsi="宋体" w:eastAsia="宋体" w:cs="宋体"/>
                <w:b/>
                <w:bCs/>
                <w:color w:val="auto"/>
                <w:kern w:val="0"/>
                <w:sz w:val="18"/>
                <w:szCs w:val="18"/>
              </w:rPr>
            </w:pPr>
            <w:r>
              <w:rPr>
                <w:rFonts w:hint="eastAsia" w:ascii="宋体" w:hAnsi="宋体" w:eastAsia="宋体" w:cs="宋体"/>
                <w:b/>
                <w:bCs/>
                <w:color w:val="auto"/>
                <w:kern w:val="0"/>
                <w:sz w:val="18"/>
                <w:szCs w:val="18"/>
              </w:rPr>
              <w:t>微型</w:t>
            </w:r>
          </w:p>
        </w:tc>
      </w:tr>
      <w:tr w14:paraId="0681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187C791">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农、林、牧、渔业</w:t>
            </w:r>
          </w:p>
        </w:tc>
        <w:tc>
          <w:tcPr>
            <w:tcW w:w="1369" w:type="dxa"/>
            <w:vAlign w:val="center"/>
          </w:tcPr>
          <w:p w14:paraId="391F25F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50F62F3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3669448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vAlign w:val="center"/>
          </w:tcPr>
          <w:p w14:paraId="418218E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500≤Y＜20000</w:t>
            </w:r>
          </w:p>
        </w:tc>
        <w:tc>
          <w:tcPr>
            <w:tcW w:w="1426" w:type="dxa"/>
            <w:vAlign w:val="center"/>
          </w:tcPr>
          <w:p w14:paraId="0E49748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50≤Y＜500</w:t>
            </w:r>
          </w:p>
        </w:tc>
        <w:tc>
          <w:tcPr>
            <w:tcW w:w="992" w:type="dxa"/>
            <w:vAlign w:val="center"/>
          </w:tcPr>
          <w:p w14:paraId="02494EC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0825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30B656E">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工业 *</w:t>
            </w:r>
          </w:p>
        </w:tc>
        <w:tc>
          <w:tcPr>
            <w:tcW w:w="1369" w:type="dxa"/>
            <w:vAlign w:val="center"/>
          </w:tcPr>
          <w:p w14:paraId="319C23C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76ED717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718B649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vAlign w:val="center"/>
          </w:tcPr>
          <w:p w14:paraId="2425460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vAlign w:val="center"/>
          </w:tcPr>
          <w:p w14:paraId="629A2ED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20≤X＜300</w:t>
            </w:r>
          </w:p>
        </w:tc>
        <w:tc>
          <w:tcPr>
            <w:tcW w:w="992" w:type="dxa"/>
            <w:vAlign w:val="center"/>
          </w:tcPr>
          <w:p w14:paraId="1D945B0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4384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26524AB">
            <w:pPr>
              <w:widowControl/>
              <w:jc w:val="left"/>
              <w:rPr>
                <w:rFonts w:hint="eastAsia" w:ascii="宋体" w:hAnsi="宋体" w:eastAsia="宋体" w:cs="宋体"/>
                <w:color w:val="auto"/>
                <w:kern w:val="0"/>
                <w:sz w:val="18"/>
                <w:szCs w:val="18"/>
              </w:rPr>
            </w:pPr>
          </w:p>
        </w:tc>
        <w:tc>
          <w:tcPr>
            <w:tcW w:w="1369" w:type="dxa"/>
            <w:vAlign w:val="center"/>
          </w:tcPr>
          <w:p w14:paraId="30127BD5">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6F3EF0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2F42E17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vAlign w:val="center"/>
          </w:tcPr>
          <w:p w14:paraId="7250710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2000≤Y＜40000</w:t>
            </w:r>
          </w:p>
        </w:tc>
        <w:tc>
          <w:tcPr>
            <w:tcW w:w="1426" w:type="dxa"/>
            <w:vAlign w:val="center"/>
          </w:tcPr>
          <w:p w14:paraId="601CE08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300≤Y＜2000</w:t>
            </w:r>
          </w:p>
        </w:tc>
        <w:tc>
          <w:tcPr>
            <w:tcW w:w="992" w:type="dxa"/>
            <w:vAlign w:val="center"/>
          </w:tcPr>
          <w:p w14:paraId="6DA8B87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6CA4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0E797D6">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建筑业</w:t>
            </w:r>
          </w:p>
        </w:tc>
        <w:tc>
          <w:tcPr>
            <w:tcW w:w="1369" w:type="dxa"/>
            <w:vAlign w:val="center"/>
          </w:tcPr>
          <w:p w14:paraId="5CD428D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418A1BB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0DF187B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Y≥80000</w:t>
            </w:r>
          </w:p>
        </w:tc>
        <w:tc>
          <w:tcPr>
            <w:tcW w:w="1701" w:type="dxa"/>
            <w:vAlign w:val="center"/>
          </w:tcPr>
          <w:p w14:paraId="118E543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6000≤Y＜80000</w:t>
            </w:r>
          </w:p>
        </w:tc>
        <w:tc>
          <w:tcPr>
            <w:tcW w:w="1426" w:type="dxa"/>
            <w:vAlign w:val="center"/>
          </w:tcPr>
          <w:p w14:paraId="2C6701D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300≤Y＜6000</w:t>
            </w:r>
          </w:p>
        </w:tc>
        <w:tc>
          <w:tcPr>
            <w:tcW w:w="992" w:type="dxa"/>
            <w:vAlign w:val="center"/>
          </w:tcPr>
          <w:p w14:paraId="333444C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w:t>
            </w:r>
          </w:p>
        </w:tc>
      </w:tr>
      <w:tr w14:paraId="4B9F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7B61310">
            <w:pPr>
              <w:widowControl/>
              <w:jc w:val="left"/>
              <w:rPr>
                <w:rFonts w:hint="eastAsia" w:ascii="宋体" w:hAnsi="宋体" w:eastAsia="宋体" w:cs="宋体"/>
                <w:color w:val="auto"/>
                <w:kern w:val="0"/>
                <w:sz w:val="18"/>
                <w:szCs w:val="18"/>
              </w:rPr>
            </w:pPr>
          </w:p>
        </w:tc>
        <w:tc>
          <w:tcPr>
            <w:tcW w:w="1369" w:type="dxa"/>
            <w:vAlign w:val="center"/>
          </w:tcPr>
          <w:p w14:paraId="1620D5AE">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vAlign w:val="center"/>
          </w:tcPr>
          <w:p w14:paraId="1F4DC57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2EDE015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Z≥80000</w:t>
            </w:r>
          </w:p>
        </w:tc>
        <w:tc>
          <w:tcPr>
            <w:tcW w:w="1701" w:type="dxa"/>
            <w:vAlign w:val="center"/>
          </w:tcPr>
          <w:p w14:paraId="46BAD41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5000≤Z＜80000</w:t>
            </w:r>
          </w:p>
        </w:tc>
        <w:tc>
          <w:tcPr>
            <w:tcW w:w="1426" w:type="dxa"/>
            <w:vAlign w:val="center"/>
          </w:tcPr>
          <w:p w14:paraId="44A2F96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300≤Z＜5000</w:t>
            </w:r>
          </w:p>
        </w:tc>
        <w:tc>
          <w:tcPr>
            <w:tcW w:w="992" w:type="dxa"/>
            <w:vAlign w:val="center"/>
          </w:tcPr>
          <w:p w14:paraId="7C8ED3F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Z＜300</w:t>
            </w:r>
          </w:p>
        </w:tc>
      </w:tr>
      <w:tr w14:paraId="0F40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0F2B572">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批发业</w:t>
            </w:r>
          </w:p>
        </w:tc>
        <w:tc>
          <w:tcPr>
            <w:tcW w:w="1369" w:type="dxa"/>
            <w:vAlign w:val="center"/>
          </w:tcPr>
          <w:p w14:paraId="21CBE8E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7F978DE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38FC106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vAlign w:val="center"/>
          </w:tcPr>
          <w:p w14:paraId="167C1E1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20≤X＜200</w:t>
            </w:r>
          </w:p>
        </w:tc>
        <w:tc>
          <w:tcPr>
            <w:tcW w:w="1426" w:type="dxa"/>
            <w:vAlign w:val="center"/>
          </w:tcPr>
          <w:p w14:paraId="2EBC7E3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5≤X＜20</w:t>
            </w:r>
          </w:p>
        </w:tc>
        <w:tc>
          <w:tcPr>
            <w:tcW w:w="992" w:type="dxa"/>
            <w:vAlign w:val="center"/>
          </w:tcPr>
          <w:p w14:paraId="37DE649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X＜5</w:t>
            </w:r>
          </w:p>
        </w:tc>
      </w:tr>
      <w:tr w14:paraId="267B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E916E21">
            <w:pPr>
              <w:widowControl/>
              <w:jc w:val="left"/>
              <w:rPr>
                <w:rFonts w:hint="eastAsia" w:ascii="宋体" w:hAnsi="宋体" w:eastAsia="宋体" w:cs="宋体"/>
                <w:color w:val="auto"/>
                <w:kern w:val="0"/>
                <w:sz w:val="18"/>
                <w:szCs w:val="18"/>
              </w:rPr>
            </w:pPr>
          </w:p>
        </w:tc>
        <w:tc>
          <w:tcPr>
            <w:tcW w:w="1369" w:type="dxa"/>
            <w:vAlign w:val="center"/>
          </w:tcPr>
          <w:p w14:paraId="6F6DDFE9">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4BA0E8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57CA774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Y≥40000</w:t>
            </w:r>
          </w:p>
        </w:tc>
        <w:tc>
          <w:tcPr>
            <w:tcW w:w="1701" w:type="dxa"/>
            <w:vAlign w:val="center"/>
          </w:tcPr>
          <w:p w14:paraId="609C6BA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5000≤Y＜40000</w:t>
            </w:r>
          </w:p>
        </w:tc>
        <w:tc>
          <w:tcPr>
            <w:tcW w:w="1426" w:type="dxa"/>
            <w:vAlign w:val="center"/>
          </w:tcPr>
          <w:p w14:paraId="15265F6C">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1000≤Y＜5000</w:t>
            </w:r>
          </w:p>
        </w:tc>
        <w:tc>
          <w:tcPr>
            <w:tcW w:w="992" w:type="dxa"/>
            <w:vAlign w:val="center"/>
          </w:tcPr>
          <w:p w14:paraId="0C69B5E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w:t>
            </w:r>
          </w:p>
        </w:tc>
      </w:tr>
      <w:tr w14:paraId="6843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72A789">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零售业</w:t>
            </w:r>
          </w:p>
        </w:tc>
        <w:tc>
          <w:tcPr>
            <w:tcW w:w="1369" w:type="dxa"/>
            <w:vAlign w:val="center"/>
          </w:tcPr>
          <w:p w14:paraId="1E1AB7E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7A5334D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5CDC0BA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1E17DAC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50≤X＜300</w:t>
            </w:r>
          </w:p>
        </w:tc>
        <w:tc>
          <w:tcPr>
            <w:tcW w:w="1426" w:type="dxa"/>
            <w:vAlign w:val="center"/>
          </w:tcPr>
          <w:p w14:paraId="660653FF">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10≤X＜50 </w:t>
            </w:r>
          </w:p>
        </w:tc>
        <w:tc>
          <w:tcPr>
            <w:tcW w:w="992" w:type="dxa"/>
            <w:vAlign w:val="center"/>
          </w:tcPr>
          <w:p w14:paraId="3AB2CB4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094D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E5893EF">
            <w:pPr>
              <w:widowControl/>
              <w:jc w:val="left"/>
              <w:rPr>
                <w:rFonts w:hint="eastAsia" w:ascii="宋体" w:hAnsi="宋体" w:eastAsia="宋体" w:cs="宋体"/>
                <w:color w:val="auto"/>
                <w:kern w:val="0"/>
                <w:sz w:val="18"/>
                <w:szCs w:val="18"/>
              </w:rPr>
            </w:pPr>
          </w:p>
        </w:tc>
        <w:tc>
          <w:tcPr>
            <w:tcW w:w="1369" w:type="dxa"/>
            <w:vAlign w:val="center"/>
          </w:tcPr>
          <w:p w14:paraId="6AAE5B87">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32E731D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2E3008A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w:t>
            </w:r>
          </w:p>
        </w:tc>
        <w:tc>
          <w:tcPr>
            <w:tcW w:w="1701" w:type="dxa"/>
            <w:vAlign w:val="center"/>
          </w:tcPr>
          <w:p w14:paraId="6ECC185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500≤Y＜20000</w:t>
            </w:r>
          </w:p>
        </w:tc>
        <w:tc>
          <w:tcPr>
            <w:tcW w:w="1426" w:type="dxa"/>
            <w:vAlign w:val="center"/>
          </w:tcPr>
          <w:p w14:paraId="0AB7D3C1">
            <w:pPr>
              <w:widowControl/>
              <w:ind w:left="-1" w:leftChars="-1" w:hanging="1"/>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100≤Y＜500 </w:t>
            </w:r>
          </w:p>
        </w:tc>
        <w:tc>
          <w:tcPr>
            <w:tcW w:w="992" w:type="dxa"/>
            <w:vAlign w:val="center"/>
          </w:tcPr>
          <w:p w14:paraId="68BEB48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4D75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968A3CB">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交通运输业 *</w:t>
            </w:r>
          </w:p>
        </w:tc>
        <w:tc>
          <w:tcPr>
            <w:tcW w:w="1369" w:type="dxa"/>
            <w:vAlign w:val="center"/>
          </w:tcPr>
          <w:p w14:paraId="7CFB3D2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1733C29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1828BA8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vAlign w:val="center"/>
          </w:tcPr>
          <w:p w14:paraId="330EB8E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vAlign w:val="center"/>
          </w:tcPr>
          <w:p w14:paraId="56C688F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20≤X＜300</w:t>
            </w:r>
          </w:p>
        </w:tc>
        <w:tc>
          <w:tcPr>
            <w:tcW w:w="992" w:type="dxa"/>
            <w:vAlign w:val="center"/>
          </w:tcPr>
          <w:p w14:paraId="6B052F8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64DE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0E4421E">
            <w:pPr>
              <w:widowControl/>
              <w:jc w:val="left"/>
              <w:rPr>
                <w:rFonts w:hint="eastAsia" w:ascii="宋体" w:hAnsi="宋体" w:eastAsia="宋体" w:cs="宋体"/>
                <w:color w:val="auto"/>
                <w:kern w:val="0"/>
                <w:sz w:val="18"/>
                <w:szCs w:val="18"/>
              </w:rPr>
            </w:pPr>
          </w:p>
        </w:tc>
        <w:tc>
          <w:tcPr>
            <w:tcW w:w="1369" w:type="dxa"/>
            <w:vAlign w:val="center"/>
          </w:tcPr>
          <w:p w14:paraId="6A39060E">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455F073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588D28F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vAlign w:val="center"/>
          </w:tcPr>
          <w:p w14:paraId="61E7D32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3000≤Y＜30000</w:t>
            </w:r>
          </w:p>
        </w:tc>
        <w:tc>
          <w:tcPr>
            <w:tcW w:w="1426" w:type="dxa"/>
            <w:vAlign w:val="center"/>
          </w:tcPr>
          <w:p w14:paraId="38D0458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200≤Y＜3000</w:t>
            </w:r>
          </w:p>
        </w:tc>
        <w:tc>
          <w:tcPr>
            <w:tcW w:w="992" w:type="dxa"/>
            <w:vAlign w:val="center"/>
          </w:tcPr>
          <w:p w14:paraId="25FDAA7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w:t>
            </w:r>
          </w:p>
        </w:tc>
      </w:tr>
      <w:tr w14:paraId="1BA3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4E56F28">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仓储业*</w:t>
            </w:r>
          </w:p>
        </w:tc>
        <w:tc>
          <w:tcPr>
            <w:tcW w:w="1369" w:type="dxa"/>
            <w:vAlign w:val="center"/>
          </w:tcPr>
          <w:p w14:paraId="13D48C3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7C582F3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6A7911B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w:t>
            </w:r>
          </w:p>
        </w:tc>
        <w:tc>
          <w:tcPr>
            <w:tcW w:w="1701" w:type="dxa"/>
            <w:vAlign w:val="center"/>
          </w:tcPr>
          <w:p w14:paraId="3E52354F">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w:t>
            </w:r>
          </w:p>
        </w:tc>
        <w:tc>
          <w:tcPr>
            <w:tcW w:w="1426" w:type="dxa"/>
            <w:vAlign w:val="center"/>
          </w:tcPr>
          <w:p w14:paraId="7006AEE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20≤X＜100</w:t>
            </w:r>
          </w:p>
        </w:tc>
        <w:tc>
          <w:tcPr>
            <w:tcW w:w="992" w:type="dxa"/>
            <w:vAlign w:val="center"/>
          </w:tcPr>
          <w:p w14:paraId="1D341F4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042E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D4B95BD">
            <w:pPr>
              <w:widowControl/>
              <w:jc w:val="left"/>
              <w:rPr>
                <w:rFonts w:hint="eastAsia" w:ascii="宋体" w:hAnsi="宋体" w:eastAsia="宋体" w:cs="宋体"/>
                <w:color w:val="auto"/>
                <w:kern w:val="0"/>
                <w:sz w:val="18"/>
                <w:szCs w:val="18"/>
              </w:rPr>
            </w:pPr>
          </w:p>
        </w:tc>
        <w:tc>
          <w:tcPr>
            <w:tcW w:w="1369" w:type="dxa"/>
            <w:vAlign w:val="center"/>
          </w:tcPr>
          <w:p w14:paraId="5A8DCDAA">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D172AE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4963112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vAlign w:val="center"/>
          </w:tcPr>
          <w:p w14:paraId="2DAF2B5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1000≤Y＜30000</w:t>
            </w:r>
          </w:p>
        </w:tc>
        <w:tc>
          <w:tcPr>
            <w:tcW w:w="1426" w:type="dxa"/>
            <w:vAlign w:val="center"/>
          </w:tcPr>
          <w:p w14:paraId="5CB2B94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100≤Y＜1000</w:t>
            </w:r>
          </w:p>
        </w:tc>
        <w:tc>
          <w:tcPr>
            <w:tcW w:w="992" w:type="dxa"/>
            <w:vAlign w:val="center"/>
          </w:tcPr>
          <w:p w14:paraId="2891EE0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63A5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5EDEEC">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邮政业</w:t>
            </w:r>
          </w:p>
        </w:tc>
        <w:tc>
          <w:tcPr>
            <w:tcW w:w="1369" w:type="dxa"/>
            <w:vAlign w:val="center"/>
          </w:tcPr>
          <w:p w14:paraId="277BF17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145E51D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3285AAA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vAlign w:val="center"/>
          </w:tcPr>
          <w:p w14:paraId="1B68551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vAlign w:val="center"/>
          </w:tcPr>
          <w:p w14:paraId="1F9A577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20≤X＜300</w:t>
            </w:r>
          </w:p>
        </w:tc>
        <w:tc>
          <w:tcPr>
            <w:tcW w:w="992" w:type="dxa"/>
            <w:vAlign w:val="center"/>
          </w:tcPr>
          <w:p w14:paraId="5F59318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w:t>
            </w:r>
          </w:p>
        </w:tc>
      </w:tr>
      <w:tr w14:paraId="70AEE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7978E20A">
            <w:pPr>
              <w:widowControl/>
              <w:jc w:val="left"/>
              <w:rPr>
                <w:rFonts w:hint="eastAsia" w:ascii="宋体" w:hAnsi="宋体" w:eastAsia="宋体" w:cs="宋体"/>
                <w:color w:val="auto"/>
                <w:kern w:val="0"/>
                <w:sz w:val="18"/>
                <w:szCs w:val="18"/>
              </w:rPr>
            </w:pPr>
          </w:p>
        </w:tc>
        <w:tc>
          <w:tcPr>
            <w:tcW w:w="1369" w:type="dxa"/>
            <w:vAlign w:val="center"/>
          </w:tcPr>
          <w:p w14:paraId="7F85592C">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7CA9677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183C237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Y≥30000</w:t>
            </w:r>
          </w:p>
        </w:tc>
        <w:tc>
          <w:tcPr>
            <w:tcW w:w="1701" w:type="dxa"/>
            <w:vAlign w:val="center"/>
          </w:tcPr>
          <w:p w14:paraId="697D2A2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2000≤Y＜30000</w:t>
            </w:r>
          </w:p>
        </w:tc>
        <w:tc>
          <w:tcPr>
            <w:tcW w:w="1426" w:type="dxa"/>
            <w:vAlign w:val="center"/>
          </w:tcPr>
          <w:p w14:paraId="5913C59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100≤Y＜2000</w:t>
            </w:r>
          </w:p>
        </w:tc>
        <w:tc>
          <w:tcPr>
            <w:tcW w:w="992" w:type="dxa"/>
            <w:vAlign w:val="center"/>
          </w:tcPr>
          <w:p w14:paraId="6860592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553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FDF2B7D">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住宿业</w:t>
            </w:r>
          </w:p>
        </w:tc>
        <w:tc>
          <w:tcPr>
            <w:tcW w:w="1369" w:type="dxa"/>
            <w:vAlign w:val="center"/>
          </w:tcPr>
          <w:p w14:paraId="01C5C92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3B29749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0E25A58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708FACC0">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vAlign w:val="center"/>
          </w:tcPr>
          <w:p w14:paraId="3F90718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4E0FE1A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0687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47637E4">
            <w:pPr>
              <w:widowControl/>
              <w:jc w:val="left"/>
              <w:rPr>
                <w:rFonts w:hint="eastAsia" w:ascii="宋体" w:hAnsi="宋体" w:eastAsia="宋体" w:cs="宋体"/>
                <w:color w:val="auto"/>
                <w:kern w:val="0"/>
                <w:sz w:val="18"/>
                <w:szCs w:val="18"/>
              </w:rPr>
            </w:pPr>
          </w:p>
        </w:tc>
        <w:tc>
          <w:tcPr>
            <w:tcW w:w="1369" w:type="dxa"/>
            <w:vAlign w:val="center"/>
          </w:tcPr>
          <w:p w14:paraId="08E9CB0F">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34E6E74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21D22EA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vAlign w:val="center"/>
          </w:tcPr>
          <w:p w14:paraId="5F7F544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vAlign w:val="center"/>
          </w:tcPr>
          <w:p w14:paraId="6A782A1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100≤Y＜2000</w:t>
            </w:r>
          </w:p>
        </w:tc>
        <w:tc>
          <w:tcPr>
            <w:tcW w:w="992" w:type="dxa"/>
            <w:vAlign w:val="center"/>
          </w:tcPr>
          <w:p w14:paraId="2FFF4C0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6B29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8C263D0">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餐饮业</w:t>
            </w:r>
          </w:p>
        </w:tc>
        <w:tc>
          <w:tcPr>
            <w:tcW w:w="1369" w:type="dxa"/>
            <w:vAlign w:val="center"/>
          </w:tcPr>
          <w:p w14:paraId="5D42027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21DA12C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6FB9876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09726DFB">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vAlign w:val="center"/>
          </w:tcPr>
          <w:p w14:paraId="1413102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6B4F0B8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18E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7386979">
            <w:pPr>
              <w:widowControl/>
              <w:jc w:val="left"/>
              <w:rPr>
                <w:rFonts w:hint="eastAsia" w:ascii="宋体" w:hAnsi="宋体" w:eastAsia="宋体" w:cs="宋体"/>
                <w:color w:val="auto"/>
                <w:kern w:val="0"/>
                <w:sz w:val="18"/>
                <w:szCs w:val="18"/>
              </w:rPr>
            </w:pPr>
          </w:p>
        </w:tc>
        <w:tc>
          <w:tcPr>
            <w:tcW w:w="1369" w:type="dxa"/>
            <w:vAlign w:val="center"/>
          </w:tcPr>
          <w:p w14:paraId="030A83C6">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01524B8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6D1B5BD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vAlign w:val="center"/>
          </w:tcPr>
          <w:p w14:paraId="48EDDA8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2000≤Y＜10000</w:t>
            </w:r>
          </w:p>
        </w:tc>
        <w:tc>
          <w:tcPr>
            <w:tcW w:w="1426" w:type="dxa"/>
            <w:vAlign w:val="center"/>
          </w:tcPr>
          <w:p w14:paraId="183E854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100≤Y＜2000</w:t>
            </w:r>
          </w:p>
        </w:tc>
        <w:tc>
          <w:tcPr>
            <w:tcW w:w="992" w:type="dxa"/>
            <w:vAlign w:val="center"/>
          </w:tcPr>
          <w:p w14:paraId="5D2F991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05AB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A0C7BD1">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信息传输业 *</w:t>
            </w:r>
          </w:p>
        </w:tc>
        <w:tc>
          <w:tcPr>
            <w:tcW w:w="1369" w:type="dxa"/>
            <w:vAlign w:val="center"/>
          </w:tcPr>
          <w:p w14:paraId="26F2590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6FD9B91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14EAEAF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X≥2000</w:t>
            </w:r>
          </w:p>
        </w:tc>
        <w:tc>
          <w:tcPr>
            <w:tcW w:w="1701" w:type="dxa"/>
            <w:vAlign w:val="center"/>
          </w:tcPr>
          <w:p w14:paraId="072C5D2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100≤X＜2000</w:t>
            </w:r>
          </w:p>
        </w:tc>
        <w:tc>
          <w:tcPr>
            <w:tcW w:w="1426" w:type="dxa"/>
            <w:vAlign w:val="center"/>
          </w:tcPr>
          <w:p w14:paraId="6147D42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3A5ADBC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2E9A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CCCE52D">
            <w:pPr>
              <w:widowControl/>
              <w:jc w:val="left"/>
              <w:rPr>
                <w:rFonts w:hint="eastAsia" w:ascii="宋体" w:hAnsi="宋体" w:eastAsia="宋体" w:cs="宋体"/>
                <w:color w:val="auto"/>
                <w:kern w:val="0"/>
                <w:sz w:val="18"/>
                <w:szCs w:val="18"/>
              </w:rPr>
            </w:pPr>
          </w:p>
        </w:tc>
        <w:tc>
          <w:tcPr>
            <w:tcW w:w="1369" w:type="dxa"/>
            <w:vAlign w:val="center"/>
          </w:tcPr>
          <w:p w14:paraId="6DDCE5A5">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544181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05BDF99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Y≥100000</w:t>
            </w:r>
          </w:p>
        </w:tc>
        <w:tc>
          <w:tcPr>
            <w:tcW w:w="1701" w:type="dxa"/>
            <w:vAlign w:val="center"/>
          </w:tcPr>
          <w:p w14:paraId="7DD127D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1000≤Y＜100000</w:t>
            </w:r>
          </w:p>
        </w:tc>
        <w:tc>
          <w:tcPr>
            <w:tcW w:w="1426" w:type="dxa"/>
            <w:vAlign w:val="center"/>
          </w:tcPr>
          <w:p w14:paraId="5544007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100≤Y＜1000</w:t>
            </w:r>
          </w:p>
        </w:tc>
        <w:tc>
          <w:tcPr>
            <w:tcW w:w="992" w:type="dxa"/>
            <w:vAlign w:val="center"/>
          </w:tcPr>
          <w:p w14:paraId="485EDBE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2EE3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E4FBB7D">
            <w:pPr>
              <w:widowControl/>
              <w:spacing w:line="240" w:lineRule="exact"/>
              <w:jc w:val="left"/>
              <w:rPr>
                <w:rFonts w:hint="eastAsia" w:ascii="宋体" w:hAnsi="宋体" w:eastAsia="宋体" w:cs="宋体"/>
                <w:color w:val="auto"/>
                <w:spacing w:val="-12"/>
                <w:kern w:val="0"/>
                <w:sz w:val="18"/>
                <w:szCs w:val="18"/>
              </w:rPr>
            </w:pPr>
            <w:r>
              <w:rPr>
                <w:rFonts w:hint="eastAsia" w:ascii="宋体" w:hAnsi="宋体" w:eastAsia="宋体" w:cs="宋体"/>
                <w:color w:val="auto"/>
                <w:spacing w:val="-12"/>
                <w:kern w:val="0"/>
                <w:sz w:val="18"/>
                <w:szCs w:val="18"/>
              </w:rPr>
              <w:t>软件和信息技术服</w:t>
            </w:r>
            <w:r>
              <w:rPr>
                <w:rFonts w:hint="eastAsia" w:ascii="宋体" w:hAnsi="宋体" w:eastAsia="宋体" w:cs="宋体"/>
                <w:color w:val="auto"/>
                <w:kern w:val="0"/>
                <w:sz w:val="18"/>
                <w:szCs w:val="18"/>
              </w:rPr>
              <w:t>务业</w:t>
            </w:r>
          </w:p>
        </w:tc>
        <w:tc>
          <w:tcPr>
            <w:tcW w:w="1369" w:type="dxa"/>
            <w:vAlign w:val="center"/>
          </w:tcPr>
          <w:p w14:paraId="4D48DE6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6051659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61FE405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123B2CF9">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vAlign w:val="center"/>
          </w:tcPr>
          <w:p w14:paraId="3F60BB8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6E8FAD5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41CB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6ED1DD4">
            <w:pPr>
              <w:widowControl/>
              <w:jc w:val="left"/>
              <w:rPr>
                <w:rFonts w:hint="eastAsia" w:ascii="宋体" w:hAnsi="宋体" w:eastAsia="宋体" w:cs="宋体"/>
                <w:color w:val="auto"/>
                <w:spacing w:val="-12"/>
                <w:kern w:val="0"/>
                <w:sz w:val="18"/>
                <w:szCs w:val="18"/>
              </w:rPr>
            </w:pPr>
          </w:p>
        </w:tc>
        <w:tc>
          <w:tcPr>
            <w:tcW w:w="1369" w:type="dxa"/>
            <w:vAlign w:val="center"/>
          </w:tcPr>
          <w:p w14:paraId="6ACE6EB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718D88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783733B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Y≥10000</w:t>
            </w:r>
          </w:p>
        </w:tc>
        <w:tc>
          <w:tcPr>
            <w:tcW w:w="1701" w:type="dxa"/>
            <w:vAlign w:val="center"/>
          </w:tcPr>
          <w:p w14:paraId="7D7250F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1000≤Y＜10000</w:t>
            </w:r>
          </w:p>
        </w:tc>
        <w:tc>
          <w:tcPr>
            <w:tcW w:w="1426" w:type="dxa"/>
            <w:vAlign w:val="center"/>
          </w:tcPr>
          <w:p w14:paraId="17A1821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50≤Y＜1000</w:t>
            </w:r>
          </w:p>
        </w:tc>
        <w:tc>
          <w:tcPr>
            <w:tcW w:w="992" w:type="dxa"/>
            <w:vAlign w:val="center"/>
          </w:tcPr>
          <w:p w14:paraId="09B33B4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w:t>
            </w:r>
          </w:p>
        </w:tc>
      </w:tr>
      <w:tr w14:paraId="0DC0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CEDD3E1">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房地产开发经营</w:t>
            </w:r>
          </w:p>
        </w:tc>
        <w:tc>
          <w:tcPr>
            <w:tcW w:w="1369" w:type="dxa"/>
            <w:vAlign w:val="center"/>
          </w:tcPr>
          <w:p w14:paraId="4CD69C5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25F8C4E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32B9EA2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Y≥200000</w:t>
            </w:r>
          </w:p>
        </w:tc>
        <w:tc>
          <w:tcPr>
            <w:tcW w:w="1701" w:type="dxa"/>
            <w:vAlign w:val="center"/>
          </w:tcPr>
          <w:p w14:paraId="353938D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1000≤Y＜200000</w:t>
            </w:r>
          </w:p>
        </w:tc>
        <w:tc>
          <w:tcPr>
            <w:tcW w:w="1426" w:type="dxa"/>
            <w:vAlign w:val="center"/>
          </w:tcPr>
          <w:p w14:paraId="6FCBA7D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100≤Y＜1000</w:t>
            </w:r>
          </w:p>
        </w:tc>
        <w:tc>
          <w:tcPr>
            <w:tcW w:w="992" w:type="dxa"/>
            <w:vAlign w:val="center"/>
          </w:tcPr>
          <w:p w14:paraId="72DD6DD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Y＜100</w:t>
            </w:r>
          </w:p>
        </w:tc>
      </w:tr>
      <w:tr w14:paraId="528D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C5B6FCE">
            <w:pPr>
              <w:widowControl/>
              <w:jc w:val="left"/>
              <w:rPr>
                <w:rFonts w:hint="eastAsia" w:ascii="宋体" w:hAnsi="宋体" w:eastAsia="宋体" w:cs="宋体"/>
                <w:color w:val="auto"/>
                <w:kern w:val="0"/>
                <w:sz w:val="18"/>
                <w:szCs w:val="18"/>
              </w:rPr>
            </w:pPr>
          </w:p>
        </w:tc>
        <w:tc>
          <w:tcPr>
            <w:tcW w:w="1369" w:type="dxa"/>
            <w:vAlign w:val="center"/>
          </w:tcPr>
          <w:p w14:paraId="4C0166E3">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vAlign w:val="center"/>
          </w:tcPr>
          <w:p w14:paraId="736BD24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3830A6A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Z≥10000</w:t>
            </w:r>
          </w:p>
        </w:tc>
        <w:tc>
          <w:tcPr>
            <w:tcW w:w="1701" w:type="dxa"/>
            <w:vAlign w:val="center"/>
          </w:tcPr>
          <w:p w14:paraId="56B4CC9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5000≤Z＜10000</w:t>
            </w:r>
          </w:p>
        </w:tc>
        <w:tc>
          <w:tcPr>
            <w:tcW w:w="1426" w:type="dxa"/>
            <w:vAlign w:val="center"/>
          </w:tcPr>
          <w:p w14:paraId="1B0AB50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2000≤Z＜5000   </w:t>
            </w:r>
          </w:p>
        </w:tc>
        <w:tc>
          <w:tcPr>
            <w:tcW w:w="992" w:type="dxa"/>
            <w:vAlign w:val="center"/>
          </w:tcPr>
          <w:p w14:paraId="2712D8B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Z＜2000</w:t>
            </w:r>
          </w:p>
        </w:tc>
      </w:tr>
      <w:tr w14:paraId="4B4D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6A3C2352">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物业管理</w:t>
            </w:r>
          </w:p>
        </w:tc>
        <w:tc>
          <w:tcPr>
            <w:tcW w:w="1369" w:type="dxa"/>
            <w:vAlign w:val="center"/>
          </w:tcPr>
          <w:p w14:paraId="7214897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16A4AAD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4DEB4CAD">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X≥1000</w:t>
            </w:r>
          </w:p>
        </w:tc>
        <w:tc>
          <w:tcPr>
            <w:tcW w:w="1701" w:type="dxa"/>
            <w:vAlign w:val="center"/>
          </w:tcPr>
          <w:p w14:paraId="258B3DC6">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300≤X＜1000</w:t>
            </w:r>
          </w:p>
        </w:tc>
        <w:tc>
          <w:tcPr>
            <w:tcW w:w="1426" w:type="dxa"/>
            <w:vAlign w:val="center"/>
          </w:tcPr>
          <w:p w14:paraId="7DD3B51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992" w:type="dxa"/>
            <w:vAlign w:val="center"/>
          </w:tcPr>
          <w:p w14:paraId="17AC0AE0">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X＜100</w:t>
            </w:r>
          </w:p>
        </w:tc>
      </w:tr>
      <w:tr w14:paraId="4A28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30EBA093">
            <w:pPr>
              <w:widowControl/>
              <w:jc w:val="left"/>
              <w:rPr>
                <w:rFonts w:hint="eastAsia" w:ascii="宋体" w:hAnsi="宋体" w:eastAsia="宋体" w:cs="宋体"/>
                <w:color w:val="auto"/>
                <w:kern w:val="0"/>
                <w:sz w:val="18"/>
                <w:szCs w:val="18"/>
              </w:rPr>
            </w:pPr>
          </w:p>
        </w:tc>
        <w:tc>
          <w:tcPr>
            <w:tcW w:w="1369" w:type="dxa"/>
            <w:vAlign w:val="center"/>
          </w:tcPr>
          <w:p w14:paraId="12CCD36D">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营业收入(Y)</w:t>
            </w:r>
          </w:p>
        </w:tc>
        <w:tc>
          <w:tcPr>
            <w:tcW w:w="709" w:type="dxa"/>
            <w:vAlign w:val="center"/>
          </w:tcPr>
          <w:p w14:paraId="357242D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178AA6C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Y≥5000</w:t>
            </w:r>
          </w:p>
        </w:tc>
        <w:tc>
          <w:tcPr>
            <w:tcW w:w="1701" w:type="dxa"/>
            <w:vAlign w:val="center"/>
          </w:tcPr>
          <w:p w14:paraId="78916D22">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1000≤Y＜5000 </w:t>
            </w:r>
          </w:p>
        </w:tc>
        <w:tc>
          <w:tcPr>
            <w:tcW w:w="1426" w:type="dxa"/>
            <w:vAlign w:val="center"/>
          </w:tcPr>
          <w:p w14:paraId="56983281">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500≤Y＜1000</w:t>
            </w:r>
          </w:p>
        </w:tc>
        <w:tc>
          <w:tcPr>
            <w:tcW w:w="992" w:type="dxa"/>
            <w:vAlign w:val="center"/>
          </w:tcPr>
          <w:p w14:paraId="3CDACD69">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Y＜500</w:t>
            </w:r>
          </w:p>
        </w:tc>
      </w:tr>
      <w:tr w14:paraId="5A30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934447A">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租赁和商务服务业</w:t>
            </w:r>
          </w:p>
        </w:tc>
        <w:tc>
          <w:tcPr>
            <w:tcW w:w="1369" w:type="dxa"/>
            <w:vAlign w:val="center"/>
          </w:tcPr>
          <w:p w14:paraId="2104CA65">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15B064D8">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2F29DD0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06D8031A">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vAlign w:val="center"/>
          </w:tcPr>
          <w:p w14:paraId="7342D477">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5CE77C1A">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r w14:paraId="61BF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8E4CA9A">
            <w:pPr>
              <w:widowControl/>
              <w:jc w:val="left"/>
              <w:rPr>
                <w:rFonts w:hint="eastAsia" w:ascii="宋体" w:hAnsi="宋体" w:eastAsia="宋体" w:cs="宋体"/>
                <w:color w:val="auto"/>
                <w:kern w:val="0"/>
                <w:sz w:val="18"/>
                <w:szCs w:val="18"/>
              </w:rPr>
            </w:pPr>
          </w:p>
        </w:tc>
        <w:tc>
          <w:tcPr>
            <w:tcW w:w="1369" w:type="dxa"/>
            <w:vAlign w:val="center"/>
          </w:tcPr>
          <w:p w14:paraId="2B19B849">
            <w:pPr>
              <w:widowControl/>
              <w:spacing w:line="240" w:lineRule="exact"/>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资产总额(Z)</w:t>
            </w:r>
          </w:p>
        </w:tc>
        <w:tc>
          <w:tcPr>
            <w:tcW w:w="709" w:type="dxa"/>
            <w:vAlign w:val="center"/>
          </w:tcPr>
          <w:p w14:paraId="6309B81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万元</w:t>
            </w:r>
          </w:p>
        </w:tc>
        <w:tc>
          <w:tcPr>
            <w:tcW w:w="1125" w:type="dxa"/>
            <w:vAlign w:val="center"/>
          </w:tcPr>
          <w:p w14:paraId="051A40E3">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Z≥120000</w:t>
            </w:r>
          </w:p>
        </w:tc>
        <w:tc>
          <w:tcPr>
            <w:tcW w:w="1701" w:type="dxa"/>
            <w:vAlign w:val="center"/>
          </w:tcPr>
          <w:p w14:paraId="2D27095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8000≤Z＜120000</w:t>
            </w:r>
          </w:p>
        </w:tc>
        <w:tc>
          <w:tcPr>
            <w:tcW w:w="1426" w:type="dxa"/>
            <w:vAlign w:val="center"/>
          </w:tcPr>
          <w:p w14:paraId="40F37AE2">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100≤Z＜8000</w:t>
            </w:r>
          </w:p>
        </w:tc>
        <w:tc>
          <w:tcPr>
            <w:tcW w:w="992" w:type="dxa"/>
            <w:vAlign w:val="center"/>
          </w:tcPr>
          <w:p w14:paraId="780A906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Z＜100</w:t>
            </w:r>
          </w:p>
        </w:tc>
      </w:tr>
      <w:tr w14:paraId="709CC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2F3140AB">
            <w:pPr>
              <w:widowControl/>
              <w:spacing w:line="240" w:lineRule="exact"/>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其他未列明行业 *</w:t>
            </w:r>
          </w:p>
        </w:tc>
        <w:tc>
          <w:tcPr>
            <w:tcW w:w="1369" w:type="dxa"/>
            <w:vAlign w:val="center"/>
          </w:tcPr>
          <w:p w14:paraId="05F67674">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从业人员(X)</w:t>
            </w:r>
          </w:p>
        </w:tc>
        <w:tc>
          <w:tcPr>
            <w:tcW w:w="709" w:type="dxa"/>
            <w:vAlign w:val="center"/>
          </w:tcPr>
          <w:p w14:paraId="0937C29C">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人</w:t>
            </w:r>
          </w:p>
        </w:tc>
        <w:tc>
          <w:tcPr>
            <w:tcW w:w="1125" w:type="dxa"/>
            <w:vAlign w:val="center"/>
          </w:tcPr>
          <w:p w14:paraId="76D71CAB">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X≥300</w:t>
            </w:r>
          </w:p>
        </w:tc>
        <w:tc>
          <w:tcPr>
            <w:tcW w:w="1701" w:type="dxa"/>
            <w:vAlign w:val="center"/>
          </w:tcPr>
          <w:p w14:paraId="31D9E9D2">
            <w:pPr>
              <w:widowControl/>
              <w:ind w:left="1" w:leftChars="-51" w:hanging="108" w:hangingChars="60"/>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100≤X＜300 </w:t>
            </w:r>
          </w:p>
        </w:tc>
        <w:tc>
          <w:tcPr>
            <w:tcW w:w="1426" w:type="dxa"/>
            <w:vAlign w:val="center"/>
          </w:tcPr>
          <w:p w14:paraId="3F75A31E">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 xml:space="preserve"> 10≤X＜100</w:t>
            </w:r>
          </w:p>
        </w:tc>
        <w:tc>
          <w:tcPr>
            <w:tcW w:w="992" w:type="dxa"/>
            <w:vAlign w:val="center"/>
          </w:tcPr>
          <w:p w14:paraId="0EA815CF">
            <w:pPr>
              <w:widowControl/>
              <w:jc w:val="center"/>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X＜10</w:t>
            </w:r>
          </w:p>
        </w:tc>
      </w:tr>
    </w:tbl>
    <w:p w14:paraId="04280E68">
      <w:pPr>
        <w:widowControl/>
        <w:spacing w:line="540" w:lineRule="exact"/>
        <w:rPr>
          <w:rFonts w:hint="eastAsia" w:ascii="宋体" w:hAnsi="宋体" w:eastAsia="宋体" w:cs="宋体"/>
          <w:color w:val="auto"/>
          <w:spacing w:val="8"/>
          <w:kern w:val="0"/>
          <w:szCs w:val="21"/>
        </w:rPr>
      </w:pPr>
      <w:r>
        <w:rPr>
          <w:rFonts w:hint="eastAsia" w:ascii="宋体" w:hAnsi="宋体" w:eastAsia="宋体" w:cs="宋体"/>
          <w:color w:val="auto"/>
          <w:spacing w:val="8"/>
          <w:kern w:val="0"/>
          <w:szCs w:val="21"/>
        </w:rPr>
        <w:t>说明：</w:t>
      </w:r>
    </w:p>
    <w:p w14:paraId="1AD24C8E">
      <w:pPr>
        <w:spacing w:line="540" w:lineRule="exact"/>
        <w:rPr>
          <w:rFonts w:hint="eastAsia" w:ascii="宋体" w:hAnsi="宋体" w:eastAsia="宋体" w:cs="宋体"/>
          <w:color w:val="auto"/>
          <w:spacing w:val="8"/>
          <w:kern w:val="0"/>
          <w:szCs w:val="21"/>
        </w:rPr>
      </w:pPr>
      <w:r>
        <w:rPr>
          <w:rFonts w:hint="eastAsia" w:ascii="宋体" w:hAnsi="宋体" w:eastAsia="宋体" w:cs="宋体"/>
          <w:color w:val="auto"/>
          <w:spacing w:val="8"/>
          <w:kern w:val="0"/>
          <w:szCs w:val="21"/>
        </w:rPr>
        <w:t>　　1.大型、中型和小型企业须同时满足所列指标的下限，否则下划一档；微型企业只须满足所列指标中的一项即可。</w:t>
      </w:r>
    </w:p>
    <w:p w14:paraId="2EA83BC0">
      <w:pPr>
        <w:spacing w:line="540" w:lineRule="exact"/>
        <w:rPr>
          <w:rFonts w:hint="eastAsia" w:ascii="宋体" w:hAnsi="宋体" w:eastAsia="宋体" w:cs="宋体"/>
          <w:color w:val="auto"/>
          <w:spacing w:val="8"/>
          <w:kern w:val="0"/>
          <w:szCs w:val="21"/>
        </w:rPr>
      </w:pPr>
      <w:r>
        <w:rPr>
          <w:rFonts w:hint="eastAsia" w:ascii="宋体" w:hAnsi="宋体" w:eastAsia="宋体" w:cs="宋体"/>
          <w:color w:val="auto"/>
          <w:spacing w:val="8"/>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B0FB9AD">
      <w:pPr>
        <w:spacing w:line="540" w:lineRule="exact"/>
        <w:rPr>
          <w:rFonts w:hint="eastAsia" w:ascii="宋体" w:hAnsi="宋体" w:eastAsia="宋体" w:cs="宋体"/>
          <w:color w:val="auto"/>
          <w:spacing w:val="8"/>
          <w:kern w:val="0"/>
          <w:szCs w:val="21"/>
        </w:rPr>
      </w:pPr>
      <w:r>
        <w:rPr>
          <w:rFonts w:hint="eastAsia" w:ascii="宋体" w:hAnsi="宋体" w:eastAsia="宋体" w:cs="宋体"/>
          <w:color w:val="auto"/>
          <w:spacing w:val="8"/>
          <w:kern w:val="0"/>
          <w:szCs w:val="21"/>
        </w:rPr>
        <w:t>　　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7B5B6E0">
      <w:pPr>
        <w:spacing w:line="540" w:lineRule="exact"/>
        <w:rPr>
          <w:rFonts w:hint="eastAsia" w:ascii="宋体" w:hAnsi="宋体" w:eastAsia="宋体" w:cs="宋体"/>
          <w:color w:val="auto"/>
        </w:rPr>
      </w:pPr>
    </w:p>
    <w:p w14:paraId="0BEE5FF8">
      <w:pPr>
        <w:rPr>
          <w:rFonts w:hint="eastAsia" w:ascii="宋体" w:hAnsi="宋体" w:eastAsia="宋体" w:cs="宋体"/>
          <w:color w:val="auto"/>
        </w:rPr>
      </w:pPr>
      <w:r>
        <w:rPr>
          <w:rFonts w:hint="eastAsia" w:ascii="宋体" w:hAnsi="宋体" w:eastAsia="宋体" w:cs="宋体"/>
          <w:color w:val="auto"/>
        </w:rPr>
        <w:br w:type="page"/>
      </w:r>
      <w:bookmarkStart w:id="123" w:name="_Toc7999"/>
      <w:bookmarkStart w:id="124" w:name="_Toc10724"/>
      <w:bookmarkStart w:id="125" w:name="_Toc10695"/>
      <w:bookmarkStart w:id="126" w:name="_Toc11636"/>
      <w:bookmarkStart w:id="127" w:name="_Toc19881"/>
      <w:bookmarkStart w:id="128" w:name="_Toc26202"/>
    </w:p>
    <w:p w14:paraId="3A1D9793">
      <w:pPr>
        <w:jc w:val="center"/>
        <w:rPr>
          <w:rFonts w:hint="eastAsia" w:ascii="宋体" w:hAnsi="宋体" w:eastAsia="宋体" w:cs="宋体"/>
          <w:b/>
          <w:bCs/>
          <w:color w:val="auto"/>
          <w:sz w:val="36"/>
          <w:szCs w:val="44"/>
        </w:rPr>
      </w:pPr>
      <w:bookmarkStart w:id="129" w:name="_Toc5763"/>
      <w:bookmarkStart w:id="130" w:name="_Toc3690"/>
      <w:bookmarkStart w:id="131" w:name="_Toc7157"/>
      <w:bookmarkStart w:id="132" w:name="_Toc9950"/>
      <w:r>
        <w:rPr>
          <w:rFonts w:hint="eastAsia" w:ascii="宋体" w:hAnsi="宋体" w:eastAsia="宋体" w:cs="宋体"/>
          <w:b/>
          <w:bCs/>
          <w:color w:val="auto"/>
          <w:sz w:val="36"/>
          <w:szCs w:val="44"/>
        </w:rPr>
        <w:t>第四章  评审程序和评定成交的标准</w:t>
      </w:r>
      <w:bookmarkEnd w:id="123"/>
      <w:bookmarkEnd w:id="124"/>
      <w:bookmarkEnd w:id="125"/>
      <w:bookmarkEnd w:id="126"/>
      <w:bookmarkEnd w:id="127"/>
      <w:bookmarkEnd w:id="128"/>
      <w:bookmarkEnd w:id="129"/>
      <w:bookmarkEnd w:id="130"/>
      <w:bookmarkEnd w:id="131"/>
      <w:bookmarkEnd w:id="132"/>
    </w:p>
    <w:p w14:paraId="0C99316E">
      <w:pPr>
        <w:rPr>
          <w:rFonts w:hint="eastAsia" w:ascii="宋体" w:hAnsi="宋体" w:eastAsia="宋体" w:cs="宋体"/>
          <w:color w:val="auto"/>
        </w:rPr>
      </w:pPr>
      <w:bookmarkStart w:id="133" w:name="_Toc6967"/>
    </w:p>
    <w:p w14:paraId="2B80BAFC">
      <w:pPr>
        <w:spacing w:line="360" w:lineRule="auto"/>
        <w:jc w:val="center"/>
        <w:outlineLvl w:val="1"/>
        <w:rPr>
          <w:rFonts w:hint="eastAsia" w:ascii="宋体" w:hAnsi="宋体" w:eastAsia="宋体" w:cs="宋体"/>
          <w:b/>
          <w:color w:val="auto"/>
          <w:sz w:val="32"/>
          <w:szCs w:val="32"/>
        </w:rPr>
      </w:pPr>
      <w:bookmarkStart w:id="134" w:name="_Toc5157"/>
      <w:bookmarkStart w:id="135" w:name="_Toc28645"/>
      <w:bookmarkStart w:id="136" w:name="_Toc24531"/>
      <w:bookmarkStart w:id="137" w:name="_Toc23051"/>
      <w:r>
        <w:rPr>
          <w:rFonts w:hint="eastAsia" w:ascii="宋体" w:hAnsi="宋体" w:eastAsia="宋体" w:cs="宋体"/>
          <w:b/>
          <w:color w:val="auto"/>
          <w:sz w:val="32"/>
          <w:szCs w:val="32"/>
        </w:rPr>
        <w:t>一、评审程序</w:t>
      </w:r>
      <w:bookmarkEnd w:id="133"/>
      <w:bookmarkEnd w:id="134"/>
      <w:bookmarkEnd w:id="135"/>
      <w:bookmarkEnd w:id="136"/>
      <w:bookmarkEnd w:id="137"/>
    </w:p>
    <w:p w14:paraId="0FC9FCBD">
      <w:pPr>
        <w:spacing w:line="360" w:lineRule="auto"/>
        <w:ind w:firstLine="422" w:firstLineChars="200"/>
        <w:outlineLvl w:val="2"/>
        <w:rPr>
          <w:rFonts w:hint="eastAsia" w:ascii="宋体" w:hAnsi="宋体" w:eastAsia="宋体" w:cs="宋体"/>
          <w:b/>
          <w:bCs/>
          <w:color w:val="auto"/>
          <w:szCs w:val="21"/>
        </w:rPr>
      </w:pPr>
      <w:bookmarkStart w:id="138" w:name="_Toc18841"/>
      <w:bookmarkStart w:id="139" w:name="_Toc25617"/>
      <w:bookmarkStart w:id="140" w:name="_Toc7736"/>
      <w:bookmarkStart w:id="141" w:name="_Toc30186"/>
      <w:bookmarkStart w:id="142" w:name="_Toc22424"/>
      <w:r>
        <w:rPr>
          <w:rFonts w:hint="eastAsia" w:ascii="宋体" w:hAnsi="宋体" w:eastAsia="宋体" w:cs="宋体"/>
          <w:b/>
          <w:bCs/>
          <w:color w:val="auto"/>
          <w:szCs w:val="21"/>
        </w:rPr>
        <w:t>1.确认谈判文件</w:t>
      </w:r>
      <w:bookmarkEnd w:id="138"/>
      <w:bookmarkEnd w:id="139"/>
      <w:bookmarkEnd w:id="140"/>
      <w:bookmarkEnd w:id="141"/>
      <w:bookmarkEnd w:id="142"/>
    </w:p>
    <w:p w14:paraId="6B4A02F5">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由谈判小组确认谈判文件。</w:t>
      </w:r>
    </w:p>
    <w:p w14:paraId="7B2B7DD5">
      <w:pPr>
        <w:spacing w:line="360" w:lineRule="auto"/>
        <w:ind w:firstLine="422" w:firstLineChars="200"/>
        <w:outlineLvl w:val="2"/>
        <w:rPr>
          <w:rFonts w:hint="eastAsia" w:ascii="宋体" w:hAnsi="宋体" w:eastAsia="宋体" w:cs="宋体"/>
          <w:b/>
          <w:bCs/>
          <w:color w:val="auto"/>
          <w:szCs w:val="21"/>
        </w:rPr>
      </w:pPr>
      <w:bookmarkStart w:id="143" w:name="_Toc25088"/>
      <w:bookmarkStart w:id="144" w:name="_Toc12668"/>
      <w:bookmarkStart w:id="145" w:name="_Toc25987"/>
      <w:bookmarkStart w:id="146" w:name="_Toc22090"/>
      <w:bookmarkStart w:id="147" w:name="_Toc26759"/>
      <w:r>
        <w:rPr>
          <w:rFonts w:hint="eastAsia" w:ascii="宋体" w:hAnsi="宋体" w:eastAsia="宋体" w:cs="宋体"/>
          <w:b/>
          <w:bCs/>
          <w:color w:val="auto"/>
          <w:szCs w:val="21"/>
        </w:rPr>
        <w:t>2.资格审查</w:t>
      </w:r>
      <w:bookmarkEnd w:id="143"/>
      <w:bookmarkEnd w:id="144"/>
      <w:bookmarkEnd w:id="145"/>
      <w:bookmarkEnd w:id="146"/>
      <w:bookmarkEnd w:id="147"/>
    </w:p>
    <w:p w14:paraId="7672F7E7">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2.1响应文件开启后，谈判小组依法对供应商的资格证明文件进行审查。</w:t>
      </w:r>
    </w:p>
    <w:p w14:paraId="5DAFE839">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注：广西政府采购云</w:t>
      </w:r>
      <w:r>
        <w:rPr>
          <w:rFonts w:hint="eastAsia" w:ascii="宋体" w:hAnsi="宋体" w:eastAsia="宋体" w:cs="宋体"/>
          <w:color w:val="auto"/>
          <w:kern w:val="0"/>
          <w:szCs w:val="21"/>
        </w:rPr>
        <w:t>平台</w:t>
      </w:r>
      <w:r>
        <w:rPr>
          <w:rFonts w:hint="eastAsia" w:ascii="宋体" w:hAnsi="宋体" w:eastAsia="宋体" w:cs="宋体"/>
          <w:color w:val="auto"/>
          <w:szCs w:val="21"/>
        </w:rPr>
        <w:t>已与“信用中国”平台做接口，资格评审专家可直接在线查询。</w:t>
      </w:r>
    </w:p>
    <w:p w14:paraId="7DDAEE70">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查询渠道：“信用中国”网站(www.creditchina.gov.cn) 、中国政府采购网(www.ccgp.gov.cn)。</w:t>
      </w:r>
    </w:p>
    <w:p w14:paraId="4059F7C5">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信用查询截止时点：资格审查结束前。</w:t>
      </w:r>
    </w:p>
    <w:p w14:paraId="2267ECF5">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查询记录和证据留存方式：在查询网站中直接打印查询记录，打印材料作为评审资料保存。</w:t>
      </w:r>
    </w:p>
    <w:p w14:paraId="01CB1F9A">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078444">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2.2资格审查标准为本谈判文件中载明对供应商资格要求的条件。本项目资格审查采用合格制，凡符合谈判文件规定的供应商资格要求的供应商均通过资格审查。</w:t>
      </w:r>
    </w:p>
    <w:p w14:paraId="466BC11C">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2.3 供应商有下列情形之一的，资格审查不通过，其响应文件作无效处理：</w:t>
      </w:r>
    </w:p>
    <w:p w14:paraId="35058F5C">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（1）不具备谈判文件中规定的资格要求的；</w:t>
      </w:r>
    </w:p>
    <w:p w14:paraId="2B193CE8">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（2）响应文件未提供任一项“供应商须知前附表”资格证明文件规定的“必须提供”的文件资料的。</w:t>
      </w:r>
    </w:p>
    <w:p w14:paraId="697D0E8B">
      <w:pPr>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（3）响应文件提供的资格证明文件出现任一项不符合“供应商须知前附表”资格证明文件规定的“必须提供”的文件资料要求或者无效的；</w:t>
      </w:r>
    </w:p>
    <w:p w14:paraId="0C7B7CB3">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2.4通过资格审查的合格供应商不足3家（本章3.6条规定除外）的，不得进入符合性审查环节，应当重新开展采购活动。</w:t>
      </w:r>
    </w:p>
    <w:p w14:paraId="6DE82630">
      <w:pPr>
        <w:spacing w:line="440" w:lineRule="exact"/>
        <w:ind w:firstLine="422" w:firstLineChars="200"/>
        <w:outlineLvl w:val="2"/>
        <w:rPr>
          <w:rFonts w:hint="eastAsia" w:ascii="宋体" w:hAnsi="宋体" w:eastAsia="宋体" w:cs="宋体"/>
          <w:b/>
          <w:bCs/>
          <w:color w:val="auto"/>
          <w:szCs w:val="21"/>
        </w:rPr>
      </w:pPr>
      <w:bookmarkStart w:id="148" w:name="_Toc1675"/>
      <w:bookmarkStart w:id="149" w:name="_Toc12998"/>
      <w:bookmarkStart w:id="150" w:name="_Toc24739"/>
      <w:bookmarkStart w:id="151" w:name="_Toc19119"/>
      <w:bookmarkStart w:id="152" w:name="_Toc4268"/>
      <w:r>
        <w:rPr>
          <w:rFonts w:hint="eastAsia" w:ascii="宋体" w:hAnsi="宋体" w:eastAsia="宋体" w:cs="宋体"/>
          <w:b/>
          <w:bCs/>
          <w:color w:val="auto"/>
          <w:szCs w:val="21"/>
        </w:rPr>
        <w:t>3.符合性审查</w:t>
      </w:r>
      <w:bookmarkEnd w:id="148"/>
      <w:bookmarkEnd w:id="149"/>
      <w:bookmarkEnd w:id="150"/>
      <w:bookmarkEnd w:id="151"/>
      <w:bookmarkEnd w:id="152"/>
    </w:p>
    <w:p w14:paraId="1FCC4D7B">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3.1谈判小组应当对符合资格的供应商的响应文件进行竞标报价、商务、技术等实质性要求符合性审查，以确定其是否满足谈判文件的实质性要求。</w:t>
      </w:r>
    </w:p>
    <w:p w14:paraId="5A1D286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FD3C76A">
      <w:pPr>
        <w:spacing w:line="440" w:lineRule="exact"/>
        <w:ind w:firstLine="420" w:firstLineChars="200"/>
        <w:rPr>
          <w:rFonts w:hint="eastAsia" w:ascii="宋体" w:hAnsi="宋体" w:eastAsia="宋体" w:cs="宋体"/>
          <w:color w:val="auto"/>
          <w:spacing w:val="-6"/>
          <w:szCs w:val="21"/>
        </w:rPr>
      </w:pPr>
      <w:r>
        <w:rPr>
          <w:rFonts w:hint="eastAsia" w:ascii="宋体" w:hAnsi="宋体" w:eastAsia="宋体" w:cs="宋体"/>
          <w:color w:val="auto"/>
          <w:szCs w:val="21"/>
        </w:rPr>
        <w:t>3.3谈判小组要求供应商澄清、说明或者更正响应文件应当以书面形式作出。供应商的澄清、说明或者更正必须以书面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者其委托代理人签字（或个人CA签章）或者加盖公章。由委托代理人签字（或个人CA签章）的，</w:t>
      </w:r>
      <w:r>
        <w:rPr>
          <w:rFonts w:hint="eastAsia" w:ascii="宋体" w:hAnsi="宋体" w:eastAsia="宋体" w:cs="宋体"/>
          <w:bCs/>
          <w:color w:val="auto"/>
          <w:szCs w:val="21"/>
        </w:rPr>
        <w:t>若委托代理人不是响应文件中授权的委托代理人时，必须同时出示有效的法定代表人授权委托书原件</w:t>
      </w:r>
      <w:r>
        <w:rPr>
          <w:rFonts w:hint="eastAsia" w:ascii="宋体" w:hAnsi="宋体" w:eastAsia="宋体" w:cs="宋体"/>
          <w:color w:val="auto"/>
          <w:spacing w:val="-6"/>
          <w:szCs w:val="21"/>
        </w:rPr>
        <w:t>。供应商为自然人的，必须由本人签字</w:t>
      </w:r>
      <w:r>
        <w:rPr>
          <w:rFonts w:hint="eastAsia" w:ascii="宋体" w:hAnsi="宋体" w:eastAsia="宋体" w:cs="宋体"/>
          <w:color w:val="auto"/>
          <w:szCs w:val="21"/>
        </w:rPr>
        <w:t>（或个人CA签章）</w:t>
      </w:r>
      <w:r>
        <w:rPr>
          <w:rFonts w:hint="eastAsia" w:ascii="宋体" w:hAnsi="宋体" w:eastAsia="宋体" w:cs="宋体"/>
          <w:color w:val="auto"/>
          <w:spacing w:val="-6"/>
          <w:szCs w:val="21"/>
        </w:rPr>
        <w:t>并附身份证明。</w:t>
      </w:r>
    </w:p>
    <w:p w14:paraId="087FA244">
      <w:pPr>
        <w:spacing w:line="440" w:lineRule="exact"/>
        <w:ind w:firstLine="396" w:firstLineChars="200"/>
        <w:rPr>
          <w:rFonts w:hint="eastAsia" w:ascii="宋体" w:hAnsi="宋体" w:eastAsia="宋体" w:cs="宋体"/>
          <w:color w:val="auto"/>
          <w:szCs w:val="21"/>
        </w:rPr>
      </w:pPr>
      <w:r>
        <w:rPr>
          <w:rFonts w:hint="eastAsia" w:ascii="宋体" w:hAnsi="宋体" w:eastAsia="宋体" w:cs="宋体"/>
          <w:color w:val="auto"/>
          <w:spacing w:val="-6"/>
          <w:szCs w:val="21"/>
        </w:rPr>
        <w:t>3.4</w:t>
      </w:r>
      <w:r>
        <w:rPr>
          <w:rFonts w:hint="eastAsia" w:ascii="宋体" w:hAnsi="宋体" w:eastAsia="宋体" w:cs="宋体"/>
          <w:color w:val="auto"/>
          <w:szCs w:val="21"/>
        </w:rPr>
        <w:t xml:space="preserve">首次响应文件报价出现前后不一致的，按照下列规定修正： </w:t>
      </w:r>
    </w:p>
    <w:p w14:paraId="448193E0">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（1）响应文件中报价表内容与响应文件中相应内容不一致的，以报价表为准；</w:t>
      </w:r>
    </w:p>
    <w:p w14:paraId="39E628E3">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（2）大写金额和小写金额不一致的，以大写金额为准；</w:t>
      </w:r>
    </w:p>
    <w:p w14:paraId="5D0655FE">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（3）单价金额小数点或者百分比有明显错位的，以报价表的总价为准，并修改单价；</w:t>
      </w:r>
    </w:p>
    <w:p w14:paraId="237D5B53">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（4）总价金额与按单价汇总金额不一致的，以单价金额计算结果为准。</w:t>
      </w:r>
    </w:p>
    <w:p w14:paraId="7B0B062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同时出现两种以上不一致的，按照以上（1）-（4）规定的顺序逐条进行修正。修正后的报价经供应商确认后产生约束力，供应商不确认的，其响应文件按无效响应处理。</w:t>
      </w:r>
    </w:p>
    <w:p w14:paraId="5281A24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3.5商务技术报价评审</w:t>
      </w:r>
    </w:p>
    <w:p w14:paraId="391BA861">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在评审时，如发现下列情形之一的，将被视为响应文件无效处理：</w:t>
      </w:r>
    </w:p>
    <w:p w14:paraId="034DB0B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（1）商务技术评审</w:t>
      </w:r>
    </w:p>
    <w:p w14:paraId="41C8D71E">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1）提供响应文件正、副本数量不足；</w:t>
      </w:r>
    </w:p>
    <w:p w14:paraId="4A03EE6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2）响应文件未按谈判文件要求签署、盖章的；</w:t>
      </w:r>
    </w:p>
    <w:p w14:paraId="18EE2CC8">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3）委托代理人未能出具有效身份证明或者出具的身份证明与授权委托书中的信息不符的； </w:t>
      </w:r>
    </w:p>
    <w:p w14:paraId="36FD3A4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4）提交的竞标保证金无效的或者未按照谈判文件的规定提交竞标保证金；</w:t>
      </w:r>
    </w:p>
    <w:p w14:paraId="71660BEE">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5）响应文件未提供任一项“供应商须知前附表” 报价商务技术文件中 “必须提供”或者“委托时必须提供”的文件资料；响应文件提供的报价商务技术文件出现任一项不符合“供应商须知前附表”报价商务技术文件中 “必须提供”或者“委托时必须提供”文件资料要求的规定或者提供的报价商务技术文件无效；</w:t>
      </w:r>
    </w:p>
    <w:p w14:paraId="4E657CCC">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6）商务条款中不能发生负偏离的或者允许负偏离的条款数超过“供应商须知前附表”规定项数的或者标明实质性的要求发生负偏离；</w:t>
      </w:r>
    </w:p>
    <w:p w14:paraId="12DB7F8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7）未对竞标有效期作出响应或者响应文件承诺的竞标有效期不满足谈判文件要求；</w:t>
      </w:r>
    </w:p>
    <w:p w14:paraId="2C77DF5C">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8）响应文件的实质性内容未使用中文表述、使用计量单位不符合谈判文件要求的；</w:t>
      </w:r>
    </w:p>
    <w:p w14:paraId="6661C76F">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9）响应文件中的文件资料因填写不齐全或者内容虚假或者出现其他情形而导致被谈判小组认定无效的；</w:t>
      </w:r>
    </w:p>
    <w:p w14:paraId="3FCC39C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10）响应文件含有采购人不能接受的附加条件的；</w:t>
      </w:r>
    </w:p>
    <w:p w14:paraId="0D4DDCF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11）属于“供应商须知正文”第7.5条的情形的；</w:t>
      </w:r>
    </w:p>
    <w:p w14:paraId="68D1FDBD">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12）技术评审允许负偏离的条款数超过“供应商须知前附表”规定项数的；</w:t>
      </w:r>
    </w:p>
    <w:p w14:paraId="1355D597">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13）虚假竞标，或者出现其他情形而导致被谈判小组认定无效的；</w:t>
      </w:r>
    </w:p>
    <w:p w14:paraId="1853564D">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14）竞标技术方案不明确，谈判文件未允许但存在一个或者一个以上备选（替代）竞标方案的；</w:t>
      </w:r>
    </w:p>
    <w:p w14:paraId="786F13F2">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15）响应文件标注的项目名称或者项目编号与竞争性谈判文件标注的项目名称或者项目编号不一致的；</w:t>
      </w:r>
    </w:p>
    <w:p w14:paraId="54185F8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16）未响应谈判文件实质性要求的； </w:t>
      </w:r>
    </w:p>
    <w:p w14:paraId="74CAD264">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17）法律、法规和谈判文件规定的其他无效情形。</w:t>
      </w:r>
    </w:p>
    <w:p w14:paraId="43D5108C">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（2）报价评审</w:t>
      </w:r>
    </w:p>
    <w:p w14:paraId="686D7F6F">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1)响应文件未提供“供应商须知前附表” 报价商务技术文件中规定的“竞标报价表”的；</w:t>
      </w:r>
    </w:p>
    <w:p w14:paraId="782D9D19">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2）未采用人民币报价或者未按照谈判文件标明的币种报价的；</w:t>
      </w:r>
    </w:p>
    <w:p w14:paraId="7679C791">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3）供应商未就所竞标项目进行报价或者存在漏项报价；供应商未就所</w:t>
      </w:r>
      <w:r>
        <w:rPr>
          <w:rFonts w:hint="eastAsia" w:ascii="宋体" w:hAnsi="宋体" w:eastAsia="宋体" w:cs="宋体"/>
          <w:color w:val="auto"/>
          <w:szCs w:val="21"/>
          <w:lang w:eastAsia="zh-CN"/>
        </w:rPr>
        <w:t>有</w:t>
      </w:r>
      <w:r>
        <w:rPr>
          <w:rFonts w:hint="eastAsia" w:ascii="宋体" w:hAnsi="宋体" w:eastAsia="宋体" w:cs="宋体"/>
          <w:color w:val="auto"/>
          <w:szCs w:val="21"/>
        </w:rPr>
        <w:t>项目的单项内容作唯一报价；供应商未就所竞标项目的全部内容作唯一总价报价；供应商响应文件中存在有选择、有条件报价的（谈判文件允许有备选方案或者其他约定的除外）；</w:t>
      </w:r>
    </w:p>
    <w:p w14:paraId="6FABEA98">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竞标报价（包含首次报价、最后报价）超过所竞标项目规定的采购预算金额或者最高限价的（如本项目公布了最高限价）；竞标报价（包含首次报价、最后报价）超过谈判文件分项采购预算金额或者最高限价的（如本项目公布了最高限价）；</w:t>
      </w:r>
    </w:p>
    <w:p w14:paraId="1FC1C577">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修正后的报价，供应商不确认的；或者经供应商确认修正后的竞标报价（包含首次报价、最后报价）超过所竞标项目规定的采购预算金额或者最高限价（如本项目公布了最高限价）；或者经供应商确认修正后竞标报价（包含首次报价、最后报价）超过谈判文件分项采购预算金额或者最高限价的（如本项目公布了最高限价）。</w:t>
      </w:r>
    </w:p>
    <w:p w14:paraId="4BE66F3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6）响应文件响应的标的数量及单位与竞争性谈判采购文件要求实质性不一致的。</w:t>
      </w:r>
    </w:p>
    <w:p w14:paraId="124897A4">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4CA43C8B">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3.7通过符合性审查的合格供应商不足3家的，不得进入谈判环节，应当重新开展采购活动。</w:t>
      </w:r>
    </w:p>
    <w:p w14:paraId="42F13682">
      <w:pPr>
        <w:spacing w:line="440" w:lineRule="exact"/>
        <w:ind w:firstLine="422" w:firstLineChars="200"/>
        <w:outlineLvl w:val="2"/>
        <w:rPr>
          <w:rFonts w:hint="eastAsia" w:ascii="宋体" w:hAnsi="宋体" w:eastAsia="宋体" w:cs="宋体"/>
          <w:b/>
          <w:bCs/>
          <w:color w:val="auto"/>
          <w:szCs w:val="21"/>
        </w:rPr>
      </w:pPr>
      <w:bookmarkStart w:id="153" w:name="_Toc23351"/>
      <w:bookmarkStart w:id="154" w:name="_Toc25962"/>
      <w:bookmarkStart w:id="155" w:name="_Toc4142"/>
      <w:bookmarkStart w:id="156" w:name="_Toc30429"/>
      <w:bookmarkStart w:id="157" w:name="_Toc18325"/>
      <w:r>
        <w:rPr>
          <w:rFonts w:hint="eastAsia" w:ascii="宋体" w:hAnsi="宋体" w:eastAsia="宋体" w:cs="宋体"/>
          <w:b/>
          <w:bCs/>
          <w:color w:val="auto"/>
          <w:szCs w:val="21"/>
        </w:rPr>
        <w:t>4.谈判程序</w:t>
      </w:r>
      <w:bookmarkEnd w:id="153"/>
      <w:bookmarkEnd w:id="154"/>
      <w:bookmarkEnd w:id="155"/>
      <w:bookmarkEnd w:id="156"/>
      <w:bookmarkEnd w:id="157"/>
    </w:p>
    <w:p w14:paraId="2B91ABD2">
      <w:pPr>
        <w:spacing w:line="440" w:lineRule="exact"/>
        <w:ind w:firstLine="420" w:firstLineChars="200"/>
        <w:rPr>
          <w:rFonts w:hint="eastAsia" w:ascii="宋体" w:hAnsi="宋体" w:eastAsia="宋体" w:cs="宋体"/>
          <w:color w:val="auto"/>
          <w:kern w:val="0"/>
          <w:szCs w:val="21"/>
        </w:rPr>
      </w:pPr>
      <w:r>
        <w:rPr>
          <w:rFonts w:hint="eastAsia" w:ascii="宋体" w:hAnsi="宋体" w:eastAsia="宋体" w:cs="宋体"/>
          <w:color w:val="auto"/>
          <w:kern w:val="0"/>
          <w:szCs w:val="21"/>
        </w:rPr>
        <w:t>4.1谈判小组按照“供应商须知前附表”第26条确定的</w:t>
      </w:r>
      <w:r>
        <w:rPr>
          <w:rFonts w:hint="eastAsia" w:ascii="宋体" w:hAnsi="宋体" w:eastAsia="宋体" w:cs="宋体"/>
          <w:color w:val="auto"/>
          <w:szCs w:val="21"/>
        </w:rPr>
        <w:t>顺序，集中与单一供应商分别进行谈判，并给予所有参加谈判的供应商平等的谈判机会。符合谈判资格的供应商必须在接到通知后规定时间内到达谈判地点参加现场谈判，未在规定时间内参加谈判的，视同放弃参加谈判权利，其响应文件作无效处理。</w:t>
      </w:r>
    </w:p>
    <w:p w14:paraId="5651D06D">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6F248DBB">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4.3对谈判文件作出的实质性变动是谈判文件的有效组成部分，谈判小组应当及时以书面形式同时通知所有参加谈判的供应商。</w:t>
      </w:r>
    </w:p>
    <w:p w14:paraId="59BFB99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4.4供应商必须按照谈判文件的变动情况和谈判小组的要求重新提交响应文件，并由其法定代表人或者委托代理人签字（或个人CA签章）或者加盖公章。由委托代理人签字（或个人CA签章）的，</w:t>
      </w:r>
      <w:r>
        <w:rPr>
          <w:rFonts w:hint="eastAsia" w:ascii="宋体" w:hAnsi="宋体" w:eastAsia="宋体" w:cs="宋体"/>
          <w:bCs/>
          <w:color w:val="auto"/>
          <w:szCs w:val="21"/>
        </w:rPr>
        <w:t>若委托代理人不是响应文件中授权的委托代理人时，必须同时出示有效的法定代表人授权委托书原件</w:t>
      </w:r>
      <w:r>
        <w:rPr>
          <w:rFonts w:hint="eastAsia" w:ascii="宋体" w:hAnsi="宋体" w:eastAsia="宋体" w:cs="宋体"/>
          <w:color w:val="auto"/>
          <w:szCs w:val="21"/>
        </w:rPr>
        <w:t>。供应商为自然人的，必须由本人签字并附身份证明。参加谈判的供应商未在规定时间内重新提交响应文件的，视同退出谈判，其响应文件作无效处理。</w:t>
      </w:r>
    </w:p>
    <w:p w14:paraId="5D9CD781">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4.5谈判中，谈判的任何一方不得透露与谈判有关的其他供应商的技术资料、价格和其他信息。</w:t>
      </w:r>
    </w:p>
    <w:p w14:paraId="524C34FC">
      <w:pPr>
        <w:widowControl/>
        <w:tabs>
          <w:tab w:val="left" w:pos="540"/>
        </w:tabs>
        <w:spacing w:line="44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4.6采购代理机构对谈判过程和重要谈判内容进行记录，谈判双方在记录上签字确认。</w:t>
      </w:r>
    </w:p>
    <w:p w14:paraId="18341C13">
      <w:pPr>
        <w:widowControl/>
        <w:tabs>
          <w:tab w:val="left" w:pos="540"/>
        </w:tabs>
        <w:spacing w:line="44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4.7谈判过程中重新提交的响应文件，供应商可以在开启前补充、修改。</w:t>
      </w:r>
    </w:p>
    <w:p w14:paraId="0DB788C3">
      <w:pPr>
        <w:tabs>
          <w:tab w:val="left" w:pos="2835"/>
        </w:tabs>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4.8最后谈判结束后，谈判小组不得再与供应商进行任何形式的商谈。</w:t>
      </w:r>
    </w:p>
    <w:p w14:paraId="5BCB18C3">
      <w:pPr>
        <w:spacing w:line="440" w:lineRule="exact"/>
        <w:ind w:firstLine="422" w:firstLineChars="200"/>
        <w:outlineLvl w:val="2"/>
        <w:rPr>
          <w:rFonts w:hint="eastAsia" w:ascii="宋体" w:hAnsi="宋体" w:eastAsia="宋体" w:cs="宋体"/>
          <w:b/>
          <w:bCs/>
          <w:color w:val="auto"/>
          <w:szCs w:val="21"/>
        </w:rPr>
      </w:pPr>
      <w:bookmarkStart w:id="158" w:name="_Toc30514"/>
      <w:bookmarkStart w:id="159" w:name="_Toc28047"/>
      <w:bookmarkStart w:id="160" w:name="_Toc7012"/>
      <w:bookmarkStart w:id="161" w:name="_Toc17893"/>
      <w:bookmarkStart w:id="162" w:name="_Toc28158"/>
      <w:r>
        <w:rPr>
          <w:rFonts w:hint="eastAsia" w:ascii="宋体" w:hAnsi="宋体" w:eastAsia="宋体" w:cs="宋体"/>
          <w:b/>
          <w:bCs/>
          <w:color w:val="auto"/>
          <w:szCs w:val="21"/>
        </w:rPr>
        <w:t>5.最后报价</w:t>
      </w:r>
      <w:bookmarkEnd w:id="158"/>
      <w:bookmarkEnd w:id="159"/>
      <w:bookmarkEnd w:id="160"/>
      <w:bookmarkEnd w:id="161"/>
      <w:bookmarkEnd w:id="162"/>
    </w:p>
    <w:p w14:paraId="651FE0A2">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5.1谈判文件能够详细列明采购标的的技术、服务要求的，谈判结束后，谈判小组应当要求所有继续参加谈判的供应商在规定时间内密封提交最后报价，提交最后报价的供应商不得少于3家，除本章第3.6条外，否则必须重新采购。</w:t>
      </w:r>
    </w:p>
    <w:p w14:paraId="0766E0D5">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密封提交最后报价。</w:t>
      </w:r>
    </w:p>
    <w:p w14:paraId="22753014">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5.3最后报价是供应商响应文件的有效组成部分。</w:t>
      </w:r>
    </w:p>
    <w:p w14:paraId="1B35FB82">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5.4已经提交响应文件的供应商，在提交最后报价之前，可以根据谈判情况退出谈判。采购人、采购代理机构将退还退出谈判的供应商的保证金。</w:t>
      </w:r>
    </w:p>
    <w:p w14:paraId="0C891289">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5.5供应商未在规定时间内提交最后报价的，视为退出谈判，其响应文件作无效处理。</w:t>
      </w:r>
    </w:p>
    <w:p w14:paraId="57D67DB3">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5.6谈判小组收齐最后报价后统一开启，谈判小组对最后报价进行有效性、完整性和响应程度的审查。</w:t>
      </w:r>
    </w:p>
    <w:p w14:paraId="65A2594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 xml:space="preserve">5.7响应文件首次及最后报价出现前后不一致的，按照本章第3.4条的规定修正。 </w:t>
      </w:r>
    </w:p>
    <w:p w14:paraId="5A131D56">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5.8修正后的报价出现下列情形的，按无效响应处理：</w:t>
      </w:r>
    </w:p>
    <w:p w14:paraId="31870C35">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（1）供应商不确认的；</w:t>
      </w:r>
    </w:p>
    <w:p w14:paraId="235D44F4">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（2）经供应商确认修正后的竞标报价（包含首次报价、最后报价）超过所竞标项目规定的采购预算金额或者最高限价的（如本项目公布了最高限价）；</w:t>
      </w:r>
    </w:p>
    <w:p w14:paraId="7219739B">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（3）经供应商确认修正后的竞标报价（包含首次报价、最后报价）超过分项采购预算金额或者最高限价的（如本项目公布了最高限价）。</w:t>
      </w:r>
    </w:p>
    <w:p w14:paraId="2B208495">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5.9经供应商确认修正后的最后报价作为评审及签订合同的依据。</w:t>
      </w:r>
    </w:p>
    <w:p w14:paraId="6CF3D0A1">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5.10供应商出现最后报价按无效响应处理或者响应文件按无效处理时，谈判小组应当告知有关供应商。</w:t>
      </w:r>
    </w:p>
    <w:p w14:paraId="665A639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5.11最后报价结束后，谈判小组不得再与供应商进行任何形式的商谈。</w:t>
      </w:r>
    </w:p>
    <w:p w14:paraId="5B0EBEF4">
      <w:pPr>
        <w:spacing w:line="440" w:lineRule="exact"/>
        <w:ind w:firstLine="413" w:firstLineChars="196"/>
        <w:outlineLvl w:val="2"/>
        <w:rPr>
          <w:rFonts w:hint="eastAsia" w:ascii="宋体" w:hAnsi="宋体" w:eastAsia="宋体" w:cs="宋体"/>
          <w:b/>
          <w:bCs/>
          <w:color w:val="auto"/>
          <w:szCs w:val="21"/>
        </w:rPr>
      </w:pPr>
      <w:bookmarkStart w:id="163" w:name="_Toc9267"/>
      <w:bookmarkStart w:id="164" w:name="_Toc12900"/>
      <w:bookmarkStart w:id="165" w:name="_Toc4547"/>
      <w:bookmarkStart w:id="166" w:name="_Toc21663"/>
      <w:bookmarkStart w:id="167" w:name="_Toc13083"/>
      <w:r>
        <w:rPr>
          <w:rFonts w:hint="eastAsia" w:ascii="宋体" w:hAnsi="宋体" w:eastAsia="宋体" w:cs="宋体"/>
          <w:b/>
          <w:bCs/>
          <w:color w:val="auto"/>
          <w:szCs w:val="21"/>
        </w:rPr>
        <w:t>6. 最后报价政府采购政策性扣除</w:t>
      </w:r>
      <w:bookmarkEnd w:id="163"/>
      <w:bookmarkEnd w:id="164"/>
      <w:bookmarkEnd w:id="165"/>
      <w:bookmarkEnd w:id="166"/>
      <w:bookmarkEnd w:id="167"/>
    </w:p>
    <w:p w14:paraId="75FAA1C1">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本项目属于专门面向</w:t>
      </w:r>
      <w:r>
        <w:rPr>
          <w:rFonts w:hint="eastAsia" w:ascii="宋体" w:hAnsi="宋体" w:eastAsia="宋体" w:cs="宋体"/>
          <w:color w:val="auto"/>
          <w:szCs w:val="21"/>
          <w:lang w:eastAsia="zh-CN"/>
        </w:rPr>
        <w:t>中小</w:t>
      </w:r>
      <w:r>
        <w:rPr>
          <w:rFonts w:hint="eastAsia" w:ascii="宋体" w:hAnsi="宋体" w:eastAsia="宋体" w:cs="宋体"/>
          <w:color w:val="auto"/>
          <w:szCs w:val="21"/>
        </w:rPr>
        <w:t>企业采购的项目，</w:t>
      </w:r>
      <w:r>
        <w:rPr>
          <w:rFonts w:hint="eastAsia" w:ascii="宋体" w:hAnsi="宋体" w:eastAsia="宋体" w:cs="宋体"/>
          <w:color w:val="auto"/>
          <w:szCs w:val="21"/>
          <w:lang w:eastAsia="zh-CN"/>
        </w:rPr>
        <w:t>故不再予以竞标单位的竞标报价进行政策性扣除。即</w:t>
      </w:r>
      <w:r>
        <w:rPr>
          <w:rFonts w:hint="eastAsia" w:ascii="宋体" w:hAnsi="宋体" w:eastAsia="宋体" w:cs="宋体"/>
          <w:color w:val="auto"/>
          <w:szCs w:val="21"/>
        </w:rPr>
        <w:t>评审报价=竞标报价。</w:t>
      </w:r>
    </w:p>
    <w:p w14:paraId="54B21108">
      <w:pPr>
        <w:spacing w:line="440" w:lineRule="exact"/>
        <w:ind w:firstLine="420" w:firstLineChars="200"/>
        <w:rPr>
          <w:rFonts w:hint="eastAsia" w:ascii="宋体" w:hAnsi="宋体" w:eastAsia="宋体" w:cs="宋体"/>
          <w:color w:val="auto"/>
          <w:szCs w:val="21"/>
        </w:rPr>
      </w:pPr>
    </w:p>
    <w:p w14:paraId="4BA0B732">
      <w:pPr>
        <w:spacing w:before="156" w:beforeLines="50" w:after="156" w:afterLines="50" w:line="360" w:lineRule="auto"/>
        <w:jc w:val="center"/>
        <w:outlineLvl w:val="1"/>
        <w:rPr>
          <w:rFonts w:hint="eastAsia" w:ascii="宋体" w:hAnsi="宋体" w:eastAsia="宋体" w:cs="宋体"/>
          <w:b/>
          <w:color w:val="auto"/>
          <w:sz w:val="32"/>
          <w:szCs w:val="32"/>
        </w:rPr>
      </w:pPr>
      <w:bookmarkStart w:id="168" w:name="_Toc28816"/>
      <w:bookmarkStart w:id="169" w:name="_Toc3897"/>
      <w:bookmarkStart w:id="170" w:name="_Toc19404"/>
      <w:bookmarkStart w:id="171" w:name="_Toc31662"/>
      <w:bookmarkStart w:id="172" w:name="_Toc12029"/>
      <w:r>
        <w:rPr>
          <w:rFonts w:hint="eastAsia" w:ascii="宋体" w:hAnsi="宋体" w:eastAsia="宋体" w:cs="宋体"/>
          <w:b/>
          <w:color w:val="auto"/>
          <w:sz w:val="32"/>
          <w:szCs w:val="32"/>
        </w:rPr>
        <w:t>二、评定成交的标准</w:t>
      </w:r>
      <w:bookmarkEnd w:id="168"/>
      <w:bookmarkEnd w:id="169"/>
      <w:bookmarkEnd w:id="170"/>
      <w:bookmarkEnd w:id="171"/>
      <w:bookmarkEnd w:id="172"/>
    </w:p>
    <w:p w14:paraId="29E0A3BE">
      <w:pPr>
        <w:spacing w:line="440" w:lineRule="exact"/>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7. 成交候选人推荐原则</w:t>
      </w:r>
    </w:p>
    <w:p w14:paraId="0F1086AA">
      <w:pPr>
        <w:spacing w:line="440" w:lineRule="exact"/>
        <w:ind w:firstLine="420" w:firstLineChars="200"/>
        <w:rPr>
          <w:rFonts w:hint="eastAsia" w:ascii="宋体" w:hAnsi="宋体" w:eastAsia="宋体" w:cs="宋体"/>
          <w:color w:val="auto"/>
          <w:szCs w:val="21"/>
        </w:rPr>
      </w:pPr>
      <w:r>
        <w:rPr>
          <w:rFonts w:hint="eastAsia" w:ascii="宋体" w:hAnsi="宋体" w:eastAsia="宋体" w:cs="宋体"/>
          <w:color w:val="auto"/>
          <w:szCs w:val="21"/>
        </w:rPr>
        <w:t>谈判小组应当从质量和服务均能满足谈判文件实质性响应要求的供应商中，按照评审价由低到高的顺序推荐3名以上成交候选人（评审价相同时，按照最后报价由低到高顺序依次推荐；最后报价相同时，按以下原则确定成交候选人的顺序：由谈判小组推荐代表随机抽取。）并编写评审报告。</w:t>
      </w:r>
    </w:p>
    <w:p w14:paraId="48152EC3">
      <w:pPr>
        <w:rPr>
          <w:rFonts w:hint="eastAsia" w:ascii="宋体" w:hAnsi="宋体" w:eastAsia="宋体" w:cs="宋体"/>
          <w:color w:val="auto"/>
        </w:rPr>
      </w:pPr>
      <w:r>
        <w:rPr>
          <w:rFonts w:hint="eastAsia" w:ascii="宋体" w:hAnsi="宋体" w:eastAsia="宋体" w:cs="宋体"/>
          <w:color w:val="auto"/>
        </w:rPr>
        <w:br w:type="page"/>
      </w:r>
      <w:bookmarkStart w:id="173" w:name="_Toc25509"/>
      <w:bookmarkStart w:id="174" w:name="_Toc19261"/>
      <w:bookmarkStart w:id="175" w:name="_Toc15671"/>
      <w:bookmarkStart w:id="176" w:name="_Toc26582"/>
      <w:bookmarkStart w:id="177" w:name="_Toc27845"/>
      <w:bookmarkStart w:id="178" w:name="_Toc20710"/>
      <w:bookmarkStart w:id="179" w:name="_Toc20511"/>
      <w:bookmarkStart w:id="180" w:name="_Toc3630"/>
      <w:bookmarkStart w:id="181" w:name="_Toc32399"/>
    </w:p>
    <w:p w14:paraId="7C7C273C">
      <w:pPr>
        <w:rPr>
          <w:rFonts w:hint="eastAsia" w:ascii="宋体" w:hAnsi="宋体" w:eastAsia="宋体" w:cs="宋体"/>
          <w:color w:val="auto"/>
        </w:rPr>
      </w:pPr>
    </w:p>
    <w:p w14:paraId="0FC7F8EB">
      <w:pPr>
        <w:rPr>
          <w:rFonts w:hint="eastAsia" w:ascii="宋体" w:hAnsi="宋体" w:eastAsia="宋体" w:cs="宋体"/>
          <w:color w:val="auto"/>
        </w:rPr>
      </w:pPr>
    </w:p>
    <w:p w14:paraId="7764CB13">
      <w:pPr>
        <w:rPr>
          <w:rFonts w:hint="eastAsia" w:ascii="宋体" w:hAnsi="宋体" w:eastAsia="宋体" w:cs="宋体"/>
          <w:color w:val="auto"/>
        </w:rPr>
      </w:pPr>
    </w:p>
    <w:p w14:paraId="795B7CB8">
      <w:pPr>
        <w:pStyle w:val="14"/>
        <w:rPr>
          <w:rFonts w:hint="eastAsia" w:ascii="宋体" w:hAnsi="宋体" w:eastAsia="宋体" w:cs="宋体"/>
          <w:color w:val="auto"/>
        </w:rPr>
      </w:pPr>
    </w:p>
    <w:p w14:paraId="327213D6">
      <w:pPr>
        <w:rPr>
          <w:rFonts w:hint="eastAsia" w:ascii="宋体" w:hAnsi="宋体" w:eastAsia="宋体" w:cs="宋体"/>
          <w:color w:val="auto"/>
        </w:rPr>
      </w:pPr>
    </w:p>
    <w:p w14:paraId="2D3F5409">
      <w:pPr>
        <w:rPr>
          <w:rFonts w:hint="eastAsia" w:ascii="宋体" w:hAnsi="宋体" w:eastAsia="宋体" w:cs="宋体"/>
          <w:color w:val="auto"/>
        </w:rPr>
      </w:pPr>
    </w:p>
    <w:p w14:paraId="5D178363">
      <w:pPr>
        <w:rPr>
          <w:rFonts w:hint="eastAsia" w:ascii="宋体" w:hAnsi="宋体" w:eastAsia="宋体" w:cs="宋体"/>
          <w:color w:val="auto"/>
        </w:rPr>
      </w:pPr>
    </w:p>
    <w:p w14:paraId="545FCA60">
      <w:pPr>
        <w:rPr>
          <w:rFonts w:hint="eastAsia" w:ascii="宋体" w:hAnsi="宋体" w:eastAsia="宋体" w:cs="宋体"/>
          <w:color w:val="auto"/>
        </w:rPr>
      </w:pPr>
    </w:p>
    <w:p w14:paraId="65286CF3">
      <w:pPr>
        <w:rPr>
          <w:rFonts w:hint="eastAsia" w:ascii="宋体" w:hAnsi="宋体" w:eastAsia="宋体" w:cs="宋体"/>
          <w:color w:val="auto"/>
        </w:rPr>
      </w:pPr>
    </w:p>
    <w:p w14:paraId="73CCC693">
      <w:pPr>
        <w:pStyle w:val="3"/>
        <w:jc w:val="center"/>
        <w:rPr>
          <w:rFonts w:hint="eastAsia" w:ascii="宋体" w:hAnsi="宋体" w:eastAsia="宋体" w:cs="宋体"/>
          <w:color w:val="auto"/>
        </w:rPr>
      </w:pPr>
      <w:bookmarkStart w:id="182" w:name="_Toc4542"/>
      <w:r>
        <w:rPr>
          <w:rFonts w:hint="eastAsia" w:ascii="宋体" w:hAnsi="宋体" w:eastAsia="宋体" w:cs="宋体"/>
          <w:color w:val="auto"/>
        </w:rPr>
        <w:t>第五章 响应文件格式</w:t>
      </w:r>
      <w:bookmarkEnd w:id="173"/>
      <w:bookmarkEnd w:id="174"/>
      <w:bookmarkEnd w:id="175"/>
      <w:bookmarkEnd w:id="176"/>
      <w:bookmarkEnd w:id="177"/>
      <w:bookmarkEnd w:id="178"/>
      <w:bookmarkEnd w:id="179"/>
      <w:bookmarkEnd w:id="180"/>
      <w:bookmarkEnd w:id="181"/>
      <w:bookmarkEnd w:id="182"/>
    </w:p>
    <w:p w14:paraId="375BBF7F">
      <w:pPr>
        <w:snapToGrid w:val="0"/>
        <w:spacing w:before="156" w:beforeLines="50" w:after="50" w:line="360" w:lineRule="auto"/>
        <w:jc w:val="left"/>
        <w:rPr>
          <w:rFonts w:hint="eastAsia" w:ascii="宋体" w:hAnsi="宋体" w:eastAsia="宋体" w:cs="宋体"/>
          <w:b/>
          <w:color w:val="auto"/>
          <w:sz w:val="24"/>
        </w:rPr>
      </w:pPr>
      <w:r>
        <w:rPr>
          <w:rFonts w:hint="eastAsia" w:ascii="宋体" w:hAnsi="宋体" w:eastAsia="宋体" w:cs="宋体"/>
          <w:b/>
          <w:color w:val="auto"/>
          <w:sz w:val="24"/>
        </w:rPr>
        <w:t xml:space="preserve"> </w:t>
      </w:r>
    </w:p>
    <w:p w14:paraId="735B688E">
      <w:pPr>
        <w:snapToGrid w:val="0"/>
        <w:spacing w:before="156" w:beforeLines="50" w:after="50"/>
        <w:jc w:val="center"/>
        <w:rPr>
          <w:rFonts w:hint="eastAsia" w:ascii="宋体" w:hAnsi="宋体" w:eastAsia="宋体" w:cs="宋体"/>
          <w:bCs/>
          <w:color w:val="auto"/>
          <w:sz w:val="44"/>
          <w:szCs w:val="44"/>
        </w:rPr>
      </w:pPr>
      <w:r>
        <w:rPr>
          <w:rFonts w:hint="eastAsia" w:ascii="宋体" w:hAnsi="宋体" w:eastAsia="宋体" w:cs="宋体"/>
          <w:color w:val="auto"/>
          <w:sz w:val="24"/>
          <w:szCs w:val="20"/>
        </w:rPr>
        <w:br w:type="page"/>
      </w:r>
      <w:r>
        <w:rPr>
          <w:rFonts w:hint="eastAsia" w:ascii="宋体" w:hAnsi="宋体" w:eastAsia="宋体" w:cs="宋体"/>
          <w:bCs/>
          <w:color w:val="auto"/>
          <w:sz w:val="44"/>
          <w:szCs w:val="44"/>
        </w:rPr>
        <w:t>资 格 证 明 文 件（封面）</w:t>
      </w:r>
    </w:p>
    <w:p w14:paraId="22371F92">
      <w:pPr>
        <w:snapToGrid w:val="0"/>
        <w:spacing w:before="156" w:beforeLines="50" w:after="50"/>
        <w:rPr>
          <w:rFonts w:hint="eastAsia" w:ascii="宋体" w:hAnsi="宋体" w:eastAsia="宋体" w:cs="宋体"/>
          <w:bCs/>
          <w:color w:val="auto"/>
          <w:sz w:val="24"/>
          <w:szCs w:val="20"/>
        </w:rPr>
      </w:pPr>
    </w:p>
    <w:p w14:paraId="5D89137C">
      <w:pPr>
        <w:snapToGrid w:val="0"/>
        <w:spacing w:before="156" w:beforeLines="50" w:after="50"/>
        <w:rPr>
          <w:rFonts w:hint="eastAsia" w:ascii="宋体" w:hAnsi="宋体" w:eastAsia="宋体" w:cs="宋体"/>
          <w:bCs/>
          <w:color w:val="auto"/>
          <w:sz w:val="24"/>
          <w:szCs w:val="20"/>
        </w:rPr>
      </w:pPr>
    </w:p>
    <w:p w14:paraId="0CEE49F9">
      <w:pPr>
        <w:snapToGrid w:val="0"/>
        <w:spacing w:before="156" w:beforeLines="50" w:after="50"/>
        <w:rPr>
          <w:rFonts w:hint="eastAsia" w:ascii="宋体" w:hAnsi="宋体" w:eastAsia="宋体" w:cs="宋体"/>
          <w:bCs/>
          <w:color w:val="auto"/>
          <w:sz w:val="24"/>
          <w:szCs w:val="20"/>
        </w:rPr>
      </w:pPr>
    </w:p>
    <w:p w14:paraId="3DC26FDD">
      <w:pPr>
        <w:snapToGrid w:val="0"/>
        <w:spacing w:before="156" w:beforeLines="50" w:after="50"/>
        <w:rPr>
          <w:rFonts w:hint="eastAsia" w:ascii="宋体" w:hAnsi="宋体" w:eastAsia="宋体" w:cs="宋体"/>
          <w:bCs/>
          <w:color w:val="auto"/>
          <w:sz w:val="24"/>
          <w:szCs w:val="20"/>
        </w:rPr>
      </w:pPr>
    </w:p>
    <w:p w14:paraId="0C7286EE">
      <w:pPr>
        <w:snapToGrid w:val="0"/>
        <w:spacing w:before="156" w:beforeLines="50" w:after="50"/>
        <w:rPr>
          <w:rFonts w:hint="eastAsia" w:ascii="宋体" w:hAnsi="宋体" w:eastAsia="宋体" w:cs="宋体"/>
          <w:bCs/>
          <w:color w:val="auto"/>
          <w:sz w:val="24"/>
          <w:szCs w:val="20"/>
        </w:rPr>
      </w:pPr>
    </w:p>
    <w:p w14:paraId="46605C1B">
      <w:pPr>
        <w:snapToGrid w:val="0"/>
        <w:spacing w:before="156" w:beforeLines="50" w:after="50"/>
        <w:ind w:firstLine="640" w:firstLineChars="200"/>
        <w:rPr>
          <w:rFonts w:hint="eastAsia" w:ascii="宋体" w:hAnsi="宋体" w:eastAsia="宋体" w:cs="宋体"/>
          <w:bCs/>
          <w:color w:val="auto"/>
          <w:sz w:val="32"/>
          <w:szCs w:val="32"/>
        </w:rPr>
      </w:pPr>
      <w:r>
        <w:rPr>
          <w:rFonts w:hint="eastAsia" w:ascii="宋体" w:hAnsi="宋体" w:eastAsia="宋体" w:cs="宋体"/>
          <w:bCs/>
          <w:color w:val="auto"/>
          <w:sz w:val="32"/>
          <w:szCs w:val="32"/>
        </w:rPr>
        <w:t>项目名称：</w:t>
      </w:r>
    </w:p>
    <w:p w14:paraId="3D43EAB8">
      <w:pPr>
        <w:snapToGrid w:val="0"/>
        <w:spacing w:before="156" w:beforeLines="50" w:after="50"/>
        <w:ind w:firstLine="720" w:firstLineChars="225"/>
        <w:rPr>
          <w:rFonts w:hint="eastAsia" w:ascii="宋体" w:hAnsi="宋体" w:eastAsia="宋体" w:cs="宋体"/>
          <w:bCs/>
          <w:color w:val="auto"/>
          <w:sz w:val="32"/>
          <w:szCs w:val="32"/>
        </w:rPr>
      </w:pPr>
    </w:p>
    <w:p w14:paraId="52378D6F">
      <w:pPr>
        <w:snapToGrid w:val="0"/>
        <w:spacing w:before="156" w:beforeLines="50" w:after="50"/>
        <w:ind w:firstLine="720" w:firstLineChars="225"/>
        <w:rPr>
          <w:rFonts w:hint="eastAsia" w:ascii="宋体" w:hAnsi="宋体" w:eastAsia="宋体" w:cs="宋体"/>
          <w:bCs/>
          <w:color w:val="auto"/>
          <w:sz w:val="32"/>
          <w:szCs w:val="32"/>
        </w:rPr>
      </w:pPr>
      <w:r>
        <w:rPr>
          <w:rFonts w:hint="eastAsia" w:ascii="宋体" w:hAnsi="宋体" w:eastAsia="宋体" w:cs="宋体"/>
          <w:bCs/>
          <w:color w:val="auto"/>
          <w:sz w:val="32"/>
          <w:szCs w:val="32"/>
        </w:rPr>
        <w:t>项目编号：</w:t>
      </w:r>
    </w:p>
    <w:p w14:paraId="609A7E6C">
      <w:pPr>
        <w:snapToGrid w:val="0"/>
        <w:spacing w:before="156" w:beforeLines="50" w:after="50"/>
        <w:ind w:firstLine="720" w:firstLineChars="225"/>
        <w:rPr>
          <w:rFonts w:hint="eastAsia" w:ascii="宋体" w:hAnsi="宋体" w:eastAsia="宋体" w:cs="宋体"/>
          <w:bCs/>
          <w:color w:val="auto"/>
          <w:sz w:val="32"/>
          <w:szCs w:val="32"/>
        </w:rPr>
      </w:pPr>
      <w:r>
        <w:rPr>
          <w:rFonts w:hint="eastAsia" w:ascii="宋体" w:hAnsi="宋体" w:eastAsia="宋体" w:cs="宋体"/>
          <w:bCs/>
          <w:color w:val="auto"/>
          <w:sz w:val="32"/>
          <w:szCs w:val="32"/>
        </w:rPr>
        <w:t xml:space="preserve"> </w:t>
      </w:r>
    </w:p>
    <w:p w14:paraId="2491F35C">
      <w:pPr>
        <w:snapToGrid w:val="0"/>
        <w:spacing w:before="156" w:beforeLines="50" w:after="50"/>
        <w:ind w:firstLine="720" w:firstLineChars="225"/>
        <w:rPr>
          <w:rFonts w:hint="eastAsia" w:ascii="宋体" w:hAnsi="宋体" w:eastAsia="宋体" w:cs="宋体"/>
          <w:bCs/>
          <w:color w:val="auto"/>
          <w:sz w:val="32"/>
          <w:szCs w:val="32"/>
        </w:rPr>
      </w:pPr>
      <w:r>
        <w:rPr>
          <w:rFonts w:hint="eastAsia" w:ascii="宋体" w:hAnsi="宋体" w:eastAsia="宋体" w:cs="宋体"/>
          <w:bCs/>
          <w:color w:val="auto"/>
          <w:sz w:val="32"/>
          <w:szCs w:val="32"/>
        </w:rPr>
        <w:t>所竞分标（如有则填写，无分标时填写“无”或者留空）：</w:t>
      </w:r>
    </w:p>
    <w:p w14:paraId="6B0DFD84">
      <w:pPr>
        <w:snapToGrid w:val="0"/>
        <w:spacing w:before="156" w:beforeLines="50" w:after="50"/>
        <w:ind w:firstLine="720" w:firstLineChars="225"/>
        <w:rPr>
          <w:rFonts w:hint="eastAsia" w:ascii="宋体" w:hAnsi="宋体" w:eastAsia="宋体" w:cs="宋体"/>
          <w:bCs/>
          <w:color w:val="auto"/>
          <w:sz w:val="32"/>
          <w:szCs w:val="32"/>
        </w:rPr>
      </w:pPr>
    </w:p>
    <w:p w14:paraId="4E892E2C">
      <w:pPr>
        <w:pStyle w:val="6"/>
        <w:snapToGrid w:val="0"/>
        <w:spacing w:before="50" w:after="50"/>
        <w:ind w:firstLine="720" w:firstLineChars="225"/>
        <w:rPr>
          <w:rFonts w:hint="eastAsia" w:ascii="宋体" w:hAnsi="宋体" w:eastAsia="宋体" w:cs="宋体"/>
          <w:bCs/>
          <w:color w:val="auto"/>
          <w:sz w:val="32"/>
          <w:szCs w:val="32"/>
        </w:rPr>
      </w:pPr>
      <w:r>
        <w:rPr>
          <w:rFonts w:hint="eastAsia" w:ascii="宋体" w:hAnsi="宋体" w:eastAsia="宋体" w:cs="宋体"/>
          <w:bCs/>
          <w:color w:val="auto"/>
          <w:sz w:val="32"/>
          <w:szCs w:val="32"/>
        </w:rPr>
        <w:t>供应商名称：</w:t>
      </w:r>
    </w:p>
    <w:p w14:paraId="00B9C759">
      <w:pPr>
        <w:pStyle w:val="6"/>
        <w:snapToGrid w:val="0"/>
        <w:spacing w:before="50" w:after="50"/>
        <w:ind w:firstLine="720" w:firstLineChars="225"/>
        <w:rPr>
          <w:rFonts w:hint="eastAsia" w:ascii="宋体" w:hAnsi="宋体" w:eastAsia="宋体" w:cs="宋体"/>
          <w:bCs/>
          <w:color w:val="auto"/>
          <w:sz w:val="32"/>
          <w:szCs w:val="32"/>
        </w:rPr>
      </w:pPr>
    </w:p>
    <w:p w14:paraId="723AD68D">
      <w:pPr>
        <w:pStyle w:val="6"/>
        <w:snapToGrid w:val="0"/>
        <w:spacing w:before="50" w:after="50"/>
        <w:ind w:firstLine="720" w:firstLineChars="225"/>
        <w:rPr>
          <w:rFonts w:hint="eastAsia" w:ascii="宋体" w:hAnsi="宋体" w:eastAsia="宋体" w:cs="宋体"/>
          <w:bCs/>
          <w:color w:val="auto"/>
          <w:sz w:val="32"/>
          <w:szCs w:val="32"/>
        </w:rPr>
      </w:pPr>
    </w:p>
    <w:p w14:paraId="7853B3ED">
      <w:pPr>
        <w:pStyle w:val="6"/>
        <w:snapToGrid w:val="0"/>
        <w:spacing w:before="50" w:after="50"/>
        <w:ind w:firstLine="720" w:firstLineChars="225"/>
        <w:rPr>
          <w:rFonts w:hint="eastAsia" w:ascii="宋体" w:hAnsi="宋体" w:eastAsia="宋体" w:cs="宋体"/>
          <w:bCs/>
          <w:color w:val="auto"/>
          <w:sz w:val="32"/>
          <w:szCs w:val="32"/>
        </w:rPr>
      </w:pPr>
    </w:p>
    <w:p w14:paraId="0A4DDCE6">
      <w:pPr>
        <w:pStyle w:val="6"/>
        <w:snapToGrid w:val="0"/>
        <w:spacing w:before="50" w:after="50"/>
        <w:ind w:firstLine="1280" w:firstLineChars="400"/>
        <w:rPr>
          <w:rFonts w:hint="eastAsia" w:ascii="宋体" w:hAnsi="宋体" w:eastAsia="宋体" w:cs="宋体"/>
          <w:bCs/>
          <w:color w:val="auto"/>
          <w:sz w:val="32"/>
          <w:szCs w:val="32"/>
        </w:rPr>
      </w:pPr>
    </w:p>
    <w:p w14:paraId="1AE2E9A1">
      <w:pPr>
        <w:snapToGrid w:val="0"/>
        <w:spacing w:before="156" w:beforeLines="50" w:after="50"/>
        <w:jc w:val="center"/>
        <w:rPr>
          <w:rFonts w:hint="eastAsia" w:ascii="宋体" w:hAnsi="宋体" w:eastAsia="宋体" w:cs="宋体"/>
          <w:color w:val="auto"/>
          <w:sz w:val="32"/>
          <w:szCs w:val="32"/>
        </w:rPr>
      </w:pPr>
      <w:r>
        <w:rPr>
          <w:rFonts w:hint="eastAsia" w:ascii="宋体" w:hAnsi="宋体" w:eastAsia="宋体" w:cs="宋体"/>
          <w:color w:val="auto"/>
          <w:sz w:val="32"/>
          <w:szCs w:val="32"/>
        </w:rPr>
        <w:t>年    月    日</w:t>
      </w:r>
    </w:p>
    <w:p w14:paraId="412E9DF5">
      <w:pPr>
        <w:snapToGrid w:val="0"/>
        <w:spacing w:before="156" w:beforeLines="50" w:after="50" w:line="360" w:lineRule="auto"/>
        <w:ind w:left="142"/>
        <w:jc w:val="left"/>
        <w:outlineLvl w:val="2"/>
        <w:rPr>
          <w:rFonts w:hint="eastAsia" w:ascii="宋体" w:hAnsi="宋体" w:eastAsia="宋体" w:cs="宋体"/>
          <w:b/>
          <w:bCs/>
          <w:color w:val="auto"/>
          <w:sz w:val="24"/>
        </w:rPr>
      </w:pPr>
      <w:r>
        <w:rPr>
          <w:rFonts w:hint="eastAsia" w:ascii="宋体" w:hAnsi="宋体" w:eastAsia="宋体" w:cs="宋体"/>
          <w:color w:val="auto"/>
          <w:sz w:val="24"/>
          <w:szCs w:val="20"/>
        </w:rPr>
        <w:br w:type="page"/>
      </w:r>
      <w:r>
        <w:rPr>
          <w:rFonts w:hint="eastAsia" w:ascii="宋体" w:hAnsi="宋体" w:eastAsia="宋体" w:cs="宋体"/>
          <w:color w:val="auto"/>
          <w:sz w:val="24"/>
          <w:szCs w:val="20"/>
        </w:rPr>
        <w:t>1</w:t>
      </w:r>
      <w:r>
        <w:rPr>
          <w:rFonts w:hint="eastAsia" w:ascii="宋体" w:hAnsi="宋体" w:eastAsia="宋体" w:cs="宋体"/>
          <w:b/>
          <w:bCs/>
          <w:color w:val="auto"/>
          <w:sz w:val="24"/>
        </w:rPr>
        <w:t>.资格证明文件目录</w:t>
      </w:r>
    </w:p>
    <w:p w14:paraId="062F0031">
      <w:pPr>
        <w:snapToGrid w:val="0"/>
        <w:spacing w:before="156" w:beforeLines="50" w:after="50" w:line="360" w:lineRule="auto"/>
        <w:ind w:firstLine="645"/>
        <w:rPr>
          <w:rFonts w:hint="eastAsia" w:ascii="宋体" w:hAnsi="宋体" w:eastAsia="宋体" w:cs="宋体"/>
          <w:color w:val="auto"/>
          <w:sz w:val="24"/>
          <w:szCs w:val="20"/>
        </w:rPr>
      </w:pPr>
      <w:r>
        <w:rPr>
          <w:rFonts w:hint="eastAsia" w:ascii="宋体" w:hAnsi="宋体" w:eastAsia="宋体" w:cs="宋体"/>
          <w:color w:val="auto"/>
          <w:sz w:val="24"/>
        </w:rPr>
        <w:t>根据竞争性谈判文件规定及供应商提供的材料自行编写目录（部分格式后附）。</w:t>
      </w:r>
    </w:p>
    <w:p w14:paraId="5E36CB97">
      <w:pPr>
        <w:snapToGrid w:val="0"/>
        <w:spacing w:before="156" w:beforeLines="50" w:after="50"/>
        <w:jc w:val="left"/>
        <w:rPr>
          <w:rFonts w:hint="eastAsia" w:ascii="宋体" w:hAnsi="宋体" w:eastAsia="宋体" w:cs="宋体"/>
          <w:b/>
          <w:color w:val="auto"/>
          <w:sz w:val="32"/>
          <w:szCs w:val="32"/>
        </w:rPr>
      </w:pPr>
      <w:r>
        <w:rPr>
          <w:rFonts w:hint="eastAsia" w:ascii="宋体" w:hAnsi="宋体" w:eastAsia="宋体" w:cs="宋体"/>
          <w:color w:val="auto"/>
          <w:sz w:val="24"/>
          <w:szCs w:val="20"/>
        </w:rPr>
        <w:br w:type="page"/>
      </w:r>
    </w:p>
    <w:p w14:paraId="2F197283">
      <w:pPr>
        <w:snapToGrid w:val="0"/>
        <w:spacing w:before="156" w:beforeLines="50" w:after="5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供应商直接控股、管理关系信息表</w:t>
      </w:r>
    </w:p>
    <w:p w14:paraId="607CEBF6">
      <w:pPr>
        <w:snapToGrid w:val="0"/>
        <w:spacing w:before="156" w:beforeLines="50" w:after="50"/>
        <w:jc w:val="center"/>
        <w:rPr>
          <w:rFonts w:hint="eastAsia" w:ascii="宋体" w:hAnsi="宋体" w:eastAsia="宋体" w:cs="宋体"/>
          <w:b/>
          <w:color w:val="auto"/>
          <w:sz w:val="32"/>
          <w:szCs w:val="32"/>
        </w:rPr>
      </w:pPr>
    </w:p>
    <w:p w14:paraId="4E149A0E">
      <w:pPr>
        <w:snapToGrid w:val="0"/>
        <w:spacing w:before="156" w:beforeLines="50" w:after="5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供应商直接控股股东信息表</w:t>
      </w:r>
    </w:p>
    <w:p w14:paraId="61CA1B77">
      <w:pPr>
        <w:snapToGrid w:val="0"/>
        <w:spacing w:before="50" w:after="156" w:afterLines="50"/>
        <w:jc w:val="center"/>
        <w:rPr>
          <w:rFonts w:hint="eastAsia" w:ascii="宋体" w:hAnsi="宋体" w:eastAsia="宋体" w:cs="宋体"/>
          <w:b/>
          <w:color w:val="auto"/>
          <w:sz w:val="32"/>
          <w:szCs w:val="32"/>
        </w:rPr>
      </w:pPr>
    </w:p>
    <w:tbl>
      <w:tblPr>
        <w:tblStyle w:val="30"/>
        <w:tblW w:w="4997" w:type="pct"/>
        <w:jc w:val="center"/>
        <w:shd w:val="clear" w:color="auto" w:fill="FBFBFB"/>
        <w:tblLayout w:type="autofit"/>
        <w:tblCellMar>
          <w:top w:w="0" w:type="dxa"/>
          <w:left w:w="0" w:type="dxa"/>
          <w:bottom w:w="0" w:type="dxa"/>
          <w:right w:w="0" w:type="dxa"/>
        </w:tblCellMar>
      </w:tblPr>
      <w:tblGrid>
        <w:gridCol w:w="807"/>
        <w:gridCol w:w="2437"/>
        <w:gridCol w:w="1334"/>
        <w:gridCol w:w="3935"/>
        <w:gridCol w:w="797"/>
      </w:tblGrid>
      <w:tr w14:paraId="7FAFC854">
        <w:tblPrEx>
          <w:shd w:val="clear" w:color="auto" w:fill="FBFBFB"/>
          <w:tblCellMar>
            <w:top w:w="0" w:type="dxa"/>
            <w:left w:w="0" w:type="dxa"/>
            <w:bottom w:w="0" w:type="dxa"/>
            <w:right w:w="0" w:type="dxa"/>
          </w:tblCellMar>
        </w:tblPrEx>
        <w:trPr>
          <w:tblHeader/>
          <w:jc w:val="center"/>
        </w:trPr>
        <w:tc>
          <w:tcPr>
            <w:tcW w:w="433" w:type="pct"/>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2515CC6">
            <w:pPr>
              <w:widowControl/>
              <w:spacing w:line="360"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序号</w:t>
            </w:r>
          </w:p>
        </w:tc>
        <w:tc>
          <w:tcPr>
            <w:tcW w:w="1308" w:type="pct"/>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C866B85">
            <w:pPr>
              <w:widowControl/>
              <w:spacing w:line="360"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直接控股股东名称</w:t>
            </w:r>
          </w:p>
        </w:tc>
        <w:tc>
          <w:tcPr>
            <w:tcW w:w="716" w:type="pct"/>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6B93FD8">
            <w:pPr>
              <w:widowControl/>
              <w:spacing w:line="360"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出资比例</w:t>
            </w:r>
          </w:p>
        </w:tc>
        <w:tc>
          <w:tcPr>
            <w:tcW w:w="2112" w:type="pct"/>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B209E7E">
            <w:pPr>
              <w:widowControl/>
              <w:spacing w:line="360"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身份证号码或者统一社会信用代码</w:t>
            </w:r>
          </w:p>
        </w:tc>
        <w:tc>
          <w:tcPr>
            <w:tcW w:w="428" w:type="pct"/>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135DDB">
            <w:pPr>
              <w:widowControl/>
              <w:spacing w:line="360"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备注</w:t>
            </w:r>
          </w:p>
        </w:tc>
      </w:tr>
      <w:tr w14:paraId="40661FE5">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289F83">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130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29556B8">
            <w:pPr>
              <w:widowControl/>
              <w:spacing w:line="360" w:lineRule="auto"/>
              <w:jc w:val="center"/>
              <w:rPr>
                <w:rFonts w:hint="eastAsia" w:ascii="宋体" w:hAnsi="宋体" w:eastAsia="宋体" w:cs="宋体"/>
                <w:color w:val="auto"/>
                <w:kern w:val="0"/>
                <w:sz w:val="24"/>
              </w:rPr>
            </w:pPr>
          </w:p>
        </w:tc>
        <w:tc>
          <w:tcPr>
            <w:tcW w:w="716"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E919800">
            <w:pPr>
              <w:widowControl/>
              <w:spacing w:line="360" w:lineRule="auto"/>
              <w:jc w:val="center"/>
              <w:rPr>
                <w:rFonts w:hint="eastAsia" w:ascii="宋体" w:hAnsi="宋体" w:eastAsia="宋体" w:cs="宋体"/>
                <w:color w:val="auto"/>
                <w:kern w:val="0"/>
                <w:sz w:val="24"/>
              </w:rPr>
            </w:pPr>
          </w:p>
        </w:tc>
        <w:tc>
          <w:tcPr>
            <w:tcW w:w="2112"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B9C46E">
            <w:pPr>
              <w:widowControl/>
              <w:spacing w:line="360" w:lineRule="auto"/>
              <w:jc w:val="center"/>
              <w:rPr>
                <w:rFonts w:hint="eastAsia" w:ascii="宋体" w:hAnsi="宋体" w:eastAsia="宋体" w:cs="宋体"/>
                <w:color w:val="auto"/>
                <w:kern w:val="0"/>
                <w:sz w:val="24"/>
              </w:rPr>
            </w:pPr>
          </w:p>
        </w:tc>
        <w:tc>
          <w:tcPr>
            <w:tcW w:w="42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1AE8D2">
            <w:pPr>
              <w:widowControl/>
              <w:spacing w:line="360" w:lineRule="auto"/>
              <w:jc w:val="center"/>
              <w:rPr>
                <w:rFonts w:hint="eastAsia" w:ascii="宋体" w:hAnsi="宋体" w:eastAsia="宋体" w:cs="宋体"/>
                <w:color w:val="auto"/>
                <w:kern w:val="0"/>
                <w:sz w:val="24"/>
              </w:rPr>
            </w:pPr>
          </w:p>
        </w:tc>
      </w:tr>
      <w:tr w14:paraId="15E6ECF5">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CFC484">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130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00CC58">
            <w:pPr>
              <w:widowControl/>
              <w:spacing w:line="360" w:lineRule="auto"/>
              <w:jc w:val="center"/>
              <w:rPr>
                <w:rFonts w:hint="eastAsia" w:ascii="宋体" w:hAnsi="宋体" w:eastAsia="宋体" w:cs="宋体"/>
                <w:color w:val="auto"/>
                <w:kern w:val="0"/>
                <w:sz w:val="24"/>
              </w:rPr>
            </w:pPr>
          </w:p>
        </w:tc>
        <w:tc>
          <w:tcPr>
            <w:tcW w:w="716"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2FE161">
            <w:pPr>
              <w:widowControl/>
              <w:spacing w:line="360" w:lineRule="auto"/>
              <w:jc w:val="center"/>
              <w:rPr>
                <w:rFonts w:hint="eastAsia" w:ascii="宋体" w:hAnsi="宋体" w:eastAsia="宋体" w:cs="宋体"/>
                <w:color w:val="auto"/>
                <w:kern w:val="0"/>
                <w:sz w:val="24"/>
              </w:rPr>
            </w:pPr>
          </w:p>
        </w:tc>
        <w:tc>
          <w:tcPr>
            <w:tcW w:w="2112"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7F1086">
            <w:pPr>
              <w:widowControl/>
              <w:spacing w:line="360" w:lineRule="auto"/>
              <w:jc w:val="center"/>
              <w:rPr>
                <w:rFonts w:hint="eastAsia" w:ascii="宋体" w:hAnsi="宋体" w:eastAsia="宋体" w:cs="宋体"/>
                <w:color w:val="auto"/>
                <w:kern w:val="0"/>
                <w:sz w:val="24"/>
              </w:rPr>
            </w:pPr>
          </w:p>
        </w:tc>
        <w:tc>
          <w:tcPr>
            <w:tcW w:w="42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9BB5D9">
            <w:pPr>
              <w:widowControl/>
              <w:spacing w:line="360" w:lineRule="auto"/>
              <w:jc w:val="center"/>
              <w:rPr>
                <w:rFonts w:hint="eastAsia" w:ascii="宋体" w:hAnsi="宋体" w:eastAsia="宋体" w:cs="宋体"/>
                <w:color w:val="auto"/>
                <w:kern w:val="0"/>
                <w:sz w:val="24"/>
              </w:rPr>
            </w:pPr>
          </w:p>
        </w:tc>
      </w:tr>
      <w:tr w14:paraId="374818B6">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09ECEE">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130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5F5D4B">
            <w:pPr>
              <w:widowControl/>
              <w:spacing w:line="360" w:lineRule="auto"/>
              <w:jc w:val="center"/>
              <w:rPr>
                <w:rFonts w:hint="eastAsia" w:ascii="宋体" w:hAnsi="宋体" w:eastAsia="宋体" w:cs="宋体"/>
                <w:color w:val="auto"/>
                <w:kern w:val="0"/>
                <w:sz w:val="24"/>
              </w:rPr>
            </w:pPr>
          </w:p>
        </w:tc>
        <w:tc>
          <w:tcPr>
            <w:tcW w:w="716"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5D85F2">
            <w:pPr>
              <w:widowControl/>
              <w:spacing w:line="360" w:lineRule="auto"/>
              <w:jc w:val="center"/>
              <w:rPr>
                <w:rFonts w:hint="eastAsia" w:ascii="宋体" w:hAnsi="宋体" w:eastAsia="宋体" w:cs="宋体"/>
                <w:color w:val="auto"/>
                <w:kern w:val="0"/>
                <w:sz w:val="24"/>
              </w:rPr>
            </w:pPr>
          </w:p>
        </w:tc>
        <w:tc>
          <w:tcPr>
            <w:tcW w:w="2112"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A8AB662">
            <w:pPr>
              <w:widowControl/>
              <w:spacing w:line="360" w:lineRule="auto"/>
              <w:jc w:val="center"/>
              <w:rPr>
                <w:rFonts w:hint="eastAsia" w:ascii="宋体" w:hAnsi="宋体" w:eastAsia="宋体" w:cs="宋体"/>
                <w:color w:val="auto"/>
                <w:kern w:val="0"/>
                <w:sz w:val="24"/>
              </w:rPr>
            </w:pPr>
          </w:p>
        </w:tc>
        <w:tc>
          <w:tcPr>
            <w:tcW w:w="42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68AE8E">
            <w:pPr>
              <w:widowControl/>
              <w:spacing w:line="360" w:lineRule="auto"/>
              <w:jc w:val="center"/>
              <w:rPr>
                <w:rFonts w:hint="eastAsia" w:ascii="宋体" w:hAnsi="宋体" w:eastAsia="宋体" w:cs="宋体"/>
                <w:color w:val="auto"/>
                <w:kern w:val="0"/>
                <w:sz w:val="24"/>
              </w:rPr>
            </w:pPr>
          </w:p>
        </w:tc>
      </w:tr>
      <w:tr w14:paraId="653BDACC">
        <w:tblPrEx>
          <w:tblCellMar>
            <w:top w:w="0" w:type="dxa"/>
            <w:left w:w="0" w:type="dxa"/>
            <w:bottom w:w="0" w:type="dxa"/>
            <w:right w:w="0" w:type="dxa"/>
          </w:tblCellMar>
        </w:tblPrEx>
        <w:trPr>
          <w:jc w:val="center"/>
        </w:trPr>
        <w:tc>
          <w:tcPr>
            <w:tcW w:w="433"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202D96">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130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F746E8">
            <w:pPr>
              <w:widowControl/>
              <w:spacing w:line="360" w:lineRule="auto"/>
              <w:jc w:val="center"/>
              <w:rPr>
                <w:rFonts w:hint="eastAsia" w:ascii="宋体" w:hAnsi="宋体" w:eastAsia="宋体" w:cs="宋体"/>
                <w:color w:val="auto"/>
                <w:kern w:val="0"/>
                <w:sz w:val="24"/>
              </w:rPr>
            </w:pPr>
          </w:p>
        </w:tc>
        <w:tc>
          <w:tcPr>
            <w:tcW w:w="716"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9DACFF">
            <w:pPr>
              <w:widowControl/>
              <w:spacing w:line="360" w:lineRule="auto"/>
              <w:jc w:val="center"/>
              <w:rPr>
                <w:rFonts w:hint="eastAsia" w:ascii="宋体" w:hAnsi="宋体" w:eastAsia="宋体" w:cs="宋体"/>
                <w:color w:val="auto"/>
                <w:kern w:val="0"/>
                <w:sz w:val="24"/>
              </w:rPr>
            </w:pPr>
          </w:p>
        </w:tc>
        <w:tc>
          <w:tcPr>
            <w:tcW w:w="2112"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1781C5">
            <w:pPr>
              <w:widowControl/>
              <w:spacing w:line="360" w:lineRule="auto"/>
              <w:jc w:val="center"/>
              <w:rPr>
                <w:rFonts w:hint="eastAsia" w:ascii="宋体" w:hAnsi="宋体" w:eastAsia="宋体" w:cs="宋体"/>
                <w:color w:val="auto"/>
                <w:kern w:val="0"/>
                <w:sz w:val="24"/>
              </w:rPr>
            </w:pPr>
          </w:p>
        </w:tc>
        <w:tc>
          <w:tcPr>
            <w:tcW w:w="428" w:type="pct"/>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27E6CB">
            <w:pPr>
              <w:widowControl/>
              <w:spacing w:line="360" w:lineRule="auto"/>
              <w:jc w:val="center"/>
              <w:rPr>
                <w:rFonts w:hint="eastAsia" w:ascii="宋体" w:hAnsi="宋体" w:eastAsia="宋体" w:cs="宋体"/>
                <w:color w:val="auto"/>
                <w:kern w:val="0"/>
                <w:sz w:val="24"/>
              </w:rPr>
            </w:pPr>
          </w:p>
        </w:tc>
      </w:tr>
    </w:tbl>
    <w:p w14:paraId="0C4FB23C">
      <w:pPr>
        <w:spacing w:line="440" w:lineRule="exact"/>
        <w:contextualSpacing/>
        <w:jc w:val="left"/>
        <w:rPr>
          <w:rFonts w:hint="eastAsia" w:ascii="宋体" w:hAnsi="宋体" w:eastAsia="宋体" w:cs="宋体"/>
          <w:color w:val="auto"/>
          <w:szCs w:val="21"/>
        </w:rPr>
      </w:pPr>
      <w:r>
        <w:rPr>
          <w:rFonts w:hint="eastAsia" w:ascii="宋体" w:hAnsi="宋体" w:eastAsia="宋体" w:cs="宋体"/>
          <w:color w:val="auto"/>
          <w:szCs w:val="21"/>
        </w:rPr>
        <w:t>注：</w:t>
      </w:r>
    </w:p>
    <w:p w14:paraId="77FB4ECB">
      <w:pPr>
        <w:spacing w:line="440" w:lineRule="exact"/>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6811672">
      <w:pPr>
        <w:spacing w:line="440" w:lineRule="exact"/>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2.本表所指的控股关系仅限于直接控股关系，不包括间接的控股关系。公司实际控制人与公司之间的关系不属于本表所指的直接控股关系。</w:t>
      </w:r>
    </w:p>
    <w:p w14:paraId="4FE8092C">
      <w:pPr>
        <w:spacing w:line="440" w:lineRule="exact"/>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3.供应商不存在直接控股股东的，则填“无”。</w:t>
      </w:r>
    </w:p>
    <w:p w14:paraId="48C56CBB">
      <w:pPr>
        <w:spacing w:line="360" w:lineRule="auto"/>
        <w:ind w:firstLine="420" w:firstLineChars="200"/>
        <w:contextualSpacing/>
        <w:jc w:val="left"/>
        <w:rPr>
          <w:rFonts w:hint="eastAsia" w:ascii="宋体" w:hAnsi="宋体" w:eastAsia="宋体" w:cs="宋体"/>
          <w:color w:val="auto"/>
          <w:szCs w:val="21"/>
        </w:rPr>
      </w:pPr>
    </w:p>
    <w:p w14:paraId="63360690">
      <w:pPr>
        <w:spacing w:line="360" w:lineRule="auto"/>
        <w:ind w:firstLine="560" w:firstLineChars="200"/>
        <w:contextualSpacing/>
        <w:jc w:val="left"/>
        <w:rPr>
          <w:rFonts w:hint="eastAsia" w:ascii="宋体" w:hAnsi="宋体" w:eastAsia="宋体" w:cs="宋体"/>
          <w:color w:val="auto"/>
          <w:sz w:val="28"/>
          <w:szCs w:val="28"/>
        </w:rPr>
      </w:pPr>
    </w:p>
    <w:p w14:paraId="01146EB6">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1731F1A4">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 xml:space="preserve">法定代表人或授权代理人签字（或个人CA签章）： </w:t>
      </w:r>
      <w:r>
        <w:rPr>
          <w:rFonts w:hint="eastAsia" w:ascii="宋体" w:hAnsi="宋体" w:eastAsia="宋体" w:cs="宋体"/>
          <w:color w:val="auto"/>
          <w:szCs w:val="21"/>
          <w:u w:val="single"/>
        </w:rPr>
        <w:t xml:space="preserve">      </w:t>
      </w:r>
    </w:p>
    <w:p w14:paraId="3C942BA6">
      <w:pPr>
        <w:spacing w:line="360" w:lineRule="auto"/>
        <w:ind w:right="480" w:firstLine="2625" w:firstLineChars="1250"/>
        <w:contextualSpacing/>
        <w:rPr>
          <w:rFonts w:hint="eastAsia" w:ascii="宋体" w:hAnsi="宋体" w:eastAsia="宋体" w:cs="宋体"/>
          <w:color w:val="auto"/>
          <w:szCs w:val="21"/>
          <w:u w:val="single"/>
        </w:rPr>
      </w:pPr>
    </w:p>
    <w:p w14:paraId="5E01272E">
      <w:pPr>
        <w:spacing w:line="360" w:lineRule="auto"/>
        <w:ind w:right="480" w:firstLine="4620" w:firstLineChars="2200"/>
        <w:contextualSpacing/>
        <w:rPr>
          <w:rFonts w:hint="eastAsia" w:ascii="宋体" w:hAnsi="宋体" w:eastAsia="宋体" w:cs="宋体"/>
          <w:color w:val="auto"/>
          <w:szCs w:val="21"/>
        </w:rPr>
      </w:pPr>
      <w:r>
        <w:rPr>
          <w:rFonts w:hint="eastAsia" w:ascii="宋体" w:hAnsi="宋体" w:eastAsia="宋体" w:cs="宋体"/>
          <w:color w:val="auto"/>
          <w:szCs w:val="21"/>
        </w:rPr>
        <w:t>年    月    日</w:t>
      </w:r>
    </w:p>
    <w:p w14:paraId="24557D6D">
      <w:pPr>
        <w:snapToGrid w:val="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br w:type="page"/>
      </w:r>
    </w:p>
    <w:p w14:paraId="22730B6F">
      <w:pPr>
        <w:snapToGrid w:val="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供应商直接管理关系信息表</w:t>
      </w:r>
    </w:p>
    <w:p w14:paraId="1204BD4F">
      <w:pPr>
        <w:snapToGrid w:val="0"/>
        <w:jc w:val="center"/>
        <w:rPr>
          <w:rFonts w:hint="eastAsia" w:ascii="宋体" w:hAnsi="宋体" w:eastAsia="宋体" w:cs="宋体"/>
          <w:b/>
          <w:color w:val="auto"/>
          <w:sz w:val="32"/>
          <w:szCs w:val="32"/>
        </w:rPr>
      </w:pPr>
    </w:p>
    <w:tbl>
      <w:tblPr>
        <w:tblStyle w:val="3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4733E81">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EB8D8D3">
            <w:pPr>
              <w:widowControl/>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5231F9E">
            <w:pPr>
              <w:widowControl/>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7D8E13">
            <w:pPr>
              <w:widowControl/>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96B9564">
            <w:pPr>
              <w:widowControl/>
              <w:jc w:val="center"/>
              <w:rPr>
                <w:rFonts w:hint="eastAsia" w:ascii="宋体" w:hAnsi="宋体" w:eastAsia="宋体" w:cs="宋体"/>
                <w:b/>
                <w:bCs/>
                <w:color w:val="auto"/>
                <w:kern w:val="0"/>
                <w:sz w:val="28"/>
                <w:szCs w:val="28"/>
              </w:rPr>
            </w:pPr>
            <w:r>
              <w:rPr>
                <w:rFonts w:hint="eastAsia" w:ascii="宋体" w:hAnsi="宋体" w:eastAsia="宋体" w:cs="宋体"/>
                <w:b/>
                <w:bCs/>
                <w:color w:val="auto"/>
                <w:kern w:val="0"/>
                <w:sz w:val="28"/>
                <w:szCs w:val="28"/>
              </w:rPr>
              <w:t>备注</w:t>
            </w:r>
          </w:p>
        </w:tc>
      </w:tr>
      <w:tr w14:paraId="4B10AA2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CCFC43">
            <w:pPr>
              <w:widowControl/>
              <w:wordWrap w:val="0"/>
              <w:spacing w:line="200" w:lineRule="atLeas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B84ECF">
            <w:pPr>
              <w:widowControl/>
              <w:wordWrap w:val="0"/>
              <w:spacing w:line="200" w:lineRule="atLeast"/>
              <w:jc w:val="center"/>
              <w:rPr>
                <w:rFonts w:hint="eastAsia" w:ascii="宋体" w:hAnsi="宋体" w:eastAsia="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4C7B6B">
            <w:pPr>
              <w:widowControl/>
              <w:wordWrap w:val="0"/>
              <w:spacing w:line="200" w:lineRule="atLeast"/>
              <w:jc w:val="center"/>
              <w:rPr>
                <w:rFonts w:hint="eastAsia" w:ascii="宋体" w:hAnsi="宋体" w:eastAsia="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457667">
            <w:pPr>
              <w:widowControl/>
              <w:wordWrap w:val="0"/>
              <w:spacing w:line="200" w:lineRule="atLeast"/>
              <w:jc w:val="center"/>
              <w:rPr>
                <w:rFonts w:hint="eastAsia" w:ascii="宋体" w:hAnsi="宋体" w:eastAsia="宋体" w:cs="宋体"/>
                <w:color w:val="auto"/>
                <w:kern w:val="0"/>
                <w:sz w:val="28"/>
                <w:szCs w:val="28"/>
              </w:rPr>
            </w:pPr>
          </w:p>
        </w:tc>
      </w:tr>
      <w:tr w14:paraId="506E1D02">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5443F1">
            <w:pPr>
              <w:widowControl/>
              <w:wordWrap w:val="0"/>
              <w:spacing w:line="200" w:lineRule="atLeas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F4F1D0">
            <w:pPr>
              <w:widowControl/>
              <w:wordWrap w:val="0"/>
              <w:spacing w:line="200" w:lineRule="atLeast"/>
              <w:jc w:val="center"/>
              <w:rPr>
                <w:rFonts w:hint="eastAsia" w:ascii="宋体" w:hAnsi="宋体" w:eastAsia="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35C346">
            <w:pPr>
              <w:widowControl/>
              <w:wordWrap w:val="0"/>
              <w:spacing w:line="200" w:lineRule="atLeast"/>
              <w:jc w:val="center"/>
              <w:rPr>
                <w:rFonts w:hint="eastAsia" w:ascii="宋体" w:hAnsi="宋体" w:eastAsia="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2CBF2C">
            <w:pPr>
              <w:widowControl/>
              <w:wordWrap w:val="0"/>
              <w:spacing w:line="200" w:lineRule="atLeast"/>
              <w:jc w:val="center"/>
              <w:rPr>
                <w:rFonts w:hint="eastAsia" w:ascii="宋体" w:hAnsi="宋体" w:eastAsia="宋体" w:cs="宋体"/>
                <w:color w:val="auto"/>
                <w:kern w:val="0"/>
                <w:sz w:val="28"/>
                <w:szCs w:val="28"/>
              </w:rPr>
            </w:pPr>
          </w:p>
        </w:tc>
      </w:tr>
      <w:tr w14:paraId="3500022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49F344">
            <w:pPr>
              <w:widowControl/>
              <w:wordWrap w:val="0"/>
              <w:spacing w:line="200" w:lineRule="atLeas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88BB57">
            <w:pPr>
              <w:widowControl/>
              <w:wordWrap w:val="0"/>
              <w:spacing w:line="200" w:lineRule="atLeast"/>
              <w:jc w:val="center"/>
              <w:rPr>
                <w:rFonts w:hint="eastAsia" w:ascii="宋体" w:hAnsi="宋体" w:eastAsia="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E4EC46">
            <w:pPr>
              <w:widowControl/>
              <w:wordWrap w:val="0"/>
              <w:spacing w:line="200" w:lineRule="atLeast"/>
              <w:jc w:val="center"/>
              <w:rPr>
                <w:rFonts w:hint="eastAsia" w:ascii="宋体" w:hAnsi="宋体" w:eastAsia="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1236D11">
            <w:pPr>
              <w:widowControl/>
              <w:wordWrap w:val="0"/>
              <w:spacing w:line="200" w:lineRule="atLeast"/>
              <w:jc w:val="center"/>
              <w:rPr>
                <w:rFonts w:hint="eastAsia" w:ascii="宋体" w:hAnsi="宋体" w:eastAsia="宋体" w:cs="宋体"/>
                <w:color w:val="auto"/>
                <w:kern w:val="0"/>
                <w:sz w:val="28"/>
                <w:szCs w:val="28"/>
              </w:rPr>
            </w:pPr>
          </w:p>
        </w:tc>
      </w:tr>
      <w:tr w14:paraId="538139D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57F38D">
            <w:pPr>
              <w:widowControl/>
              <w:wordWrap w:val="0"/>
              <w:spacing w:line="200" w:lineRule="atLeast"/>
              <w:jc w:val="center"/>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E2954F">
            <w:pPr>
              <w:widowControl/>
              <w:wordWrap w:val="0"/>
              <w:spacing w:line="200" w:lineRule="atLeast"/>
              <w:jc w:val="center"/>
              <w:rPr>
                <w:rFonts w:hint="eastAsia" w:ascii="宋体" w:hAnsi="宋体" w:eastAsia="宋体" w:cs="宋体"/>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BD5AAA">
            <w:pPr>
              <w:widowControl/>
              <w:wordWrap w:val="0"/>
              <w:spacing w:line="200" w:lineRule="atLeast"/>
              <w:jc w:val="center"/>
              <w:rPr>
                <w:rFonts w:hint="eastAsia" w:ascii="宋体" w:hAnsi="宋体" w:eastAsia="宋体" w:cs="宋体"/>
                <w:color w:val="auto"/>
                <w:kern w:val="0"/>
                <w:sz w:val="28"/>
                <w:szCs w:val="28"/>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CE3480">
            <w:pPr>
              <w:widowControl/>
              <w:wordWrap w:val="0"/>
              <w:spacing w:line="200" w:lineRule="atLeast"/>
              <w:jc w:val="center"/>
              <w:rPr>
                <w:rFonts w:hint="eastAsia" w:ascii="宋体" w:hAnsi="宋体" w:eastAsia="宋体" w:cs="宋体"/>
                <w:color w:val="auto"/>
                <w:kern w:val="0"/>
                <w:sz w:val="28"/>
                <w:szCs w:val="28"/>
              </w:rPr>
            </w:pPr>
          </w:p>
        </w:tc>
      </w:tr>
    </w:tbl>
    <w:p w14:paraId="75526836">
      <w:pPr>
        <w:spacing w:line="360" w:lineRule="auto"/>
        <w:contextualSpacing/>
        <w:jc w:val="left"/>
        <w:rPr>
          <w:rFonts w:hint="eastAsia" w:ascii="宋体" w:hAnsi="宋体" w:eastAsia="宋体" w:cs="宋体"/>
          <w:color w:val="auto"/>
          <w:szCs w:val="21"/>
        </w:rPr>
      </w:pPr>
      <w:r>
        <w:rPr>
          <w:rFonts w:hint="eastAsia" w:ascii="宋体" w:hAnsi="宋体" w:eastAsia="宋体" w:cs="宋体"/>
          <w:color w:val="auto"/>
          <w:szCs w:val="21"/>
        </w:rPr>
        <w:t>注：</w:t>
      </w:r>
    </w:p>
    <w:p w14:paraId="19764831">
      <w:pPr>
        <w:spacing w:line="360" w:lineRule="auto"/>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1.管理关系：是指不具有出资持股关系的其他单位之间存在的管理与被管理关系，如一些上下级关系的事业单位和团体组织。</w:t>
      </w:r>
    </w:p>
    <w:p w14:paraId="5D1E6D67">
      <w:pPr>
        <w:spacing w:line="360" w:lineRule="auto"/>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2.</w:t>
      </w:r>
      <w:r>
        <w:rPr>
          <w:rFonts w:hint="eastAsia" w:ascii="宋体" w:hAnsi="宋体" w:eastAsia="宋体" w:cs="宋体"/>
          <w:color w:val="auto"/>
          <w:spacing w:val="-6"/>
          <w:szCs w:val="21"/>
        </w:rPr>
        <w:t>本表所指的管理关系仅限于直接管理关系，不包括间接的管理关系。</w:t>
      </w:r>
    </w:p>
    <w:p w14:paraId="5AC09529">
      <w:pPr>
        <w:spacing w:line="360" w:lineRule="auto"/>
        <w:ind w:firstLine="420" w:firstLineChars="200"/>
        <w:contextualSpacing/>
        <w:jc w:val="left"/>
        <w:rPr>
          <w:rFonts w:hint="eastAsia" w:ascii="宋体" w:hAnsi="宋体" w:eastAsia="宋体" w:cs="宋体"/>
          <w:color w:val="auto"/>
          <w:sz w:val="28"/>
          <w:szCs w:val="28"/>
        </w:rPr>
      </w:pPr>
      <w:r>
        <w:rPr>
          <w:rFonts w:hint="eastAsia" w:ascii="宋体" w:hAnsi="宋体" w:eastAsia="宋体" w:cs="宋体"/>
          <w:color w:val="auto"/>
          <w:szCs w:val="21"/>
        </w:rPr>
        <w:t>3.供应商不存在直接管理关系的，则填“无”。</w:t>
      </w:r>
    </w:p>
    <w:p w14:paraId="26E2A039">
      <w:pPr>
        <w:spacing w:line="360" w:lineRule="auto"/>
        <w:contextualSpacing/>
        <w:jc w:val="left"/>
        <w:rPr>
          <w:rFonts w:hint="eastAsia" w:ascii="宋体" w:hAnsi="宋体" w:eastAsia="宋体" w:cs="宋体"/>
          <w:color w:val="auto"/>
          <w:sz w:val="28"/>
          <w:szCs w:val="28"/>
        </w:rPr>
      </w:pPr>
    </w:p>
    <w:p w14:paraId="0230B0B3">
      <w:pPr>
        <w:spacing w:line="360" w:lineRule="auto"/>
        <w:contextualSpacing/>
        <w:jc w:val="left"/>
        <w:rPr>
          <w:rFonts w:hint="eastAsia" w:ascii="宋体" w:hAnsi="宋体" w:eastAsia="宋体" w:cs="宋体"/>
          <w:color w:val="auto"/>
          <w:sz w:val="28"/>
          <w:szCs w:val="28"/>
        </w:rPr>
      </w:pPr>
    </w:p>
    <w:p w14:paraId="558234DD">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00074FCE">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 xml:space="preserve">法定代表人或授权代理人签字（或个人CA签章）： </w:t>
      </w:r>
      <w:r>
        <w:rPr>
          <w:rFonts w:hint="eastAsia" w:ascii="宋体" w:hAnsi="宋体" w:eastAsia="宋体" w:cs="宋体"/>
          <w:color w:val="auto"/>
          <w:szCs w:val="21"/>
          <w:u w:val="single"/>
        </w:rPr>
        <w:t xml:space="preserve">      </w:t>
      </w:r>
    </w:p>
    <w:p w14:paraId="529BB01D">
      <w:pPr>
        <w:spacing w:line="360" w:lineRule="auto"/>
        <w:ind w:right="480" w:firstLine="210" w:firstLineChars="100"/>
        <w:contextualSpacing/>
        <w:jc w:val="center"/>
        <w:rPr>
          <w:rFonts w:hint="eastAsia" w:ascii="宋体" w:hAnsi="宋体" w:eastAsia="宋体" w:cs="宋体"/>
          <w:color w:val="auto"/>
          <w:szCs w:val="21"/>
        </w:rPr>
      </w:pPr>
      <w:r>
        <w:rPr>
          <w:rFonts w:hint="eastAsia" w:ascii="宋体" w:hAnsi="宋体" w:eastAsia="宋体" w:cs="宋体"/>
          <w:color w:val="auto"/>
          <w:szCs w:val="21"/>
        </w:rPr>
        <w:t xml:space="preserve">                                        年    月    日</w:t>
      </w:r>
    </w:p>
    <w:p w14:paraId="0AB0FB96">
      <w:pPr>
        <w:spacing w:line="32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br w:type="page"/>
      </w:r>
      <w:r>
        <w:rPr>
          <w:rFonts w:hint="eastAsia" w:ascii="宋体" w:hAnsi="宋体" w:eastAsia="宋体" w:cs="宋体"/>
          <w:b/>
          <w:color w:val="auto"/>
          <w:sz w:val="32"/>
          <w:szCs w:val="32"/>
        </w:rPr>
        <w:t>竞标声明</w:t>
      </w:r>
    </w:p>
    <w:p w14:paraId="2DDD6F65">
      <w:pPr>
        <w:spacing w:line="320" w:lineRule="exact"/>
        <w:jc w:val="center"/>
        <w:rPr>
          <w:rFonts w:hint="eastAsia" w:ascii="宋体" w:hAnsi="宋体" w:eastAsia="宋体" w:cs="宋体"/>
          <w:color w:val="auto"/>
          <w:sz w:val="24"/>
          <w:szCs w:val="20"/>
        </w:rPr>
      </w:pPr>
    </w:p>
    <w:p w14:paraId="4A1DE67D">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（采购人名称）</w:t>
      </w:r>
      <w:r>
        <w:rPr>
          <w:rFonts w:hint="eastAsia" w:ascii="宋体" w:hAnsi="宋体" w:eastAsia="宋体" w:cs="宋体"/>
          <w:color w:val="auto"/>
          <w:szCs w:val="21"/>
        </w:rPr>
        <w:t>：</w:t>
      </w:r>
    </w:p>
    <w:p w14:paraId="47C9B98B">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我方</w:t>
      </w:r>
      <w:r>
        <w:rPr>
          <w:rFonts w:hint="eastAsia" w:ascii="宋体" w:hAnsi="宋体" w:eastAsia="宋体" w:cs="宋体"/>
          <w:color w:val="auto"/>
          <w:szCs w:val="21"/>
          <w:u w:val="single"/>
        </w:rPr>
        <w:t>（供应商名称）</w:t>
      </w:r>
      <w:r>
        <w:rPr>
          <w:rFonts w:hint="eastAsia" w:ascii="宋体" w:hAnsi="宋体" w:eastAsia="宋体" w:cs="宋体"/>
          <w:color w:val="auto"/>
          <w:szCs w:val="21"/>
        </w:rPr>
        <w:t>系中华人民共和国合法供应商，经营地址</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w:t>
      </w:r>
    </w:p>
    <w:p w14:paraId="4C35984E">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我方愿意参加贵方组织的</w:t>
      </w:r>
      <w:r>
        <w:rPr>
          <w:rFonts w:hint="eastAsia" w:ascii="宋体" w:hAnsi="宋体" w:eastAsia="宋体" w:cs="宋体"/>
          <w:color w:val="auto"/>
          <w:szCs w:val="21"/>
          <w:u w:val="single"/>
        </w:rPr>
        <w:t>（项目名称）</w:t>
      </w:r>
      <w:r>
        <w:rPr>
          <w:rFonts w:hint="eastAsia" w:ascii="宋体" w:hAnsi="宋体" w:eastAsia="宋体" w:cs="宋体"/>
          <w:color w:val="auto"/>
          <w:szCs w:val="21"/>
        </w:rPr>
        <w:t>项目的竞标，为便于贵方公正、择优地确定成交供应商及其竞标产品和服务，我方就本次竞标有关事项郑重声明如下：</w:t>
      </w:r>
    </w:p>
    <w:p w14:paraId="5748BD75">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1.我方向贵方提交的所有响应文件、资料都是准确的和真实的。</w:t>
      </w:r>
    </w:p>
    <w:p w14:paraId="31F0B801">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FB9FFD3">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3.在此，我方宣布同意如下：</w:t>
      </w:r>
    </w:p>
    <w:p w14:paraId="4684FC95">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(1)将按竞争性谈判文件的约定履行合同责任和义务；</w:t>
      </w:r>
    </w:p>
    <w:p w14:paraId="54E2B333">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(2)已详细审查全部竞争性谈判文件，包括补遗文件（如有）；</w:t>
      </w:r>
    </w:p>
    <w:p w14:paraId="2CF48078">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(3)同意提供按照贵方可能要求的与谈判有关的一切数据或者资料；</w:t>
      </w:r>
    </w:p>
    <w:p w14:paraId="595BB451">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(4)响应竞争性谈判文件规定的竞标有效期。</w:t>
      </w:r>
    </w:p>
    <w:p w14:paraId="0603E6EA">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4.我方承诺符合《中华人民共和国政府采购法》第二十二条规定：</w:t>
      </w:r>
    </w:p>
    <w:p w14:paraId="65939BD9">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（1）具有独立承担民事责任的能力；</w:t>
      </w:r>
    </w:p>
    <w:p w14:paraId="69FBB0A6">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（2）具有良好的商业信誉和健全的财务会计制度；</w:t>
      </w:r>
    </w:p>
    <w:p w14:paraId="10EEFE71">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（3）具有履行合同所必需的设备和专业技术能力；</w:t>
      </w:r>
    </w:p>
    <w:p w14:paraId="2B0D4846">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（4）有依法缴纳税收和社会保障资金的良好记录；</w:t>
      </w:r>
    </w:p>
    <w:p w14:paraId="09E24774">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（5）参加政府采购活动前三年内，在经营活动中没有重大违法记录；</w:t>
      </w:r>
    </w:p>
    <w:p w14:paraId="77ACDDF8">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（6）法律、行政法规规定的其他条件。</w:t>
      </w:r>
    </w:p>
    <w:p w14:paraId="4748FE91">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FAEB5EC">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F7DC89D">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□我方本次响应文件</w:t>
      </w:r>
      <w:r>
        <w:rPr>
          <w:rFonts w:hint="eastAsia" w:ascii="宋体" w:hAnsi="宋体" w:eastAsia="宋体" w:cs="宋体"/>
          <w:color w:val="auto"/>
          <w:kern w:val="0"/>
          <w:szCs w:val="21"/>
        </w:rPr>
        <w:t>内容中</w:t>
      </w:r>
      <w:r>
        <w:rPr>
          <w:rFonts w:hint="eastAsia" w:ascii="宋体" w:hAnsi="宋体" w:eastAsia="宋体" w:cs="宋体"/>
          <w:color w:val="auto"/>
          <w:szCs w:val="21"/>
        </w:rPr>
        <w:t>未</w:t>
      </w:r>
      <w:r>
        <w:rPr>
          <w:rFonts w:hint="eastAsia" w:ascii="宋体" w:hAnsi="宋体" w:eastAsia="宋体" w:cs="宋体"/>
          <w:color w:val="auto"/>
          <w:kern w:val="0"/>
          <w:szCs w:val="21"/>
        </w:rPr>
        <w:t>涉及商业秘密；</w:t>
      </w:r>
    </w:p>
    <w:p w14:paraId="7E1D4FE4">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□我方本次响应文件</w:t>
      </w:r>
      <w:r>
        <w:rPr>
          <w:rFonts w:hint="eastAsia" w:ascii="宋体" w:hAnsi="宋体" w:eastAsia="宋体" w:cs="宋体"/>
          <w:color w:val="auto"/>
          <w:kern w:val="0"/>
          <w:szCs w:val="21"/>
        </w:rPr>
        <w:t>涉及商业秘密的内容有：</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w:t>
      </w:r>
    </w:p>
    <w:p w14:paraId="6B412123">
      <w:pPr>
        <w:pStyle w:val="19"/>
        <w:spacing w:line="440" w:lineRule="exact"/>
        <w:ind w:firstLine="420" w:firstLineChars="200"/>
        <w:contextualSpacing/>
        <w:rPr>
          <w:rFonts w:hint="eastAsia" w:ascii="宋体" w:hAnsi="宋体" w:eastAsia="宋体" w:cs="宋体"/>
          <w:color w:val="auto"/>
          <w:sz w:val="21"/>
          <w:u w:val="single"/>
        </w:rPr>
      </w:pPr>
      <w:r>
        <w:rPr>
          <w:rFonts w:hint="eastAsia" w:ascii="宋体" w:hAnsi="宋体" w:eastAsia="宋体" w:cs="宋体"/>
          <w:color w:val="auto"/>
          <w:sz w:val="21"/>
        </w:rPr>
        <w:t>7.与本谈判有关的一切正式往来信函请寄：</w:t>
      </w:r>
      <w:r>
        <w:rPr>
          <w:rFonts w:hint="eastAsia" w:ascii="宋体" w:hAnsi="宋体" w:eastAsia="宋体" w:cs="宋体"/>
          <w:color w:val="auto"/>
          <w:sz w:val="21"/>
          <w:u w:val="single"/>
        </w:rPr>
        <w:t xml:space="preserve">                  </w:t>
      </w:r>
      <w:r>
        <w:rPr>
          <w:rFonts w:hint="eastAsia" w:ascii="宋体" w:hAnsi="宋体" w:eastAsia="宋体" w:cs="宋体"/>
          <w:color w:val="auto"/>
          <w:sz w:val="21"/>
        </w:rPr>
        <w:t>邮政编号：</w:t>
      </w:r>
      <w:r>
        <w:rPr>
          <w:rFonts w:hint="eastAsia" w:ascii="宋体" w:hAnsi="宋体" w:eastAsia="宋体" w:cs="宋体"/>
          <w:color w:val="auto"/>
          <w:sz w:val="21"/>
          <w:u w:val="single"/>
        </w:rPr>
        <w:t xml:space="preserve">    </w:t>
      </w:r>
    </w:p>
    <w:p w14:paraId="7BE68654">
      <w:pPr>
        <w:pStyle w:val="19"/>
        <w:spacing w:line="440" w:lineRule="exact"/>
        <w:ind w:firstLine="420" w:firstLineChars="200"/>
        <w:contextualSpacing/>
        <w:rPr>
          <w:rFonts w:hint="eastAsia" w:ascii="宋体" w:hAnsi="宋体" w:eastAsia="宋体" w:cs="宋体"/>
          <w:color w:val="auto"/>
          <w:sz w:val="21"/>
        </w:rPr>
      </w:pPr>
      <w:r>
        <w:rPr>
          <w:rFonts w:hint="eastAsia" w:ascii="宋体" w:hAnsi="宋体" w:eastAsia="宋体" w:cs="宋体"/>
          <w:color w:val="auto"/>
          <w:sz w:val="21"/>
        </w:rPr>
        <w:t>电话/传真：</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电子函件：</w:t>
      </w:r>
      <w:r>
        <w:rPr>
          <w:rFonts w:hint="eastAsia" w:ascii="宋体" w:hAnsi="宋体" w:eastAsia="宋体" w:cs="宋体"/>
          <w:color w:val="auto"/>
          <w:sz w:val="21"/>
          <w:u w:val="single"/>
        </w:rPr>
        <w:t xml:space="preserve">             </w:t>
      </w:r>
      <w:r>
        <w:rPr>
          <w:rFonts w:hint="eastAsia" w:ascii="宋体" w:hAnsi="宋体" w:eastAsia="宋体" w:cs="宋体"/>
          <w:color w:val="auto"/>
          <w:sz w:val="21"/>
        </w:rPr>
        <w:t xml:space="preserve">    </w:t>
      </w:r>
    </w:p>
    <w:p w14:paraId="102ABDC9">
      <w:pPr>
        <w:pStyle w:val="16"/>
        <w:tabs>
          <w:tab w:val="left" w:pos="939"/>
        </w:tabs>
        <w:spacing w:line="440" w:lineRule="exact"/>
        <w:ind w:left="141" w:leftChars="67" w:firstLine="315" w:firstLineChars="150"/>
        <w:rPr>
          <w:rFonts w:hint="eastAsia" w:ascii="宋体" w:hAnsi="宋体" w:eastAsia="宋体" w:cs="宋体"/>
          <w:color w:val="auto"/>
          <w:szCs w:val="21"/>
        </w:rPr>
      </w:pPr>
      <w:r>
        <w:rPr>
          <w:rFonts w:hint="eastAsia" w:ascii="宋体" w:hAnsi="宋体" w:eastAsia="宋体" w:cs="宋体"/>
          <w:color w:val="auto"/>
          <w:szCs w:val="21"/>
        </w:rPr>
        <w:t>开户银行：</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帐号/行号：</w:t>
      </w:r>
      <w:r>
        <w:rPr>
          <w:rFonts w:hint="eastAsia" w:ascii="宋体" w:hAnsi="宋体" w:eastAsia="宋体" w:cs="宋体"/>
          <w:color w:val="auto"/>
          <w:szCs w:val="21"/>
          <w:u w:val="single"/>
        </w:rPr>
        <w:t xml:space="preserve">           </w:t>
      </w:r>
    </w:p>
    <w:p w14:paraId="367770A4">
      <w:pPr>
        <w:pStyle w:val="16"/>
        <w:tabs>
          <w:tab w:val="left" w:pos="939"/>
        </w:tabs>
        <w:spacing w:line="440" w:lineRule="exact"/>
        <w:ind w:left="141" w:leftChars="67" w:firstLine="315" w:firstLineChars="150"/>
        <w:rPr>
          <w:rFonts w:hint="eastAsia" w:ascii="宋体" w:hAnsi="宋体" w:eastAsia="宋体" w:cs="宋体"/>
          <w:color w:val="auto"/>
          <w:szCs w:val="21"/>
        </w:rPr>
      </w:pPr>
      <w:r>
        <w:rPr>
          <w:rFonts w:hint="eastAsia" w:ascii="宋体" w:hAnsi="宋体" w:eastAsia="宋体" w:cs="宋体"/>
          <w:color w:val="auto"/>
          <w:szCs w:val="21"/>
        </w:rPr>
        <w:t>8.以上事项如有虚假或者隐瞒，我方愿意承担一切后果，并不再寻求任何旨在减轻或者免除法律责任的辩解。</w:t>
      </w:r>
    </w:p>
    <w:p w14:paraId="300604EF">
      <w:pPr>
        <w:pStyle w:val="16"/>
        <w:tabs>
          <w:tab w:val="left" w:pos="939"/>
        </w:tabs>
        <w:spacing w:line="440" w:lineRule="exact"/>
        <w:ind w:left="141" w:leftChars="67" w:firstLine="315" w:firstLineChars="150"/>
        <w:rPr>
          <w:rFonts w:hint="eastAsia" w:ascii="宋体" w:hAnsi="宋体" w:eastAsia="宋体" w:cs="宋体"/>
          <w:color w:val="auto"/>
          <w:szCs w:val="21"/>
        </w:rPr>
      </w:pPr>
      <w:r>
        <w:rPr>
          <w:rFonts w:hint="eastAsia" w:ascii="宋体" w:hAnsi="宋体" w:eastAsia="宋体" w:cs="宋体"/>
          <w:color w:val="auto"/>
          <w:szCs w:val="21"/>
        </w:rPr>
        <w:t>特此承诺。</w:t>
      </w:r>
    </w:p>
    <w:p w14:paraId="1131842C">
      <w:pPr>
        <w:spacing w:line="440" w:lineRule="exact"/>
        <w:contextualSpacing/>
        <w:jc w:val="left"/>
        <w:rPr>
          <w:rFonts w:hint="eastAsia" w:ascii="宋体" w:hAnsi="宋体" w:eastAsia="宋体" w:cs="宋体"/>
          <w:b/>
          <w:color w:val="auto"/>
          <w:szCs w:val="21"/>
        </w:rPr>
      </w:pPr>
      <w:r>
        <w:rPr>
          <w:rFonts w:hint="eastAsia" w:ascii="宋体" w:hAnsi="宋体" w:eastAsia="宋体" w:cs="宋体"/>
          <w:b/>
          <w:color w:val="auto"/>
          <w:szCs w:val="21"/>
        </w:rPr>
        <w:t>注：如为联合体竞标，盖章处须加盖联合体各方公章并由联合体各方法定代表人分别签署，否则响应文件作无效处理。</w:t>
      </w:r>
    </w:p>
    <w:p w14:paraId="10587362">
      <w:pPr>
        <w:spacing w:line="360" w:lineRule="auto"/>
        <w:contextualSpacing/>
        <w:jc w:val="left"/>
        <w:rPr>
          <w:rFonts w:hint="eastAsia" w:ascii="宋体" w:hAnsi="宋体" w:eastAsia="宋体" w:cs="宋体"/>
          <w:color w:val="auto"/>
          <w:szCs w:val="21"/>
        </w:rPr>
      </w:pPr>
    </w:p>
    <w:p w14:paraId="16854022">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3D6EF5B4">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 xml:space="preserve">法定代表人或授权代理人签字（或个人CA签章）： </w:t>
      </w:r>
      <w:r>
        <w:rPr>
          <w:rFonts w:hint="eastAsia" w:ascii="宋体" w:hAnsi="宋体" w:eastAsia="宋体" w:cs="宋体"/>
          <w:color w:val="auto"/>
          <w:szCs w:val="21"/>
          <w:u w:val="single"/>
        </w:rPr>
        <w:t xml:space="preserve">      </w:t>
      </w:r>
    </w:p>
    <w:p w14:paraId="2282BFE5">
      <w:pPr>
        <w:spacing w:line="360" w:lineRule="auto"/>
        <w:ind w:right="482" w:firstLine="210" w:firstLineChars="100"/>
        <w:contextualSpacing/>
        <w:jc w:val="center"/>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rPr>
        <w:t xml:space="preserve"> 年    月    日 </w:t>
      </w:r>
    </w:p>
    <w:p w14:paraId="3346592B">
      <w:pPr>
        <w:snapToGrid w:val="0"/>
        <w:spacing w:before="156" w:beforeLines="50" w:after="50"/>
        <w:jc w:val="center"/>
        <w:rPr>
          <w:rFonts w:hint="eastAsia" w:ascii="宋体" w:hAnsi="宋体" w:eastAsia="宋体" w:cs="宋体"/>
          <w:bCs/>
          <w:color w:val="auto"/>
          <w:sz w:val="44"/>
          <w:szCs w:val="44"/>
        </w:rPr>
      </w:pPr>
      <w:r>
        <w:rPr>
          <w:rFonts w:hint="eastAsia" w:ascii="宋体" w:hAnsi="宋体" w:eastAsia="宋体" w:cs="宋体"/>
          <w:color w:val="auto"/>
          <w:sz w:val="32"/>
          <w:szCs w:val="32"/>
        </w:rPr>
        <w:br w:type="page"/>
      </w:r>
      <w:r>
        <w:rPr>
          <w:rFonts w:hint="eastAsia" w:ascii="宋体" w:hAnsi="宋体" w:eastAsia="宋体" w:cs="宋体"/>
          <w:bCs/>
          <w:color w:val="auto"/>
          <w:sz w:val="44"/>
          <w:szCs w:val="44"/>
        </w:rPr>
        <w:t>报 价 商 务 技 术 文 件（封面）</w:t>
      </w:r>
    </w:p>
    <w:p w14:paraId="181AFA75">
      <w:pPr>
        <w:snapToGrid w:val="0"/>
        <w:spacing w:before="156" w:beforeLines="50" w:after="50"/>
        <w:rPr>
          <w:rFonts w:hint="eastAsia" w:ascii="宋体" w:hAnsi="宋体" w:eastAsia="宋体" w:cs="宋体"/>
          <w:bCs/>
          <w:color w:val="auto"/>
          <w:sz w:val="24"/>
          <w:szCs w:val="20"/>
        </w:rPr>
      </w:pPr>
    </w:p>
    <w:p w14:paraId="24F9EC39">
      <w:pPr>
        <w:snapToGrid w:val="0"/>
        <w:spacing w:before="156" w:beforeLines="50" w:after="50"/>
        <w:rPr>
          <w:rFonts w:hint="eastAsia" w:ascii="宋体" w:hAnsi="宋体" w:eastAsia="宋体" w:cs="宋体"/>
          <w:bCs/>
          <w:color w:val="auto"/>
          <w:sz w:val="24"/>
          <w:szCs w:val="20"/>
        </w:rPr>
      </w:pPr>
    </w:p>
    <w:p w14:paraId="167A54EB">
      <w:pPr>
        <w:snapToGrid w:val="0"/>
        <w:spacing w:before="156" w:beforeLines="50" w:after="50"/>
        <w:rPr>
          <w:rFonts w:hint="eastAsia" w:ascii="宋体" w:hAnsi="宋体" w:eastAsia="宋体" w:cs="宋体"/>
          <w:bCs/>
          <w:color w:val="auto"/>
          <w:sz w:val="24"/>
          <w:szCs w:val="20"/>
        </w:rPr>
      </w:pPr>
    </w:p>
    <w:p w14:paraId="24809077">
      <w:pPr>
        <w:snapToGrid w:val="0"/>
        <w:spacing w:before="156" w:beforeLines="50" w:after="50"/>
        <w:rPr>
          <w:rFonts w:hint="eastAsia" w:ascii="宋体" w:hAnsi="宋体" w:eastAsia="宋体" w:cs="宋体"/>
          <w:bCs/>
          <w:color w:val="auto"/>
          <w:sz w:val="24"/>
          <w:szCs w:val="20"/>
        </w:rPr>
      </w:pPr>
    </w:p>
    <w:p w14:paraId="5223479D">
      <w:pPr>
        <w:snapToGrid w:val="0"/>
        <w:spacing w:before="156" w:beforeLines="50" w:after="50"/>
        <w:rPr>
          <w:rFonts w:hint="eastAsia" w:ascii="宋体" w:hAnsi="宋体" w:eastAsia="宋体" w:cs="宋体"/>
          <w:bCs/>
          <w:color w:val="auto"/>
          <w:sz w:val="24"/>
          <w:szCs w:val="20"/>
        </w:rPr>
      </w:pPr>
    </w:p>
    <w:p w14:paraId="13842EB1">
      <w:pPr>
        <w:snapToGrid w:val="0"/>
        <w:spacing w:before="156" w:beforeLines="50" w:after="50"/>
        <w:ind w:firstLine="640" w:firstLineChars="200"/>
        <w:rPr>
          <w:rFonts w:hint="eastAsia" w:ascii="宋体" w:hAnsi="宋体" w:eastAsia="宋体" w:cs="宋体"/>
          <w:bCs/>
          <w:color w:val="auto"/>
          <w:sz w:val="32"/>
          <w:szCs w:val="32"/>
        </w:rPr>
      </w:pPr>
      <w:r>
        <w:rPr>
          <w:rFonts w:hint="eastAsia" w:ascii="宋体" w:hAnsi="宋体" w:eastAsia="宋体" w:cs="宋体"/>
          <w:bCs/>
          <w:color w:val="auto"/>
          <w:sz w:val="32"/>
          <w:szCs w:val="32"/>
        </w:rPr>
        <w:t>项目名称：</w:t>
      </w:r>
    </w:p>
    <w:p w14:paraId="748D340A">
      <w:pPr>
        <w:snapToGrid w:val="0"/>
        <w:spacing w:before="156" w:beforeLines="50" w:after="50"/>
        <w:ind w:firstLine="720" w:firstLineChars="225"/>
        <w:rPr>
          <w:rFonts w:hint="eastAsia" w:ascii="宋体" w:hAnsi="宋体" w:eastAsia="宋体" w:cs="宋体"/>
          <w:bCs/>
          <w:color w:val="auto"/>
          <w:sz w:val="32"/>
          <w:szCs w:val="32"/>
        </w:rPr>
      </w:pPr>
    </w:p>
    <w:p w14:paraId="4C4796BF">
      <w:pPr>
        <w:snapToGrid w:val="0"/>
        <w:spacing w:before="156" w:beforeLines="50" w:after="50"/>
        <w:ind w:firstLine="640" w:firstLineChars="200"/>
        <w:rPr>
          <w:rFonts w:hint="eastAsia" w:ascii="宋体" w:hAnsi="宋体" w:eastAsia="宋体" w:cs="宋体"/>
          <w:bCs/>
          <w:color w:val="auto"/>
          <w:sz w:val="32"/>
          <w:szCs w:val="32"/>
        </w:rPr>
      </w:pPr>
      <w:r>
        <w:rPr>
          <w:rFonts w:hint="eastAsia" w:ascii="宋体" w:hAnsi="宋体" w:eastAsia="宋体" w:cs="宋体"/>
          <w:bCs/>
          <w:color w:val="auto"/>
          <w:sz w:val="32"/>
          <w:szCs w:val="32"/>
        </w:rPr>
        <w:t>项目编号：</w:t>
      </w:r>
    </w:p>
    <w:p w14:paraId="5745D3AE">
      <w:pPr>
        <w:snapToGrid w:val="0"/>
        <w:spacing w:before="156" w:beforeLines="50" w:after="50"/>
        <w:ind w:firstLine="720" w:firstLineChars="225"/>
        <w:rPr>
          <w:rFonts w:hint="eastAsia" w:ascii="宋体" w:hAnsi="宋体" w:eastAsia="宋体" w:cs="宋体"/>
          <w:bCs/>
          <w:color w:val="auto"/>
          <w:sz w:val="32"/>
          <w:szCs w:val="32"/>
        </w:rPr>
      </w:pPr>
    </w:p>
    <w:p w14:paraId="3D80C961">
      <w:pPr>
        <w:snapToGrid w:val="0"/>
        <w:spacing w:before="156" w:beforeLines="50" w:after="50"/>
        <w:ind w:firstLine="640" w:firstLineChars="200"/>
        <w:rPr>
          <w:rFonts w:hint="eastAsia" w:ascii="宋体" w:hAnsi="宋体" w:eastAsia="宋体" w:cs="宋体"/>
          <w:bCs/>
          <w:color w:val="auto"/>
          <w:sz w:val="32"/>
          <w:szCs w:val="32"/>
        </w:rPr>
      </w:pPr>
      <w:r>
        <w:rPr>
          <w:rFonts w:hint="eastAsia" w:ascii="宋体" w:hAnsi="宋体" w:eastAsia="宋体" w:cs="宋体"/>
          <w:bCs/>
          <w:color w:val="auto"/>
          <w:sz w:val="32"/>
          <w:szCs w:val="32"/>
        </w:rPr>
        <w:t>所竞分标（如有则填写，无分标时填写“无”或者留空）：</w:t>
      </w:r>
    </w:p>
    <w:p w14:paraId="0A6A9101">
      <w:pPr>
        <w:snapToGrid w:val="0"/>
        <w:spacing w:before="156" w:beforeLines="50" w:after="50"/>
        <w:ind w:firstLine="720" w:firstLineChars="225"/>
        <w:rPr>
          <w:rFonts w:hint="eastAsia" w:ascii="宋体" w:hAnsi="宋体" w:eastAsia="宋体" w:cs="宋体"/>
          <w:bCs/>
          <w:color w:val="auto"/>
          <w:sz w:val="32"/>
          <w:szCs w:val="32"/>
        </w:rPr>
      </w:pPr>
    </w:p>
    <w:p w14:paraId="0A59D2EF">
      <w:pPr>
        <w:pStyle w:val="6"/>
        <w:snapToGrid w:val="0"/>
        <w:spacing w:before="50" w:after="50"/>
        <w:ind w:firstLine="640" w:firstLineChars="200"/>
        <w:rPr>
          <w:rFonts w:hint="eastAsia" w:ascii="宋体" w:hAnsi="宋体" w:eastAsia="宋体" w:cs="宋体"/>
          <w:bCs/>
          <w:color w:val="auto"/>
          <w:sz w:val="32"/>
          <w:szCs w:val="32"/>
        </w:rPr>
      </w:pPr>
      <w:r>
        <w:rPr>
          <w:rFonts w:hint="eastAsia" w:ascii="宋体" w:hAnsi="宋体" w:eastAsia="宋体" w:cs="宋体"/>
          <w:bCs/>
          <w:color w:val="auto"/>
          <w:sz w:val="32"/>
          <w:szCs w:val="32"/>
        </w:rPr>
        <w:t>供应商名称：</w:t>
      </w:r>
    </w:p>
    <w:p w14:paraId="1B925D68">
      <w:pPr>
        <w:snapToGrid w:val="0"/>
        <w:spacing w:before="156" w:beforeLines="50" w:after="50" w:line="360" w:lineRule="auto"/>
        <w:ind w:left="142"/>
        <w:jc w:val="left"/>
        <w:outlineLvl w:val="2"/>
        <w:rPr>
          <w:rFonts w:hint="eastAsia" w:ascii="宋体" w:hAnsi="宋体" w:eastAsia="宋体" w:cs="宋体"/>
          <w:color w:val="auto"/>
          <w:szCs w:val="21"/>
        </w:rPr>
      </w:pPr>
    </w:p>
    <w:p w14:paraId="65D31641">
      <w:pPr>
        <w:snapToGrid w:val="0"/>
        <w:spacing w:before="156" w:beforeLines="50" w:after="50" w:line="360" w:lineRule="auto"/>
        <w:ind w:left="142"/>
        <w:jc w:val="left"/>
        <w:outlineLvl w:val="2"/>
        <w:rPr>
          <w:rFonts w:hint="eastAsia" w:ascii="宋体" w:hAnsi="宋体" w:eastAsia="宋体" w:cs="宋体"/>
          <w:b/>
          <w:bCs/>
          <w:color w:val="auto"/>
          <w:sz w:val="24"/>
        </w:rPr>
      </w:pPr>
      <w:r>
        <w:rPr>
          <w:rFonts w:hint="eastAsia" w:ascii="宋体" w:hAnsi="宋体" w:eastAsia="宋体" w:cs="宋体"/>
          <w:b/>
          <w:bCs/>
          <w:color w:val="auto"/>
          <w:sz w:val="24"/>
        </w:rPr>
        <w:br w:type="page"/>
      </w:r>
      <w:r>
        <w:rPr>
          <w:rFonts w:hint="eastAsia" w:ascii="宋体" w:hAnsi="宋体" w:eastAsia="宋体" w:cs="宋体"/>
          <w:b/>
          <w:bCs/>
          <w:color w:val="auto"/>
          <w:sz w:val="24"/>
        </w:rPr>
        <w:t>2.报价商务技术文件目录</w:t>
      </w:r>
    </w:p>
    <w:p w14:paraId="7F7E9FC1">
      <w:pPr>
        <w:snapToGrid w:val="0"/>
        <w:spacing w:before="156" w:beforeLines="50" w:after="50" w:line="360" w:lineRule="auto"/>
        <w:ind w:firstLine="420" w:firstLineChars="200"/>
        <w:rPr>
          <w:rFonts w:hint="eastAsia" w:ascii="宋体" w:hAnsi="宋体" w:eastAsia="宋体" w:cs="宋体"/>
          <w:color w:val="auto"/>
          <w:sz w:val="24"/>
        </w:rPr>
      </w:pPr>
      <w:r>
        <w:rPr>
          <w:rFonts w:hint="eastAsia" w:ascii="宋体" w:hAnsi="宋体" w:eastAsia="宋体" w:cs="宋体"/>
          <w:color w:val="auto"/>
          <w:szCs w:val="21"/>
        </w:rPr>
        <w:t>根据竞争性谈判文件规定及供应商提供的材料自行编写目录（部分格式后附）。</w:t>
      </w:r>
    </w:p>
    <w:p w14:paraId="326C442E">
      <w:pPr>
        <w:spacing w:line="400" w:lineRule="exact"/>
        <w:rPr>
          <w:rFonts w:hint="eastAsia" w:ascii="宋体" w:hAnsi="宋体" w:eastAsia="宋体" w:cs="宋体"/>
          <w:color w:val="auto"/>
          <w:sz w:val="32"/>
          <w:szCs w:val="32"/>
        </w:rPr>
      </w:pPr>
    </w:p>
    <w:p w14:paraId="37CE707F">
      <w:pPr>
        <w:spacing w:line="520" w:lineRule="exact"/>
        <w:jc w:val="center"/>
        <w:rPr>
          <w:rFonts w:hint="eastAsia" w:ascii="宋体" w:hAnsi="宋体" w:eastAsia="宋体" w:cs="宋体"/>
          <w:color w:val="auto"/>
          <w:sz w:val="32"/>
          <w:szCs w:val="32"/>
        </w:rPr>
      </w:pPr>
      <w:r>
        <w:rPr>
          <w:rFonts w:hint="eastAsia" w:ascii="宋体" w:hAnsi="宋体" w:eastAsia="宋体" w:cs="宋体"/>
          <w:color w:val="auto"/>
          <w:sz w:val="44"/>
          <w:szCs w:val="44"/>
        </w:rPr>
        <w:br w:type="page"/>
      </w:r>
      <w:r>
        <w:rPr>
          <w:rFonts w:hint="eastAsia" w:ascii="宋体" w:hAnsi="宋体" w:eastAsia="宋体" w:cs="宋体"/>
          <w:b/>
          <w:bCs/>
          <w:color w:val="auto"/>
          <w:sz w:val="28"/>
          <w:szCs w:val="28"/>
        </w:rPr>
        <w:t>无串通竞标行为的承诺函</w:t>
      </w:r>
    </w:p>
    <w:p w14:paraId="4D98E5F9">
      <w:pPr>
        <w:spacing w:line="360" w:lineRule="auto"/>
        <w:ind w:firstLine="640" w:firstLineChars="200"/>
        <w:contextualSpacing/>
        <w:rPr>
          <w:rFonts w:hint="eastAsia" w:ascii="宋体" w:hAnsi="宋体" w:eastAsia="宋体" w:cs="宋体"/>
          <w:color w:val="auto"/>
          <w:sz w:val="32"/>
          <w:szCs w:val="32"/>
        </w:rPr>
      </w:pPr>
    </w:p>
    <w:p w14:paraId="27E9FAFA">
      <w:pPr>
        <w:spacing w:line="440" w:lineRule="exact"/>
        <w:ind w:firstLine="422" w:firstLineChars="200"/>
        <w:contextualSpacing/>
        <w:rPr>
          <w:rFonts w:hint="eastAsia" w:ascii="宋体" w:hAnsi="宋体" w:eastAsia="宋体" w:cs="宋体"/>
          <w:b/>
          <w:bCs/>
          <w:color w:val="auto"/>
          <w:szCs w:val="21"/>
        </w:rPr>
      </w:pPr>
      <w:r>
        <w:rPr>
          <w:rFonts w:hint="eastAsia" w:ascii="宋体" w:hAnsi="宋体" w:eastAsia="宋体" w:cs="宋体"/>
          <w:b/>
          <w:bCs/>
          <w:color w:val="auto"/>
          <w:szCs w:val="21"/>
        </w:rPr>
        <w:t>一、我方承诺无下列相互串通竞标的情形：</w:t>
      </w:r>
    </w:p>
    <w:p w14:paraId="71ED8818">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1.不同供应商的响应文件由同一单位或者个人编制；</w:t>
      </w:r>
    </w:p>
    <w:p w14:paraId="7AB00823">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2.不同供应商委托同一单位或者个人办理竞标事宜；</w:t>
      </w:r>
    </w:p>
    <w:p w14:paraId="371A5338">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3.不同的供应商的响应文件载明的项目管理员为同一个人；</w:t>
      </w:r>
    </w:p>
    <w:p w14:paraId="280AAADF">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4.不</w:t>
      </w:r>
      <w:r>
        <w:rPr>
          <w:rFonts w:hint="eastAsia" w:ascii="宋体" w:hAnsi="宋体" w:eastAsia="宋体" w:cs="宋体"/>
          <w:color w:val="auto"/>
          <w:spacing w:val="-6"/>
          <w:szCs w:val="21"/>
        </w:rPr>
        <w:t>同供应商的响应文件异常一致或者竞标报价呈规律性差异；</w:t>
      </w:r>
    </w:p>
    <w:p w14:paraId="3F712CB9">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5.不同供应商的响应文件相互混装；</w:t>
      </w:r>
    </w:p>
    <w:p w14:paraId="2EE84DC6">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6.不同供应商的竞标保证金从同一单位或者个人账户转出。</w:t>
      </w:r>
    </w:p>
    <w:p w14:paraId="4DBE11AE">
      <w:pPr>
        <w:spacing w:line="440" w:lineRule="exact"/>
        <w:ind w:firstLine="422" w:firstLineChars="200"/>
        <w:contextualSpacing/>
        <w:rPr>
          <w:rFonts w:hint="eastAsia" w:ascii="宋体" w:hAnsi="宋体" w:eastAsia="宋体" w:cs="宋体"/>
          <w:b/>
          <w:bCs/>
          <w:color w:val="auto"/>
          <w:szCs w:val="21"/>
        </w:rPr>
      </w:pPr>
      <w:r>
        <w:rPr>
          <w:rFonts w:hint="eastAsia" w:ascii="宋体" w:hAnsi="宋体" w:eastAsia="宋体" w:cs="宋体"/>
          <w:b/>
          <w:bCs/>
          <w:color w:val="auto"/>
          <w:szCs w:val="21"/>
        </w:rPr>
        <w:t>二、我方承诺无下列恶意串通的情形：</w:t>
      </w:r>
    </w:p>
    <w:p w14:paraId="09028A91">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1.供应商直接或者间接从采购人或者采购代理机构处获得其他供应商的相关信息并修改其响应文件；</w:t>
      </w:r>
    </w:p>
    <w:p w14:paraId="6DBCC9CF">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2.供应商按照采购人或者采购代理机构的授意撤换、修改响应文件；</w:t>
      </w:r>
    </w:p>
    <w:p w14:paraId="59AB1A82">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3.供</w:t>
      </w:r>
      <w:r>
        <w:rPr>
          <w:rFonts w:hint="eastAsia" w:ascii="宋体" w:hAnsi="宋体" w:eastAsia="宋体" w:cs="宋体"/>
          <w:color w:val="auto"/>
          <w:spacing w:val="-6"/>
          <w:szCs w:val="21"/>
        </w:rPr>
        <w:t>应商之间协商报价、技术方案等响应文件的实质性内容；</w:t>
      </w:r>
    </w:p>
    <w:p w14:paraId="7E1FDA1E">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4.属于同一集团、协会、商会等组织成员的供应商按照该组织要求协同参加政府采购活动；</w:t>
      </w:r>
    </w:p>
    <w:p w14:paraId="4DB78D5D">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5.供应商之间事先约定一致抬高或者压低竞标报价,或者在竞争性谈判项目中事先约定轮流以高价位或者低价位成交,或者事先约定由某一特定供应商成交,然后再参加竞标；</w:t>
      </w:r>
    </w:p>
    <w:p w14:paraId="5D59F5E8">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6.供应商之间商定部分供应商放弃参加政府采购活动或者放弃成交；</w:t>
      </w:r>
    </w:p>
    <w:p w14:paraId="765217E0">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7.供应商与采购人或者采购代理机构之间、供应商相互之间，为</w:t>
      </w:r>
      <w:r>
        <w:rPr>
          <w:rFonts w:hint="eastAsia" w:ascii="宋体" w:hAnsi="宋体" w:eastAsia="宋体" w:cs="宋体"/>
          <w:color w:val="auto"/>
          <w:spacing w:val="-6"/>
          <w:szCs w:val="21"/>
        </w:rPr>
        <w:t>谋求特定供应商成交或者排斥其他供应商的其他串通行为。</w:t>
      </w:r>
    </w:p>
    <w:p w14:paraId="240B9B25">
      <w:pPr>
        <w:spacing w:line="440" w:lineRule="exact"/>
        <w:ind w:firstLine="420" w:firstLineChars="200"/>
        <w:contextualSpacing/>
        <w:rPr>
          <w:rFonts w:hint="eastAsia" w:ascii="宋体" w:hAnsi="宋体" w:eastAsia="宋体" w:cs="宋体"/>
          <w:color w:val="auto"/>
          <w:szCs w:val="21"/>
        </w:rPr>
      </w:pPr>
    </w:p>
    <w:p w14:paraId="73A67CF9">
      <w:pPr>
        <w:spacing w:line="440" w:lineRule="exact"/>
        <w:ind w:firstLine="422" w:firstLineChars="200"/>
        <w:contextualSpacing/>
        <w:rPr>
          <w:rFonts w:hint="eastAsia" w:ascii="宋体" w:hAnsi="宋体" w:eastAsia="宋体" w:cs="宋体"/>
          <w:b/>
          <w:bCs/>
          <w:color w:val="auto"/>
          <w:szCs w:val="21"/>
        </w:rPr>
      </w:pPr>
      <w:r>
        <w:rPr>
          <w:rFonts w:hint="eastAsia" w:ascii="宋体" w:hAnsi="宋体" w:eastAsia="宋体" w:cs="宋体"/>
          <w:b/>
          <w:bCs/>
          <w:color w:val="auto"/>
          <w:szCs w:val="21"/>
        </w:rPr>
        <w:t>以上情形一经核查属实，我方愿意承担一切后果，并不再寻求任何旨在减轻或者免除法律责任的辩解。</w:t>
      </w:r>
    </w:p>
    <w:p w14:paraId="4888A6D1">
      <w:pPr>
        <w:spacing w:line="360" w:lineRule="auto"/>
        <w:ind w:firstLine="480" w:firstLineChars="200"/>
        <w:contextualSpacing/>
        <w:rPr>
          <w:rFonts w:hint="eastAsia" w:ascii="宋体" w:hAnsi="宋体" w:eastAsia="宋体" w:cs="宋体"/>
          <w:color w:val="auto"/>
          <w:sz w:val="24"/>
        </w:rPr>
      </w:pPr>
    </w:p>
    <w:p w14:paraId="597EFFE5">
      <w:pPr>
        <w:spacing w:line="360" w:lineRule="auto"/>
        <w:contextualSpacing/>
        <w:jc w:val="left"/>
        <w:rPr>
          <w:rFonts w:hint="eastAsia" w:ascii="宋体" w:hAnsi="宋体" w:eastAsia="宋体" w:cs="宋体"/>
          <w:color w:val="auto"/>
          <w:sz w:val="24"/>
        </w:rPr>
      </w:pPr>
    </w:p>
    <w:p w14:paraId="1859FB11">
      <w:pPr>
        <w:spacing w:line="360" w:lineRule="auto"/>
        <w:ind w:firstLine="4560" w:firstLineChars="1900"/>
        <w:contextualSpacing/>
        <w:jc w:val="left"/>
        <w:rPr>
          <w:rFonts w:hint="eastAsia" w:ascii="宋体" w:hAnsi="宋体" w:eastAsia="宋体" w:cs="宋体"/>
          <w:color w:val="auto"/>
          <w:sz w:val="24"/>
        </w:rPr>
      </w:pPr>
      <w:r>
        <w:rPr>
          <w:rFonts w:hint="eastAsia" w:ascii="宋体" w:hAnsi="宋体" w:eastAsia="宋体" w:cs="宋体"/>
          <w:color w:val="auto"/>
          <w:sz w:val="24"/>
        </w:rPr>
        <w:t>供应商[公章（CA签章）]：</w:t>
      </w:r>
    </w:p>
    <w:p w14:paraId="37CADD23">
      <w:pPr>
        <w:spacing w:line="360" w:lineRule="auto"/>
        <w:ind w:firstLine="480" w:firstLineChars="200"/>
        <w:contextualSpacing/>
        <w:jc w:val="left"/>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6CA44E74">
      <w:pPr>
        <w:spacing w:line="360" w:lineRule="auto"/>
        <w:ind w:firstLine="640" w:firstLineChars="200"/>
        <w:contextualSpacing/>
        <w:jc w:val="center"/>
        <w:rPr>
          <w:rFonts w:hint="eastAsia" w:ascii="宋体" w:hAnsi="宋体" w:eastAsia="宋体" w:cs="宋体"/>
          <w:color w:val="auto"/>
          <w:sz w:val="32"/>
          <w:szCs w:val="32"/>
        </w:rPr>
      </w:pPr>
    </w:p>
    <w:p w14:paraId="23A49628">
      <w:pPr>
        <w:tabs>
          <w:tab w:val="left" w:pos="3479"/>
        </w:tabs>
        <w:spacing w:line="520" w:lineRule="exact"/>
        <w:jc w:val="left"/>
        <w:rPr>
          <w:rFonts w:ascii="宋体" w:hAnsi="宋体" w:cs="宋体"/>
          <w:bCs/>
          <w:sz w:val="24"/>
        </w:rPr>
      </w:pPr>
      <w:r>
        <w:rPr>
          <w:rFonts w:hint="eastAsia" w:ascii="宋体" w:hAnsi="宋体" w:eastAsia="宋体" w:cs="宋体"/>
          <w:bCs/>
          <w:color w:val="auto"/>
          <w:sz w:val="40"/>
          <w:szCs w:val="40"/>
        </w:rPr>
        <w:br w:type="page"/>
      </w:r>
    </w:p>
    <w:p w14:paraId="6BB04DB9">
      <w:pPr>
        <w:tabs>
          <w:tab w:val="left" w:pos="3479"/>
        </w:tabs>
        <w:spacing w:line="520" w:lineRule="exact"/>
        <w:jc w:val="center"/>
        <w:rPr>
          <w:rFonts w:ascii="宋体" w:hAnsi="宋体" w:cs="宋体"/>
          <w:bCs/>
          <w:sz w:val="28"/>
          <w:szCs w:val="28"/>
        </w:rPr>
      </w:pPr>
      <w:r>
        <w:rPr>
          <w:rFonts w:hint="eastAsia" w:ascii="宋体" w:hAnsi="宋体" w:cs="宋体"/>
          <w:bCs/>
          <w:sz w:val="40"/>
          <w:szCs w:val="40"/>
        </w:rPr>
        <w:t>竞  标  报  价  表</w:t>
      </w:r>
    </w:p>
    <w:p w14:paraId="63D4886A">
      <w:pPr>
        <w:spacing w:line="520" w:lineRule="exact"/>
        <w:jc w:val="center"/>
        <w:rPr>
          <w:rFonts w:ascii="宋体" w:hAnsi="宋体" w:cs="宋体"/>
          <w:bCs/>
          <w:szCs w:val="21"/>
        </w:rPr>
      </w:pPr>
    </w:p>
    <w:p w14:paraId="0EAB7CB3">
      <w:pPr>
        <w:snapToGrid w:val="0"/>
        <w:spacing w:before="50" w:after="50" w:line="360" w:lineRule="auto"/>
        <w:rPr>
          <w:rFonts w:ascii="宋体" w:hAnsi="宋体" w:cs="宋体"/>
          <w:szCs w:val="21"/>
        </w:rPr>
      </w:pPr>
      <w:r>
        <w:rPr>
          <w:rFonts w:hint="eastAsia" w:ascii="宋体" w:hAnsi="宋体" w:cs="宋体"/>
          <w:szCs w:val="21"/>
        </w:rPr>
        <w:t>项目名称：</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xml:space="preserve"> </w:t>
      </w:r>
    </w:p>
    <w:p w14:paraId="0BEDF104">
      <w:pPr>
        <w:spacing w:line="360" w:lineRule="auto"/>
        <w:jc w:val="left"/>
        <w:rPr>
          <w:rFonts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cs="宋体"/>
          <w:szCs w:val="21"/>
        </w:rPr>
        <w:t xml:space="preserve"> </w:t>
      </w:r>
    </w:p>
    <w:p w14:paraId="48651C76">
      <w:pPr>
        <w:spacing w:line="360" w:lineRule="auto"/>
        <w:jc w:val="left"/>
        <w:rPr>
          <w:rFonts w:ascii="宋体" w:hAnsi="宋体" w:cs="宋体"/>
          <w:szCs w:val="21"/>
        </w:rPr>
      </w:pPr>
      <w:r>
        <w:rPr>
          <w:rFonts w:hint="eastAsia" w:ascii="宋体" w:hAnsi="宋体" w:cs="宋体"/>
          <w:sz w:val="24"/>
        </w:rPr>
        <w:t>分标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Cs w:val="21"/>
        </w:rPr>
        <w:t xml:space="preserve">                  单位：元</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913"/>
        <w:gridCol w:w="1109"/>
        <w:gridCol w:w="1349"/>
        <w:gridCol w:w="857"/>
        <w:gridCol w:w="836"/>
        <w:gridCol w:w="1221"/>
        <w:gridCol w:w="1582"/>
      </w:tblGrid>
      <w:tr w14:paraId="5FB69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Align w:val="center"/>
          </w:tcPr>
          <w:p w14:paraId="751087B6">
            <w:pPr>
              <w:snapToGrid w:val="0"/>
              <w:jc w:val="center"/>
              <w:rPr>
                <w:rFonts w:hint="eastAsia" w:ascii="宋体" w:hAnsi="宋体" w:cs="宋体"/>
                <w:color w:val="000000"/>
                <w:szCs w:val="21"/>
              </w:rPr>
            </w:pPr>
            <w:r>
              <w:rPr>
                <w:rFonts w:hint="eastAsia" w:ascii="宋体" w:hAnsi="宋体" w:cs="宋体"/>
                <w:color w:val="000000"/>
                <w:szCs w:val="21"/>
              </w:rPr>
              <w:t>序号</w:t>
            </w:r>
          </w:p>
        </w:tc>
        <w:tc>
          <w:tcPr>
            <w:tcW w:w="1913" w:type="dxa"/>
            <w:vAlign w:val="center"/>
          </w:tcPr>
          <w:p w14:paraId="686AF3B7">
            <w:pPr>
              <w:snapToGrid w:val="0"/>
              <w:jc w:val="center"/>
              <w:rPr>
                <w:rFonts w:hint="eastAsia" w:ascii="宋体" w:hAnsi="宋体" w:cs="宋体"/>
                <w:color w:val="000000"/>
                <w:szCs w:val="21"/>
              </w:rPr>
            </w:pPr>
            <w:r>
              <w:rPr>
                <w:rFonts w:hint="eastAsia" w:ascii="宋体" w:hAnsi="宋体" w:cs="宋体"/>
                <w:bCs/>
                <w:color w:val="000000"/>
                <w:szCs w:val="21"/>
              </w:rPr>
              <w:t>标的名称</w:t>
            </w:r>
          </w:p>
        </w:tc>
        <w:tc>
          <w:tcPr>
            <w:tcW w:w="1109" w:type="dxa"/>
            <w:vAlign w:val="center"/>
          </w:tcPr>
          <w:p w14:paraId="4F077717">
            <w:pPr>
              <w:snapToGrid w:val="0"/>
              <w:ind w:left="-105" w:leftChars="-50" w:right="-105" w:rightChars="-50"/>
              <w:jc w:val="center"/>
              <w:rPr>
                <w:rFonts w:hint="eastAsia" w:ascii="宋体" w:hAnsi="宋体" w:cs="宋体"/>
                <w:color w:val="000000"/>
                <w:szCs w:val="21"/>
              </w:rPr>
            </w:pPr>
            <w:r>
              <w:rPr>
                <w:rFonts w:hint="eastAsia" w:ascii="宋体" w:hAnsi="宋体" w:cs="宋体"/>
                <w:color w:val="000000"/>
                <w:szCs w:val="21"/>
              </w:rPr>
              <w:t>制造商</w:t>
            </w:r>
          </w:p>
        </w:tc>
        <w:tc>
          <w:tcPr>
            <w:tcW w:w="1349" w:type="dxa"/>
            <w:vAlign w:val="center"/>
          </w:tcPr>
          <w:p w14:paraId="24536E2E">
            <w:pPr>
              <w:snapToGrid w:val="0"/>
              <w:jc w:val="center"/>
              <w:rPr>
                <w:rFonts w:hint="eastAsia" w:ascii="宋体" w:hAnsi="宋体" w:cs="宋体"/>
                <w:color w:val="000000"/>
                <w:szCs w:val="21"/>
              </w:rPr>
            </w:pPr>
            <w:r>
              <w:rPr>
                <w:rFonts w:hint="eastAsia" w:ascii="宋体" w:hAnsi="宋体" w:cs="宋体"/>
                <w:color w:val="000000"/>
                <w:szCs w:val="21"/>
              </w:rPr>
              <w:t>品牌、规格型号</w:t>
            </w:r>
          </w:p>
        </w:tc>
        <w:tc>
          <w:tcPr>
            <w:tcW w:w="857" w:type="dxa"/>
            <w:vAlign w:val="center"/>
          </w:tcPr>
          <w:p w14:paraId="1C0FAE54">
            <w:pPr>
              <w:snapToGrid w:val="0"/>
              <w:jc w:val="center"/>
              <w:rPr>
                <w:rFonts w:hint="eastAsia" w:ascii="宋体" w:hAnsi="宋体" w:cs="宋体"/>
                <w:color w:val="000000"/>
                <w:szCs w:val="21"/>
              </w:rPr>
            </w:pPr>
            <w:r>
              <w:rPr>
                <w:rFonts w:hint="eastAsia" w:ascii="宋体" w:hAnsi="宋体" w:cs="宋体"/>
                <w:color w:val="000000"/>
                <w:szCs w:val="21"/>
              </w:rPr>
              <w:t>数量①</w:t>
            </w:r>
          </w:p>
        </w:tc>
        <w:tc>
          <w:tcPr>
            <w:tcW w:w="836" w:type="dxa"/>
            <w:vAlign w:val="center"/>
          </w:tcPr>
          <w:p w14:paraId="480C0048">
            <w:pPr>
              <w:snapToGrid w:val="0"/>
              <w:jc w:val="center"/>
              <w:rPr>
                <w:rFonts w:hint="eastAsia" w:ascii="宋体" w:hAnsi="宋体" w:cs="宋体"/>
                <w:color w:val="000000"/>
                <w:szCs w:val="21"/>
              </w:rPr>
            </w:pPr>
            <w:r>
              <w:rPr>
                <w:rFonts w:hint="eastAsia" w:ascii="宋体" w:hAnsi="宋体" w:cs="宋体"/>
                <w:color w:val="000000"/>
                <w:szCs w:val="21"/>
              </w:rPr>
              <w:t>单位</w:t>
            </w:r>
          </w:p>
        </w:tc>
        <w:tc>
          <w:tcPr>
            <w:tcW w:w="1221" w:type="dxa"/>
            <w:vAlign w:val="center"/>
          </w:tcPr>
          <w:p w14:paraId="4BCEF9FE">
            <w:pPr>
              <w:snapToGrid w:val="0"/>
              <w:jc w:val="center"/>
              <w:rPr>
                <w:rFonts w:hint="eastAsia" w:ascii="宋体" w:hAnsi="宋体" w:cs="宋体"/>
                <w:color w:val="000000"/>
                <w:szCs w:val="21"/>
              </w:rPr>
            </w:pPr>
            <w:r>
              <w:rPr>
                <w:rFonts w:hint="eastAsia" w:ascii="宋体" w:hAnsi="宋体" w:cs="宋体"/>
                <w:color w:val="000000"/>
                <w:szCs w:val="21"/>
              </w:rPr>
              <w:t>单价②</w:t>
            </w:r>
          </w:p>
        </w:tc>
        <w:tc>
          <w:tcPr>
            <w:tcW w:w="1582" w:type="dxa"/>
            <w:vAlign w:val="center"/>
          </w:tcPr>
          <w:p w14:paraId="372C5816">
            <w:pPr>
              <w:spacing w:line="300" w:lineRule="exact"/>
              <w:jc w:val="center"/>
              <w:rPr>
                <w:rFonts w:hint="eastAsia" w:ascii="宋体" w:hAnsi="宋体" w:cs="宋体"/>
                <w:color w:val="000000"/>
                <w:szCs w:val="21"/>
              </w:rPr>
            </w:pPr>
            <w:r>
              <w:rPr>
                <w:rFonts w:hint="eastAsia" w:ascii="宋体" w:hAnsi="宋体" w:cs="宋体"/>
                <w:color w:val="000000"/>
                <w:szCs w:val="21"/>
              </w:rPr>
              <w:t>单项合计③</w:t>
            </w:r>
          </w:p>
          <w:p w14:paraId="547C276C">
            <w:pPr>
              <w:spacing w:line="300" w:lineRule="exact"/>
              <w:jc w:val="center"/>
              <w:rPr>
                <w:rFonts w:hint="eastAsia" w:ascii="宋体" w:hAnsi="宋体" w:cs="宋体"/>
                <w:color w:val="000000"/>
                <w:szCs w:val="21"/>
              </w:rPr>
            </w:pPr>
            <w:r>
              <w:rPr>
                <w:rFonts w:hint="eastAsia" w:ascii="宋体" w:hAnsi="宋体" w:cs="宋体"/>
                <w:color w:val="000000"/>
                <w:szCs w:val="21"/>
              </w:rPr>
              <w:t>＝①×②</w:t>
            </w:r>
          </w:p>
        </w:tc>
      </w:tr>
      <w:tr w14:paraId="1C75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Align w:val="center"/>
          </w:tcPr>
          <w:p w14:paraId="7073BC4F">
            <w:pPr>
              <w:snapToGrid w:val="0"/>
              <w:jc w:val="center"/>
              <w:rPr>
                <w:rFonts w:hint="eastAsia" w:ascii="宋体" w:hAnsi="宋体" w:cs="宋体"/>
                <w:color w:val="000000"/>
                <w:szCs w:val="21"/>
              </w:rPr>
            </w:pPr>
            <w:r>
              <w:rPr>
                <w:rFonts w:hint="eastAsia" w:ascii="宋体" w:hAnsi="宋体" w:cs="宋体"/>
                <w:color w:val="000000"/>
                <w:szCs w:val="21"/>
              </w:rPr>
              <w:t>1</w:t>
            </w:r>
          </w:p>
        </w:tc>
        <w:tc>
          <w:tcPr>
            <w:tcW w:w="1913" w:type="dxa"/>
            <w:vAlign w:val="center"/>
          </w:tcPr>
          <w:p w14:paraId="73999ABA">
            <w:pPr>
              <w:snapToGrid w:val="0"/>
              <w:jc w:val="center"/>
              <w:rPr>
                <w:rFonts w:hint="eastAsia" w:ascii="宋体" w:hAnsi="宋体" w:cs="宋体"/>
                <w:color w:val="000000"/>
                <w:szCs w:val="21"/>
              </w:rPr>
            </w:pPr>
          </w:p>
        </w:tc>
        <w:tc>
          <w:tcPr>
            <w:tcW w:w="1109" w:type="dxa"/>
            <w:vAlign w:val="center"/>
          </w:tcPr>
          <w:p w14:paraId="25373BE0">
            <w:pPr>
              <w:snapToGrid w:val="0"/>
              <w:jc w:val="center"/>
              <w:rPr>
                <w:rFonts w:hint="eastAsia" w:ascii="宋体" w:hAnsi="宋体" w:cs="宋体"/>
                <w:color w:val="000000"/>
                <w:szCs w:val="21"/>
              </w:rPr>
            </w:pPr>
          </w:p>
        </w:tc>
        <w:tc>
          <w:tcPr>
            <w:tcW w:w="1349" w:type="dxa"/>
            <w:vAlign w:val="center"/>
          </w:tcPr>
          <w:p w14:paraId="55E4FD6E">
            <w:pPr>
              <w:snapToGrid w:val="0"/>
              <w:jc w:val="center"/>
              <w:rPr>
                <w:rFonts w:hint="eastAsia" w:ascii="宋体" w:hAnsi="宋体" w:cs="宋体"/>
                <w:color w:val="000000"/>
                <w:szCs w:val="21"/>
              </w:rPr>
            </w:pPr>
          </w:p>
        </w:tc>
        <w:tc>
          <w:tcPr>
            <w:tcW w:w="857" w:type="dxa"/>
            <w:vAlign w:val="center"/>
          </w:tcPr>
          <w:p w14:paraId="66C00879">
            <w:pPr>
              <w:snapToGrid w:val="0"/>
              <w:jc w:val="center"/>
              <w:rPr>
                <w:rFonts w:hint="eastAsia" w:ascii="宋体" w:hAnsi="宋体" w:cs="宋体"/>
                <w:color w:val="000000"/>
                <w:szCs w:val="21"/>
              </w:rPr>
            </w:pPr>
          </w:p>
        </w:tc>
        <w:tc>
          <w:tcPr>
            <w:tcW w:w="836" w:type="dxa"/>
            <w:vAlign w:val="center"/>
          </w:tcPr>
          <w:p w14:paraId="6C09A3B3">
            <w:pPr>
              <w:snapToGrid w:val="0"/>
              <w:jc w:val="center"/>
              <w:rPr>
                <w:rFonts w:hint="eastAsia" w:ascii="宋体" w:hAnsi="宋体" w:cs="宋体"/>
                <w:color w:val="000000"/>
                <w:szCs w:val="21"/>
              </w:rPr>
            </w:pPr>
          </w:p>
        </w:tc>
        <w:tc>
          <w:tcPr>
            <w:tcW w:w="1221" w:type="dxa"/>
            <w:vAlign w:val="center"/>
          </w:tcPr>
          <w:p w14:paraId="00BAD2F7">
            <w:pPr>
              <w:snapToGrid w:val="0"/>
              <w:jc w:val="center"/>
              <w:rPr>
                <w:rFonts w:hint="eastAsia" w:ascii="宋体" w:hAnsi="宋体" w:cs="宋体"/>
                <w:color w:val="000000"/>
                <w:szCs w:val="21"/>
              </w:rPr>
            </w:pPr>
          </w:p>
        </w:tc>
        <w:tc>
          <w:tcPr>
            <w:tcW w:w="1582" w:type="dxa"/>
            <w:vAlign w:val="center"/>
          </w:tcPr>
          <w:p w14:paraId="04F3BDEC">
            <w:pPr>
              <w:snapToGrid w:val="0"/>
              <w:jc w:val="center"/>
              <w:rPr>
                <w:rFonts w:hint="eastAsia" w:ascii="宋体" w:hAnsi="宋体" w:cs="宋体"/>
                <w:color w:val="000000"/>
                <w:szCs w:val="21"/>
              </w:rPr>
            </w:pPr>
          </w:p>
        </w:tc>
      </w:tr>
      <w:tr w14:paraId="031B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Align w:val="center"/>
          </w:tcPr>
          <w:p w14:paraId="7D32FCFF">
            <w:pPr>
              <w:snapToGrid w:val="0"/>
              <w:jc w:val="center"/>
              <w:rPr>
                <w:rFonts w:hint="eastAsia" w:ascii="宋体" w:hAnsi="宋体" w:cs="宋体"/>
                <w:color w:val="000000"/>
                <w:szCs w:val="21"/>
              </w:rPr>
            </w:pPr>
            <w:r>
              <w:rPr>
                <w:rFonts w:hint="eastAsia" w:ascii="宋体" w:hAnsi="宋体" w:cs="宋体"/>
                <w:color w:val="000000"/>
                <w:szCs w:val="21"/>
              </w:rPr>
              <w:t>2</w:t>
            </w:r>
          </w:p>
        </w:tc>
        <w:tc>
          <w:tcPr>
            <w:tcW w:w="1913" w:type="dxa"/>
            <w:vAlign w:val="center"/>
          </w:tcPr>
          <w:p w14:paraId="088D7175">
            <w:pPr>
              <w:snapToGrid w:val="0"/>
              <w:jc w:val="center"/>
              <w:rPr>
                <w:rFonts w:hint="eastAsia" w:ascii="宋体" w:hAnsi="宋体" w:cs="宋体"/>
                <w:color w:val="000000"/>
                <w:szCs w:val="21"/>
              </w:rPr>
            </w:pPr>
          </w:p>
        </w:tc>
        <w:tc>
          <w:tcPr>
            <w:tcW w:w="1109" w:type="dxa"/>
            <w:vAlign w:val="center"/>
          </w:tcPr>
          <w:p w14:paraId="0D249C05">
            <w:pPr>
              <w:snapToGrid w:val="0"/>
              <w:jc w:val="center"/>
              <w:rPr>
                <w:rFonts w:hint="eastAsia" w:ascii="宋体" w:hAnsi="宋体" w:cs="宋体"/>
                <w:color w:val="000000"/>
                <w:szCs w:val="21"/>
              </w:rPr>
            </w:pPr>
          </w:p>
        </w:tc>
        <w:tc>
          <w:tcPr>
            <w:tcW w:w="1349" w:type="dxa"/>
            <w:vAlign w:val="center"/>
          </w:tcPr>
          <w:p w14:paraId="029C9001">
            <w:pPr>
              <w:snapToGrid w:val="0"/>
              <w:jc w:val="center"/>
              <w:rPr>
                <w:rFonts w:hint="eastAsia" w:ascii="宋体" w:hAnsi="宋体" w:cs="宋体"/>
                <w:color w:val="000000"/>
                <w:szCs w:val="21"/>
              </w:rPr>
            </w:pPr>
          </w:p>
        </w:tc>
        <w:tc>
          <w:tcPr>
            <w:tcW w:w="857" w:type="dxa"/>
            <w:vAlign w:val="center"/>
          </w:tcPr>
          <w:p w14:paraId="729FF273">
            <w:pPr>
              <w:snapToGrid w:val="0"/>
              <w:jc w:val="center"/>
              <w:rPr>
                <w:rFonts w:hint="eastAsia" w:ascii="宋体" w:hAnsi="宋体" w:cs="宋体"/>
                <w:color w:val="000000"/>
                <w:szCs w:val="21"/>
              </w:rPr>
            </w:pPr>
          </w:p>
        </w:tc>
        <w:tc>
          <w:tcPr>
            <w:tcW w:w="836" w:type="dxa"/>
            <w:vAlign w:val="center"/>
          </w:tcPr>
          <w:p w14:paraId="225E548D">
            <w:pPr>
              <w:snapToGrid w:val="0"/>
              <w:jc w:val="center"/>
              <w:rPr>
                <w:rFonts w:hint="eastAsia" w:ascii="宋体" w:hAnsi="宋体" w:cs="宋体"/>
                <w:color w:val="000000"/>
                <w:szCs w:val="21"/>
              </w:rPr>
            </w:pPr>
          </w:p>
        </w:tc>
        <w:tc>
          <w:tcPr>
            <w:tcW w:w="1221" w:type="dxa"/>
            <w:vAlign w:val="center"/>
          </w:tcPr>
          <w:p w14:paraId="124A6946">
            <w:pPr>
              <w:snapToGrid w:val="0"/>
              <w:jc w:val="center"/>
              <w:rPr>
                <w:rFonts w:hint="eastAsia" w:ascii="宋体" w:hAnsi="宋体" w:cs="宋体"/>
                <w:color w:val="000000"/>
                <w:szCs w:val="21"/>
              </w:rPr>
            </w:pPr>
          </w:p>
        </w:tc>
        <w:tc>
          <w:tcPr>
            <w:tcW w:w="1582" w:type="dxa"/>
            <w:vAlign w:val="center"/>
          </w:tcPr>
          <w:p w14:paraId="79CBEC8E">
            <w:pPr>
              <w:snapToGrid w:val="0"/>
              <w:jc w:val="center"/>
              <w:rPr>
                <w:rFonts w:hint="eastAsia" w:ascii="宋体" w:hAnsi="宋体" w:cs="宋体"/>
                <w:color w:val="000000"/>
                <w:szCs w:val="21"/>
              </w:rPr>
            </w:pPr>
          </w:p>
        </w:tc>
      </w:tr>
      <w:tr w14:paraId="625F8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dxa"/>
            <w:vAlign w:val="center"/>
          </w:tcPr>
          <w:p w14:paraId="1178A332">
            <w:pPr>
              <w:snapToGrid w:val="0"/>
              <w:jc w:val="center"/>
              <w:rPr>
                <w:rFonts w:hint="eastAsia" w:ascii="宋体" w:hAnsi="宋体" w:cs="宋体"/>
                <w:color w:val="000000"/>
                <w:szCs w:val="21"/>
              </w:rPr>
            </w:pPr>
            <w:r>
              <w:rPr>
                <w:rFonts w:hint="eastAsia" w:ascii="宋体" w:hAnsi="宋体" w:cs="宋体"/>
                <w:color w:val="000000"/>
                <w:szCs w:val="21"/>
              </w:rPr>
              <w:t>…</w:t>
            </w:r>
          </w:p>
        </w:tc>
        <w:tc>
          <w:tcPr>
            <w:tcW w:w="1913" w:type="dxa"/>
            <w:vAlign w:val="center"/>
          </w:tcPr>
          <w:p w14:paraId="1CFF9BEF">
            <w:pPr>
              <w:snapToGrid w:val="0"/>
              <w:jc w:val="center"/>
              <w:rPr>
                <w:rFonts w:hint="eastAsia" w:ascii="宋体" w:hAnsi="宋体" w:cs="宋体"/>
                <w:color w:val="000000"/>
                <w:szCs w:val="21"/>
              </w:rPr>
            </w:pPr>
          </w:p>
        </w:tc>
        <w:tc>
          <w:tcPr>
            <w:tcW w:w="1109" w:type="dxa"/>
            <w:vAlign w:val="center"/>
          </w:tcPr>
          <w:p w14:paraId="1A6553D6">
            <w:pPr>
              <w:snapToGrid w:val="0"/>
              <w:jc w:val="center"/>
              <w:rPr>
                <w:rFonts w:hint="eastAsia" w:ascii="宋体" w:hAnsi="宋体" w:cs="宋体"/>
                <w:color w:val="000000"/>
                <w:szCs w:val="21"/>
              </w:rPr>
            </w:pPr>
          </w:p>
        </w:tc>
        <w:tc>
          <w:tcPr>
            <w:tcW w:w="1349" w:type="dxa"/>
            <w:vAlign w:val="center"/>
          </w:tcPr>
          <w:p w14:paraId="3C4224A1">
            <w:pPr>
              <w:snapToGrid w:val="0"/>
              <w:jc w:val="center"/>
              <w:rPr>
                <w:rFonts w:hint="eastAsia" w:ascii="宋体" w:hAnsi="宋体" w:cs="宋体"/>
                <w:color w:val="000000"/>
                <w:szCs w:val="21"/>
              </w:rPr>
            </w:pPr>
          </w:p>
        </w:tc>
        <w:tc>
          <w:tcPr>
            <w:tcW w:w="857" w:type="dxa"/>
            <w:vAlign w:val="center"/>
          </w:tcPr>
          <w:p w14:paraId="1849321B">
            <w:pPr>
              <w:snapToGrid w:val="0"/>
              <w:jc w:val="center"/>
              <w:rPr>
                <w:rFonts w:hint="eastAsia" w:ascii="宋体" w:hAnsi="宋体" w:cs="宋体"/>
                <w:color w:val="000000"/>
                <w:szCs w:val="21"/>
              </w:rPr>
            </w:pPr>
          </w:p>
        </w:tc>
        <w:tc>
          <w:tcPr>
            <w:tcW w:w="836" w:type="dxa"/>
            <w:vAlign w:val="center"/>
          </w:tcPr>
          <w:p w14:paraId="726743CF">
            <w:pPr>
              <w:snapToGrid w:val="0"/>
              <w:jc w:val="center"/>
              <w:rPr>
                <w:rFonts w:hint="eastAsia" w:ascii="宋体" w:hAnsi="宋体" w:cs="宋体"/>
                <w:color w:val="000000"/>
                <w:szCs w:val="21"/>
              </w:rPr>
            </w:pPr>
          </w:p>
        </w:tc>
        <w:tc>
          <w:tcPr>
            <w:tcW w:w="1221" w:type="dxa"/>
            <w:vAlign w:val="center"/>
          </w:tcPr>
          <w:p w14:paraId="6D673E87">
            <w:pPr>
              <w:snapToGrid w:val="0"/>
              <w:jc w:val="center"/>
              <w:rPr>
                <w:rFonts w:hint="eastAsia" w:ascii="宋体" w:hAnsi="宋体" w:cs="宋体"/>
                <w:color w:val="000000"/>
                <w:szCs w:val="21"/>
              </w:rPr>
            </w:pPr>
          </w:p>
        </w:tc>
        <w:tc>
          <w:tcPr>
            <w:tcW w:w="1582" w:type="dxa"/>
            <w:vAlign w:val="center"/>
          </w:tcPr>
          <w:p w14:paraId="3E94753F">
            <w:pPr>
              <w:snapToGrid w:val="0"/>
              <w:jc w:val="center"/>
              <w:rPr>
                <w:rFonts w:hint="eastAsia" w:ascii="宋体" w:hAnsi="宋体" w:cs="宋体"/>
                <w:color w:val="000000"/>
                <w:szCs w:val="21"/>
              </w:rPr>
            </w:pPr>
          </w:p>
        </w:tc>
      </w:tr>
      <w:tr w14:paraId="2B9D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3" w:type="dxa"/>
            <w:gridSpan w:val="2"/>
            <w:vAlign w:val="center"/>
          </w:tcPr>
          <w:p w14:paraId="3999B94C">
            <w:pPr>
              <w:snapToGrid w:val="0"/>
              <w:jc w:val="center"/>
              <w:rPr>
                <w:rFonts w:hint="eastAsia" w:ascii="宋体" w:hAnsi="宋体" w:cs="宋体"/>
                <w:color w:val="000000"/>
                <w:szCs w:val="21"/>
                <w:u w:val="single"/>
              </w:rPr>
            </w:pPr>
            <w:r>
              <w:rPr>
                <w:rFonts w:hint="eastAsia" w:ascii="宋体" w:hAnsi="宋体" w:cs="宋体"/>
                <w:color w:val="000000"/>
                <w:szCs w:val="21"/>
              </w:rPr>
              <w:t>投标报价总计</w:t>
            </w:r>
          </w:p>
        </w:tc>
        <w:tc>
          <w:tcPr>
            <w:tcW w:w="6954" w:type="dxa"/>
            <w:gridSpan w:val="6"/>
            <w:vAlign w:val="center"/>
          </w:tcPr>
          <w:p w14:paraId="33668A04">
            <w:pPr>
              <w:snapToGrid w:val="0"/>
              <w:rPr>
                <w:rFonts w:hint="eastAsia" w:ascii="宋体" w:hAnsi="宋体" w:cs="宋体"/>
                <w:color w:val="000000"/>
                <w:szCs w:val="21"/>
                <w:u w:val="single"/>
              </w:rPr>
            </w:pPr>
            <w:r>
              <w:rPr>
                <w:rFonts w:hint="eastAsia" w:ascii="宋体" w:hAnsi="宋体" w:cs="宋体"/>
                <w:color w:val="000000"/>
                <w:szCs w:val="21"/>
              </w:rPr>
              <w:t>大写：</w:t>
            </w:r>
          </w:p>
          <w:p w14:paraId="17510089">
            <w:pPr>
              <w:snapToGrid w:val="0"/>
              <w:rPr>
                <w:rFonts w:hint="eastAsia" w:ascii="宋体" w:hAnsi="宋体" w:cs="宋体"/>
                <w:color w:val="000000"/>
                <w:szCs w:val="21"/>
                <w:u w:val="single"/>
              </w:rPr>
            </w:pPr>
            <w:r>
              <w:rPr>
                <w:rFonts w:hint="eastAsia" w:ascii="宋体" w:hAnsi="宋体" w:cs="宋体"/>
                <w:color w:val="000000"/>
                <w:szCs w:val="21"/>
              </w:rPr>
              <w:t>小写：</w:t>
            </w:r>
          </w:p>
        </w:tc>
      </w:tr>
      <w:tr w14:paraId="5106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3" w:type="dxa"/>
            <w:gridSpan w:val="2"/>
            <w:vAlign w:val="center"/>
          </w:tcPr>
          <w:p w14:paraId="26027D5D">
            <w:pPr>
              <w:snapToGrid w:val="0"/>
              <w:jc w:val="center"/>
              <w:rPr>
                <w:rFonts w:hint="eastAsia" w:ascii="宋体" w:hAnsi="宋体" w:cs="宋体"/>
                <w:color w:val="000000"/>
                <w:szCs w:val="21"/>
              </w:rPr>
            </w:pPr>
            <w:r>
              <w:rPr>
                <w:rFonts w:hint="eastAsia" w:ascii="宋体" w:hAnsi="宋体" w:cs="宋体"/>
                <w:color w:val="000000"/>
                <w:szCs w:val="21"/>
              </w:rPr>
              <w:t>合同履行期限</w:t>
            </w:r>
          </w:p>
        </w:tc>
        <w:tc>
          <w:tcPr>
            <w:tcW w:w="6954" w:type="dxa"/>
            <w:gridSpan w:val="6"/>
            <w:vAlign w:val="center"/>
          </w:tcPr>
          <w:p w14:paraId="69C5CB65">
            <w:pPr>
              <w:snapToGrid w:val="0"/>
              <w:rPr>
                <w:rFonts w:hint="eastAsia" w:ascii="宋体" w:hAnsi="宋体" w:cs="宋体"/>
                <w:color w:val="000000"/>
                <w:szCs w:val="21"/>
              </w:rPr>
            </w:pPr>
          </w:p>
        </w:tc>
      </w:tr>
      <w:tr w14:paraId="7993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3" w:type="dxa"/>
            <w:gridSpan w:val="2"/>
            <w:vAlign w:val="center"/>
          </w:tcPr>
          <w:p w14:paraId="0576ECD9">
            <w:pPr>
              <w:snapToGrid w:val="0"/>
              <w:jc w:val="center"/>
              <w:rPr>
                <w:rFonts w:hint="eastAsia" w:ascii="宋体" w:hAnsi="宋体" w:cs="宋体"/>
                <w:color w:val="000000"/>
                <w:szCs w:val="21"/>
              </w:rPr>
            </w:pPr>
            <w:r>
              <w:rPr>
                <w:rFonts w:hint="eastAsia" w:ascii="宋体" w:hAnsi="宋体" w:cs="宋体"/>
                <w:color w:val="000000"/>
                <w:szCs w:val="21"/>
              </w:rPr>
              <w:t>交货地点</w:t>
            </w:r>
          </w:p>
        </w:tc>
        <w:tc>
          <w:tcPr>
            <w:tcW w:w="6954" w:type="dxa"/>
            <w:gridSpan w:val="6"/>
            <w:vAlign w:val="center"/>
          </w:tcPr>
          <w:p w14:paraId="7CE1044C">
            <w:pPr>
              <w:snapToGrid w:val="0"/>
              <w:rPr>
                <w:rFonts w:hint="eastAsia" w:ascii="宋体" w:hAnsi="宋体" w:cs="宋体"/>
                <w:color w:val="000000"/>
                <w:szCs w:val="21"/>
              </w:rPr>
            </w:pPr>
          </w:p>
        </w:tc>
      </w:tr>
      <w:tr w14:paraId="5A83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43" w:type="dxa"/>
            <w:gridSpan w:val="2"/>
            <w:vAlign w:val="center"/>
          </w:tcPr>
          <w:p w14:paraId="52EAA95E">
            <w:pPr>
              <w:snapToGrid w:val="0"/>
              <w:jc w:val="center"/>
              <w:rPr>
                <w:rFonts w:hint="eastAsia" w:ascii="宋体" w:hAnsi="宋体" w:cs="宋体"/>
                <w:color w:val="000000"/>
                <w:szCs w:val="21"/>
              </w:rPr>
            </w:pPr>
            <w:r>
              <w:rPr>
                <w:rFonts w:hint="eastAsia" w:ascii="宋体" w:hAnsi="宋体" w:cs="宋体"/>
                <w:color w:val="000000"/>
                <w:szCs w:val="21"/>
              </w:rPr>
              <w:t>质保期</w:t>
            </w:r>
          </w:p>
        </w:tc>
        <w:tc>
          <w:tcPr>
            <w:tcW w:w="6954" w:type="dxa"/>
            <w:gridSpan w:val="6"/>
            <w:vAlign w:val="center"/>
          </w:tcPr>
          <w:p w14:paraId="34707CD5">
            <w:pPr>
              <w:snapToGrid w:val="0"/>
              <w:rPr>
                <w:rFonts w:hint="eastAsia" w:ascii="宋体" w:hAnsi="宋体" w:cs="宋体"/>
                <w:color w:val="000000"/>
                <w:szCs w:val="21"/>
              </w:rPr>
            </w:pPr>
          </w:p>
        </w:tc>
      </w:tr>
    </w:tbl>
    <w:p w14:paraId="3F602C85">
      <w:pPr>
        <w:spacing w:line="440" w:lineRule="exact"/>
        <w:contextualSpacing/>
        <w:jc w:val="left"/>
        <w:rPr>
          <w:rFonts w:ascii="宋体" w:hAnsi="宋体" w:cs="宋体"/>
          <w:sz w:val="22"/>
          <w:szCs w:val="22"/>
        </w:rPr>
      </w:pPr>
      <w:r>
        <w:rPr>
          <w:rFonts w:hint="eastAsia" w:ascii="宋体" w:hAnsi="宋体" w:cs="宋体"/>
          <w:sz w:val="22"/>
          <w:szCs w:val="22"/>
        </w:rPr>
        <w:t>注：</w:t>
      </w:r>
    </w:p>
    <w:p w14:paraId="04FBC6C2">
      <w:pPr>
        <w:spacing w:line="440" w:lineRule="exact"/>
        <w:ind w:firstLine="420" w:firstLineChars="200"/>
        <w:contextualSpacing/>
        <w:rPr>
          <w:rFonts w:ascii="宋体" w:hAnsi="宋体" w:cs="宋体"/>
          <w:szCs w:val="21"/>
          <w:lang w:val="zh-CN"/>
        </w:rPr>
      </w:pPr>
      <w:r>
        <w:rPr>
          <w:rFonts w:hint="eastAsia" w:ascii="宋体" w:hAnsi="宋体" w:cs="宋体"/>
          <w:szCs w:val="21"/>
          <w:lang w:val="zh-CN"/>
        </w:rPr>
        <w:t>1、供应商需按本表格式填写，不得自行更改，也不得留空,如有多分标，按分标分别提供竞标报价表。</w:t>
      </w:r>
    </w:p>
    <w:p w14:paraId="1D7E7C7D">
      <w:pPr>
        <w:spacing w:line="440" w:lineRule="exact"/>
        <w:ind w:firstLine="420" w:firstLineChars="200"/>
        <w:contextualSpacing/>
        <w:rPr>
          <w:rFonts w:ascii="宋体" w:hAnsi="宋体" w:cs="宋体"/>
          <w:b/>
          <w:bCs/>
          <w:szCs w:val="21"/>
          <w:lang w:val="zh-CN"/>
        </w:rPr>
      </w:pPr>
      <w:r>
        <w:rPr>
          <w:rFonts w:hint="eastAsia" w:ascii="宋体" w:hAnsi="宋体" w:cs="宋体"/>
          <w:szCs w:val="21"/>
        </w:rPr>
        <w:t>2</w:t>
      </w:r>
      <w:r>
        <w:rPr>
          <w:rFonts w:hint="eastAsia" w:ascii="宋体" w:hAnsi="宋体" w:cs="宋体"/>
          <w:szCs w:val="21"/>
          <w:lang w:val="zh-CN"/>
        </w:rPr>
        <w:t>、以上表格要求细分项目及报价，在“标的名称”一栏中，填写具体货物，</w:t>
      </w:r>
      <w:r>
        <w:rPr>
          <w:rFonts w:hint="eastAsia" w:ascii="宋体" w:hAnsi="宋体" w:cs="宋体"/>
          <w:b/>
          <w:bCs/>
          <w:szCs w:val="21"/>
          <w:lang w:val="zh-CN"/>
        </w:rPr>
        <w:t>否则其响应作无效响应处理。</w:t>
      </w:r>
    </w:p>
    <w:p w14:paraId="43CF44DD">
      <w:pPr>
        <w:spacing w:line="440" w:lineRule="exact"/>
        <w:ind w:firstLine="420" w:firstLineChars="200"/>
        <w:contextualSpacing/>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、特别提示：采购机构将对项目名称和项目编号，成交供应商名称、地址和成交金额，主要成交标的名称、技术参数及质量（配置）要求、数量、单位等予以公示。</w:t>
      </w:r>
    </w:p>
    <w:p w14:paraId="01FD45B5">
      <w:pPr>
        <w:spacing w:line="440" w:lineRule="exact"/>
        <w:ind w:firstLine="420" w:firstLineChars="200"/>
        <w:contextualSpacing/>
        <w:rPr>
          <w:rFonts w:ascii="宋体" w:hAnsi="宋体" w:cs="宋体"/>
          <w:szCs w:val="21"/>
          <w:lang w:val="zh-CN"/>
        </w:rPr>
      </w:pPr>
      <w:r>
        <w:rPr>
          <w:rFonts w:hint="eastAsia" w:ascii="宋体" w:hAnsi="宋体" w:cs="宋体"/>
          <w:szCs w:val="21"/>
        </w:rPr>
        <w:t>4</w:t>
      </w:r>
      <w:r>
        <w:rPr>
          <w:rFonts w:hint="eastAsia" w:ascii="宋体" w:hAnsi="宋体" w:cs="宋体"/>
          <w:szCs w:val="21"/>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5E97AC47">
      <w:pPr>
        <w:wordWrap w:val="0"/>
        <w:snapToGrid w:val="0"/>
        <w:spacing w:before="156" w:beforeLines="50" w:line="360" w:lineRule="auto"/>
        <w:ind w:right="480" w:firstLine="420"/>
        <w:jc w:val="right"/>
        <w:rPr>
          <w:rFonts w:hint="eastAsia" w:ascii="宋体" w:hAnsi="宋体" w:cs="宋体"/>
          <w:szCs w:val="21"/>
        </w:rPr>
      </w:pPr>
    </w:p>
    <w:p w14:paraId="7FB6A836">
      <w:pPr>
        <w:wordWrap w:val="0"/>
        <w:snapToGrid w:val="0"/>
        <w:spacing w:before="156" w:beforeLines="50" w:line="360" w:lineRule="auto"/>
        <w:ind w:right="480" w:firstLine="420"/>
        <w:jc w:val="right"/>
        <w:rPr>
          <w:rFonts w:ascii="宋体" w:hAnsi="宋体" w:cs="宋体"/>
          <w:szCs w:val="21"/>
        </w:rPr>
      </w:pPr>
      <w:r>
        <w:rPr>
          <w:rFonts w:hint="eastAsia" w:ascii="宋体" w:hAnsi="宋体" w:cs="宋体"/>
          <w:szCs w:val="21"/>
        </w:rPr>
        <w:t>供应商[公章（CA签章）]：</w:t>
      </w:r>
      <w:r>
        <w:rPr>
          <w:rFonts w:hint="eastAsia" w:ascii="宋体" w:hAnsi="宋体" w:cs="宋体"/>
          <w:szCs w:val="21"/>
          <w:u w:val="single"/>
        </w:rPr>
        <w:t xml:space="preserve">     </w:t>
      </w:r>
    </w:p>
    <w:p w14:paraId="2DD9AC60">
      <w:pPr>
        <w:wordWrap w:val="0"/>
        <w:snapToGrid w:val="0"/>
        <w:spacing w:before="156" w:beforeLines="50" w:line="360" w:lineRule="auto"/>
        <w:ind w:right="480" w:firstLine="420"/>
        <w:jc w:val="right"/>
        <w:rPr>
          <w:rFonts w:ascii="宋体" w:hAnsi="宋体" w:cs="宋体"/>
          <w:szCs w:val="21"/>
        </w:rPr>
      </w:pPr>
      <w:r>
        <w:rPr>
          <w:rFonts w:hint="eastAsia" w:ascii="宋体" w:hAnsi="宋体" w:cs="宋体"/>
          <w:szCs w:val="21"/>
        </w:rPr>
        <w:t xml:space="preserve">法定代表人或授权代理人签字（或个人CA签章）： </w:t>
      </w:r>
      <w:r>
        <w:rPr>
          <w:rFonts w:hint="eastAsia" w:ascii="宋体" w:hAnsi="宋体" w:cs="宋体"/>
          <w:szCs w:val="21"/>
          <w:u w:val="single"/>
        </w:rPr>
        <w:t xml:space="preserve">      </w:t>
      </w:r>
    </w:p>
    <w:p w14:paraId="3709755F">
      <w:pPr>
        <w:spacing w:line="440" w:lineRule="exact"/>
        <w:ind w:firstLine="3570" w:firstLineChars="1700"/>
        <w:contextualSpacing/>
        <w:jc w:val="right"/>
        <w:rPr>
          <w:rFonts w:ascii="宋体" w:hAnsi="宋体" w:cs="宋体"/>
          <w:b/>
          <w:szCs w:val="21"/>
        </w:rPr>
      </w:pPr>
      <w:r>
        <w:rPr>
          <w:rFonts w:hint="eastAsia" w:ascii="宋体" w:hAnsi="宋体" w:cs="宋体"/>
          <w:szCs w:val="21"/>
        </w:rPr>
        <w:t>日期：   年   月   日</w:t>
      </w:r>
    </w:p>
    <w:p w14:paraId="0F498A26">
      <w:pPr>
        <w:spacing w:line="440" w:lineRule="exact"/>
        <w:ind w:firstLine="3584" w:firstLineChars="1700"/>
        <w:contextualSpacing/>
        <w:jc w:val="right"/>
        <w:rPr>
          <w:rFonts w:hint="eastAsia" w:ascii="宋体" w:hAnsi="宋体" w:eastAsia="宋体" w:cs="宋体"/>
          <w:b/>
          <w:color w:val="auto"/>
          <w:szCs w:val="21"/>
        </w:rPr>
      </w:pPr>
    </w:p>
    <w:p w14:paraId="467DC413">
      <w:pPr>
        <w:spacing w:before="312" w:beforeLines="100" w:after="156" w:afterLines="50" w:line="520" w:lineRule="exact"/>
        <w:ind w:left="540"/>
        <w:jc w:val="center"/>
        <w:rPr>
          <w:rFonts w:hint="eastAsia" w:ascii="宋体" w:hAnsi="宋体" w:eastAsia="宋体" w:cs="宋体"/>
          <w:color w:val="auto"/>
          <w:sz w:val="32"/>
          <w:szCs w:val="32"/>
        </w:rPr>
      </w:pPr>
      <w:r>
        <w:rPr>
          <w:rFonts w:hint="eastAsia" w:ascii="宋体" w:hAnsi="宋体" w:eastAsia="宋体" w:cs="宋体"/>
          <w:b/>
          <w:color w:val="auto"/>
          <w:sz w:val="32"/>
          <w:szCs w:val="32"/>
        </w:rPr>
        <w:br w:type="page"/>
      </w:r>
      <w:r>
        <w:rPr>
          <w:rFonts w:hint="eastAsia" w:ascii="宋体" w:hAnsi="宋体" w:eastAsia="宋体" w:cs="宋体"/>
          <w:bCs/>
          <w:color w:val="auto"/>
          <w:sz w:val="44"/>
          <w:szCs w:val="44"/>
        </w:rPr>
        <w:t>法定代表人证明书</w:t>
      </w:r>
    </w:p>
    <w:p w14:paraId="23498EB1">
      <w:pPr>
        <w:spacing w:line="360" w:lineRule="auto"/>
        <w:ind w:left="540"/>
        <w:contextualSpacing/>
        <w:rPr>
          <w:rFonts w:hint="eastAsia" w:ascii="宋体" w:hAnsi="宋体" w:eastAsia="宋体" w:cs="宋体"/>
          <w:color w:val="auto"/>
          <w:sz w:val="32"/>
          <w:szCs w:val="32"/>
        </w:rPr>
      </w:pPr>
    </w:p>
    <w:p w14:paraId="2F04FA07">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供应商名称：</w:t>
      </w:r>
      <w:r>
        <w:rPr>
          <w:rFonts w:hint="eastAsia" w:ascii="宋体" w:hAnsi="宋体" w:eastAsia="宋体" w:cs="宋体"/>
          <w:color w:val="auto"/>
          <w:szCs w:val="21"/>
          <w:u w:val="single"/>
        </w:rPr>
        <w:t xml:space="preserve">                                                        </w:t>
      </w:r>
    </w:p>
    <w:p w14:paraId="1E2193D6">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地    址：</w:t>
      </w:r>
      <w:r>
        <w:rPr>
          <w:rFonts w:hint="eastAsia" w:ascii="宋体" w:hAnsi="宋体" w:eastAsia="宋体" w:cs="宋体"/>
          <w:color w:val="auto"/>
          <w:szCs w:val="21"/>
          <w:u w:val="single"/>
        </w:rPr>
        <w:t xml:space="preserve">                                                        </w:t>
      </w:r>
    </w:p>
    <w:p w14:paraId="45EF02F0">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姓    名：</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性      别：</w:t>
      </w:r>
      <w:r>
        <w:rPr>
          <w:rFonts w:hint="eastAsia" w:ascii="宋体" w:hAnsi="宋体" w:eastAsia="宋体" w:cs="宋体"/>
          <w:color w:val="auto"/>
          <w:szCs w:val="21"/>
          <w:u w:val="single"/>
        </w:rPr>
        <w:t xml:space="preserve">                </w:t>
      </w:r>
    </w:p>
    <w:p w14:paraId="7FD8D32D">
      <w:pPr>
        <w:spacing w:line="440" w:lineRule="exact"/>
        <w:ind w:left="539"/>
        <w:contextualSpacing/>
        <w:rPr>
          <w:rFonts w:hint="eastAsia" w:ascii="宋体" w:hAnsi="宋体" w:eastAsia="宋体" w:cs="宋体"/>
          <w:color w:val="auto"/>
          <w:szCs w:val="21"/>
          <w:u w:val="single"/>
        </w:rPr>
      </w:pPr>
      <w:r>
        <w:rPr>
          <w:rFonts w:hint="eastAsia" w:ascii="宋体" w:hAnsi="宋体" w:eastAsia="宋体" w:cs="宋体"/>
          <w:color w:val="auto"/>
          <w:szCs w:val="21"/>
        </w:rPr>
        <w:t>年    龄：</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职      务：</w:t>
      </w:r>
      <w:r>
        <w:rPr>
          <w:rFonts w:hint="eastAsia" w:ascii="宋体" w:hAnsi="宋体" w:eastAsia="宋体" w:cs="宋体"/>
          <w:color w:val="auto"/>
          <w:szCs w:val="21"/>
          <w:u w:val="single"/>
        </w:rPr>
        <w:t xml:space="preserve">                </w:t>
      </w:r>
    </w:p>
    <w:p w14:paraId="3D9F0CAA">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身份证号码：</w:t>
      </w:r>
      <w:r>
        <w:rPr>
          <w:rFonts w:hint="eastAsia" w:ascii="宋体" w:hAnsi="宋体" w:eastAsia="宋体" w:cs="宋体"/>
          <w:color w:val="auto"/>
          <w:szCs w:val="21"/>
          <w:u w:val="single"/>
        </w:rPr>
        <w:t xml:space="preserve">                                        </w:t>
      </w:r>
    </w:p>
    <w:p w14:paraId="69BB905C">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系</w:t>
      </w:r>
      <w:r>
        <w:rPr>
          <w:rFonts w:hint="eastAsia" w:ascii="宋体" w:hAnsi="宋体" w:eastAsia="宋体" w:cs="宋体"/>
          <w:color w:val="auto"/>
          <w:szCs w:val="21"/>
          <w:u w:val="single"/>
        </w:rPr>
        <w:t xml:space="preserve">    （供应商名称）   </w:t>
      </w:r>
      <w:r>
        <w:rPr>
          <w:rFonts w:hint="eastAsia" w:ascii="宋体" w:hAnsi="宋体" w:eastAsia="宋体" w:cs="宋体"/>
          <w:color w:val="auto"/>
          <w:szCs w:val="21"/>
        </w:rPr>
        <w:t>的法定代表人。</w:t>
      </w:r>
    </w:p>
    <w:p w14:paraId="0B0D4211">
      <w:pPr>
        <w:spacing w:line="440" w:lineRule="exact"/>
        <w:ind w:left="539"/>
        <w:contextualSpacing/>
        <w:rPr>
          <w:rFonts w:hint="eastAsia" w:ascii="宋体" w:hAnsi="宋体" w:eastAsia="宋体" w:cs="宋体"/>
          <w:color w:val="auto"/>
          <w:szCs w:val="21"/>
        </w:rPr>
      </w:pPr>
      <w:r>
        <w:rPr>
          <w:rFonts w:hint="eastAsia" w:ascii="宋体" w:hAnsi="宋体" w:eastAsia="宋体" w:cs="宋体"/>
          <w:color w:val="auto"/>
          <w:szCs w:val="21"/>
        </w:rPr>
        <w:t>特此证明。</w:t>
      </w:r>
    </w:p>
    <w:p w14:paraId="527D49C3">
      <w:pPr>
        <w:spacing w:line="360" w:lineRule="auto"/>
        <w:ind w:left="540"/>
        <w:contextualSpacing/>
        <w:rPr>
          <w:rFonts w:hint="eastAsia" w:ascii="宋体" w:hAnsi="宋体" w:eastAsia="宋体" w:cs="宋体"/>
          <w:color w:val="auto"/>
          <w:szCs w:val="21"/>
        </w:rPr>
      </w:pPr>
    </w:p>
    <w:p w14:paraId="640C32BF">
      <w:pPr>
        <w:spacing w:line="360" w:lineRule="auto"/>
        <w:ind w:left="540"/>
        <w:contextualSpacing/>
        <w:rPr>
          <w:rFonts w:hint="eastAsia" w:ascii="宋体" w:hAnsi="宋体" w:eastAsia="宋体" w:cs="宋体"/>
          <w:color w:val="auto"/>
          <w:szCs w:val="21"/>
        </w:rPr>
      </w:pPr>
    </w:p>
    <w:p w14:paraId="21BC6DC9">
      <w:pPr>
        <w:spacing w:line="360" w:lineRule="auto"/>
        <w:ind w:left="540"/>
        <w:contextualSpacing/>
        <w:rPr>
          <w:rFonts w:hint="eastAsia" w:ascii="宋体" w:hAnsi="宋体" w:eastAsia="宋体" w:cs="宋体"/>
          <w:color w:val="auto"/>
          <w:szCs w:val="21"/>
        </w:rPr>
      </w:pPr>
    </w:p>
    <w:p w14:paraId="3532C071">
      <w:pPr>
        <w:spacing w:line="360" w:lineRule="auto"/>
        <w:ind w:left="540"/>
        <w:contextualSpacing/>
        <w:rPr>
          <w:rFonts w:hint="eastAsia" w:ascii="宋体" w:hAnsi="宋体" w:eastAsia="宋体" w:cs="宋体"/>
          <w:color w:val="auto"/>
          <w:szCs w:val="21"/>
        </w:rPr>
      </w:pPr>
      <w:r>
        <w:rPr>
          <w:rFonts w:hint="eastAsia" w:ascii="宋体" w:hAnsi="宋体" w:eastAsia="宋体" w:cs="宋体"/>
          <w:color w:val="auto"/>
          <w:szCs w:val="21"/>
        </w:rPr>
        <w:t>附件：法定代表人有效身份证正反面扫描件</w:t>
      </w:r>
    </w:p>
    <w:p w14:paraId="4A73D6F5">
      <w:pPr>
        <w:spacing w:line="360" w:lineRule="auto"/>
        <w:ind w:left="540"/>
        <w:contextualSpacing/>
        <w:rPr>
          <w:rFonts w:hint="eastAsia" w:ascii="宋体" w:hAnsi="宋体" w:eastAsia="宋体" w:cs="宋体"/>
          <w:color w:val="auto"/>
          <w:szCs w:val="21"/>
        </w:rPr>
      </w:pPr>
    </w:p>
    <w:p w14:paraId="13CAE04D">
      <w:pPr>
        <w:wordWrap w:val="0"/>
        <w:snapToGrid w:val="0"/>
        <w:spacing w:before="156" w:beforeLines="50" w:line="360" w:lineRule="auto"/>
        <w:ind w:right="480" w:firstLine="420"/>
        <w:jc w:val="right"/>
        <w:rPr>
          <w:rFonts w:hint="eastAsia" w:ascii="宋体" w:hAnsi="宋体" w:eastAsia="宋体" w:cs="宋体"/>
          <w:color w:val="auto"/>
          <w:szCs w:val="21"/>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5B3BE32F">
      <w:pPr>
        <w:spacing w:line="440" w:lineRule="exact"/>
        <w:ind w:firstLine="3570" w:firstLineChars="1700"/>
        <w:contextualSpacing/>
        <w:jc w:val="right"/>
        <w:rPr>
          <w:rFonts w:hint="eastAsia" w:ascii="宋体" w:hAnsi="宋体" w:eastAsia="宋体" w:cs="宋体"/>
          <w:color w:val="auto"/>
          <w:szCs w:val="21"/>
        </w:rPr>
      </w:pP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76623C33">
      <w:pPr>
        <w:spacing w:line="360" w:lineRule="auto"/>
        <w:contextualSpacing/>
        <w:jc w:val="center"/>
        <w:rPr>
          <w:rFonts w:hint="eastAsia" w:ascii="宋体" w:hAnsi="宋体" w:eastAsia="宋体" w:cs="宋体"/>
          <w:b/>
          <w:color w:val="auto"/>
          <w:szCs w:val="21"/>
        </w:rPr>
      </w:pPr>
    </w:p>
    <w:p w14:paraId="054CF7F9">
      <w:pPr>
        <w:spacing w:line="440" w:lineRule="exact"/>
        <w:contextualSpacing/>
        <w:jc w:val="left"/>
        <w:rPr>
          <w:rFonts w:hint="eastAsia" w:ascii="宋体" w:hAnsi="宋体" w:eastAsia="宋体" w:cs="宋体"/>
          <w:color w:val="auto"/>
          <w:szCs w:val="21"/>
        </w:rPr>
      </w:pPr>
      <w:r>
        <w:rPr>
          <w:rFonts w:hint="eastAsia" w:ascii="宋体" w:hAnsi="宋体" w:eastAsia="宋体" w:cs="宋体"/>
          <w:color w:val="auto"/>
          <w:szCs w:val="21"/>
        </w:rPr>
        <w:t>注：1.自然人竞标的无需提供，联合体竞标的只需牵头人出具。</w:t>
      </w:r>
    </w:p>
    <w:p w14:paraId="51A00AD6">
      <w:pPr>
        <w:spacing w:line="440" w:lineRule="exact"/>
        <w:ind w:firstLine="420" w:firstLineChars="200"/>
        <w:contextualSpacing/>
        <w:jc w:val="left"/>
        <w:rPr>
          <w:rFonts w:hint="eastAsia" w:ascii="宋体" w:hAnsi="宋体" w:eastAsia="宋体" w:cs="宋体"/>
          <w:b/>
          <w:color w:val="auto"/>
          <w:szCs w:val="21"/>
        </w:rPr>
      </w:pPr>
      <w:r>
        <w:rPr>
          <w:rFonts w:hint="eastAsia" w:ascii="宋体" w:hAnsi="宋体" w:eastAsia="宋体" w:cs="宋体"/>
          <w:color w:val="auto"/>
          <w:szCs w:val="21"/>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14:paraId="7146390E">
      <w:pPr>
        <w:adjustRightInd w:val="0"/>
        <w:snapToGrid w:val="0"/>
        <w:spacing w:line="300" w:lineRule="auto"/>
        <w:jc w:val="left"/>
        <w:rPr>
          <w:rFonts w:hint="eastAsia" w:ascii="宋体" w:hAnsi="宋体" w:eastAsia="宋体" w:cs="宋体"/>
          <w:b/>
          <w:color w:val="auto"/>
          <w:szCs w:val="21"/>
        </w:rPr>
      </w:pPr>
    </w:p>
    <w:p w14:paraId="4C737C63">
      <w:pPr>
        <w:spacing w:line="520" w:lineRule="exact"/>
        <w:jc w:val="center"/>
        <w:rPr>
          <w:rFonts w:hint="eastAsia" w:ascii="宋体" w:hAnsi="宋体" w:eastAsia="宋体" w:cs="宋体"/>
          <w:b/>
          <w:bCs/>
          <w:color w:val="auto"/>
          <w:sz w:val="28"/>
          <w:szCs w:val="28"/>
        </w:rPr>
      </w:pPr>
      <w:r>
        <w:rPr>
          <w:rFonts w:hint="eastAsia" w:ascii="宋体" w:hAnsi="宋体" w:eastAsia="宋体" w:cs="宋体"/>
          <w:color w:val="auto"/>
          <w:sz w:val="44"/>
          <w:szCs w:val="44"/>
        </w:rPr>
        <w:br w:type="page"/>
      </w:r>
      <w:r>
        <w:rPr>
          <w:rFonts w:hint="eastAsia" w:ascii="宋体" w:hAnsi="宋体" w:eastAsia="宋体" w:cs="宋体"/>
          <w:b/>
          <w:bCs/>
          <w:color w:val="auto"/>
          <w:sz w:val="28"/>
          <w:szCs w:val="28"/>
        </w:rPr>
        <w:t>授权委托书（如有委托时）</w:t>
      </w:r>
    </w:p>
    <w:p w14:paraId="539DB311">
      <w:pPr>
        <w:spacing w:line="360" w:lineRule="auto"/>
        <w:contextualSpacing/>
        <w:rPr>
          <w:rFonts w:hint="eastAsia" w:ascii="宋体" w:hAnsi="宋体" w:eastAsia="宋体" w:cs="宋体"/>
          <w:color w:val="auto"/>
          <w:szCs w:val="21"/>
        </w:rPr>
      </w:pPr>
    </w:p>
    <w:p w14:paraId="5682DE9D">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（采购人名称）</w:t>
      </w:r>
      <w:r>
        <w:rPr>
          <w:rFonts w:hint="eastAsia" w:ascii="宋体" w:hAnsi="宋体" w:eastAsia="宋体" w:cs="宋体"/>
          <w:color w:val="auto"/>
          <w:szCs w:val="21"/>
        </w:rPr>
        <w:t>：</w:t>
      </w:r>
    </w:p>
    <w:p w14:paraId="56034FDE">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我</w:t>
      </w:r>
      <w:r>
        <w:rPr>
          <w:rFonts w:hint="eastAsia" w:ascii="宋体" w:hAnsi="宋体" w:eastAsia="宋体" w:cs="宋体"/>
          <w:color w:val="auto"/>
          <w:szCs w:val="21"/>
          <w:u w:val="single"/>
        </w:rPr>
        <w:t xml:space="preserve">  （姓名）  </w:t>
      </w:r>
      <w:r>
        <w:rPr>
          <w:rFonts w:hint="eastAsia" w:ascii="宋体" w:hAnsi="宋体" w:eastAsia="宋体" w:cs="宋体"/>
          <w:color w:val="auto"/>
          <w:szCs w:val="21"/>
        </w:rPr>
        <w:t>系</w:t>
      </w:r>
      <w:r>
        <w:rPr>
          <w:rFonts w:hint="eastAsia" w:ascii="宋体" w:hAnsi="宋体" w:eastAsia="宋体" w:cs="宋体"/>
          <w:color w:val="auto"/>
          <w:szCs w:val="21"/>
          <w:u w:val="single"/>
        </w:rPr>
        <w:t xml:space="preserve">  （供应商名称）  </w:t>
      </w:r>
      <w:r>
        <w:rPr>
          <w:rFonts w:hint="eastAsia" w:ascii="宋体" w:hAnsi="宋体" w:eastAsia="宋体" w:cs="宋体"/>
          <w:color w:val="auto"/>
          <w:szCs w:val="21"/>
        </w:rPr>
        <w:t>的（</w:t>
      </w:r>
      <w:r>
        <w:rPr>
          <w:rFonts w:hint="eastAsia" w:ascii="宋体" w:hAnsi="宋体" w:eastAsia="宋体" w:cs="宋体"/>
          <w:color w:val="auto"/>
          <w:szCs w:val="21"/>
          <w:u w:val="single"/>
        </w:rPr>
        <w:t>□法定代表人/□负责人/□自然人本人</w:t>
      </w:r>
      <w:r>
        <w:rPr>
          <w:rFonts w:hint="eastAsia" w:ascii="宋体" w:hAnsi="宋体" w:eastAsia="宋体" w:cs="宋体"/>
          <w:color w:val="auto"/>
          <w:szCs w:val="21"/>
        </w:rPr>
        <w:t>），现授权</w:t>
      </w:r>
      <w:r>
        <w:rPr>
          <w:rFonts w:hint="eastAsia" w:ascii="宋体" w:hAnsi="宋体" w:eastAsia="宋体" w:cs="宋体"/>
          <w:color w:val="auto"/>
          <w:szCs w:val="21"/>
          <w:u w:val="single"/>
        </w:rPr>
        <w:t xml:space="preserve"> （姓名） </w:t>
      </w:r>
      <w:r>
        <w:rPr>
          <w:rFonts w:hint="eastAsia" w:ascii="宋体" w:hAnsi="宋体" w:eastAsia="宋体" w:cs="宋体"/>
          <w:color w:val="auto"/>
          <w:szCs w:val="21"/>
        </w:rPr>
        <w:t>以我方的名义参加</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项目的竞标活动，并代表我方全权办理针对上述项目的所有采购程序和环节的具体事务和签署相关文件。</w:t>
      </w:r>
    </w:p>
    <w:p w14:paraId="476AE395">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 xml:space="preserve">    我方对委托代理人的签字事项负全部责任。</w:t>
      </w:r>
    </w:p>
    <w:p w14:paraId="58A3E464">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本授权书自签署之日起生效，在撤销授权的书面通知以前，本授权书一直有效。委托代理人在授权书有效期内签署的所有文件不因授权的撤销而失效。</w:t>
      </w:r>
    </w:p>
    <w:p w14:paraId="51B86773">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委托代理人无转委托权，特此委托。</w:t>
      </w:r>
    </w:p>
    <w:p w14:paraId="1FD5B282">
      <w:pPr>
        <w:spacing w:line="440" w:lineRule="exact"/>
        <w:ind w:firstLine="420" w:firstLineChars="200"/>
        <w:contextualSpacing/>
        <w:rPr>
          <w:rFonts w:hint="eastAsia" w:ascii="宋体" w:hAnsi="宋体" w:eastAsia="宋体" w:cs="宋体"/>
          <w:color w:val="auto"/>
          <w:szCs w:val="21"/>
        </w:rPr>
      </w:pPr>
      <w:r>
        <w:rPr>
          <w:rFonts w:hint="eastAsia" w:ascii="宋体" w:hAnsi="宋体" w:eastAsia="宋体" w:cs="宋体"/>
          <w:color w:val="auto"/>
          <w:szCs w:val="21"/>
        </w:rPr>
        <w:t>附：法定代表人身份证明书及委托代理人有效身份证正反面扫描件</w:t>
      </w:r>
    </w:p>
    <w:p w14:paraId="186EC941">
      <w:pPr>
        <w:spacing w:line="440" w:lineRule="exact"/>
        <w:contextualSpacing/>
        <w:rPr>
          <w:rFonts w:hint="eastAsia" w:ascii="宋体" w:hAnsi="宋体" w:eastAsia="宋体" w:cs="宋体"/>
          <w:color w:val="auto"/>
          <w:szCs w:val="21"/>
        </w:rPr>
      </w:pPr>
    </w:p>
    <w:p w14:paraId="2D0DC94F">
      <w:pPr>
        <w:spacing w:line="360" w:lineRule="auto"/>
        <w:rPr>
          <w:rFonts w:hint="eastAsia" w:ascii="宋体" w:hAnsi="宋体" w:eastAsia="宋体" w:cs="宋体"/>
          <w:color w:val="auto"/>
          <w:szCs w:val="21"/>
        </w:rPr>
      </w:pPr>
      <w:r>
        <w:rPr>
          <w:rFonts w:hint="eastAsia" w:ascii="宋体" w:hAnsi="宋体" w:eastAsia="宋体" w:cs="宋体"/>
          <w:color w:val="auto"/>
          <w:szCs w:val="21"/>
        </w:rPr>
        <w:t xml:space="preserve">委托代理人（签字或个人CA签章）：        </w:t>
      </w:r>
    </w:p>
    <w:p w14:paraId="2C1EFCB0">
      <w:pPr>
        <w:spacing w:line="360" w:lineRule="auto"/>
        <w:contextualSpacing/>
        <w:rPr>
          <w:rFonts w:hint="eastAsia" w:ascii="宋体" w:hAnsi="宋体" w:eastAsia="宋体" w:cs="宋体"/>
          <w:color w:val="auto"/>
          <w:szCs w:val="21"/>
        </w:rPr>
      </w:pPr>
      <w:r>
        <w:rPr>
          <w:rFonts w:hint="eastAsia" w:ascii="宋体" w:hAnsi="宋体" w:eastAsia="宋体" w:cs="宋体"/>
          <w:color w:val="auto"/>
          <w:szCs w:val="21"/>
        </w:rPr>
        <w:t>法定代表人（签字或个人CA签章）：</w:t>
      </w:r>
    </w:p>
    <w:p w14:paraId="1A5E31F9">
      <w:pPr>
        <w:spacing w:line="360" w:lineRule="auto"/>
        <w:contextualSpacing/>
        <w:rPr>
          <w:rFonts w:hint="eastAsia" w:ascii="宋体" w:hAnsi="宋体" w:eastAsia="宋体" w:cs="宋体"/>
          <w:color w:val="auto"/>
          <w:szCs w:val="21"/>
        </w:rPr>
      </w:pPr>
      <w:r>
        <w:rPr>
          <w:rFonts w:hint="eastAsia" w:ascii="宋体" w:hAnsi="宋体" w:eastAsia="宋体" w:cs="宋体"/>
          <w:color w:val="auto"/>
          <w:szCs w:val="21"/>
        </w:rPr>
        <w:t xml:space="preserve">委托代理人身份证号码：                              </w:t>
      </w:r>
    </w:p>
    <w:p w14:paraId="7C4AE9BF">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 xml:space="preserve">                                </w:t>
      </w:r>
    </w:p>
    <w:p w14:paraId="33864476">
      <w:pPr>
        <w:spacing w:line="440" w:lineRule="exact"/>
        <w:contextualSpacing/>
        <w:jc w:val="center"/>
        <w:rPr>
          <w:rFonts w:hint="eastAsia" w:ascii="宋体" w:hAnsi="宋体" w:eastAsia="宋体" w:cs="宋体"/>
          <w:color w:val="auto"/>
          <w:szCs w:val="21"/>
        </w:rPr>
      </w:pPr>
      <w:r>
        <w:rPr>
          <w:rFonts w:hint="eastAsia" w:ascii="宋体" w:hAnsi="宋体" w:eastAsia="宋体" w:cs="宋体"/>
          <w:color w:val="auto"/>
          <w:szCs w:val="21"/>
        </w:rPr>
        <w:t>供应商[公章（CA签章）]：</w:t>
      </w:r>
    </w:p>
    <w:p w14:paraId="2A8252F7">
      <w:pPr>
        <w:spacing w:line="440" w:lineRule="exact"/>
        <w:contextualSpacing/>
        <w:jc w:val="center"/>
        <w:rPr>
          <w:rFonts w:hint="eastAsia" w:ascii="宋体" w:hAnsi="宋体" w:eastAsia="宋体" w:cs="宋体"/>
          <w:color w:val="auto"/>
          <w:szCs w:val="21"/>
        </w:rPr>
      </w:pPr>
      <w:r>
        <w:rPr>
          <w:rFonts w:hint="eastAsia" w:ascii="宋体" w:hAnsi="宋体" w:eastAsia="宋体" w:cs="宋体"/>
          <w:color w:val="auto"/>
          <w:szCs w:val="21"/>
        </w:rPr>
        <w:t>年    月    日</w:t>
      </w:r>
    </w:p>
    <w:p w14:paraId="6ACC11DA">
      <w:pPr>
        <w:spacing w:line="440" w:lineRule="exact"/>
        <w:contextualSpacing/>
        <w:rPr>
          <w:rFonts w:hint="eastAsia" w:ascii="宋体" w:hAnsi="宋体" w:eastAsia="宋体" w:cs="宋体"/>
          <w:color w:val="auto"/>
          <w:szCs w:val="21"/>
        </w:rPr>
      </w:pPr>
    </w:p>
    <w:p w14:paraId="23BF4C11">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注：1. 法定代表人必须在授权委托书上亲笔签字或盖章(个人CA签章)，委托代理人必须在授权委托书上亲笔签字或盖章(个人CA签章)，</w:t>
      </w:r>
      <w:r>
        <w:rPr>
          <w:rFonts w:hint="eastAsia" w:ascii="宋体" w:hAnsi="宋体" w:eastAsia="宋体" w:cs="宋体"/>
          <w:b/>
          <w:color w:val="auto"/>
          <w:szCs w:val="21"/>
        </w:rPr>
        <w:t>否则其响应文件按无效响应处理。</w:t>
      </w:r>
    </w:p>
    <w:p w14:paraId="036B5EE5">
      <w:pPr>
        <w:spacing w:line="440" w:lineRule="exact"/>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2.供应商为其他组织或者自然人时，本采购文件规定的法定代表人指负责人或者自然人。本采购文件所称负责人是指参加竞标的其他组织营业执照上的负责人，本采购文件所称自然人指参与竞标的自然人本人。</w:t>
      </w:r>
    </w:p>
    <w:p w14:paraId="1C19E9AE">
      <w:pPr>
        <w:spacing w:line="440" w:lineRule="exact"/>
        <w:ind w:firstLine="420" w:firstLineChars="200"/>
        <w:contextualSpacing/>
        <w:jc w:val="left"/>
        <w:rPr>
          <w:rFonts w:hint="eastAsia" w:ascii="宋体" w:hAnsi="宋体" w:eastAsia="宋体" w:cs="宋体"/>
          <w:color w:val="auto"/>
          <w:szCs w:val="21"/>
        </w:rPr>
      </w:pPr>
      <w:r>
        <w:rPr>
          <w:rFonts w:hint="eastAsia" w:ascii="宋体" w:hAnsi="宋体" w:eastAsia="宋体" w:cs="宋体"/>
          <w:color w:val="auto"/>
          <w:szCs w:val="21"/>
        </w:rPr>
        <w:t>3.法人、其他组织竞标时“我方”是指“我单位”，自然人竞标时“我方”是指“本人”。</w:t>
      </w:r>
    </w:p>
    <w:p w14:paraId="054DBD62">
      <w:pPr>
        <w:spacing w:line="360" w:lineRule="auto"/>
        <w:ind w:firstLine="420" w:firstLineChars="200"/>
        <w:contextualSpacing/>
        <w:jc w:val="left"/>
        <w:rPr>
          <w:rFonts w:hint="eastAsia" w:ascii="宋体" w:hAnsi="宋体" w:eastAsia="宋体" w:cs="宋体"/>
          <w:color w:val="auto"/>
          <w:szCs w:val="21"/>
        </w:rPr>
      </w:pPr>
    </w:p>
    <w:p w14:paraId="24379C35">
      <w:pPr>
        <w:spacing w:line="500" w:lineRule="exact"/>
        <w:jc w:val="center"/>
        <w:rPr>
          <w:rFonts w:hint="eastAsia" w:ascii="宋体" w:hAnsi="宋体" w:eastAsia="宋体" w:cs="宋体"/>
          <w:b/>
          <w:bCs/>
          <w:color w:val="auto"/>
          <w:sz w:val="28"/>
          <w:szCs w:val="28"/>
        </w:rPr>
      </w:pPr>
      <w:r>
        <w:rPr>
          <w:rFonts w:hint="eastAsia" w:ascii="宋体" w:hAnsi="宋体" w:eastAsia="宋体" w:cs="宋体"/>
          <w:color w:val="auto"/>
          <w:szCs w:val="21"/>
        </w:rPr>
        <w:br w:type="page"/>
      </w:r>
      <w:r>
        <w:rPr>
          <w:rFonts w:hint="eastAsia" w:ascii="宋体" w:hAnsi="宋体" w:eastAsia="宋体" w:cs="宋体"/>
          <w:b/>
          <w:bCs/>
          <w:color w:val="auto"/>
          <w:sz w:val="28"/>
          <w:szCs w:val="28"/>
        </w:rPr>
        <w:t>商务条款偏离表格式</w:t>
      </w:r>
    </w:p>
    <w:p w14:paraId="59A849E5">
      <w:pPr>
        <w:spacing w:line="500" w:lineRule="exact"/>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(注：按采购需求具体条款修改)</w:t>
      </w:r>
    </w:p>
    <w:p w14:paraId="1136E360">
      <w:pPr>
        <w:spacing w:line="360" w:lineRule="auto"/>
        <w:contextualSpacing/>
        <w:rPr>
          <w:rFonts w:hint="eastAsia" w:ascii="宋体" w:hAnsi="宋体" w:eastAsia="宋体" w:cs="宋体"/>
          <w:b/>
          <w:bCs/>
          <w:color w:val="auto"/>
          <w:sz w:val="28"/>
          <w:szCs w:val="28"/>
        </w:rPr>
      </w:pPr>
    </w:p>
    <w:tbl>
      <w:tblPr>
        <w:tblStyle w:val="30"/>
        <w:tblpPr w:leftFromText="180" w:rightFromText="180" w:vertAnchor="text" w:horzAnchor="margin" w:tblpY="311"/>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34"/>
        <w:gridCol w:w="2614"/>
        <w:gridCol w:w="2579"/>
        <w:gridCol w:w="1792"/>
      </w:tblGrid>
      <w:tr w14:paraId="370DBA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trPr>
        <w:tc>
          <w:tcPr>
            <w:tcW w:w="2134" w:type="dxa"/>
            <w:tcBorders>
              <w:top w:val="single" w:color="auto" w:sz="4" w:space="0"/>
              <w:left w:val="single" w:color="auto" w:sz="4" w:space="0"/>
              <w:bottom w:val="single" w:color="auto" w:sz="4" w:space="0"/>
              <w:right w:val="single" w:color="auto" w:sz="4" w:space="0"/>
            </w:tcBorders>
            <w:vAlign w:val="center"/>
          </w:tcPr>
          <w:p w14:paraId="2FA4CB3B">
            <w:pPr>
              <w:snapToGrid w:val="0"/>
              <w:spacing w:before="156" w:beforeLines="50" w:line="360" w:lineRule="auto"/>
              <w:jc w:val="center"/>
              <w:rPr>
                <w:rFonts w:hint="eastAsia" w:ascii="宋体" w:hAnsi="宋体" w:eastAsia="宋体" w:cs="宋体"/>
                <w:color w:val="auto"/>
                <w:szCs w:val="21"/>
              </w:rPr>
            </w:pPr>
            <w:r>
              <w:rPr>
                <w:rFonts w:hint="eastAsia" w:ascii="宋体" w:hAnsi="宋体" w:eastAsia="宋体" w:cs="宋体"/>
                <w:color w:val="auto"/>
                <w:szCs w:val="21"/>
              </w:rPr>
              <w:t>项目</w:t>
            </w:r>
          </w:p>
        </w:tc>
        <w:tc>
          <w:tcPr>
            <w:tcW w:w="2614" w:type="dxa"/>
            <w:tcBorders>
              <w:top w:val="single" w:color="auto" w:sz="4" w:space="0"/>
              <w:left w:val="single" w:color="auto" w:sz="4" w:space="0"/>
              <w:bottom w:val="single" w:color="auto" w:sz="4" w:space="0"/>
              <w:right w:val="single" w:color="auto" w:sz="4" w:space="0"/>
            </w:tcBorders>
            <w:vAlign w:val="center"/>
          </w:tcPr>
          <w:p w14:paraId="6644397D">
            <w:pPr>
              <w:snapToGrid w:val="0"/>
              <w:spacing w:before="156" w:beforeLines="50" w:line="360" w:lineRule="auto"/>
              <w:jc w:val="center"/>
              <w:rPr>
                <w:rFonts w:hint="eastAsia" w:ascii="宋体" w:hAnsi="宋体" w:eastAsia="宋体" w:cs="宋体"/>
                <w:color w:val="auto"/>
                <w:szCs w:val="21"/>
              </w:rPr>
            </w:pPr>
            <w:r>
              <w:rPr>
                <w:rFonts w:hint="eastAsia" w:ascii="宋体" w:hAnsi="宋体" w:eastAsia="宋体" w:cs="宋体"/>
                <w:color w:val="auto"/>
                <w:szCs w:val="21"/>
              </w:rPr>
              <w:t>竞争性谈判文件商务条款要求</w:t>
            </w:r>
          </w:p>
        </w:tc>
        <w:tc>
          <w:tcPr>
            <w:tcW w:w="2579" w:type="dxa"/>
            <w:tcBorders>
              <w:top w:val="single" w:color="auto" w:sz="4" w:space="0"/>
              <w:left w:val="single" w:color="auto" w:sz="4" w:space="0"/>
              <w:bottom w:val="single" w:color="auto" w:sz="4" w:space="0"/>
              <w:right w:val="single" w:color="auto" w:sz="4" w:space="0"/>
            </w:tcBorders>
            <w:vAlign w:val="center"/>
          </w:tcPr>
          <w:p w14:paraId="03ED79F1">
            <w:pPr>
              <w:snapToGrid w:val="0"/>
              <w:spacing w:before="156" w:beforeLines="50" w:line="360" w:lineRule="auto"/>
              <w:jc w:val="center"/>
              <w:rPr>
                <w:rFonts w:hint="eastAsia" w:ascii="宋体" w:hAnsi="宋体" w:eastAsia="宋体" w:cs="宋体"/>
                <w:color w:val="auto"/>
                <w:szCs w:val="21"/>
              </w:rPr>
            </w:pPr>
            <w:r>
              <w:rPr>
                <w:rFonts w:hint="eastAsia" w:ascii="宋体" w:hAnsi="宋体" w:eastAsia="宋体" w:cs="宋体"/>
                <w:color w:val="auto"/>
                <w:szCs w:val="21"/>
              </w:rPr>
              <w:t>供应商的响应</w:t>
            </w:r>
          </w:p>
        </w:tc>
        <w:tc>
          <w:tcPr>
            <w:tcW w:w="1792" w:type="dxa"/>
            <w:tcBorders>
              <w:top w:val="single" w:color="auto" w:sz="4" w:space="0"/>
              <w:left w:val="single" w:color="auto" w:sz="4" w:space="0"/>
              <w:bottom w:val="single" w:color="auto" w:sz="4" w:space="0"/>
              <w:right w:val="single" w:color="auto" w:sz="4" w:space="0"/>
            </w:tcBorders>
            <w:vAlign w:val="center"/>
          </w:tcPr>
          <w:p w14:paraId="3009F8A9">
            <w:pPr>
              <w:snapToGrid w:val="0"/>
              <w:spacing w:before="156" w:beforeLines="50" w:line="360" w:lineRule="auto"/>
              <w:jc w:val="center"/>
              <w:rPr>
                <w:rFonts w:hint="eastAsia" w:ascii="宋体" w:hAnsi="宋体" w:eastAsia="宋体" w:cs="宋体"/>
                <w:color w:val="auto"/>
                <w:szCs w:val="21"/>
              </w:rPr>
            </w:pPr>
            <w:r>
              <w:rPr>
                <w:rFonts w:hint="eastAsia" w:ascii="宋体" w:hAnsi="宋体" w:eastAsia="宋体" w:cs="宋体"/>
                <w:color w:val="auto"/>
                <w:szCs w:val="21"/>
              </w:rPr>
              <w:t>偏离说明</w:t>
            </w:r>
          </w:p>
        </w:tc>
      </w:tr>
      <w:tr w14:paraId="07E72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2134" w:type="dxa"/>
            <w:tcBorders>
              <w:top w:val="single" w:color="auto" w:sz="4" w:space="0"/>
              <w:left w:val="single" w:color="auto" w:sz="4" w:space="0"/>
              <w:bottom w:val="single" w:color="auto" w:sz="4" w:space="0"/>
              <w:right w:val="single" w:color="auto" w:sz="4" w:space="0"/>
            </w:tcBorders>
            <w:vAlign w:val="center"/>
          </w:tcPr>
          <w:p w14:paraId="7906319D">
            <w:pPr>
              <w:snapToGrid w:val="0"/>
              <w:spacing w:before="156" w:beforeLines="50" w:line="360" w:lineRule="auto"/>
              <w:jc w:val="center"/>
              <w:rPr>
                <w:rFonts w:hint="eastAsia" w:ascii="宋体" w:hAnsi="宋体" w:eastAsia="宋体" w:cs="宋体"/>
                <w:color w:val="auto"/>
                <w:szCs w:val="21"/>
              </w:rPr>
            </w:pPr>
          </w:p>
        </w:tc>
        <w:tc>
          <w:tcPr>
            <w:tcW w:w="2614" w:type="dxa"/>
            <w:tcBorders>
              <w:top w:val="single" w:color="auto" w:sz="4" w:space="0"/>
              <w:left w:val="single" w:color="auto" w:sz="4" w:space="0"/>
              <w:bottom w:val="single" w:color="auto" w:sz="4" w:space="0"/>
              <w:right w:val="single" w:color="auto" w:sz="4" w:space="0"/>
            </w:tcBorders>
            <w:vAlign w:val="center"/>
          </w:tcPr>
          <w:p w14:paraId="047A071D">
            <w:pPr>
              <w:snapToGrid w:val="0"/>
              <w:spacing w:before="156" w:beforeLines="50" w:line="360" w:lineRule="auto"/>
              <w:jc w:val="center"/>
              <w:rPr>
                <w:rFonts w:hint="eastAsia" w:ascii="宋体" w:hAnsi="宋体" w:eastAsia="宋体" w:cs="宋体"/>
                <w:color w:val="auto"/>
                <w:szCs w:val="21"/>
              </w:rPr>
            </w:pPr>
          </w:p>
        </w:tc>
        <w:tc>
          <w:tcPr>
            <w:tcW w:w="2579" w:type="dxa"/>
            <w:tcBorders>
              <w:top w:val="single" w:color="auto" w:sz="4" w:space="0"/>
              <w:left w:val="single" w:color="auto" w:sz="4" w:space="0"/>
              <w:bottom w:val="single" w:color="auto" w:sz="4" w:space="0"/>
              <w:right w:val="single" w:color="auto" w:sz="4" w:space="0"/>
            </w:tcBorders>
            <w:vAlign w:val="center"/>
          </w:tcPr>
          <w:p w14:paraId="75A8789B">
            <w:pPr>
              <w:snapToGrid w:val="0"/>
              <w:spacing w:before="156" w:beforeLines="50" w:line="360" w:lineRule="auto"/>
              <w:jc w:val="center"/>
              <w:rPr>
                <w:rFonts w:hint="eastAsia" w:ascii="宋体" w:hAnsi="宋体" w:eastAsia="宋体" w:cs="宋体"/>
                <w:color w:val="auto"/>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6896D475">
            <w:pPr>
              <w:snapToGrid w:val="0"/>
              <w:spacing w:before="156" w:beforeLines="50" w:line="360" w:lineRule="auto"/>
              <w:jc w:val="center"/>
              <w:rPr>
                <w:rFonts w:hint="eastAsia" w:ascii="宋体" w:hAnsi="宋体" w:eastAsia="宋体" w:cs="宋体"/>
                <w:color w:val="auto"/>
                <w:szCs w:val="21"/>
              </w:rPr>
            </w:pPr>
          </w:p>
        </w:tc>
      </w:tr>
      <w:tr w14:paraId="0B252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2134" w:type="dxa"/>
            <w:tcBorders>
              <w:top w:val="single" w:color="auto" w:sz="4" w:space="0"/>
              <w:left w:val="single" w:color="auto" w:sz="4" w:space="0"/>
              <w:bottom w:val="single" w:color="auto" w:sz="4" w:space="0"/>
              <w:right w:val="single" w:color="auto" w:sz="4" w:space="0"/>
            </w:tcBorders>
            <w:vAlign w:val="center"/>
          </w:tcPr>
          <w:p w14:paraId="2DC6168A">
            <w:pPr>
              <w:snapToGrid w:val="0"/>
              <w:spacing w:before="156" w:beforeLines="50" w:line="360" w:lineRule="auto"/>
              <w:jc w:val="center"/>
              <w:rPr>
                <w:rFonts w:hint="eastAsia" w:ascii="宋体" w:hAnsi="宋体" w:eastAsia="宋体" w:cs="宋体"/>
                <w:color w:val="auto"/>
                <w:szCs w:val="21"/>
              </w:rPr>
            </w:pPr>
          </w:p>
        </w:tc>
        <w:tc>
          <w:tcPr>
            <w:tcW w:w="2614" w:type="dxa"/>
            <w:tcBorders>
              <w:top w:val="single" w:color="auto" w:sz="4" w:space="0"/>
              <w:left w:val="single" w:color="auto" w:sz="4" w:space="0"/>
              <w:bottom w:val="single" w:color="auto" w:sz="4" w:space="0"/>
              <w:right w:val="single" w:color="auto" w:sz="4" w:space="0"/>
            </w:tcBorders>
            <w:vAlign w:val="center"/>
          </w:tcPr>
          <w:p w14:paraId="252B860B">
            <w:pPr>
              <w:snapToGrid w:val="0"/>
              <w:spacing w:before="156" w:beforeLines="50" w:line="360" w:lineRule="auto"/>
              <w:jc w:val="center"/>
              <w:rPr>
                <w:rFonts w:hint="eastAsia" w:ascii="宋体" w:hAnsi="宋体" w:eastAsia="宋体" w:cs="宋体"/>
                <w:color w:val="auto"/>
                <w:szCs w:val="21"/>
              </w:rPr>
            </w:pPr>
          </w:p>
        </w:tc>
        <w:tc>
          <w:tcPr>
            <w:tcW w:w="2579" w:type="dxa"/>
            <w:tcBorders>
              <w:top w:val="single" w:color="auto" w:sz="4" w:space="0"/>
              <w:left w:val="single" w:color="auto" w:sz="4" w:space="0"/>
              <w:bottom w:val="single" w:color="auto" w:sz="4" w:space="0"/>
              <w:right w:val="single" w:color="auto" w:sz="4" w:space="0"/>
            </w:tcBorders>
            <w:vAlign w:val="center"/>
          </w:tcPr>
          <w:p w14:paraId="611B9DDE">
            <w:pPr>
              <w:snapToGrid w:val="0"/>
              <w:spacing w:before="156" w:beforeLines="50" w:line="360" w:lineRule="auto"/>
              <w:jc w:val="center"/>
              <w:rPr>
                <w:rFonts w:hint="eastAsia" w:ascii="宋体" w:hAnsi="宋体" w:eastAsia="宋体" w:cs="宋体"/>
                <w:color w:val="auto"/>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047E41C5">
            <w:pPr>
              <w:snapToGrid w:val="0"/>
              <w:spacing w:before="156" w:beforeLines="50" w:line="360" w:lineRule="auto"/>
              <w:jc w:val="center"/>
              <w:rPr>
                <w:rFonts w:hint="eastAsia" w:ascii="宋体" w:hAnsi="宋体" w:eastAsia="宋体" w:cs="宋体"/>
                <w:color w:val="auto"/>
                <w:szCs w:val="21"/>
              </w:rPr>
            </w:pPr>
          </w:p>
        </w:tc>
      </w:tr>
      <w:tr w14:paraId="07E097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2134" w:type="dxa"/>
            <w:tcBorders>
              <w:top w:val="single" w:color="auto" w:sz="4" w:space="0"/>
              <w:left w:val="single" w:color="auto" w:sz="4" w:space="0"/>
              <w:bottom w:val="single" w:color="auto" w:sz="4" w:space="0"/>
              <w:right w:val="single" w:color="auto" w:sz="4" w:space="0"/>
            </w:tcBorders>
            <w:vAlign w:val="center"/>
          </w:tcPr>
          <w:p w14:paraId="4F52BCDF">
            <w:pPr>
              <w:snapToGrid w:val="0"/>
              <w:spacing w:before="156" w:beforeLines="50" w:line="360" w:lineRule="auto"/>
              <w:jc w:val="center"/>
              <w:rPr>
                <w:rFonts w:hint="eastAsia" w:ascii="宋体" w:hAnsi="宋体" w:eastAsia="宋体" w:cs="宋体"/>
                <w:color w:val="auto"/>
                <w:szCs w:val="21"/>
              </w:rPr>
            </w:pPr>
          </w:p>
        </w:tc>
        <w:tc>
          <w:tcPr>
            <w:tcW w:w="2614" w:type="dxa"/>
            <w:tcBorders>
              <w:top w:val="single" w:color="auto" w:sz="4" w:space="0"/>
              <w:left w:val="single" w:color="auto" w:sz="4" w:space="0"/>
              <w:bottom w:val="single" w:color="auto" w:sz="4" w:space="0"/>
              <w:right w:val="single" w:color="auto" w:sz="4" w:space="0"/>
            </w:tcBorders>
            <w:vAlign w:val="center"/>
          </w:tcPr>
          <w:p w14:paraId="7B2BDF40">
            <w:pPr>
              <w:snapToGrid w:val="0"/>
              <w:spacing w:before="156" w:beforeLines="50" w:line="360" w:lineRule="auto"/>
              <w:jc w:val="center"/>
              <w:rPr>
                <w:rFonts w:hint="eastAsia" w:ascii="宋体" w:hAnsi="宋体" w:eastAsia="宋体" w:cs="宋体"/>
                <w:color w:val="auto"/>
                <w:szCs w:val="21"/>
              </w:rPr>
            </w:pPr>
          </w:p>
        </w:tc>
        <w:tc>
          <w:tcPr>
            <w:tcW w:w="2579" w:type="dxa"/>
            <w:tcBorders>
              <w:top w:val="single" w:color="auto" w:sz="4" w:space="0"/>
              <w:left w:val="single" w:color="auto" w:sz="4" w:space="0"/>
              <w:bottom w:val="single" w:color="auto" w:sz="4" w:space="0"/>
              <w:right w:val="single" w:color="auto" w:sz="4" w:space="0"/>
            </w:tcBorders>
            <w:vAlign w:val="center"/>
          </w:tcPr>
          <w:p w14:paraId="0C7E64A2">
            <w:pPr>
              <w:snapToGrid w:val="0"/>
              <w:spacing w:before="156" w:beforeLines="50" w:line="360" w:lineRule="auto"/>
              <w:ind w:left="43"/>
              <w:jc w:val="center"/>
              <w:rPr>
                <w:rFonts w:hint="eastAsia" w:ascii="宋体" w:hAnsi="宋体" w:eastAsia="宋体" w:cs="宋体"/>
                <w:color w:val="auto"/>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2BB3E94B">
            <w:pPr>
              <w:snapToGrid w:val="0"/>
              <w:spacing w:before="156" w:beforeLines="50" w:line="360" w:lineRule="auto"/>
              <w:ind w:left="43"/>
              <w:jc w:val="center"/>
              <w:rPr>
                <w:rFonts w:hint="eastAsia" w:ascii="宋体" w:hAnsi="宋体" w:eastAsia="宋体" w:cs="宋体"/>
                <w:color w:val="auto"/>
                <w:szCs w:val="21"/>
              </w:rPr>
            </w:pPr>
          </w:p>
        </w:tc>
      </w:tr>
      <w:tr w14:paraId="51A9D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9" w:hRule="atLeast"/>
        </w:trPr>
        <w:tc>
          <w:tcPr>
            <w:tcW w:w="2134" w:type="dxa"/>
            <w:tcBorders>
              <w:top w:val="single" w:color="auto" w:sz="4" w:space="0"/>
              <w:left w:val="single" w:color="auto" w:sz="4" w:space="0"/>
              <w:bottom w:val="single" w:color="auto" w:sz="4" w:space="0"/>
              <w:right w:val="single" w:color="auto" w:sz="4" w:space="0"/>
            </w:tcBorders>
            <w:vAlign w:val="center"/>
          </w:tcPr>
          <w:p w14:paraId="7FFFC393">
            <w:pPr>
              <w:snapToGrid w:val="0"/>
              <w:spacing w:before="156" w:beforeLines="50" w:line="360" w:lineRule="auto"/>
              <w:jc w:val="center"/>
              <w:rPr>
                <w:rFonts w:hint="eastAsia" w:ascii="宋体" w:hAnsi="宋体" w:eastAsia="宋体" w:cs="宋体"/>
                <w:color w:val="auto"/>
                <w:szCs w:val="21"/>
              </w:rPr>
            </w:pPr>
          </w:p>
        </w:tc>
        <w:tc>
          <w:tcPr>
            <w:tcW w:w="2614" w:type="dxa"/>
            <w:tcBorders>
              <w:top w:val="single" w:color="auto" w:sz="4" w:space="0"/>
              <w:left w:val="single" w:color="auto" w:sz="4" w:space="0"/>
              <w:bottom w:val="single" w:color="auto" w:sz="4" w:space="0"/>
              <w:right w:val="single" w:color="auto" w:sz="4" w:space="0"/>
            </w:tcBorders>
            <w:vAlign w:val="center"/>
          </w:tcPr>
          <w:p w14:paraId="2A481542">
            <w:pPr>
              <w:snapToGrid w:val="0"/>
              <w:spacing w:before="156" w:beforeLines="50" w:line="360" w:lineRule="auto"/>
              <w:jc w:val="center"/>
              <w:rPr>
                <w:rFonts w:hint="eastAsia" w:ascii="宋体" w:hAnsi="宋体" w:eastAsia="宋体" w:cs="宋体"/>
                <w:color w:val="auto"/>
                <w:szCs w:val="21"/>
              </w:rPr>
            </w:pPr>
          </w:p>
        </w:tc>
        <w:tc>
          <w:tcPr>
            <w:tcW w:w="2579" w:type="dxa"/>
            <w:tcBorders>
              <w:top w:val="single" w:color="auto" w:sz="4" w:space="0"/>
              <w:left w:val="single" w:color="auto" w:sz="4" w:space="0"/>
              <w:bottom w:val="single" w:color="auto" w:sz="4" w:space="0"/>
              <w:right w:val="single" w:color="auto" w:sz="4" w:space="0"/>
            </w:tcBorders>
            <w:vAlign w:val="center"/>
          </w:tcPr>
          <w:p w14:paraId="098535D0">
            <w:pPr>
              <w:snapToGrid w:val="0"/>
              <w:spacing w:before="156" w:beforeLines="50" w:line="360" w:lineRule="auto"/>
              <w:jc w:val="center"/>
              <w:rPr>
                <w:rFonts w:hint="eastAsia" w:ascii="宋体" w:hAnsi="宋体" w:eastAsia="宋体" w:cs="宋体"/>
                <w:color w:val="auto"/>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62EA4C6B">
            <w:pPr>
              <w:snapToGrid w:val="0"/>
              <w:spacing w:before="156" w:beforeLines="50" w:line="360" w:lineRule="auto"/>
              <w:jc w:val="center"/>
              <w:rPr>
                <w:rFonts w:hint="eastAsia" w:ascii="宋体" w:hAnsi="宋体" w:eastAsia="宋体" w:cs="宋体"/>
                <w:color w:val="auto"/>
                <w:szCs w:val="21"/>
              </w:rPr>
            </w:pPr>
          </w:p>
        </w:tc>
      </w:tr>
      <w:tr w14:paraId="035CFF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2134" w:type="dxa"/>
            <w:tcBorders>
              <w:top w:val="single" w:color="auto" w:sz="4" w:space="0"/>
              <w:left w:val="single" w:color="auto" w:sz="4" w:space="0"/>
              <w:bottom w:val="single" w:color="auto" w:sz="4" w:space="0"/>
              <w:right w:val="single" w:color="auto" w:sz="4" w:space="0"/>
            </w:tcBorders>
            <w:vAlign w:val="center"/>
          </w:tcPr>
          <w:p w14:paraId="0900BC19">
            <w:pPr>
              <w:snapToGrid w:val="0"/>
              <w:spacing w:before="156" w:beforeLines="50" w:line="360" w:lineRule="auto"/>
              <w:jc w:val="center"/>
              <w:rPr>
                <w:rFonts w:hint="eastAsia" w:ascii="宋体" w:hAnsi="宋体" w:eastAsia="宋体" w:cs="宋体"/>
                <w:color w:val="auto"/>
                <w:szCs w:val="21"/>
              </w:rPr>
            </w:pPr>
            <w:r>
              <w:rPr>
                <w:rFonts w:hint="eastAsia" w:ascii="宋体" w:hAnsi="宋体" w:eastAsia="宋体" w:cs="宋体"/>
                <w:color w:val="auto"/>
                <w:szCs w:val="21"/>
              </w:rPr>
              <w:t>…</w:t>
            </w:r>
          </w:p>
        </w:tc>
        <w:tc>
          <w:tcPr>
            <w:tcW w:w="2614" w:type="dxa"/>
            <w:tcBorders>
              <w:top w:val="single" w:color="auto" w:sz="4" w:space="0"/>
              <w:left w:val="single" w:color="auto" w:sz="4" w:space="0"/>
              <w:bottom w:val="single" w:color="auto" w:sz="4" w:space="0"/>
              <w:right w:val="single" w:color="auto" w:sz="4" w:space="0"/>
            </w:tcBorders>
            <w:vAlign w:val="center"/>
          </w:tcPr>
          <w:p w14:paraId="0217342B">
            <w:pPr>
              <w:snapToGrid w:val="0"/>
              <w:spacing w:before="156" w:beforeLines="50" w:line="360" w:lineRule="auto"/>
              <w:jc w:val="center"/>
              <w:rPr>
                <w:rFonts w:hint="eastAsia" w:ascii="宋体" w:hAnsi="宋体" w:eastAsia="宋体" w:cs="宋体"/>
                <w:color w:val="auto"/>
                <w:szCs w:val="21"/>
              </w:rPr>
            </w:pPr>
          </w:p>
        </w:tc>
        <w:tc>
          <w:tcPr>
            <w:tcW w:w="2579" w:type="dxa"/>
            <w:tcBorders>
              <w:top w:val="single" w:color="auto" w:sz="4" w:space="0"/>
              <w:left w:val="single" w:color="auto" w:sz="4" w:space="0"/>
              <w:bottom w:val="single" w:color="auto" w:sz="4" w:space="0"/>
              <w:right w:val="single" w:color="auto" w:sz="4" w:space="0"/>
            </w:tcBorders>
            <w:vAlign w:val="center"/>
          </w:tcPr>
          <w:p w14:paraId="2F8B518C">
            <w:pPr>
              <w:snapToGrid w:val="0"/>
              <w:spacing w:before="156" w:beforeLines="50" w:line="360" w:lineRule="auto"/>
              <w:jc w:val="center"/>
              <w:rPr>
                <w:rFonts w:hint="eastAsia" w:ascii="宋体" w:hAnsi="宋体" w:eastAsia="宋体" w:cs="宋体"/>
                <w:color w:val="auto"/>
                <w:szCs w:val="21"/>
              </w:rPr>
            </w:pPr>
          </w:p>
        </w:tc>
        <w:tc>
          <w:tcPr>
            <w:tcW w:w="1792" w:type="dxa"/>
            <w:tcBorders>
              <w:top w:val="single" w:color="auto" w:sz="4" w:space="0"/>
              <w:left w:val="single" w:color="auto" w:sz="4" w:space="0"/>
              <w:bottom w:val="single" w:color="auto" w:sz="4" w:space="0"/>
              <w:right w:val="single" w:color="auto" w:sz="4" w:space="0"/>
            </w:tcBorders>
            <w:vAlign w:val="center"/>
          </w:tcPr>
          <w:p w14:paraId="6DCBF94E">
            <w:pPr>
              <w:snapToGrid w:val="0"/>
              <w:spacing w:before="156" w:beforeLines="50" w:line="360" w:lineRule="auto"/>
              <w:jc w:val="center"/>
              <w:rPr>
                <w:rFonts w:hint="eastAsia" w:ascii="宋体" w:hAnsi="宋体" w:eastAsia="宋体" w:cs="宋体"/>
                <w:color w:val="auto"/>
                <w:szCs w:val="21"/>
              </w:rPr>
            </w:pPr>
          </w:p>
        </w:tc>
      </w:tr>
    </w:tbl>
    <w:p w14:paraId="50A614AD">
      <w:pPr>
        <w:pStyle w:val="13"/>
        <w:spacing w:after="0" w:line="440" w:lineRule="exact"/>
        <w:contextualSpacing/>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注：</w:t>
      </w:r>
    </w:p>
    <w:p w14:paraId="27B2386E">
      <w:pPr>
        <w:pStyle w:val="13"/>
        <w:spacing w:after="0" w:line="440" w:lineRule="exact"/>
        <w:contextualSpacing/>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 说明：应对照谈判文件“第三章 采购需求”中的商务条款逐条明确响应，并作出偏离说明。</w:t>
      </w:r>
    </w:p>
    <w:p w14:paraId="404443D5">
      <w:pPr>
        <w:pStyle w:val="13"/>
        <w:spacing w:after="0" w:line="440" w:lineRule="exact"/>
        <w:contextualSpacing/>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2.供应商应根据自身的承诺，对照谈判文件要求在“偏离说明”中注明“正偏离”、“负偏离”或者“无偏离”。既不属于“正偏离”也不属于“负偏离”即为“无偏离”。</w:t>
      </w:r>
    </w:p>
    <w:p w14:paraId="0CF37095">
      <w:pPr>
        <w:spacing w:line="360" w:lineRule="auto"/>
        <w:contextualSpacing/>
        <w:jc w:val="left"/>
        <w:rPr>
          <w:rFonts w:hint="eastAsia" w:ascii="宋体" w:hAnsi="宋体" w:eastAsia="宋体" w:cs="宋体"/>
          <w:color w:val="auto"/>
          <w:sz w:val="24"/>
          <w:u w:val="single"/>
        </w:rPr>
      </w:pPr>
    </w:p>
    <w:p w14:paraId="17DF3388">
      <w:pPr>
        <w:spacing w:line="360" w:lineRule="auto"/>
        <w:contextualSpacing/>
        <w:jc w:val="left"/>
        <w:rPr>
          <w:rFonts w:hint="eastAsia" w:ascii="宋体" w:hAnsi="宋体" w:eastAsia="宋体" w:cs="宋体"/>
          <w:color w:val="auto"/>
          <w:sz w:val="24"/>
          <w:u w:val="single"/>
        </w:rPr>
      </w:pPr>
    </w:p>
    <w:p w14:paraId="7ACEA24D">
      <w:pPr>
        <w:spacing w:line="360" w:lineRule="auto"/>
        <w:ind w:right="-817" w:rightChars="-389"/>
        <w:contextualSpacing/>
        <w:jc w:val="center"/>
        <w:rPr>
          <w:rFonts w:hint="eastAsia" w:ascii="宋体" w:hAnsi="宋体" w:eastAsia="宋体" w:cs="宋体"/>
          <w:color w:val="auto"/>
          <w:szCs w:val="21"/>
        </w:rPr>
      </w:pPr>
    </w:p>
    <w:p w14:paraId="410D57D2">
      <w:pPr>
        <w:spacing w:line="440" w:lineRule="exact"/>
        <w:ind w:right="-817" w:rightChars="-389" w:firstLine="2520" w:firstLineChars="1200"/>
        <w:contextualSpacing/>
        <w:jc w:val="center"/>
        <w:rPr>
          <w:rFonts w:hint="eastAsia" w:ascii="宋体" w:hAnsi="宋体" w:eastAsia="宋体" w:cs="宋体"/>
          <w:color w:val="auto"/>
          <w:szCs w:val="21"/>
          <w:u w:val="single"/>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6459CE86">
      <w:pPr>
        <w:spacing w:line="440" w:lineRule="exact"/>
        <w:ind w:right="-817" w:rightChars="-389" w:firstLine="2520" w:firstLineChars="1200"/>
        <w:contextualSpacing/>
        <w:jc w:val="center"/>
        <w:rPr>
          <w:rFonts w:hint="eastAsia" w:ascii="宋体" w:hAnsi="宋体" w:eastAsia="宋体" w:cs="宋体"/>
          <w:color w:val="auto"/>
          <w:szCs w:val="21"/>
        </w:rPr>
      </w:pPr>
      <w:r>
        <w:rPr>
          <w:rFonts w:hint="eastAsia" w:ascii="宋体" w:hAnsi="宋体" w:eastAsia="宋体" w:cs="宋体"/>
          <w:color w:val="auto"/>
          <w:szCs w:val="21"/>
        </w:rPr>
        <w:t>法定代表人或授权代理人签字（或个人CA签章）：</w:t>
      </w:r>
      <w:r>
        <w:rPr>
          <w:rFonts w:hint="eastAsia" w:ascii="宋体" w:hAnsi="宋体" w:eastAsia="宋体" w:cs="宋体"/>
          <w:color w:val="auto"/>
          <w:szCs w:val="21"/>
          <w:u w:val="single"/>
        </w:rPr>
        <w:t xml:space="preserve">     </w:t>
      </w:r>
    </w:p>
    <w:p w14:paraId="1FABF85D">
      <w:pPr>
        <w:spacing w:line="440" w:lineRule="exact"/>
        <w:ind w:right="-817" w:rightChars="-389" w:firstLine="2520" w:firstLineChars="1200"/>
        <w:contextualSpacing/>
        <w:jc w:val="center"/>
        <w:rPr>
          <w:rFonts w:hint="eastAsia" w:ascii="宋体" w:hAnsi="宋体" w:eastAsia="宋体" w:cs="宋体"/>
          <w:color w:val="auto"/>
          <w:szCs w:val="21"/>
        </w:rPr>
      </w:pPr>
      <w:r>
        <w:rPr>
          <w:rFonts w:hint="eastAsia" w:ascii="宋体" w:hAnsi="宋体" w:eastAsia="宋体" w:cs="宋体"/>
          <w:color w:val="auto"/>
          <w:szCs w:val="21"/>
        </w:rPr>
        <w:t>日期：   年   月   日</w:t>
      </w:r>
    </w:p>
    <w:p w14:paraId="4AB4197E">
      <w:pPr>
        <w:adjustRightInd w:val="0"/>
        <w:snapToGrid w:val="0"/>
        <w:spacing w:line="520" w:lineRule="exact"/>
        <w:ind w:firstLine="7040" w:firstLineChars="1600"/>
        <w:jc w:val="center"/>
        <w:rPr>
          <w:rFonts w:hint="eastAsia" w:ascii="宋体" w:hAnsi="宋体" w:eastAsia="宋体" w:cs="宋体"/>
          <w:bCs/>
          <w:color w:val="auto"/>
          <w:sz w:val="44"/>
          <w:szCs w:val="44"/>
        </w:rPr>
      </w:pPr>
    </w:p>
    <w:p w14:paraId="192C1994">
      <w:pPr>
        <w:adjustRightInd w:val="0"/>
        <w:snapToGrid w:val="0"/>
        <w:spacing w:line="520" w:lineRule="exact"/>
        <w:jc w:val="center"/>
        <w:rPr>
          <w:rFonts w:hint="eastAsia" w:ascii="宋体" w:hAnsi="宋体" w:eastAsia="宋体" w:cs="宋体"/>
          <w:b/>
          <w:color w:val="auto"/>
          <w:sz w:val="32"/>
          <w:szCs w:val="32"/>
        </w:rPr>
      </w:pPr>
      <w:r>
        <w:rPr>
          <w:rFonts w:hint="eastAsia" w:ascii="宋体" w:hAnsi="宋体" w:eastAsia="宋体" w:cs="宋体"/>
          <w:bCs/>
          <w:color w:val="auto"/>
          <w:sz w:val="44"/>
          <w:szCs w:val="44"/>
        </w:rPr>
        <w:br w:type="page"/>
      </w:r>
      <w:r>
        <w:rPr>
          <w:rFonts w:hint="eastAsia" w:ascii="宋体" w:hAnsi="宋体" w:eastAsia="宋体" w:cs="宋体"/>
          <w:b/>
          <w:color w:val="auto"/>
          <w:sz w:val="28"/>
          <w:szCs w:val="28"/>
        </w:rPr>
        <w:t>货物配置清单</w:t>
      </w:r>
    </w:p>
    <w:p w14:paraId="72B4E488">
      <w:pPr>
        <w:spacing w:line="300" w:lineRule="auto"/>
        <w:rPr>
          <w:rFonts w:hint="eastAsia" w:ascii="宋体" w:hAnsi="宋体" w:eastAsia="宋体" w:cs="宋体"/>
          <w:color w:val="auto"/>
          <w:szCs w:val="21"/>
        </w:rPr>
      </w:pPr>
    </w:p>
    <w:p w14:paraId="4AB28F8D">
      <w:pPr>
        <w:spacing w:line="360" w:lineRule="auto"/>
        <w:rPr>
          <w:rFonts w:hint="eastAsia" w:ascii="宋体" w:hAnsi="宋体" w:eastAsia="宋体" w:cs="宋体"/>
          <w:color w:val="auto"/>
          <w:szCs w:val="21"/>
        </w:rPr>
      </w:pPr>
      <w:r>
        <w:rPr>
          <w:rFonts w:hint="eastAsia" w:ascii="宋体" w:hAnsi="宋体" w:eastAsia="宋体" w:cs="宋体"/>
          <w:color w:val="auto"/>
          <w:szCs w:val="21"/>
        </w:rPr>
        <w:t>项目编号：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14:paraId="1EC56761">
      <w:pPr>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 xml:space="preserve">项目名称： </w:t>
      </w:r>
      <w:r>
        <w:rPr>
          <w:rFonts w:hint="eastAsia" w:ascii="宋体" w:hAnsi="宋体" w:eastAsia="宋体" w:cs="宋体"/>
          <w:color w:val="auto"/>
          <w:szCs w:val="21"/>
          <w:u w:val="single"/>
        </w:rPr>
        <w:t xml:space="preserve">                 </w:t>
      </w:r>
    </w:p>
    <w:p w14:paraId="541C2690">
      <w:pPr>
        <w:spacing w:line="360" w:lineRule="auto"/>
        <w:contextualSpacing/>
        <w:rPr>
          <w:rFonts w:hint="eastAsia" w:ascii="宋体" w:hAnsi="宋体" w:eastAsia="宋体" w:cs="宋体"/>
          <w:color w:val="auto"/>
          <w:szCs w:val="21"/>
          <w:u w:val="single"/>
        </w:rPr>
      </w:pPr>
      <w:r>
        <w:rPr>
          <w:rFonts w:hint="eastAsia" w:ascii="宋体" w:hAnsi="宋体" w:eastAsia="宋体" w:cs="宋体"/>
          <w:color w:val="auto"/>
          <w:szCs w:val="21"/>
        </w:rPr>
        <w:t>分标号</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1245"/>
        <w:gridCol w:w="803"/>
        <w:gridCol w:w="895"/>
        <w:gridCol w:w="1786"/>
        <w:gridCol w:w="1245"/>
        <w:gridCol w:w="737"/>
        <w:gridCol w:w="1496"/>
      </w:tblGrid>
      <w:tr w14:paraId="6925B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242949F0">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6549C73E">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货物名称</w:t>
            </w:r>
          </w:p>
        </w:tc>
        <w:tc>
          <w:tcPr>
            <w:tcW w:w="803" w:type="dxa"/>
            <w:tcBorders>
              <w:top w:val="single" w:color="auto" w:sz="4" w:space="0"/>
              <w:left w:val="single" w:color="auto" w:sz="4" w:space="0"/>
              <w:bottom w:val="single" w:color="auto" w:sz="4" w:space="0"/>
              <w:right w:val="single" w:color="auto" w:sz="4" w:space="0"/>
            </w:tcBorders>
            <w:vAlign w:val="center"/>
          </w:tcPr>
          <w:p w14:paraId="7948F6E2">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数量及单位</w:t>
            </w:r>
          </w:p>
        </w:tc>
        <w:tc>
          <w:tcPr>
            <w:tcW w:w="895" w:type="dxa"/>
            <w:tcBorders>
              <w:top w:val="single" w:color="auto" w:sz="4" w:space="0"/>
              <w:left w:val="single" w:color="auto" w:sz="4" w:space="0"/>
              <w:bottom w:val="single" w:color="auto" w:sz="4" w:space="0"/>
              <w:right w:val="single" w:color="auto" w:sz="4" w:space="0"/>
            </w:tcBorders>
            <w:vAlign w:val="center"/>
          </w:tcPr>
          <w:p w14:paraId="09EC6098">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品牌</w:t>
            </w:r>
          </w:p>
        </w:tc>
        <w:tc>
          <w:tcPr>
            <w:tcW w:w="1786" w:type="dxa"/>
            <w:tcBorders>
              <w:top w:val="single" w:color="auto" w:sz="4" w:space="0"/>
              <w:left w:val="single" w:color="auto" w:sz="4" w:space="0"/>
              <w:bottom w:val="single" w:color="auto" w:sz="4" w:space="0"/>
              <w:right w:val="single" w:color="auto" w:sz="4" w:space="0"/>
            </w:tcBorders>
          </w:tcPr>
          <w:p w14:paraId="03C33549">
            <w:pPr>
              <w:snapToGrid w:val="0"/>
              <w:spacing w:before="50" w:after="50"/>
              <w:jc w:val="center"/>
              <w:rPr>
                <w:rFonts w:hint="eastAsia" w:ascii="宋体" w:hAnsi="宋体" w:eastAsia="宋体" w:cs="宋体"/>
                <w:color w:val="auto"/>
                <w:szCs w:val="21"/>
              </w:rPr>
            </w:pPr>
          </w:p>
          <w:p w14:paraId="4B186373">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规格型号</w:t>
            </w:r>
          </w:p>
        </w:tc>
        <w:tc>
          <w:tcPr>
            <w:tcW w:w="1245" w:type="dxa"/>
            <w:tcBorders>
              <w:top w:val="single" w:color="auto" w:sz="4" w:space="0"/>
              <w:left w:val="single" w:color="auto" w:sz="4" w:space="0"/>
              <w:bottom w:val="single" w:color="auto" w:sz="4" w:space="0"/>
              <w:right w:val="single" w:color="auto" w:sz="4" w:space="0"/>
            </w:tcBorders>
            <w:vAlign w:val="center"/>
          </w:tcPr>
          <w:p w14:paraId="5F4344BC">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制造商</w:t>
            </w:r>
          </w:p>
        </w:tc>
        <w:tc>
          <w:tcPr>
            <w:tcW w:w="737" w:type="dxa"/>
            <w:tcBorders>
              <w:top w:val="single" w:color="auto" w:sz="4" w:space="0"/>
              <w:left w:val="single" w:color="auto" w:sz="4" w:space="0"/>
              <w:bottom w:val="single" w:color="auto" w:sz="4" w:space="0"/>
              <w:right w:val="single" w:color="auto" w:sz="4" w:space="0"/>
            </w:tcBorders>
            <w:vAlign w:val="center"/>
          </w:tcPr>
          <w:p w14:paraId="1ACE83F0">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原产地</w:t>
            </w:r>
          </w:p>
        </w:tc>
        <w:tc>
          <w:tcPr>
            <w:tcW w:w="1496" w:type="dxa"/>
            <w:tcBorders>
              <w:top w:val="single" w:color="auto" w:sz="4" w:space="0"/>
              <w:left w:val="single" w:color="auto" w:sz="4" w:space="0"/>
              <w:bottom w:val="single" w:color="auto" w:sz="4" w:space="0"/>
              <w:right w:val="single" w:color="auto" w:sz="4" w:space="0"/>
            </w:tcBorders>
            <w:vAlign w:val="center"/>
          </w:tcPr>
          <w:p w14:paraId="1E62267F">
            <w:pPr>
              <w:snapToGrid w:val="0"/>
              <w:spacing w:before="50" w:after="50"/>
              <w:jc w:val="center"/>
              <w:rPr>
                <w:rFonts w:hint="eastAsia" w:ascii="宋体" w:hAnsi="宋体" w:eastAsia="宋体" w:cs="宋体"/>
                <w:color w:val="auto"/>
                <w:szCs w:val="21"/>
              </w:rPr>
            </w:pPr>
            <w:r>
              <w:rPr>
                <w:rFonts w:hint="eastAsia" w:ascii="宋体" w:hAnsi="宋体" w:eastAsia="宋体" w:cs="宋体"/>
                <w:color w:val="auto"/>
                <w:szCs w:val="21"/>
              </w:rPr>
              <w:t>参数性能、指标及配置</w:t>
            </w:r>
          </w:p>
        </w:tc>
      </w:tr>
      <w:tr w14:paraId="4883B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427361B6">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231F3CB4">
            <w:pPr>
              <w:snapToGrid w:val="0"/>
              <w:spacing w:before="50" w:after="50"/>
              <w:jc w:val="center"/>
              <w:rPr>
                <w:rFonts w:hint="eastAsia" w:ascii="宋体" w:hAnsi="宋体" w:eastAsia="宋体" w:cs="宋体"/>
                <w:color w:val="auto"/>
                <w:szCs w:val="21"/>
              </w:rPr>
            </w:pPr>
          </w:p>
        </w:tc>
        <w:tc>
          <w:tcPr>
            <w:tcW w:w="803" w:type="dxa"/>
            <w:tcBorders>
              <w:top w:val="single" w:color="auto" w:sz="4" w:space="0"/>
              <w:left w:val="single" w:color="auto" w:sz="4" w:space="0"/>
              <w:bottom w:val="single" w:color="auto" w:sz="4" w:space="0"/>
              <w:right w:val="single" w:color="auto" w:sz="4" w:space="0"/>
            </w:tcBorders>
            <w:vAlign w:val="center"/>
          </w:tcPr>
          <w:p w14:paraId="519B4203">
            <w:pPr>
              <w:snapToGrid w:val="0"/>
              <w:spacing w:before="50" w:after="50"/>
              <w:jc w:val="center"/>
              <w:rPr>
                <w:rFonts w:hint="eastAsia" w:ascii="宋体" w:hAnsi="宋体" w:eastAsia="宋体" w:cs="宋体"/>
                <w:color w:val="auto"/>
                <w:szCs w:val="21"/>
              </w:rPr>
            </w:pPr>
          </w:p>
        </w:tc>
        <w:tc>
          <w:tcPr>
            <w:tcW w:w="895" w:type="dxa"/>
            <w:tcBorders>
              <w:top w:val="single" w:color="auto" w:sz="4" w:space="0"/>
              <w:left w:val="single" w:color="auto" w:sz="4" w:space="0"/>
              <w:bottom w:val="single" w:color="auto" w:sz="4" w:space="0"/>
              <w:right w:val="single" w:color="auto" w:sz="4" w:space="0"/>
            </w:tcBorders>
            <w:vAlign w:val="center"/>
          </w:tcPr>
          <w:p w14:paraId="710213E9">
            <w:pPr>
              <w:snapToGrid w:val="0"/>
              <w:spacing w:before="50" w:after="50"/>
              <w:jc w:val="center"/>
              <w:rPr>
                <w:rFonts w:hint="eastAsia" w:ascii="宋体" w:hAnsi="宋体" w:eastAsia="宋体" w:cs="宋体"/>
                <w:color w:val="auto"/>
                <w:szCs w:val="21"/>
              </w:rPr>
            </w:pPr>
          </w:p>
        </w:tc>
        <w:tc>
          <w:tcPr>
            <w:tcW w:w="1786" w:type="dxa"/>
            <w:tcBorders>
              <w:top w:val="single" w:color="auto" w:sz="4" w:space="0"/>
              <w:left w:val="single" w:color="auto" w:sz="4" w:space="0"/>
              <w:bottom w:val="single" w:color="auto" w:sz="4" w:space="0"/>
              <w:right w:val="single" w:color="auto" w:sz="4" w:space="0"/>
            </w:tcBorders>
          </w:tcPr>
          <w:p w14:paraId="1C358992">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53F1DAAA">
            <w:pPr>
              <w:snapToGrid w:val="0"/>
              <w:spacing w:before="50" w:after="50"/>
              <w:jc w:val="center"/>
              <w:rPr>
                <w:rFonts w:hint="eastAsia" w:ascii="宋体" w:hAnsi="宋体" w:eastAsia="宋体" w:cs="宋体"/>
                <w:color w:val="auto"/>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52FB3F03">
            <w:pPr>
              <w:snapToGrid w:val="0"/>
              <w:spacing w:before="50" w:after="50"/>
              <w:jc w:val="center"/>
              <w:rPr>
                <w:rFonts w:hint="eastAsia" w:ascii="宋体" w:hAnsi="宋体" w:eastAsia="宋体" w:cs="宋体"/>
                <w:color w:val="auto"/>
                <w:szCs w:val="21"/>
              </w:rPr>
            </w:pPr>
          </w:p>
        </w:tc>
        <w:tc>
          <w:tcPr>
            <w:tcW w:w="1496" w:type="dxa"/>
            <w:tcBorders>
              <w:top w:val="single" w:color="auto" w:sz="4" w:space="0"/>
              <w:left w:val="single" w:color="auto" w:sz="4" w:space="0"/>
              <w:bottom w:val="single" w:color="auto" w:sz="4" w:space="0"/>
              <w:right w:val="single" w:color="auto" w:sz="4" w:space="0"/>
            </w:tcBorders>
            <w:vAlign w:val="center"/>
          </w:tcPr>
          <w:p w14:paraId="13CCBD59">
            <w:pPr>
              <w:snapToGrid w:val="0"/>
              <w:spacing w:before="50" w:after="50"/>
              <w:jc w:val="center"/>
              <w:rPr>
                <w:rFonts w:hint="eastAsia" w:ascii="宋体" w:hAnsi="宋体" w:eastAsia="宋体" w:cs="宋体"/>
                <w:color w:val="auto"/>
                <w:szCs w:val="21"/>
              </w:rPr>
            </w:pPr>
          </w:p>
        </w:tc>
      </w:tr>
      <w:tr w14:paraId="26D1E2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FD24E4E">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369640A9">
            <w:pPr>
              <w:snapToGrid w:val="0"/>
              <w:spacing w:before="50" w:after="50"/>
              <w:jc w:val="center"/>
              <w:rPr>
                <w:rFonts w:hint="eastAsia" w:ascii="宋体" w:hAnsi="宋体" w:eastAsia="宋体" w:cs="宋体"/>
                <w:color w:val="auto"/>
                <w:szCs w:val="21"/>
              </w:rPr>
            </w:pPr>
          </w:p>
        </w:tc>
        <w:tc>
          <w:tcPr>
            <w:tcW w:w="803" w:type="dxa"/>
            <w:tcBorders>
              <w:top w:val="single" w:color="auto" w:sz="4" w:space="0"/>
              <w:left w:val="single" w:color="auto" w:sz="4" w:space="0"/>
              <w:bottom w:val="single" w:color="auto" w:sz="4" w:space="0"/>
              <w:right w:val="single" w:color="auto" w:sz="4" w:space="0"/>
            </w:tcBorders>
            <w:vAlign w:val="center"/>
          </w:tcPr>
          <w:p w14:paraId="501BA673">
            <w:pPr>
              <w:snapToGrid w:val="0"/>
              <w:spacing w:before="50" w:after="50"/>
              <w:jc w:val="center"/>
              <w:rPr>
                <w:rFonts w:hint="eastAsia" w:ascii="宋体" w:hAnsi="宋体" w:eastAsia="宋体" w:cs="宋体"/>
                <w:color w:val="auto"/>
                <w:szCs w:val="21"/>
              </w:rPr>
            </w:pPr>
          </w:p>
        </w:tc>
        <w:tc>
          <w:tcPr>
            <w:tcW w:w="895" w:type="dxa"/>
            <w:tcBorders>
              <w:top w:val="single" w:color="auto" w:sz="4" w:space="0"/>
              <w:left w:val="single" w:color="auto" w:sz="4" w:space="0"/>
              <w:bottom w:val="single" w:color="auto" w:sz="4" w:space="0"/>
              <w:right w:val="single" w:color="auto" w:sz="4" w:space="0"/>
            </w:tcBorders>
            <w:vAlign w:val="center"/>
          </w:tcPr>
          <w:p w14:paraId="6CD7A40F">
            <w:pPr>
              <w:snapToGrid w:val="0"/>
              <w:spacing w:before="50" w:after="50"/>
              <w:jc w:val="center"/>
              <w:rPr>
                <w:rFonts w:hint="eastAsia" w:ascii="宋体" w:hAnsi="宋体" w:eastAsia="宋体" w:cs="宋体"/>
                <w:color w:val="auto"/>
                <w:szCs w:val="21"/>
              </w:rPr>
            </w:pPr>
          </w:p>
        </w:tc>
        <w:tc>
          <w:tcPr>
            <w:tcW w:w="1786" w:type="dxa"/>
            <w:tcBorders>
              <w:top w:val="single" w:color="auto" w:sz="4" w:space="0"/>
              <w:left w:val="single" w:color="auto" w:sz="4" w:space="0"/>
              <w:bottom w:val="single" w:color="auto" w:sz="4" w:space="0"/>
              <w:right w:val="single" w:color="auto" w:sz="4" w:space="0"/>
            </w:tcBorders>
          </w:tcPr>
          <w:p w14:paraId="793B8B8C">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061A33C4">
            <w:pPr>
              <w:snapToGrid w:val="0"/>
              <w:spacing w:before="50" w:after="50"/>
              <w:jc w:val="center"/>
              <w:rPr>
                <w:rFonts w:hint="eastAsia" w:ascii="宋体" w:hAnsi="宋体" w:eastAsia="宋体" w:cs="宋体"/>
                <w:color w:val="auto"/>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58FCD9C1">
            <w:pPr>
              <w:snapToGrid w:val="0"/>
              <w:spacing w:before="50" w:after="50"/>
              <w:jc w:val="center"/>
              <w:rPr>
                <w:rFonts w:hint="eastAsia" w:ascii="宋体" w:hAnsi="宋体" w:eastAsia="宋体" w:cs="宋体"/>
                <w:color w:val="auto"/>
                <w:szCs w:val="21"/>
              </w:rPr>
            </w:pPr>
          </w:p>
        </w:tc>
        <w:tc>
          <w:tcPr>
            <w:tcW w:w="1496" w:type="dxa"/>
            <w:tcBorders>
              <w:top w:val="single" w:color="auto" w:sz="4" w:space="0"/>
              <w:left w:val="single" w:color="auto" w:sz="4" w:space="0"/>
              <w:bottom w:val="single" w:color="auto" w:sz="4" w:space="0"/>
              <w:right w:val="single" w:color="auto" w:sz="4" w:space="0"/>
            </w:tcBorders>
            <w:vAlign w:val="center"/>
          </w:tcPr>
          <w:p w14:paraId="59EADBF5">
            <w:pPr>
              <w:snapToGrid w:val="0"/>
              <w:spacing w:before="50" w:after="50"/>
              <w:jc w:val="center"/>
              <w:rPr>
                <w:rFonts w:hint="eastAsia" w:ascii="宋体" w:hAnsi="宋体" w:eastAsia="宋体" w:cs="宋体"/>
                <w:color w:val="auto"/>
                <w:szCs w:val="21"/>
              </w:rPr>
            </w:pPr>
          </w:p>
        </w:tc>
      </w:tr>
      <w:tr w14:paraId="55E0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14:paraId="51A0A3EC">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55B93C3F">
            <w:pPr>
              <w:snapToGrid w:val="0"/>
              <w:spacing w:before="50" w:after="50"/>
              <w:jc w:val="center"/>
              <w:rPr>
                <w:rFonts w:hint="eastAsia" w:ascii="宋体" w:hAnsi="宋体" w:eastAsia="宋体" w:cs="宋体"/>
                <w:color w:val="auto"/>
                <w:szCs w:val="21"/>
              </w:rPr>
            </w:pPr>
          </w:p>
        </w:tc>
        <w:tc>
          <w:tcPr>
            <w:tcW w:w="803" w:type="dxa"/>
            <w:tcBorders>
              <w:top w:val="single" w:color="auto" w:sz="4" w:space="0"/>
              <w:left w:val="single" w:color="auto" w:sz="4" w:space="0"/>
              <w:bottom w:val="single" w:color="auto" w:sz="4" w:space="0"/>
              <w:right w:val="single" w:color="auto" w:sz="4" w:space="0"/>
            </w:tcBorders>
            <w:vAlign w:val="center"/>
          </w:tcPr>
          <w:p w14:paraId="280EE34D">
            <w:pPr>
              <w:snapToGrid w:val="0"/>
              <w:spacing w:before="50" w:after="50"/>
              <w:jc w:val="center"/>
              <w:rPr>
                <w:rFonts w:hint="eastAsia" w:ascii="宋体" w:hAnsi="宋体" w:eastAsia="宋体" w:cs="宋体"/>
                <w:color w:val="auto"/>
                <w:szCs w:val="21"/>
              </w:rPr>
            </w:pPr>
          </w:p>
        </w:tc>
        <w:tc>
          <w:tcPr>
            <w:tcW w:w="895" w:type="dxa"/>
            <w:tcBorders>
              <w:top w:val="single" w:color="auto" w:sz="4" w:space="0"/>
              <w:left w:val="single" w:color="auto" w:sz="4" w:space="0"/>
              <w:bottom w:val="single" w:color="auto" w:sz="4" w:space="0"/>
              <w:right w:val="single" w:color="auto" w:sz="4" w:space="0"/>
            </w:tcBorders>
            <w:vAlign w:val="center"/>
          </w:tcPr>
          <w:p w14:paraId="61F427FF">
            <w:pPr>
              <w:snapToGrid w:val="0"/>
              <w:spacing w:before="50" w:after="50"/>
              <w:jc w:val="center"/>
              <w:rPr>
                <w:rFonts w:hint="eastAsia" w:ascii="宋体" w:hAnsi="宋体" w:eastAsia="宋体" w:cs="宋体"/>
                <w:color w:val="auto"/>
                <w:szCs w:val="21"/>
              </w:rPr>
            </w:pPr>
          </w:p>
        </w:tc>
        <w:tc>
          <w:tcPr>
            <w:tcW w:w="1786" w:type="dxa"/>
            <w:tcBorders>
              <w:top w:val="single" w:color="auto" w:sz="4" w:space="0"/>
              <w:left w:val="single" w:color="auto" w:sz="4" w:space="0"/>
              <w:bottom w:val="single" w:color="auto" w:sz="4" w:space="0"/>
              <w:right w:val="single" w:color="auto" w:sz="4" w:space="0"/>
            </w:tcBorders>
          </w:tcPr>
          <w:p w14:paraId="7CB28706">
            <w:pPr>
              <w:snapToGrid w:val="0"/>
              <w:spacing w:before="50" w:after="50"/>
              <w:jc w:val="center"/>
              <w:rPr>
                <w:rFonts w:hint="eastAsia" w:ascii="宋体" w:hAnsi="宋体" w:eastAsia="宋体" w:cs="宋体"/>
                <w:color w:val="auto"/>
                <w:szCs w:val="21"/>
              </w:rPr>
            </w:pPr>
          </w:p>
        </w:tc>
        <w:tc>
          <w:tcPr>
            <w:tcW w:w="1245" w:type="dxa"/>
            <w:tcBorders>
              <w:top w:val="single" w:color="auto" w:sz="4" w:space="0"/>
              <w:left w:val="single" w:color="auto" w:sz="4" w:space="0"/>
              <w:bottom w:val="single" w:color="auto" w:sz="4" w:space="0"/>
              <w:right w:val="single" w:color="auto" w:sz="4" w:space="0"/>
            </w:tcBorders>
            <w:vAlign w:val="center"/>
          </w:tcPr>
          <w:p w14:paraId="4338B495">
            <w:pPr>
              <w:snapToGrid w:val="0"/>
              <w:spacing w:before="50" w:after="50"/>
              <w:jc w:val="center"/>
              <w:rPr>
                <w:rFonts w:hint="eastAsia" w:ascii="宋体" w:hAnsi="宋体" w:eastAsia="宋体" w:cs="宋体"/>
                <w:color w:val="auto"/>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1F001934">
            <w:pPr>
              <w:snapToGrid w:val="0"/>
              <w:spacing w:before="50" w:after="50"/>
              <w:jc w:val="center"/>
              <w:rPr>
                <w:rFonts w:hint="eastAsia" w:ascii="宋体" w:hAnsi="宋体" w:eastAsia="宋体" w:cs="宋体"/>
                <w:color w:val="auto"/>
                <w:szCs w:val="21"/>
              </w:rPr>
            </w:pPr>
          </w:p>
        </w:tc>
        <w:tc>
          <w:tcPr>
            <w:tcW w:w="1496" w:type="dxa"/>
            <w:tcBorders>
              <w:top w:val="single" w:color="auto" w:sz="4" w:space="0"/>
              <w:left w:val="single" w:color="auto" w:sz="4" w:space="0"/>
              <w:bottom w:val="single" w:color="auto" w:sz="4" w:space="0"/>
              <w:right w:val="single" w:color="auto" w:sz="4" w:space="0"/>
            </w:tcBorders>
            <w:vAlign w:val="center"/>
          </w:tcPr>
          <w:p w14:paraId="1B094A88">
            <w:pPr>
              <w:snapToGrid w:val="0"/>
              <w:spacing w:before="50" w:after="50"/>
              <w:jc w:val="center"/>
              <w:rPr>
                <w:rFonts w:hint="eastAsia" w:ascii="宋体" w:hAnsi="宋体" w:eastAsia="宋体" w:cs="宋体"/>
                <w:color w:val="auto"/>
                <w:szCs w:val="21"/>
              </w:rPr>
            </w:pPr>
          </w:p>
        </w:tc>
      </w:tr>
    </w:tbl>
    <w:p w14:paraId="464E29BE">
      <w:pPr>
        <w:spacing w:line="440" w:lineRule="exact"/>
        <w:contextualSpacing/>
        <w:rPr>
          <w:rFonts w:hint="eastAsia" w:ascii="宋体" w:hAnsi="宋体" w:eastAsia="宋体" w:cs="宋体"/>
          <w:color w:val="auto"/>
          <w:szCs w:val="21"/>
        </w:rPr>
      </w:pPr>
      <w:r>
        <w:rPr>
          <w:rFonts w:hint="eastAsia" w:ascii="宋体" w:hAnsi="宋体" w:eastAsia="宋体" w:cs="宋体"/>
          <w:color w:val="auto"/>
          <w:szCs w:val="21"/>
        </w:rPr>
        <w:t>备注：</w:t>
      </w:r>
    </w:p>
    <w:p w14:paraId="52937290">
      <w:pPr>
        <w:tabs>
          <w:tab w:val="left" w:pos="1065"/>
        </w:tabs>
        <w:adjustRightInd w:val="0"/>
        <w:spacing w:line="440" w:lineRule="exact"/>
        <w:contextualSpacing/>
        <w:rPr>
          <w:rFonts w:hint="eastAsia" w:ascii="宋体" w:hAnsi="宋体" w:eastAsia="宋体" w:cs="宋体"/>
          <w:color w:val="auto"/>
          <w:szCs w:val="21"/>
        </w:rPr>
      </w:pPr>
      <w:r>
        <w:rPr>
          <w:rFonts w:hint="eastAsia" w:ascii="宋体" w:hAnsi="宋体" w:eastAsia="宋体" w:cs="宋体"/>
          <w:b/>
          <w:bCs/>
          <w:color w:val="auto"/>
          <w:szCs w:val="21"/>
        </w:rPr>
        <w:t>以上性能配置清单中“货物名称、数量及单位、品牌、规格型号、制造商、原产地、参数性能、指标及配置”必须如实填写完整，品牌、规格型号没有则填无，填写有缺漏的，响应文件作无效处理</w:t>
      </w:r>
      <w:r>
        <w:rPr>
          <w:rFonts w:hint="eastAsia" w:ascii="宋体" w:hAnsi="宋体" w:eastAsia="宋体" w:cs="宋体"/>
          <w:b/>
          <w:color w:val="auto"/>
          <w:szCs w:val="21"/>
        </w:rPr>
        <w:t>。</w:t>
      </w:r>
    </w:p>
    <w:p w14:paraId="512A1604">
      <w:pPr>
        <w:adjustRightInd w:val="0"/>
        <w:spacing w:line="360" w:lineRule="auto"/>
        <w:contextualSpacing/>
        <w:jc w:val="left"/>
        <w:rPr>
          <w:rFonts w:hint="eastAsia" w:ascii="宋体" w:hAnsi="宋体" w:eastAsia="宋体" w:cs="宋体"/>
          <w:color w:val="auto"/>
          <w:szCs w:val="21"/>
        </w:rPr>
      </w:pPr>
    </w:p>
    <w:p w14:paraId="15C3901C">
      <w:pPr>
        <w:adjustRightInd w:val="0"/>
        <w:spacing w:line="360" w:lineRule="auto"/>
        <w:contextualSpacing/>
        <w:jc w:val="left"/>
        <w:rPr>
          <w:rFonts w:hint="eastAsia" w:ascii="宋体" w:hAnsi="宋体" w:eastAsia="宋体" w:cs="宋体"/>
          <w:color w:val="auto"/>
          <w:szCs w:val="21"/>
        </w:rPr>
      </w:pPr>
    </w:p>
    <w:p w14:paraId="1A7CAFF5">
      <w:pPr>
        <w:adjustRightInd w:val="0"/>
        <w:spacing w:line="360" w:lineRule="auto"/>
        <w:contextualSpacing/>
        <w:jc w:val="left"/>
        <w:rPr>
          <w:rFonts w:hint="eastAsia" w:ascii="宋体" w:hAnsi="宋体" w:eastAsia="宋体" w:cs="宋体"/>
          <w:color w:val="auto"/>
          <w:szCs w:val="21"/>
        </w:rPr>
      </w:pPr>
    </w:p>
    <w:p w14:paraId="38CFA464">
      <w:pPr>
        <w:spacing w:line="440" w:lineRule="exact"/>
        <w:ind w:right="-817" w:rightChars="-389" w:firstLine="2520" w:firstLineChars="1200"/>
        <w:contextualSpacing/>
        <w:jc w:val="center"/>
        <w:rPr>
          <w:rFonts w:hint="eastAsia" w:ascii="宋体" w:hAnsi="宋体" w:eastAsia="宋体" w:cs="宋体"/>
          <w:color w:val="auto"/>
          <w:szCs w:val="21"/>
          <w:u w:val="single"/>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798DE442">
      <w:pPr>
        <w:spacing w:line="440" w:lineRule="exact"/>
        <w:ind w:right="-817" w:rightChars="-389" w:firstLine="2520" w:firstLineChars="1200"/>
        <w:contextualSpacing/>
        <w:jc w:val="center"/>
        <w:rPr>
          <w:rFonts w:hint="eastAsia" w:ascii="宋体" w:hAnsi="宋体" w:eastAsia="宋体" w:cs="宋体"/>
          <w:color w:val="auto"/>
          <w:szCs w:val="21"/>
        </w:rPr>
      </w:pPr>
      <w:r>
        <w:rPr>
          <w:rFonts w:hint="eastAsia" w:ascii="宋体" w:hAnsi="宋体" w:eastAsia="宋体" w:cs="宋体"/>
          <w:color w:val="auto"/>
          <w:szCs w:val="21"/>
        </w:rPr>
        <w:t>法定代表人或授权代理人签字（或个人CA签章）：</w:t>
      </w:r>
    </w:p>
    <w:p w14:paraId="726A80FC">
      <w:pPr>
        <w:spacing w:line="440" w:lineRule="exact"/>
        <w:ind w:right="-817" w:rightChars="-389" w:firstLine="2520" w:firstLineChars="1200"/>
        <w:contextualSpacing/>
        <w:jc w:val="center"/>
        <w:rPr>
          <w:rFonts w:hint="eastAsia" w:ascii="宋体" w:hAnsi="宋体" w:eastAsia="宋体" w:cs="宋体"/>
          <w:b/>
          <w:color w:val="auto"/>
          <w:szCs w:val="21"/>
        </w:rPr>
      </w:pPr>
      <w:r>
        <w:rPr>
          <w:rFonts w:hint="eastAsia" w:ascii="宋体" w:hAnsi="宋体" w:eastAsia="宋体" w:cs="宋体"/>
          <w:color w:val="auto"/>
          <w:szCs w:val="21"/>
        </w:rPr>
        <w:t>日期：   年   月   日</w:t>
      </w:r>
    </w:p>
    <w:p w14:paraId="58ADD303">
      <w:pPr>
        <w:adjustRightInd w:val="0"/>
        <w:snapToGrid w:val="0"/>
        <w:spacing w:line="300" w:lineRule="auto"/>
        <w:rPr>
          <w:rFonts w:hint="eastAsia" w:ascii="宋体" w:hAnsi="宋体" w:eastAsia="宋体" w:cs="宋体"/>
          <w:color w:val="auto"/>
          <w:szCs w:val="21"/>
          <w:u w:val="single"/>
        </w:rPr>
      </w:pPr>
    </w:p>
    <w:p w14:paraId="48D8BE7B">
      <w:pPr>
        <w:adjustRightInd w:val="0"/>
        <w:snapToGrid w:val="0"/>
        <w:spacing w:line="300" w:lineRule="auto"/>
        <w:rPr>
          <w:rFonts w:hint="eastAsia" w:ascii="宋体" w:hAnsi="宋体" w:eastAsia="宋体" w:cs="宋体"/>
          <w:color w:val="auto"/>
          <w:szCs w:val="21"/>
          <w:u w:val="single"/>
        </w:rPr>
      </w:pPr>
    </w:p>
    <w:p w14:paraId="613DEBDE">
      <w:pPr>
        <w:adjustRightInd w:val="0"/>
        <w:snapToGrid w:val="0"/>
        <w:spacing w:line="300" w:lineRule="auto"/>
        <w:rPr>
          <w:rFonts w:hint="eastAsia" w:ascii="宋体" w:hAnsi="宋体" w:eastAsia="宋体" w:cs="宋体"/>
          <w:color w:val="auto"/>
          <w:szCs w:val="21"/>
          <w:u w:val="single"/>
        </w:rPr>
      </w:pPr>
    </w:p>
    <w:p w14:paraId="10E02553">
      <w:pPr>
        <w:adjustRightInd w:val="0"/>
        <w:snapToGrid w:val="0"/>
        <w:spacing w:line="300" w:lineRule="auto"/>
        <w:rPr>
          <w:rFonts w:hint="eastAsia" w:ascii="宋体" w:hAnsi="宋体" w:eastAsia="宋体" w:cs="宋体"/>
          <w:color w:val="auto"/>
          <w:szCs w:val="21"/>
          <w:u w:val="single"/>
        </w:rPr>
      </w:pPr>
    </w:p>
    <w:p w14:paraId="6DD34DCC">
      <w:pPr>
        <w:adjustRightInd w:val="0"/>
        <w:snapToGrid w:val="0"/>
        <w:spacing w:line="300" w:lineRule="auto"/>
        <w:rPr>
          <w:rFonts w:hint="eastAsia" w:ascii="宋体" w:hAnsi="宋体" w:eastAsia="宋体" w:cs="宋体"/>
          <w:color w:val="auto"/>
          <w:szCs w:val="21"/>
          <w:u w:val="single"/>
        </w:rPr>
      </w:pPr>
    </w:p>
    <w:p w14:paraId="70C95DD1">
      <w:pPr>
        <w:adjustRightInd w:val="0"/>
        <w:snapToGrid w:val="0"/>
        <w:spacing w:line="300" w:lineRule="auto"/>
        <w:rPr>
          <w:rFonts w:hint="eastAsia" w:ascii="宋体" w:hAnsi="宋体" w:eastAsia="宋体" w:cs="宋体"/>
          <w:color w:val="auto"/>
          <w:szCs w:val="21"/>
          <w:u w:val="single"/>
        </w:rPr>
      </w:pPr>
    </w:p>
    <w:p w14:paraId="4932BE56">
      <w:pPr>
        <w:adjustRightInd w:val="0"/>
        <w:snapToGrid w:val="0"/>
        <w:spacing w:line="300" w:lineRule="auto"/>
        <w:rPr>
          <w:rFonts w:hint="eastAsia" w:ascii="宋体" w:hAnsi="宋体" w:eastAsia="宋体" w:cs="宋体"/>
          <w:color w:val="auto"/>
          <w:szCs w:val="21"/>
          <w:u w:val="single"/>
        </w:rPr>
      </w:pPr>
    </w:p>
    <w:p w14:paraId="0F77AC5F">
      <w:pPr>
        <w:adjustRightInd w:val="0"/>
        <w:snapToGrid w:val="0"/>
        <w:spacing w:line="300" w:lineRule="auto"/>
        <w:rPr>
          <w:rFonts w:hint="eastAsia" w:ascii="宋体" w:hAnsi="宋体" w:eastAsia="宋体" w:cs="宋体"/>
          <w:color w:val="auto"/>
          <w:szCs w:val="21"/>
          <w:u w:val="single"/>
        </w:rPr>
      </w:pPr>
    </w:p>
    <w:p w14:paraId="0F984C08">
      <w:pPr>
        <w:adjustRightInd w:val="0"/>
        <w:snapToGrid w:val="0"/>
        <w:spacing w:line="300" w:lineRule="auto"/>
        <w:jc w:val="center"/>
        <w:rPr>
          <w:rFonts w:hint="eastAsia" w:ascii="宋体" w:hAnsi="宋体" w:eastAsia="宋体" w:cs="宋体"/>
          <w:bCs/>
          <w:color w:val="auto"/>
          <w:sz w:val="44"/>
          <w:szCs w:val="44"/>
        </w:rPr>
      </w:pPr>
      <w:r>
        <w:rPr>
          <w:rFonts w:hint="eastAsia" w:ascii="宋体" w:hAnsi="宋体" w:eastAsia="宋体" w:cs="宋体"/>
          <w:bCs/>
          <w:color w:val="auto"/>
          <w:sz w:val="44"/>
          <w:szCs w:val="44"/>
        </w:rPr>
        <w:br w:type="page"/>
      </w:r>
      <w:r>
        <w:rPr>
          <w:rFonts w:hint="eastAsia" w:ascii="宋体" w:hAnsi="宋体" w:eastAsia="宋体" w:cs="宋体"/>
          <w:b/>
          <w:color w:val="auto"/>
          <w:sz w:val="28"/>
          <w:szCs w:val="28"/>
        </w:rPr>
        <w:t>技术需求偏离表</w:t>
      </w:r>
    </w:p>
    <w:p w14:paraId="6A04F62A">
      <w:pPr>
        <w:spacing w:line="520" w:lineRule="exact"/>
        <w:rPr>
          <w:rFonts w:hint="eastAsia" w:ascii="宋体" w:hAnsi="宋体" w:eastAsia="宋体" w:cs="宋体"/>
          <w:color w:val="auto"/>
          <w:sz w:val="32"/>
          <w:szCs w:val="32"/>
        </w:rPr>
      </w:pPr>
    </w:p>
    <w:p w14:paraId="51D260A7">
      <w:pPr>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采购项目编号：</w:t>
      </w:r>
      <w:r>
        <w:rPr>
          <w:rFonts w:hint="eastAsia" w:ascii="宋体" w:hAnsi="宋体" w:eastAsia="宋体" w:cs="宋体"/>
          <w:color w:val="auto"/>
          <w:szCs w:val="21"/>
          <w:u w:val="single"/>
        </w:rPr>
        <w:t xml:space="preserve">                 </w:t>
      </w:r>
    </w:p>
    <w:p w14:paraId="275564D3">
      <w:pPr>
        <w:spacing w:line="360" w:lineRule="auto"/>
        <w:rPr>
          <w:rFonts w:hint="eastAsia" w:ascii="宋体" w:hAnsi="宋体" w:eastAsia="宋体" w:cs="宋体"/>
          <w:color w:val="auto"/>
          <w:szCs w:val="21"/>
          <w:u w:val="single"/>
        </w:rPr>
      </w:pPr>
      <w:r>
        <w:rPr>
          <w:rFonts w:hint="eastAsia" w:ascii="宋体" w:hAnsi="宋体" w:eastAsia="宋体" w:cs="宋体"/>
          <w:color w:val="auto"/>
          <w:szCs w:val="21"/>
        </w:rPr>
        <w:t>采购项目名称：</w:t>
      </w:r>
      <w:r>
        <w:rPr>
          <w:rFonts w:hint="eastAsia" w:ascii="宋体" w:hAnsi="宋体" w:eastAsia="宋体" w:cs="宋体"/>
          <w:color w:val="auto"/>
          <w:szCs w:val="21"/>
          <w:u w:val="single"/>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431C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vAlign w:val="center"/>
          </w:tcPr>
          <w:p w14:paraId="78CC1AEC">
            <w:pP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3454" w:type="dxa"/>
            <w:gridSpan w:val="3"/>
            <w:tcBorders>
              <w:top w:val="single" w:color="auto" w:sz="4" w:space="0"/>
              <w:left w:val="single" w:color="auto" w:sz="4" w:space="0"/>
              <w:bottom w:val="single" w:color="auto" w:sz="4" w:space="0"/>
              <w:right w:val="single" w:color="auto" w:sz="4" w:space="0"/>
            </w:tcBorders>
            <w:vAlign w:val="center"/>
          </w:tcPr>
          <w:p w14:paraId="27310FD5">
            <w:pPr>
              <w:jc w:val="center"/>
              <w:rPr>
                <w:rFonts w:hint="eastAsia" w:ascii="宋体" w:hAnsi="宋体" w:eastAsia="宋体" w:cs="宋体"/>
                <w:b/>
                <w:color w:val="auto"/>
                <w:szCs w:val="21"/>
              </w:rPr>
            </w:pPr>
            <w:r>
              <w:rPr>
                <w:rFonts w:hint="eastAsia" w:ascii="宋体" w:hAnsi="宋体" w:eastAsia="宋体" w:cs="宋体"/>
                <w:b/>
                <w:color w:val="auto"/>
                <w:szCs w:val="21"/>
              </w:rPr>
              <w:t>竞争性谈判采购文件需求</w:t>
            </w:r>
          </w:p>
        </w:tc>
        <w:tc>
          <w:tcPr>
            <w:tcW w:w="2944" w:type="dxa"/>
            <w:gridSpan w:val="3"/>
            <w:tcBorders>
              <w:top w:val="single" w:color="auto" w:sz="4" w:space="0"/>
              <w:left w:val="single" w:color="auto" w:sz="4" w:space="0"/>
              <w:bottom w:val="single" w:color="auto" w:sz="4" w:space="0"/>
              <w:right w:val="single" w:color="auto" w:sz="4" w:space="0"/>
            </w:tcBorders>
            <w:vAlign w:val="center"/>
          </w:tcPr>
          <w:p w14:paraId="5718D5CA">
            <w:pPr>
              <w:jc w:val="center"/>
              <w:rPr>
                <w:rFonts w:hint="eastAsia" w:ascii="宋体" w:hAnsi="宋体" w:eastAsia="宋体" w:cs="宋体"/>
                <w:b/>
                <w:color w:val="auto"/>
                <w:szCs w:val="21"/>
              </w:rPr>
            </w:pPr>
            <w:r>
              <w:rPr>
                <w:rFonts w:hint="eastAsia" w:ascii="宋体" w:hAnsi="宋体" w:eastAsia="宋体" w:cs="宋体"/>
                <w:b/>
                <w:color w:val="auto"/>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vAlign w:val="center"/>
          </w:tcPr>
          <w:p w14:paraId="2911856E">
            <w:pPr>
              <w:rPr>
                <w:rFonts w:hint="eastAsia" w:ascii="宋体" w:hAnsi="宋体" w:eastAsia="宋体" w:cs="宋体"/>
                <w:b/>
                <w:color w:val="auto"/>
                <w:szCs w:val="21"/>
              </w:rPr>
            </w:pPr>
            <w:r>
              <w:rPr>
                <w:rFonts w:hint="eastAsia" w:ascii="宋体" w:hAnsi="宋体" w:eastAsia="宋体" w:cs="宋体"/>
                <w:b/>
                <w:color w:val="auto"/>
                <w:szCs w:val="21"/>
              </w:rPr>
              <w:t>偏离说明</w:t>
            </w:r>
          </w:p>
        </w:tc>
      </w:tr>
      <w:tr w14:paraId="2515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3" w:type="dxa"/>
            <w:vMerge w:val="continue"/>
            <w:tcBorders>
              <w:top w:val="single" w:color="auto" w:sz="4" w:space="0"/>
              <w:left w:val="single" w:color="auto" w:sz="4" w:space="0"/>
              <w:bottom w:val="single" w:color="auto" w:sz="4" w:space="0"/>
              <w:right w:val="single" w:color="auto" w:sz="4" w:space="0"/>
            </w:tcBorders>
            <w:vAlign w:val="center"/>
          </w:tcPr>
          <w:p w14:paraId="38D75B25">
            <w:pPr>
              <w:widowControl/>
              <w:jc w:val="left"/>
              <w:rPr>
                <w:rFonts w:hint="eastAsia" w:ascii="宋体" w:hAnsi="宋体" w:eastAsia="宋体" w:cs="宋体"/>
                <w:b/>
                <w:color w:val="auto"/>
                <w:szCs w:val="21"/>
              </w:rPr>
            </w:pPr>
          </w:p>
        </w:tc>
        <w:tc>
          <w:tcPr>
            <w:tcW w:w="1142" w:type="dxa"/>
            <w:tcBorders>
              <w:top w:val="single" w:color="auto" w:sz="4" w:space="0"/>
              <w:left w:val="single" w:color="auto" w:sz="4" w:space="0"/>
              <w:bottom w:val="single" w:color="auto" w:sz="4" w:space="0"/>
              <w:right w:val="single" w:color="auto" w:sz="4" w:space="0"/>
            </w:tcBorders>
            <w:vAlign w:val="center"/>
          </w:tcPr>
          <w:p w14:paraId="2DE29CFF">
            <w:pPr>
              <w:rPr>
                <w:rFonts w:hint="eastAsia" w:ascii="宋体" w:hAnsi="宋体" w:eastAsia="宋体" w:cs="宋体"/>
                <w:b/>
                <w:color w:val="auto"/>
                <w:szCs w:val="21"/>
              </w:rPr>
            </w:pPr>
            <w:r>
              <w:rPr>
                <w:rFonts w:hint="eastAsia" w:ascii="宋体" w:hAnsi="宋体" w:eastAsia="宋体" w:cs="宋体"/>
                <w:b/>
                <w:color w:val="auto"/>
                <w:szCs w:val="21"/>
              </w:rPr>
              <w:t>标的名称</w:t>
            </w:r>
          </w:p>
        </w:tc>
        <w:tc>
          <w:tcPr>
            <w:tcW w:w="736" w:type="dxa"/>
            <w:tcBorders>
              <w:top w:val="single" w:color="auto" w:sz="4" w:space="0"/>
              <w:left w:val="single" w:color="auto" w:sz="4" w:space="0"/>
              <w:bottom w:val="single" w:color="auto" w:sz="4" w:space="0"/>
              <w:right w:val="single" w:color="auto" w:sz="4" w:space="0"/>
            </w:tcBorders>
            <w:vAlign w:val="center"/>
          </w:tcPr>
          <w:p w14:paraId="19C4EC3C">
            <w:pPr>
              <w:rPr>
                <w:rFonts w:hint="eastAsia" w:ascii="宋体" w:hAnsi="宋体" w:eastAsia="宋体" w:cs="宋体"/>
                <w:b/>
                <w:color w:val="auto"/>
                <w:szCs w:val="21"/>
              </w:rPr>
            </w:pPr>
            <w:r>
              <w:rPr>
                <w:rFonts w:hint="eastAsia" w:ascii="宋体" w:hAnsi="宋体" w:eastAsia="宋体" w:cs="宋体"/>
                <w:b/>
                <w:color w:val="auto"/>
                <w:szCs w:val="21"/>
              </w:rPr>
              <w:t>数量</w:t>
            </w:r>
          </w:p>
        </w:tc>
        <w:tc>
          <w:tcPr>
            <w:tcW w:w="1576" w:type="dxa"/>
            <w:tcBorders>
              <w:top w:val="single" w:color="auto" w:sz="4" w:space="0"/>
              <w:left w:val="single" w:color="auto" w:sz="4" w:space="0"/>
              <w:bottom w:val="single" w:color="auto" w:sz="4" w:space="0"/>
              <w:right w:val="single" w:color="auto" w:sz="4" w:space="0"/>
            </w:tcBorders>
            <w:vAlign w:val="center"/>
          </w:tcPr>
          <w:p w14:paraId="3A603955">
            <w:pPr>
              <w:rPr>
                <w:rFonts w:hint="eastAsia" w:ascii="宋体" w:hAnsi="宋体" w:eastAsia="宋体" w:cs="宋体"/>
                <w:b/>
                <w:color w:val="auto"/>
                <w:szCs w:val="21"/>
              </w:rPr>
            </w:pPr>
            <w:r>
              <w:rPr>
                <w:rFonts w:hint="eastAsia" w:ascii="宋体" w:hAnsi="宋体" w:eastAsia="宋体" w:cs="宋体"/>
                <w:b/>
                <w:color w:val="auto"/>
                <w:szCs w:val="21"/>
              </w:rPr>
              <w:t>技术参数及质量（配置）要求</w:t>
            </w:r>
          </w:p>
        </w:tc>
        <w:tc>
          <w:tcPr>
            <w:tcW w:w="1140" w:type="dxa"/>
            <w:tcBorders>
              <w:top w:val="single" w:color="auto" w:sz="4" w:space="0"/>
              <w:left w:val="single" w:color="auto" w:sz="4" w:space="0"/>
              <w:bottom w:val="single" w:color="auto" w:sz="4" w:space="0"/>
              <w:right w:val="single" w:color="auto" w:sz="4" w:space="0"/>
            </w:tcBorders>
            <w:vAlign w:val="center"/>
          </w:tcPr>
          <w:p w14:paraId="7AF11592">
            <w:pPr>
              <w:rPr>
                <w:rFonts w:hint="eastAsia" w:ascii="宋体" w:hAnsi="宋体" w:eastAsia="宋体" w:cs="宋体"/>
                <w:b/>
                <w:color w:val="auto"/>
                <w:szCs w:val="21"/>
              </w:rPr>
            </w:pPr>
            <w:r>
              <w:rPr>
                <w:rFonts w:hint="eastAsia" w:ascii="宋体" w:hAnsi="宋体" w:eastAsia="宋体" w:cs="宋体"/>
                <w:b/>
                <w:color w:val="auto"/>
                <w:szCs w:val="21"/>
              </w:rPr>
              <w:t>标的名称</w:t>
            </w:r>
          </w:p>
        </w:tc>
        <w:tc>
          <w:tcPr>
            <w:tcW w:w="658" w:type="dxa"/>
            <w:tcBorders>
              <w:top w:val="single" w:color="auto" w:sz="4" w:space="0"/>
              <w:left w:val="single" w:color="auto" w:sz="4" w:space="0"/>
              <w:bottom w:val="single" w:color="auto" w:sz="4" w:space="0"/>
              <w:right w:val="single" w:color="auto" w:sz="4" w:space="0"/>
            </w:tcBorders>
            <w:vAlign w:val="center"/>
          </w:tcPr>
          <w:p w14:paraId="37C26AAE">
            <w:pPr>
              <w:rPr>
                <w:rFonts w:hint="eastAsia" w:ascii="宋体" w:hAnsi="宋体" w:eastAsia="宋体" w:cs="宋体"/>
                <w:b/>
                <w:color w:val="auto"/>
                <w:szCs w:val="21"/>
              </w:rPr>
            </w:pPr>
            <w:r>
              <w:rPr>
                <w:rFonts w:hint="eastAsia" w:ascii="宋体" w:hAnsi="宋体" w:eastAsia="宋体" w:cs="宋体"/>
                <w:b/>
                <w:color w:val="auto"/>
                <w:szCs w:val="21"/>
              </w:rPr>
              <w:t>数量</w:t>
            </w:r>
          </w:p>
        </w:tc>
        <w:tc>
          <w:tcPr>
            <w:tcW w:w="1146" w:type="dxa"/>
            <w:tcBorders>
              <w:top w:val="single" w:color="auto" w:sz="4" w:space="0"/>
              <w:left w:val="single" w:color="auto" w:sz="4" w:space="0"/>
              <w:bottom w:val="single" w:color="auto" w:sz="4" w:space="0"/>
              <w:right w:val="single" w:color="auto" w:sz="4" w:space="0"/>
            </w:tcBorders>
            <w:vAlign w:val="center"/>
          </w:tcPr>
          <w:p w14:paraId="4A8FB8A2">
            <w:pPr>
              <w:rPr>
                <w:rFonts w:hint="eastAsia" w:ascii="宋体" w:hAnsi="宋体" w:eastAsia="宋体" w:cs="宋体"/>
                <w:b/>
                <w:color w:val="auto"/>
                <w:szCs w:val="21"/>
              </w:rPr>
            </w:pPr>
            <w:r>
              <w:rPr>
                <w:rFonts w:hint="eastAsia" w:ascii="宋体" w:hAnsi="宋体" w:eastAsia="宋体" w:cs="宋体"/>
                <w:b/>
                <w:color w:val="auto"/>
                <w:szCs w:val="21"/>
              </w:rPr>
              <w:t>技术参数及质量（配置）</w:t>
            </w:r>
          </w:p>
        </w:tc>
        <w:tc>
          <w:tcPr>
            <w:tcW w:w="1095" w:type="dxa"/>
            <w:vMerge w:val="continue"/>
            <w:tcBorders>
              <w:top w:val="single" w:color="auto" w:sz="4" w:space="0"/>
              <w:left w:val="single" w:color="auto" w:sz="4" w:space="0"/>
              <w:bottom w:val="single" w:color="auto" w:sz="4" w:space="0"/>
              <w:right w:val="single" w:color="auto" w:sz="4" w:space="0"/>
            </w:tcBorders>
            <w:vAlign w:val="center"/>
          </w:tcPr>
          <w:p w14:paraId="2ED33A86">
            <w:pPr>
              <w:widowControl/>
              <w:jc w:val="left"/>
              <w:rPr>
                <w:rFonts w:hint="eastAsia" w:ascii="宋体" w:hAnsi="宋体" w:eastAsia="宋体" w:cs="宋体"/>
                <w:color w:val="auto"/>
                <w:szCs w:val="21"/>
              </w:rPr>
            </w:pPr>
          </w:p>
        </w:tc>
      </w:tr>
      <w:tr w14:paraId="1944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6B765080">
            <w:pPr>
              <w:rPr>
                <w:rFonts w:hint="eastAsia" w:ascii="宋体" w:hAnsi="宋体" w:eastAsia="宋体" w:cs="宋体"/>
                <w:color w:val="auto"/>
                <w:szCs w:val="21"/>
              </w:rPr>
            </w:pPr>
            <w:r>
              <w:rPr>
                <w:rFonts w:hint="eastAsia" w:ascii="宋体" w:hAnsi="宋体" w:eastAsia="宋体" w:cs="宋体"/>
                <w:color w:val="auto"/>
                <w:szCs w:val="21"/>
              </w:rPr>
              <w:t>1</w:t>
            </w:r>
          </w:p>
        </w:tc>
        <w:tc>
          <w:tcPr>
            <w:tcW w:w="1142" w:type="dxa"/>
            <w:tcBorders>
              <w:top w:val="single" w:color="auto" w:sz="4" w:space="0"/>
              <w:left w:val="single" w:color="auto" w:sz="4" w:space="0"/>
              <w:bottom w:val="single" w:color="auto" w:sz="4" w:space="0"/>
              <w:right w:val="single" w:color="auto" w:sz="4" w:space="0"/>
            </w:tcBorders>
            <w:vAlign w:val="center"/>
          </w:tcPr>
          <w:p w14:paraId="6063869F">
            <w:pPr>
              <w:rPr>
                <w:rFonts w:hint="eastAsia" w:ascii="宋体" w:hAnsi="宋体" w:eastAsia="宋体" w:cs="宋体"/>
                <w:color w:val="auto"/>
                <w:szCs w:val="21"/>
              </w:rPr>
            </w:pPr>
            <w:r>
              <w:rPr>
                <w:rFonts w:hint="eastAsia" w:ascii="宋体" w:hAnsi="宋体" w:eastAsia="宋体" w:cs="宋体"/>
                <w:color w:val="auto"/>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347005B9">
            <w:pPr>
              <w:rPr>
                <w:rFonts w:hint="eastAsia" w:ascii="宋体" w:hAnsi="宋体" w:eastAsia="宋体" w:cs="宋体"/>
                <w:color w:val="auto"/>
                <w:szCs w:val="21"/>
              </w:rPr>
            </w:pPr>
            <w:r>
              <w:rPr>
                <w:rFonts w:hint="eastAsia" w:ascii="宋体" w:hAnsi="宋体" w:eastAsia="宋体" w:cs="宋体"/>
                <w:color w:val="auto"/>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5B597E1E">
            <w:pPr>
              <w:rPr>
                <w:rFonts w:hint="eastAsia" w:ascii="宋体" w:hAnsi="宋体" w:eastAsia="宋体" w:cs="宋体"/>
                <w:color w:val="auto"/>
                <w:szCs w:val="21"/>
              </w:rPr>
            </w:pPr>
            <w:r>
              <w:rPr>
                <w:rFonts w:hint="eastAsia" w:ascii="宋体" w:hAnsi="宋体" w:eastAsia="宋体" w:cs="宋体"/>
                <w:color w:val="auto"/>
                <w:szCs w:val="21"/>
              </w:rPr>
              <w:t>1  ……</w:t>
            </w:r>
          </w:p>
          <w:p w14:paraId="4AFBEEC9">
            <w:pPr>
              <w:rPr>
                <w:rFonts w:hint="eastAsia" w:ascii="宋体" w:hAnsi="宋体" w:eastAsia="宋体" w:cs="宋体"/>
                <w:color w:val="auto"/>
                <w:szCs w:val="21"/>
              </w:rPr>
            </w:pPr>
            <w:r>
              <w:rPr>
                <w:rFonts w:hint="eastAsia" w:ascii="宋体" w:hAnsi="宋体" w:eastAsia="宋体" w:cs="宋体"/>
                <w:color w:val="auto"/>
                <w:szCs w:val="21"/>
              </w:rPr>
              <w:t>2  ……</w:t>
            </w:r>
          </w:p>
          <w:p w14:paraId="530AA01F">
            <w:pPr>
              <w:rPr>
                <w:rFonts w:hint="eastAsia" w:ascii="宋体" w:hAnsi="宋体" w:eastAsia="宋体" w:cs="宋体"/>
                <w:color w:val="auto"/>
                <w:szCs w:val="21"/>
              </w:rPr>
            </w:pPr>
            <w:r>
              <w:rPr>
                <w:rFonts w:hint="eastAsia" w:ascii="宋体" w:hAnsi="宋体" w:eastAsia="宋体" w:cs="宋体"/>
                <w:color w:val="auto"/>
                <w:szCs w:val="21"/>
              </w:rPr>
              <w:t>3  ……</w:t>
            </w:r>
          </w:p>
          <w:p w14:paraId="34C4D85C">
            <w:pPr>
              <w:rPr>
                <w:rFonts w:hint="eastAsia" w:ascii="宋体" w:hAnsi="宋体" w:eastAsia="宋体" w:cs="宋体"/>
                <w:color w:val="auto"/>
                <w:szCs w:val="21"/>
              </w:rPr>
            </w:pPr>
            <w:r>
              <w:rPr>
                <w:rFonts w:hint="eastAsia" w:ascii="宋体" w:hAnsi="宋体" w:eastAsia="宋体" w:cs="宋体"/>
                <w:color w:val="auto"/>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30D54D54">
            <w:pPr>
              <w:rPr>
                <w:rFonts w:hint="eastAsia" w:ascii="宋体" w:hAnsi="宋体" w:eastAsia="宋体" w:cs="宋体"/>
                <w:color w:val="auto"/>
                <w:szCs w:val="21"/>
              </w:rPr>
            </w:pPr>
            <w:r>
              <w:rPr>
                <w:rFonts w:hint="eastAsia" w:ascii="宋体" w:hAnsi="宋体" w:eastAsia="宋体" w:cs="宋体"/>
                <w:color w:val="auto"/>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3A2A41B7">
            <w:pPr>
              <w:rPr>
                <w:rFonts w:hint="eastAsia" w:ascii="宋体" w:hAnsi="宋体" w:eastAsia="宋体" w:cs="宋体"/>
                <w:color w:val="auto"/>
                <w:szCs w:val="21"/>
              </w:rPr>
            </w:pPr>
            <w:r>
              <w:rPr>
                <w:rFonts w:hint="eastAsia" w:ascii="宋体" w:hAnsi="宋体" w:eastAsia="宋体" w:cs="宋体"/>
                <w:color w:val="auto"/>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638B4835">
            <w:pPr>
              <w:rPr>
                <w:rFonts w:hint="eastAsia" w:ascii="宋体" w:hAnsi="宋体" w:eastAsia="宋体" w:cs="宋体"/>
                <w:color w:val="auto"/>
                <w:szCs w:val="21"/>
              </w:rPr>
            </w:pPr>
            <w:r>
              <w:rPr>
                <w:rFonts w:hint="eastAsia" w:ascii="宋体" w:hAnsi="宋体" w:eastAsia="宋体" w:cs="宋体"/>
                <w:color w:val="auto"/>
                <w:szCs w:val="21"/>
              </w:rPr>
              <w:t>1  ……</w:t>
            </w:r>
          </w:p>
          <w:p w14:paraId="775D897B">
            <w:pPr>
              <w:rPr>
                <w:rFonts w:hint="eastAsia" w:ascii="宋体" w:hAnsi="宋体" w:eastAsia="宋体" w:cs="宋体"/>
                <w:color w:val="auto"/>
                <w:szCs w:val="21"/>
              </w:rPr>
            </w:pPr>
            <w:r>
              <w:rPr>
                <w:rFonts w:hint="eastAsia" w:ascii="宋体" w:hAnsi="宋体" w:eastAsia="宋体" w:cs="宋体"/>
                <w:color w:val="auto"/>
                <w:szCs w:val="21"/>
              </w:rPr>
              <w:t>2  ……</w:t>
            </w:r>
          </w:p>
          <w:p w14:paraId="1827558C">
            <w:pPr>
              <w:rPr>
                <w:rFonts w:hint="eastAsia" w:ascii="宋体" w:hAnsi="宋体" w:eastAsia="宋体" w:cs="宋体"/>
                <w:color w:val="auto"/>
                <w:szCs w:val="21"/>
              </w:rPr>
            </w:pPr>
            <w:r>
              <w:rPr>
                <w:rFonts w:hint="eastAsia" w:ascii="宋体" w:hAnsi="宋体" w:eastAsia="宋体" w:cs="宋体"/>
                <w:color w:val="auto"/>
                <w:szCs w:val="21"/>
              </w:rPr>
              <w:t>3  ……</w:t>
            </w:r>
          </w:p>
          <w:p w14:paraId="4B57352C">
            <w:pPr>
              <w:rPr>
                <w:rFonts w:hint="eastAsia" w:ascii="宋体" w:hAnsi="宋体" w:eastAsia="宋体" w:cs="宋体"/>
                <w:color w:val="auto"/>
                <w:szCs w:val="21"/>
              </w:rPr>
            </w:pPr>
            <w:r>
              <w:rPr>
                <w:rFonts w:hint="eastAsia" w:ascii="宋体" w:hAnsi="宋体" w:eastAsia="宋体" w:cs="宋体"/>
                <w:color w:val="auto"/>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6F367AD0">
            <w:pPr>
              <w:rPr>
                <w:rFonts w:hint="eastAsia" w:ascii="宋体" w:hAnsi="宋体" w:eastAsia="宋体" w:cs="宋体"/>
                <w:color w:val="auto"/>
                <w:szCs w:val="21"/>
              </w:rPr>
            </w:pPr>
          </w:p>
        </w:tc>
      </w:tr>
      <w:tr w14:paraId="73A1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58ECED12">
            <w:pPr>
              <w:rPr>
                <w:rFonts w:hint="eastAsia" w:ascii="宋体" w:hAnsi="宋体" w:eastAsia="宋体" w:cs="宋体"/>
                <w:color w:val="auto"/>
                <w:szCs w:val="21"/>
              </w:rPr>
            </w:pPr>
            <w:r>
              <w:rPr>
                <w:rFonts w:hint="eastAsia" w:ascii="宋体" w:hAnsi="宋体" w:eastAsia="宋体" w:cs="宋体"/>
                <w:color w:val="auto"/>
                <w:szCs w:val="21"/>
              </w:rPr>
              <w:t>2</w:t>
            </w:r>
          </w:p>
        </w:tc>
        <w:tc>
          <w:tcPr>
            <w:tcW w:w="1142" w:type="dxa"/>
            <w:tcBorders>
              <w:top w:val="single" w:color="auto" w:sz="4" w:space="0"/>
              <w:left w:val="single" w:color="auto" w:sz="4" w:space="0"/>
              <w:bottom w:val="single" w:color="auto" w:sz="4" w:space="0"/>
              <w:right w:val="single" w:color="auto" w:sz="4" w:space="0"/>
            </w:tcBorders>
            <w:vAlign w:val="center"/>
          </w:tcPr>
          <w:p w14:paraId="6B15F1B7">
            <w:pPr>
              <w:rPr>
                <w:rFonts w:hint="eastAsia" w:ascii="宋体" w:hAnsi="宋体" w:eastAsia="宋体" w:cs="宋体"/>
                <w:color w:val="auto"/>
                <w:szCs w:val="21"/>
              </w:rPr>
            </w:pPr>
            <w:r>
              <w:rPr>
                <w:rFonts w:hint="eastAsia" w:ascii="宋体" w:hAnsi="宋体" w:eastAsia="宋体" w:cs="宋体"/>
                <w:color w:val="auto"/>
                <w:szCs w:val="21"/>
              </w:rPr>
              <w:t>……</w:t>
            </w:r>
          </w:p>
        </w:tc>
        <w:tc>
          <w:tcPr>
            <w:tcW w:w="736" w:type="dxa"/>
            <w:tcBorders>
              <w:top w:val="single" w:color="auto" w:sz="4" w:space="0"/>
              <w:left w:val="single" w:color="auto" w:sz="4" w:space="0"/>
              <w:bottom w:val="single" w:color="auto" w:sz="4" w:space="0"/>
              <w:right w:val="single" w:color="auto" w:sz="4" w:space="0"/>
            </w:tcBorders>
            <w:vAlign w:val="center"/>
          </w:tcPr>
          <w:p w14:paraId="25535BAA">
            <w:pPr>
              <w:rPr>
                <w:rFonts w:hint="eastAsia" w:ascii="宋体" w:hAnsi="宋体" w:eastAsia="宋体" w:cs="宋体"/>
                <w:color w:val="auto"/>
                <w:szCs w:val="21"/>
              </w:rPr>
            </w:pPr>
            <w:r>
              <w:rPr>
                <w:rFonts w:hint="eastAsia" w:ascii="宋体" w:hAnsi="宋体" w:eastAsia="宋体" w:cs="宋体"/>
                <w:color w:val="auto"/>
                <w:szCs w:val="21"/>
              </w:rPr>
              <w:t>…</w:t>
            </w:r>
          </w:p>
        </w:tc>
        <w:tc>
          <w:tcPr>
            <w:tcW w:w="1576" w:type="dxa"/>
            <w:tcBorders>
              <w:top w:val="single" w:color="auto" w:sz="4" w:space="0"/>
              <w:left w:val="single" w:color="auto" w:sz="4" w:space="0"/>
              <w:bottom w:val="single" w:color="auto" w:sz="4" w:space="0"/>
              <w:right w:val="single" w:color="auto" w:sz="4" w:space="0"/>
            </w:tcBorders>
            <w:vAlign w:val="center"/>
          </w:tcPr>
          <w:p w14:paraId="3D737EDA">
            <w:pPr>
              <w:rPr>
                <w:rFonts w:hint="eastAsia" w:ascii="宋体" w:hAnsi="宋体" w:eastAsia="宋体" w:cs="宋体"/>
                <w:color w:val="auto"/>
                <w:szCs w:val="21"/>
              </w:rPr>
            </w:pPr>
            <w:r>
              <w:rPr>
                <w:rFonts w:hint="eastAsia" w:ascii="宋体" w:hAnsi="宋体" w:eastAsia="宋体" w:cs="宋体"/>
                <w:color w:val="auto"/>
                <w:szCs w:val="21"/>
              </w:rPr>
              <w:t>1  ……</w:t>
            </w:r>
          </w:p>
          <w:p w14:paraId="4B430B3D">
            <w:pPr>
              <w:rPr>
                <w:rFonts w:hint="eastAsia" w:ascii="宋体" w:hAnsi="宋体" w:eastAsia="宋体" w:cs="宋体"/>
                <w:color w:val="auto"/>
                <w:szCs w:val="21"/>
              </w:rPr>
            </w:pPr>
            <w:r>
              <w:rPr>
                <w:rFonts w:hint="eastAsia" w:ascii="宋体" w:hAnsi="宋体" w:eastAsia="宋体" w:cs="宋体"/>
                <w:color w:val="auto"/>
                <w:szCs w:val="21"/>
              </w:rPr>
              <w:t>2  ……</w:t>
            </w:r>
          </w:p>
          <w:p w14:paraId="02AC0DE7">
            <w:pPr>
              <w:rPr>
                <w:rFonts w:hint="eastAsia" w:ascii="宋体" w:hAnsi="宋体" w:eastAsia="宋体" w:cs="宋体"/>
                <w:color w:val="auto"/>
                <w:szCs w:val="21"/>
              </w:rPr>
            </w:pPr>
            <w:r>
              <w:rPr>
                <w:rFonts w:hint="eastAsia" w:ascii="宋体" w:hAnsi="宋体" w:eastAsia="宋体" w:cs="宋体"/>
                <w:color w:val="auto"/>
                <w:szCs w:val="21"/>
              </w:rPr>
              <w:t>3  ……</w:t>
            </w:r>
          </w:p>
          <w:p w14:paraId="5F7EDDC5">
            <w:pPr>
              <w:rPr>
                <w:rFonts w:hint="eastAsia" w:ascii="宋体" w:hAnsi="宋体" w:eastAsia="宋体" w:cs="宋体"/>
                <w:color w:val="auto"/>
                <w:szCs w:val="21"/>
              </w:rPr>
            </w:pPr>
            <w:r>
              <w:rPr>
                <w:rFonts w:hint="eastAsia" w:ascii="宋体" w:hAnsi="宋体" w:eastAsia="宋体" w:cs="宋体"/>
                <w:color w:val="auto"/>
                <w:szCs w:val="21"/>
              </w:rPr>
              <w:t>……</w:t>
            </w:r>
          </w:p>
        </w:tc>
        <w:tc>
          <w:tcPr>
            <w:tcW w:w="1140" w:type="dxa"/>
            <w:tcBorders>
              <w:top w:val="single" w:color="auto" w:sz="4" w:space="0"/>
              <w:left w:val="single" w:color="auto" w:sz="4" w:space="0"/>
              <w:bottom w:val="single" w:color="auto" w:sz="4" w:space="0"/>
              <w:right w:val="single" w:color="auto" w:sz="4" w:space="0"/>
            </w:tcBorders>
            <w:vAlign w:val="center"/>
          </w:tcPr>
          <w:p w14:paraId="7001E01F">
            <w:pPr>
              <w:rPr>
                <w:rFonts w:hint="eastAsia" w:ascii="宋体" w:hAnsi="宋体" w:eastAsia="宋体" w:cs="宋体"/>
                <w:color w:val="auto"/>
                <w:szCs w:val="21"/>
              </w:rPr>
            </w:pPr>
            <w:r>
              <w:rPr>
                <w:rFonts w:hint="eastAsia" w:ascii="宋体" w:hAnsi="宋体" w:eastAsia="宋体" w:cs="宋体"/>
                <w:color w:val="auto"/>
                <w:szCs w:val="21"/>
              </w:rPr>
              <w:t>……</w:t>
            </w:r>
          </w:p>
        </w:tc>
        <w:tc>
          <w:tcPr>
            <w:tcW w:w="658" w:type="dxa"/>
            <w:tcBorders>
              <w:top w:val="single" w:color="auto" w:sz="4" w:space="0"/>
              <w:left w:val="single" w:color="auto" w:sz="4" w:space="0"/>
              <w:bottom w:val="single" w:color="auto" w:sz="4" w:space="0"/>
              <w:right w:val="single" w:color="auto" w:sz="4" w:space="0"/>
            </w:tcBorders>
            <w:vAlign w:val="center"/>
          </w:tcPr>
          <w:p w14:paraId="058208C7">
            <w:pPr>
              <w:rPr>
                <w:rFonts w:hint="eastAsia" w:ascii="宋体" w:hAnsi="宋体" w:eastAsia="宋体" w:cs="宋体"/>
                <w:color w:val="auto"/>
                <w:szCs w:val="21"/>
              </w:rPr>
            </w:pPr>
            <w:r>
              <w:rPr>
                <w:rFonts w:hint="eastAsia" w:ascii="宋体" w:hAnsi="宋体" w:eastAsia="宋体" w:cs="宋体"/>
                <w:color w:val="auto"/>
                <w:szCs w:val="21"/>
              </w:rPr>
              <w:t>…</w:t>
            </w:r>
          </w:p>
        </w:tc>
        <w:tc>
          <w:tcPr>
            <w:tcW w:w="1146" w:type="dxa"/>
            <w:tcBorders>
              <w:top w:val="single" w:color="auto" w:sz="4" w:space="0"/>
              <w:left w:val="single" w:color="auto" w:sz="4" w:space="0"/>
              <w:bottom w:val="single" w:color="auto" w:sz="4" w:space="0"/>
              <w:right w:val="single" w:color="auto" w:sz="4" w:space="0"/>
            </w:tcBorders>
            <w:vAlign w:val="center"/>
          </w:tcPr>
          <w:p w14:paraId="6442E521">
            <w:pPr>
              <w:rPr>
                <w:rFonts w:hint="eastAsia" w:ascii="宋体" w:hAnsi="宋体" w:eastAsia="宋体" w:cs="宋体"/>
                <w:color w:val="auto"/>
                <w:szCs w:val="21"/>
              </w:rPr>
            </w:pPr>
            <w:r>
              <w:rPr>
                <w:rFonts w:hint="eastAsia" w:ascii="宋体" w:hAnsi="宋体" w:eastAsia="宋体" w:cs="宋体"/>
                <w:color w:val="auto"/>
                <w:szCs w:val="21"/>
              </w:rPr>
              <w:t>1  ……</w:t>
            </w:r>
          </w:p>
          <w:p w14:paraId="58CC5BE5">
            <w:pPr>
              <w:rPr>
                <w:rFonts w:hint="eastAsia" w:ascii="宋体" w:hAnsi="宋体" w:eastAsia="宋体" w:cs="宋体"/>
                <w:color w:val="auto"/>
                <w:szCs w:val="21"/>
              </w:rPr>
            </w:pPr>
            <w:r>
              <w:rPr>
                <w:rFonts w:hint="eastAsia" w:ascii="宋体" w:hAnsi="宋体" w:eastAsia="宋体" w:cs="宋体"/>
                <w:color w:val="auto"/>
                <w:szCs w:val="21"/>
              </w:rPr>
              <w:t>2  ……</w:t>
            </w:r>
          </w:p>
          <w:p w14:paraId="105AEC8C">
            <w:pPr>
              <w:rPr>
                <w:rFonts w:hint="eastAsia" w:ascii="宋体" w:hAnsi="宋体" w:eastAsia="宋体" w:cs="宋体"/>
                <w:color w:val="auto"/>
                <w:szCs w:val="21"/>
              </w:rPr>
            </w:pPr>
            <w:r>
              <w:rPr>
                <w:rFonts w:hint="eastAsia" w:ascii="宋体" w:hAnsi="宋体" w:eastAsia="宋体" w:cs="宋体"/>
                <w:color w:val="auto"/>
                <w:szCs w:val="21"/>
              </w:rPr>
              <w:t>3  ……</w:t>
            </w:r>
          </w:p>
          <w:p w14:paraId="181D1403">
            <w:pPr>
              <w:rPr>
                <w:rFonts w:hint="eastAsia" w:ascii="宋体" w:hAnsi="宋体" w:eastAsia="宋体" w:cs="宋体"/>
                <w:color w:val="auto"/>
                <w:szCs w:val="21"/>
              </w:rPr>
            </w:pPr>
            <w:r>
              <w:rPr>
                <w:rFonts w:hint="eastAsia" w:ascii="宋体" w:hAnsi="宋体" w:eastAsia="宋体" w:cs="宋体"/>
                <w:color w:val="auto"/>
                <w:szCs w:val="21"/>
              </w:rPr>
              <w:t>……</w:t>
            </w:r>
          </w:p>
        </w:tc>
        <w:tc>
          <w:tcPr>
            <w:tcW w:w="1095" w:type="dxa"/>
            <w:tcBorders>
              <w:top w:val="single" w:color="auto" w:sz="4" w:space="0"/>
              <w:left w:val="single" w:color="auto" w:sz="4" w:space="0"/>
              <w:bottom w:val="single" w:color="auto" w:sz="4" w:space="0"/>
              <w:right w:val="single" w:color="auto" w:sz="4" w:space="0"/>
            </w:tcBorders>
            <w:vAlign w:val="center"/>
          </w:tcPr>
          <w:p w14:paraId="5E184B45">
            <w:pPr>
              <w:rPr>
                <w:rFonts w:hint="eastAsia" w:ascii="宋体" w:hAnsi="宋体" w:eastAsia="宋体" w:cs="宋体"/>
                <w:color w:val="auto"/>
                <w:szCs w:val="21"/>
              </w:rPr>
            </w:pPr>
          </w:p>
        </w:tc>
      </w:tr>
      <w:tr w14:paraId="62B6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vAlign w:val="center"/>
          </w:tcPr>
          <w:p w14:paraId="1A3201B3">
            <w:pPr>
              <w:rPr>
                <w:rFonts w:hint="eastAsia" w:ascii="宋体" w:hAnsi="宋体" w:eastAsia="宋体" w:cs="宋体"/>
                <w:color w:val="auto"/>
                <w:szCs w:val="21"/>
              </w:rPr>
            </w:pPr>
            <w:r>
              <w:rPr>
                <w:rFonts w:hint="eastAsia" w:ascii="宋体" w:hAnsi="宋体" w:eastAsia="宋体" w:cs="宋体"/>
                <w:color w:val="auto"/>
                <w:szCs w:val="21"/>
              </w:rPr>
              <w:t>...</w:t>
            </w:r>
          </w:p>
        </w:tc>
        <w:tc>
          <w:tcPr>
            <w:tcW w:w="1142" w:type="dxa"/>
            <w:tcBorders>
              <w:top w:val="single" w:color="auto" w:sz="4" w:space="0"/>
              <w:left w:val="single" w:color="auto" w:sz="4" w:space="0"/>
              <w:bottom w:val="single" w:color="auto" w:sz="4" w:space="0"/>
              <w:right w:val="single" w:color="auto" w:sz="4" w:space="0"/>
            </w:tcBorders>
            <w:vAlign w:val="center"/>
          </w:tcPr>
          <w:p w14:paraId="5DE28B29">
            <w:pPr>
              <w:rPr>
                <w:rFonts w:hint="eastAsia" w:ascii="宋体" w:hAnsi="宋体" w:eastAsia="宋体" w:cs="宋体"/>
                <w:color w:val="auto"/>
                <w:szCs w:val="21"/>
              </w:rPr>
            </w:pPr>
          </w:p>
        </w:tc>
        <w:tc>
          <w:tcPr>
            <w:tcW w:w="736" w:type="dxa"/>
            <w:tcBorders>
              <w:top w:val="single" w:color="auto" w:sz="4" w:space="0"/>
              <w:left w:val="single" w:color="auto" w:sz="4" w:space="0"/>
              <w:bottom w:val="single" w:color="auto" w:sz="4" w:space="0"/>
              <w:right w:val="single" w:color="auto" w:sz="4" w:space="0"/>
            </w:tcBorders>
            <w:vAlign w:val="center"/>
          </w:tcPr>
          <w:p w14:paraId="62C4DBEC">
            <w:pPr>
              <w:rPr>
                <w:rFonts w:hint="eastAsia" w:ascii="宋体" w:hAnsi="宋体" w:eastAsia="宋体" w:cs="宋体"/>
                <w:color w:val="auto"/>
                <w:szCs w:val="21"/>
              </w:rPr>
            </w:pPr>
          </w:p>
        </w:tc>
        <w:tc>
          <w:tcPr>
            <w:tcW w:w="1576" w:type="dxa"/>
            <w:tcBorders>
              <w:top w:val="single" w:color="auto" w:sz="4" w:space="0"/>
              <w:left w:val="single" w:color="auto" w:sz="4" w:space="0"/>
              <w:bottom w:val="single" w:color="auto" w:sz="4" w:space="0"/>
              <w:right w:val="single" w:color="auto" w:sz="4" w:space="0"/>
            </w:tcBorders>
            <w:vAlign w:val="center"/>
          </w:tcPr>
          <w:p w14:paraId="377BA306">
            <w:pPr>
              <w:rPr>
                <w:rFonts w:hint="eastAsia" w:ascii="宋体" w:hAnsi="宋体" w:eastAsia="宋体" w:cs="宋体"/>
                <w:color w:val="auto"/>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A9A8763">
            <w:pPr>
              <w:rPr>
                <w:rFonts w:hint="eastAsia" w:ascii="宋体" w:hAnsi="宋体" w:eastAsia="宋体" w:cs="宋体"/>
                <w:color w:val="auto"/>
                <w:szCs w:val="21"/>
              </w:rPr>
            </w:pPr>
          </w:p>
        </w:tc>
        <w:tc>
          <w:tcPr>
            <w:tcW w:w="658" w:type="dxa"/>
            <w:tcBorders>
              <w:top w:val="single" w:color="auto" w:sz="4" w:space="0"/>
              <w:left w:val="single" w:color="auto" w:sz="4" w:space="0"/>
              <w:bottom w:val="single" w:color="auto" w:sz="4" w:space="0"/>
              <w:right w:val="single" w:color="auto" w:sz="4" w:space="0"/>
            </w:tcBorders>
            <w:vAlign w:val="center"/>
          </w:tcPr>
          <w:p w14:paraId="1103FA90">
            <w:pPr>
              <w:rPr>
                <w:rFonts w:hint="eastAsia" w:ascii="宋体" w:hAnsi="宋体" w:eastAsia="宋体" w:cs="宋体"/>
                <w:color w:val="auto"/>
                <w:szCs w:val="21"/>
              </w:rPr>
            </w:pPr>
          </w:p>
        </w:tc>
        <w:tc>
          <w:tcPr>
            <w:tcW w:w="1146" w:type="dxa"/>
            <w:tcBorders>
              <w:top w:val="single" w:color="auto" w:sz="4" w:space="0"/>
              <w:left w:val="single" w:color="auto" w:sz="4" w:space="0"/>
              <w:bottom w:val="single" w:color="auto" w:sz="4" w:space="0"/>
              <w:right w:val="single" w:color="auto" w:sz="4" w:space="0"/>
            </w:tcBorders>
            <w:vAlign w:val="center"/>
          </w:tcPr>
          <w:p w14:paraId="24C76686">
            <w:pPr>
              <w:rPr>
                <w:rFonts w:hint="eastAsia" w:ascii="宋体" w:hAnsi="宋体" w:eastAsia="宋体" w:cs="宋体"/>
                <w:color w:val="auto"/>
                <w:szCs w:val="21"/>
              </w:rPr>
            </w:pPr>
          </w:p>
        </w:tc>
        <w:tc>
          <w:tcPr>
            <w:tcW w:w="1095" w:type="dxa"/>
            <w:tcBorders>
              <w:top w:val="single" w:color="auto" w:sz="4" w:space="0"/>
              <w:left w:val="single" w:color="auto" w:sz="4" w:space="0"/>
              <w:bottom w:val="single" w:color="auto" w:sz="4" w:space="0"/>
              <w:right w:val="single" w:color="auto" w:sz="4" w:space="0"/>
            </w:tcBorders>
            <w:vAlign w:val="center"/>
          </w:tcPr>
          <w:p w14:paraId="0828731F">
            <w:pPr>
              <w:rPr>
                <w:rFonts w:hint="eastAsia" w:ascii="宋体" w:hAnsi="宋体" w:eastAsia="宋体" w:cs="宋体"/>
                <w:color w:val="auto"/>
                <w:szCs w:val="21"/>
              </w:rPr>
            </w:pPr>
          </w:p>
        </w:tc>
      </w:tr>
    </w:tbl>
    <w:p w14:paraId="0399F41D">
      <w:pPr>
        <w:pStyle w:val="11"/>
        <w:spacing w:line="440" w:lineRule="exact"/>
        <w:ind w:firstLine="0" w:firstLineChars="0"/>
        <w:contextualSpacing/>
        <w:rPr>
          <w:rFonts w:hint="eastAsia" w:ascii="宋体" w:hAnsi="宋体" w:eastAsia="宋体" w:cs="宋体"/>
          <w:color w:val="auto"/>
          <w:sz w:val="21"/>
          <w:szCs w:val="21"/>
        </w:rPr>
      </w:pPr>
    </w:p>
    <w:p w14:paraId="6A98B478">
      <w:pPr>
        <w:pStyle w:val="11"/>
        <w:spacing w:line="360" w:lineRule="auto"/>
        <w:ind w:firstLine="0" w:firstLineChars="0"/>
        <w:contextualSpacing/>
        <w:rPr>
          <w:rFonts w:hint="eastAsia" w:ascii="宋体" w:hAnsi="宋体" w:eastAsia="宋体" w:cs="宋体"/>
          <w:color w:val="auto"/>
          <w:sz w:val="21"/>
          <w:szCs w:val="21"/>
        </w:rPr>
      </w:pPr>
      <w:r>
        <w:rPr>
          <w:rFonts w:hint="eastAsia" w:ascii="宋体" w:hAnsi="宋体" w:eastAsia="宋体" w:cs="宋体"/>
          <w:color w:val="auto"/>
          <w:sz w:val="21"/>
          <w:szCs w:val="21"/>
        </w:rPr>
        <w:t>1.说明：应对照谈判文件“第二章”中“采购需求”的“技术参数及质量（配置）要求”条款逐条作出明确响应，并作出偏离说明。</w:t>
      </w:r>
    </w:p>
    <w:p w14:paraId="0DD9972D">
      <w:pPr>
        <w:pStyle w:val="11"/>
        <w:spacing w:line="360" w:lineRule="auto"/>
        <w:ind w:firstLine="0" w:firstLineChars="0"/>
        <w:contextualSpacing/>
        <w:rPr>
          <w:rFonts w:hint="eastAsia" w:ascii="宋体" w:hAnsi="宋体" w:eastAsia="宋体" w:cs="宋体"/>
          <w:color w:val="auto"/>
          <w:sz w:val="21"/>
          <w:szCs w:val="21"/>
        </w:rPr>
      </w:pPr>
      <w:r>
        <w:rPr>
          <w:rFonts w:hint="eastAsia" w:ascii="宋体" w:hAnsi="宋体" w:eastAsia="宋体" w:cs="宋体"/>
          <w:color w:val="auto"/>
          <w:sz w:val="21"/>
          <w:szCs w:val="21"/>
        </w:rPr>
        <w:t>2.供应商应根据自身的承诺，对照谈判文件要求，在“偏离说明”中注明“正偏离”、“负偏离”或者“无偏离”。既不属于“正偏离”也不属于“负偏离”即为“无偏离”。当响应文件的商务内容低于竞争性谈判采购文件要求时，竞标人应当如实写明“负偏离”，否则视为虚假应标。</w:t>
      </w:r>
    </w:p>
    <w:p w14:paraId="3A3A67A5">
      <w:pPr>
        <w:pStyle w:val="11"/>
        <w:spacing w:line="360" w:lineRule="auto"/>
        <w:ind w:firstLine="0" w:firstLineChars="0"/>
        <w:contextualSpacing/>
        <w:rPr>
          <w:rFonts w:hint="eastAsia" w:ascii="宋体" w:hAnsi="宋体" w:eastAsia="宋体" w:cs="宋体"/>
          <w:color w:val="auto"/>
          <w:sz w:val="21"/>
          <w:szCs w:val="21"/>
        </w:rPr>
      </w:pPr>
      <w:r>
        <w:rPr>
          <w:rFonts w:hint="eastAsia" w:ascii="宋体" w:hAnsi="宋体" w:eastAsia="宋体" w:cs="宋体"/>
          <w:color w:val="auto"/>
          <w:sz w:val="21"/>
          <w:szCs w:val="21"/>
        </w:rPr>
        <w:t>3.表格内容均需按要求填写并盖章，不得留空，否则按竞标无效处理。</w:t>
      </w:r>
    </w:p>
    <w:p w14:paraId="7FEE283F">
      <w:pPr>
        <w:pStyle w:val="11"/>
        <w:spacing w:line="360" w:lineRule="auto"/>
        <w:ind w:firstLine="0" w:firstLineChars="0"/>
        <w:contextualSpacing/>
        <w:rPr>
          <w:rFonts w:hint="eastAsia" w:ascii="宋体" w:hAnsi="宋体" w:eastAsia="宋体" w:cs="宋体"/>
          <w:color w:val="auto"/>
          <w:sz w:val="21"/>
          <w:szCs w:val="21"/>
        </w:rPr>
      </w:pPr>
      <w:r>
        <w:rPr>
          <w:rFonts w:hint="eastAsia" w:ascii="宋体" w:hAnsi="宋体" w:eastAsia="宋体" w:cs="宋体"/>
          <w:color w:val="auto"/>
          <w:sz w:val="21"/>
          <w:szCs w:val="21"/>
        </w:rPr>
        <w:t>4.如货物需求偏离表中的竞标响应与佐证材料不一致的，以佐证材料为准。</w:t>
      </w:r>
    </w:p>
    <w:p w14:paraId="676E0126">
      <w:pPr>
        <w:pStyle w:val="11"/>
        <w:spacing w:line="360" w:lineRule="auto"/>
        <w:ind w:firstLine="0" w:firstLineChars="0"/>
        <w:contextualSpacing/>
        <w:rPr>
          <w:rFonts w:hint="eastAsia" w:ascii="宋体" w:hAnsi="宋体" w:eastAsia="宋体" w:cs="宋体"/>
          <w:color w:val="auto"/>
          <w:sz w:val="21"/>
          <w:szCs w:val="21"/>
        </w:rPr>
      </w:pPr>
    </w:p>
    <w:p w14:paraId="7BEC88EC">
      <w:pPr>
        <w:spacing w:line="360" w:lineRule="auto"/>
        <w:ind w:right="-817" w:rightChars="-389"/>
        <w:contextualSpacing/>
        <w:rPr>
          <w:rFonts w:hint="eastAsia" w:ascii="宋体" w:hAnsi="宋体" w:eastAsia="宋体" w:cs="宋体"/>
          <w:color w:val="auto"/>
          <w:szCs w:val="21"/>
        </w:rPr>
      </w:pPr>
    </w:p>
    <w:p w14:paraId="29629590">
      <w:pPr>
        <w:spacing w:line="440" w:lineRule="exact"/>
        <w:ind w:right="-817" w:rightChars="-389" w:firstLine="2520" w:firstLineChars="1200"/>
        <w:contextualSpacing/>
        <w:jc w:val="center"/>
        <w:rPr>
          <w:rFonts w:hint="eastAsia" w:ascii="宋体" w:hAnsi="宋体" w:eastAsia="宋体" w:cs="宋体"/>
          <w:color w:val="auto"/>
          <w:szCs w:val="21"/>
          <w:u w:val="single"/>
        </w:rPr>
      </w:pPr>
      <w:r>
        <w:rPr>
          <w:rFonts w:hint="eastAsia" w:ascii="宋体" w:hAnsi="宋体" w:eastAsia="宋体" w:cs="宋体"/>
          <w:color w:val="auto"/>
          <w:szCs w:val="21"/>
        </w:rPr>
        <w:t>供应商[公章（CA签章）]：</w:t>
      </w:r>
      <w:r>
        <w:rPr>
          <w:rFonts w:hint="eastAsia" w:ascii="宋体" w:hAnsi="宋体" w:eastAsia="宋体" w:cs="宋体"/>
          <w:color w:val="auto"/>
          <w:szCs w:val="21"/>
          <w:u w:val="single"/>
        </w:rPr>
        <w:t xml:space="preserve">                       </w:t>
      </w:r>
    </w:p>
    <w:p w14:paraId="1993CA77">
      <w:pPr>
        <w:spacing w:line="440" w:lineRule="exact"/>
        <w:ind w:right="-817" w:rightChars="-389"/>
        <w:contextualSpacing/>
        <w:jc w:val="center"/>
        <w:rPr>
          <w:rFonts w:hint="eastAsia" w:ascii="宋体" w:hAnsi="宋体" w:eastAsia="宋体" w:cs="宋体"/>
          <w:color w:val="auto"/>
          <w:szCs w:val="21"/>
          <w:u w:val="single"/>
        </w:rPr>
      </w:pPr>
      <w:r>
        <w:rPr>
          <w:rFonts w:hint="eastAsia" w:ascii="宋体" w:hAnsi="宋体" w:eastAsia="宋体" w:cs="宋体"/>
          <w:color w:val="auto"/>
          <w:szCs w:val="21"/>
        </w:rPr>
        <w:t>法定代表人或授权代理人签字（或个人CA签章）：</w:t>
      </w:r>
      <w:r>
        <w:rPr>
          <w:rFonts w:hint="eastAsia" w:ascii="宋体" w:hAnsi="宋体" w:eastAsia="宋体" w:cs="宋体"/>
          <w:color w:val="auto"/>
          <w:szCs w:val="21"/>
          <w:u w:val="single"/>
        </w:rPr>
        <w:t xml:space="preserve">              </w:t>
      </w:r>
    </w:p>
    <w:p w14:paraId="666BB0AA">
      <w:pPr>
        <w:spacing w:line="440" w:lineRule="exact"/>
        <w:ind w:right="-817" w:rightChars="-389"/>
        <w:contextualSpacing/>
        <w:jc w:val="center"/>
        <w:rPr>
          <w:rFonts w:hint="eastAsia" w:ascii="宋体" w:hAnsi="宋体" w:eastAsia="宋体" w:cs="宋体"/>
          <w:color w:val="auto"/>
          <w:szCs w:val="21"/>
        </w:rPr>
      </w:pPr>
      <w:r>
        <w:rPr>
          <w:rFonts w:hint="eastAsia" w:ascii="宋体" w:hAnsi="宋体" w:eastAsia="宋体" w:cs="宋体"/>
          <w:color w:val="auto"/>
          <w:szCs w:val="21"/>
        </w:rPr>
        <w:t>日期：   年   月   日</w:t>
      </w:r>
    </w:p>
    <w:p w14:paraId="45B1FD9A">
      <w:pPr>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br w:type="page"/>
      </w:r>
    </w:p>
    <w:p w14:paraId="7C101735">
      <w:pPr>
        <w:pStyle w:val="53"/>
        <w:jc w:val="center"/>
        <w:rPr>
          <w:rFonts w:hint="eastAsia" w:ascii="宋体" w:hAnsi="宋体" w:eastAsia="宋体" w:cs="宋体"/>
          <w:bCs w:val="0"/>
          <w:color w:val="auto"/>
          <w:kern w:val="2"/>
          <w:sz w:val="28"/>
          <w:szCs w:val="28"/>
        </w:rPr>
      </w:pPr>
      <w:r>
        <w:rPr>
          <w:rFonts w:hint="eastAsia" w:ascii="宋体" w:hAnsi="宋体" w:eastAsia="宋体" w:cs="宋体"/>
          <w:bCs w:val="0"/>
          <w:color w:val="auto"/>
          <w:kern w:val="2"/>
          <w:sz w:val="28"/>
          <w:szCs w:val="28"/>
        </w:rPr>
        <w:t>配送服务及应急方案（格式自拟）</w:t>
      </w:r>
    </w:p>
    <w:p w14:paraId="7326C5E6">
      <w:pPr>
        <w:spacing w:line="440" w:lineRule="exact"/>
        <w:ind w:right="-817" w:rightChars="-389"/>
        <w:contextualSpacing/>
        <w:jc w:val="center"/>
        <w:rPr>
          <w:rFonts w:hint="eastAsia" w:ascii="宋体" w:hAnsi="宋体" w:eastAsia="宋体" w:cs="宋体"/>
          <w:color w:val="auto"/>
          <w:szCs w:val="21"/>
        </w:rPr>
      </w:pPr>
    </w:p>
    <w:p w14:paraId="7CF250F7">
      <w:pPr>
        <w:snapToGrid w:val="0"/>
        <w:spacing w:line="360" w:lineRule="auto"/>
        <w:rPr>
          <w:rFonts w:hint="eastAsia" w:ascii="宋体" w:hAnsi="宋体" w:eastAsia="宋体" w:cs="宋体"/>
          <w:b/>
          <w:color w:val="auto"/>
          <w:sz w:val="30"/>
          <w:szCs w:val="30"/>
        </w:rPr>
      </w:pPr>
      <w:r>
        <w:rPr>
          <w:rFonts w:hint="eastAsia" w:ascii="宋体" w:hAnsi="宋体" w:eastAsia="宋体" w:cs="宋体"/>
          <w:b/>
          <w:bCs/>
          <w:color w:val="auto"/>
          <w:sz w:val="24"/>
        </w:rPr>
        <w:br w:type="page"/>
      </w:r>
      <w:r>
        <w:rPr>
          <w:rFonts w:hint="eastAsia" w:ascii="宋体" w:hAnsi="宋体" w:eastAsia="宋体" w:cs="宋体"/>
          <w:b/>
          <w:color w:val="auto"/>
          <w:sz w:val="28"/>
          <w:szCs w:val="28"/>
        </w:rPr>
        <w:t>项目实施人员一览表（如有要求）</w:t>
      </w:r>
    </w:p>
    <w:p w14:paraId="0189F4BE">
      <w:pPr>
        <w:spacing w:line="360" w:lineRule="auto"/>
        <w:jc w:val="center"/>
        <w:rPr>
          <w:rFonts w:hint="eastAsia" w:ascii="宋体" w:hAnsi="宋体" w:eastAsia="宋体" w:cs="宋体"/>
          <w:b/>
          <w:bCs/>
          <w:color w:val="auto"/>
          <w:sz w:val="24"/>
        </w:rPr>
      </w:pPr>
      <w:r>
        <w:rPr>
          <w:rFonts w:hint="eastAsia" w:ascii="宋体" w:hAnsi="宋体" w:eastAsia="宋体" w:cs="宋体"/>
          <w:color w:val="auto"/>
          <w:sz w:val="24"/>
        </w:rPr>
        <w:t>（由供应商根据采购需求及采购文件要求编制）</w:t>
      </w:r>
    </w:p>
    <w:p w14:paraId="70C64767">
      <w:pPr>
        <w:keepNext/>
        <w:autoSpaceDE w:val="0"/>
        <w:autoSpaceDN w:val="0"/>
        <w:spacing w:line="360" w:lineRule="auto"/>
        <w:ind w:firstLine="477"/>
        <w:rPr>
          <w:rFonts w:hint="eastAsia" w:ascii="宋体" w:hAnsi="宋体" w:eastAsia="宋体" w:cs="宋体"/>
          <w:b/>
          <w:color w:val="auto"/>
          <w:sz w:val="24"/>
        </w:rPr>
      </w:pPr>
      <w:r>
        <w:rPr>
          <w:rFonts w:hint="eastAsia" w:ascii="宋体" w:hAnsi="宋体" w:eastAsia="宋体" w:cs="宋体"/>
          <w:b/>
          <w:color w:val="auto"/>
          <w:sz w:val="24"/>
        </w:rPr>
        <w:t>附表A:本项目的项目经理情况表</w:t>
      </w:r>
    </w:p>
    <w:tbl>
      <w:tblPr>
        <w:tblStyle w:val="30"/>
        <w:tblW w:w="0" w:type="auto"/>
        <w:tblInd w:w="0" w:type="dxa"/>
        <w:tblLayout w:type="fixed"/>
        <w:tblCellMar>
          <w:top w:w="0" w:type="dxa"/>
          <w:left w:w="108" w:type="dxa"/>
          <w:bottom w:w="0" w:type="dxa"/>
          <w:right w:w="108" w:type="dxa"/>
        </w:tblCellMar>
      </w:tblPr>
      <w:tblGrid>
        <w:gridCol w:w="2061"/>
        <w:gridCol w:w="1287"/>
        <w:gridCol w:w="1260"/>
        <w:gridCol w:w="4572"/>
      </w:tblGrid>
      <w:tr w14:paraId="469D2A53">
        <w:tblPrEx>
          <w:tblCellMar>
            <w:top w:w="0" w:type="dxa"/>
            <w:left w:w="108" w:type="dxa"/>
            <w:bottom w:w="0" w:type="dxa"/>
            <w:right w:w="108" w:type="dxa"/>
          </w:tblCellMar>
        </w:tblPrEx>
        <w:trPr>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7A2DE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FEE9303">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w:t>
            </w:r>
          </w:p>
        </w:tc>
        <w:tc>
          <w:tcPr>
            <w:tcW w:w="1260" w:type="dxa"/>
            <w:tcBorders>
              <w:top w:val="single" w:color="auto" w:sz="6" w:space="0"/>
              <w:left w:val="single" w:color="auto" w:sz="4" w:space="0"/>
              <w:bottom w:val="single" w:color="auto" w:sz="6" w:space="0"/>
              <w:right w:val="single" w:color="auto" w:sz="6" w:space="0"/>
            </w:tcBorders>
            <w:vAlign w:val="center"/>
          </w:tcPr>
          <w:p w14:paraId="7882CDD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4572" w:type="dxa"/>
            <w:tcBorders>
              <w:top w:val="single" w:color="auto" w:sz="6" w:space="0"/>
              <w:left w:val="single" w:color="auto" w:sz="6" w:space="0"/>
              <w:bottom w:val="single" w:color="auto" w:sz="6" w:space="0"/>
              <w:right w:val="single" w:color="auto" w:sz="6" w:space="0"/>
            </w:tcBorders>
            <w:vAlign w:val="center"/>
          </w:tcPr>
          <w:p w14:paraId="1F5C80D1">
            <w:pPr>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响应截止时间前三年业绩及承担的主要工作情况，曾担任项目经理的项目应列明细（如有）</w:t>
            </w:r>
          </w:p>
        </w:tc>
      </w:tr>
      <w:tr w14:paraId="3BFAB89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9B28D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A5D3030">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4F0C20">
            <w:pPr>
              <w:autoSpaceDE w:val="0"/>
              <w:autoSpaceDN w:val="0"/>
              <w:spacing w:line="360" w:lineRule="auto"/>
              <w:jc w:val="center"/>
              <w:rPr>
                <w:rFonts w:hint="eastAsia" w:ascii="宋体" w:hAnsi="宋体" w:eastAsia="宋体" w:cs="宋体"/>
                <w:color w:val="auto"/>
                <w:sz w:val="24"/>
              </w:rPr>
            </w:pPr>
          </w:p>
        </w:tc>
        <w:tc>
          <w:tcPr>
            <w:tcW w:w="4572" w:type="dxa"/>
            <w:vMerge w:val="restart"/>
            <w:tcBorders>
              <w:top w:val="single" w:color="auto" w:sz="6" w:space="0"/>
              <w:left w:val="single" w:color="auto" w:sz="6" w:space="0"/>
              <w:bottom w:val="single" w:color="auto" w:sz="6" w:space="0"/>
              <w:right w:val="single" w:color="auto" w:sz="6" w:space="0"/>
            </w:tcBorders>
            <w:vAlign w:val="center"/>
          </w:tcPr>
          <w:p w14:paraId="5499DC19">
            <w:pPr>
              <w:autoSpaceDE w:val="0"/>
              <w:autoSpaceDN w:val="0"/>
              <w:spacing w:line="360" w:lineRule="auto"/>
              <w:jc w:val="center"/>
              <w:rPr>
                <w:rFonts w:hint="eastAsia" w:ascii="宋体" w:hAnsi="宋体" w:eastAsia="宋体" w:cs="宋体"/>
                <w:color w:val="auto"/>
                <w:sz w:val="24"/>
              </w:rPr>
            </w:pPr>
          </w:p>
        </w:tc>
      </w:tr>
      <w:tr w14:paraId="2E602D9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6EB10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BE255D">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4AB712">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2F6ADC46">
            <w:pPr>
              <w:autoSpaceDE w:val="0"/>
              <w:autoSpaceDN w:val="0"/>
              <w:spacing w:line="360" w:lineRule="auto"/>
              <w:jc w:val="center"/>
              <w:rPr>
                <w:rFonts w:hint="eastAsia" w:ascii="宋体" w:hAnsi="宋体" w:eastAsia="宋体" w:cs="宋体"/>
                <w:color w:val="auto"/>
                <w:sz w:val="24"/>
              </w:rPr>
            </w:pPr>
          </w:p>
        </w:tc>
      </w:tr>
      <w:tr w14:paraId="4355A2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6EA5961">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2D6A603">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FAB44F">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3AC1D373">
            <w:pPr>
              <w:autoSpaceDE w:val="0"/>
              <w:autoSpaceDN w:val="0"/>
              <w:spacing w:line="360" w:lineRule="auto"/>
              <w:jc w:val="center"/>
              <w:rPr>
                <w:rFonts w:hint="eastAsia" w:ascii="宋体" w:hAnsi="宋体" w:eastAsia="宋体" w:cs="宋体"/>
                <w:color w:val="auto"/>
                <w:sz w:val="24"/>
              </w:rPr>
            </w:pPr>
          </w:p>
        </w:tc>
      </w:tr>
      <w:tr w14:paraId="7DF524E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199D2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31A6D60">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848DAC4">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379331BB">
            <w:pPr>
              <w:autoSpaceDE w:val="0"/>
              <w:autoSpaceDN w:val="0"/>
              <w:spacing w:line="360" w:lineRule="auto"/>
              <w:jc w:val="center"/>
              <w:rPr>
                <w:rFonts w:hint="eastAsia" w:ascii="宋体" w:hAnsi="宋体" w:eastAsia="宋体" w:cs="宋体"/>
                <w:color w:val="auto"/>
                <w:sz w:val="24"/>
              </w:rPr>
            </w:pPr>
          </w:p>
        </w:tc>
      </w:tr>
      <w:tr w14:paraId="6985E62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58FD511">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170077C">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CCF4708">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13A4B225">
            <w:pPr>
              <w:autoSpaceDE w:val="0"/>
              <w:autoSpaceDN w:val="0"/>
              <w:spacing w:line="360" w:lineRule="auto"/>
              <w:jc w:val="center"/>
              <w:rPr>
                <w:rFonts w:hint="eastAsia" w:ascii="宋体" w:hAnsi="宋体" w:eastAsia="宋体" w:cs="宋体"/>
                <w:color w:val="auto"/>
                <w:sz w:val="24"/>
              </w:rPr>
            </w:pPr>
          </w:p>
        </w:tc>
      </w:tr>
      <w:tr w14:paraId="4A7F174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B3E28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0214AB3">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E6BAB2">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68E410E2">
            <w:pPr>
              <w:autoSpaceDE w:val="0"/>
              <w:autoSpaceDN w:val="0"/>
              <w:spacing w:line="360" w:lineRule="auto"/>
              <w:jc w:val="center"/>
              <w:rPr>
                <w:rFonts w:hint="eastAsia" w:ascii="宋体" w:hAnsi="宋体" w:eastAsia="宋体" w:cs="宋体"/>
                <w:color w:val="auto"/>
                <w:sz w:val="24"/>
              </w:rPr>
            </w:pPr>
          </w:p>
        </w:tc>
      </w:tr>
      <w:tr w14:paraId="6774716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3318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CD25755">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C86604">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37160522">
            <w:pPr>
              <w:autoSpaceDE w:val="0"/>
              <w:autoSpaceDN w:val="0"/>
              <w:spacing w:line="360" w:lineRule="auto"/>
              <w:jc w:val="center"/>
              <w:rPr>
                <w:rFonts w:hint="eastAsia" w:ascii="宋体" w:hAnsi="宋体" w:eastAsia="宋体" w:cs="宋体"/>
                <w:color w:val="auto"/>
                <w:sz w:val="24"/>
              </w:rPr>
            </w:pPr>
          </w:p>
        </w:tc>
      </w:tr>
      <w:tr w14:paraId="01CFA8B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79E8A6F">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69B9CED">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83240C">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31A71830">
            <w:pPr>
              <w:autoSpaceDE w:val="0"/>
              <w:autoSpaceDN w:val="0"/>
              <w:spacing w:line="360" w:lineRule="auto"/>
              <w:jc w:val="center"/>
              <w:rPr>
                <w:rFonts w:hint="eastAsia" w:ascii="宋体" w:hAnsi="宋体" w:eastAsia="宋体" w:cs="宋体"/>
                <w:color w:val="auto"/>
                <w:sz w:val="24"/>
              </w:rPr>
            </w:pPr>
          </w:p>
        </w:tc>
      </w:tr>
      <w:tr w14:paraId="1EB4A5A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428734">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E2A77C">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BBD6EC">
            <w:pPr>
              <w:autoSpaceDE w:val="0"/>
              <w:autoSpaceDN w:val="0"/>
              <w:spacing w:line="360" w:lineRule="auto"/>
              <w:jc w:val="center"/>
              <w:rPr>
                <w:rFonts w:hint="eastAsia" w:ascii="宋体" w:hAnsi="宋体" w:eastAsia="宋体" w:cs="宋体"/>
                <w:color w:val="auto"/>
                <w:sz w:val="24"/>
              </w:rPr>
            </w:pPr>
          </w:p>
        </w:tc>
        <w:tc>
          <w:tcPr>
            <w:tcW w:w="4572" w:type="dxa"/>
            <w:vMerge w:val="continue"/>
            <w:tcBorders>
              <w:top w:val="single" w:color="auto" w:sz="6" w:space="0"/>
              <w:left w:val="single" w:color="auto" w:sz="6" w:space="0"/>
              <w:bottom w:val="single" w:color="auto" w:sz="6" w:space="0"/>
              <w:right w:val="single" w:color="auto" w:sz="6" w:space="0"/>
            </w:tcBorders>
            <w:vAlign w:val="center"/>
          </w:tcPr>
          <w:p w14:paraId="2DFFB396">
            <w:pPr>
              <w:autoSpaceDE w:val="0"/>
              <w:autoSpaceDN w:val="0"/>
              <w:spacing w:line="360" w:lineRule="auto"/>
              <w:jc w:val="center"/>
              <w:rPr>
                <w:rFonts w:hint="eastAsia" w:ascii="宋体" w:hAnsi="宋体" w:eastAsia="宋体" w:cs="宋体"/>
                <w:color w:val="auto"/>
                <w:sz w:val="24"/>
              </w:rPr>
            </w:pPr>
          </w:p>
        </w:tc>
      </w:tr>
    </w:tbl>
    <w:p w14:paraId="0BEB6687">
      <w:pPr>
        <w:autoSpaceDE w:val="0"/>
        <w:autoSpaceDN w:val="0"/>
        <w:spacing w:line="360" w:lineRule="auto"/>
        <w:rPr>
          <w:rFonts w:hint="eastAsia" w:ascii="宋体" w:hAnsi="宋体" w:eastAsia="宋体" w:cs="宋体"/>
          <w:b/>
          <w:color w:val="auto"/>
          <w:sz w:val="24"/>
        </w:rPr>
      </w:pPr>
    </w:p>
    <w:p w14:paraId="3CCAB094">
      <w:pPr>
        <w:autoSpaceDE w:val="0"/>
        <w:autoSpaceDN w:val="0"/>
        <w:spacing w:line="360" w:lineRule="auto"/>
        <w:rPr>
          <w:rFonts w:hint="eastAsia" w:ascii="宋体" w:hAnsi="宋体" w:eastAsia="宋体" w:cs="宋体"/>
          <w:b/>
          <w:color w:val="auto"/>
          <w:sz w:val="24"/>
        </w:rPr>
      </w:pPr>
    </w:p>
    <w:p w14:paraId="5B03CF88">
      <w:pPr>
        <w:autoSpaceDE w:val="0"/>
        <w:autoSpaceDN w:val="0"/>
        <w:spacing w:line="360" w:lineRule="auto"/>
        <w:rPr>
          <w:rFonts w:hint="eastAsia" w:ascii="宋体" w:hAnsi="宋体" w:eastAsia="宋体" w:cs="宋体"/>
          <w:b/>
          <w:color w:val="auto"/>
          <w:sz w:val="24"/>
        </w:rPr>
      </w:pPr>
    </w:p>
    <w:p w14:paraId="7DB942E6">
      <w:pPr>
        <w:autoSpaceDE w:val="0"/>
        <w:autoSpaceDN w:val="0"/>
        <w:spacing w:line="360" w:lineRule="auto"/>
        <w:rPr>
          <w:rFonts w:hint="eastAsia" w:ascii="宋体" w:hAnsi="宋体" w:eastAsia="宋体" w:cs="宋体"/>
          <w:b/>
          <w:color w:val="auto"/>
          <w:sz w:val="24"/>
        </w:rPr>
      </w:pPr>
    </w:p>
    <w:p w14:paraId="6336EACF">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br w:type="page"/>
      </w:r>
      <w:r>
        <w:rPr>
          <w:rFonts w:hint="eastAsia" w:ascii="宋体" w:hAnsi="宋体" w:eastAsia="宋体" w:cs="宋体"/>
          <w:b/>
          <w:color w:val="auto"/>
          <w:sz w:val="24"/>
        </w:rPr>
        <w:t>附表B:本项目的项目小组人员情况表</w:t>
      </w:r>
      <w:r>
        <w:rPr>
          <w:rFonts w:hint="eastAsia" w:ascii="宋体" w:hAnsi="宋体" w:eastAsia="宋体" w:cs="宋体"/>
          <w:color w:val="auto"/>
          <w:sz w:val="24"/>
        </w:rPr>
        <w:t>（按此格式自制）</w:t>
      </w:r>
    </w:p>
    <w:tbl>
      <w:tblPr>
        <w:tblStyle w:val="30"/>
        <w:tblW w:w="4996" w:type="pct"/>
        <w:tblInd w:w="0" w:type="dxa"/>
        <w:tblLayout w:type="autofit"/>
        <w:tblCellMar>
          <w:top w:w="0" w:type="dxa"/>
          <w:left w:w="108" w:type="dxa"/>
          <w:bottom w:w="0" w:type="dxa"/>
          <w:right w:w="108" w:type="dxa"/>
        </w:tblCellMar>
      </w:tblPr>
      <w:tblGrid>
        <w:gridCol w:w="456"/>
        <w:gridCol w:w="801"/>
        <w:gridCol w:w="456"/>
        <w:gridCol w:w="594"/>
        <w:gridCol w:w="1058"/>
        <w:gridCol w:w="1103"/>
        <w:gridCol w:w="1103"/>
        <w:gridCol w:w="1289"/>
        <w:gridCol w:w="919"/>
        <w:gridCol w:w="1506"/>
      </w:tblGrid>
      <w:tr w14:paraId="387DF5CF">
        <w:tblPrEx>
          <w:tblCellMar>
            <w:top w:w="0" w:type="dxa"/>
            <w:left w:w="108" w:type="dxa"/>
            <w:bottom w:w="0" w:type="dxa"/>
            <w:right w:w="108" w:type="dxa"/>
          </w:tblCellMar>
        </w:tblPrEx>
        <w:tc>
          <w:tcPr>
            <w:tcW w:w="232" w:type="pct"/>
            <w:tcBorders>
              <w:top w:val="single" w:color="auto" w:sz="6" w:space="0"/>
              <w:left w:val="single" w:color="auto" w:sz="6" w:space="0"/>
              <w:bottom w:val="single" w:color="auto" w:sz="6" w:space="0"/>
              <w:right w:val="single" w:color="auto" w:sz="6" w:space="0"/>
            </w:tcBorders>
            <w:vAlign w:val="center"/>
          </w:tcPr>
          <w:p w14:paraId="2D5771C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435" w:type="pct"/>
            <w:tcBorders>
              <w:top w:val="single" w:color="auto" w:sz="6" w:space="0"/>
              <w:left w:val="single" w:color="auto" w:sz="6" w:space="0"/>
              <w:bottom w:val="single" w:color="auto" w:sz="6" w:space="0"/>
              <w:right w:val="single" w:color="auto" w:sz="6" w:space="0"/>
            </w:tcBorders>
            <w:vAlign w:val="center"/>
          </w:tcPr>
          <w:p w14:paraId="4F15E7B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228" w:type="pct"/>
            <w:tcBorders>
              <w:top w:val="single" w:color="auto" w:sz="6" w:space="0"/>
              <w:left w:val="single" w:color="auto" w:sz="6" w:space="0"/>
              <w:bottom w:val="single" w:color="auto" w:sz="6" w:space="0"/>
              <w:right w:val="single" w:color="auto" w:sz="6" w:space="0"/>
            </w:tcBorders>
            <w:vAlign w:val="center"/>
          </w:tcPr>
          <w:p w14:paraId="48F7F44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324" w:type="pct"/>
            <w:tcBorders>
              <w:top w:val="single" w:color="auto" w:sz="6" w:space="0"/>
              <w:left w:val="single" w:color="auto" w:sz="6" w:space="0"/>
              <w:bottom w:val="single" w:color="auto" w:sz="6" w:space="0"/>
              <w:right w:val="single" w:color="auto" w:sz="6" w:space="0"/>
            </w:tcBorders>
            <w:vAlign w:val="center"/>
          </w:tcPr>
          <w:p w14:paraId="34B04EA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573" w:type="pct"/>
            <w:tcBorders>
              <w:top w:val="single" w:color="auto" w:sz="6" w:space="0"/>
              <w:left w:val="single" w:color="auto" w:sz="6" w:space="0"/>
              <w:bottom w:val="single" w:color="auto" w:sz="6" w:space="0"/>
              <w:right w:val="single" w:color="auto" w:sz="6" w:space="0"/>
            </w:tcBorders>
            <w:vAlign w:val="center"/>
          </w:tcPr>
          <w:p w14:paraId="7B69986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p w14:paraId="74495BA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2390C3C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专业</w:t>
            </w:r>
          </w:p>
          <w:p w14:paraId="539BA10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597" w:type="pct"/>
            <w:tcBorders>
              <w:top w:val="single" w:color="auto" w:sz="6" w:space="0"/>
              <w:left w:val="single" w:color="auto" w:sz="6" w:space="0"/>
              <w:bottom w:val="single" w:color="auto" w:sz="6" w:space="0"/>
              <w:right w:val="single" w:color="auto" w:sz="6" w:space="0"/>
            </w:tcBorders>
            <w:vAlign w:val="center"/>
          </w:tcPr>
          <w:p w14:paraId="4E7F33A7">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p w14:paraId="6E26AE7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697" w:type="pct"/>
            <w:tcBorders>
              <w:top w:val="single" w:color="auto" w:sz="6" w:space="0"/>
              <w:left w:val="single" w:color="auto" w:sz="6" w:space="0"/>
              <w:bottom w:val="single" w:color="auto" w:sz="6" w:space="0"/>
              <w:right w:val="single" w:color="auto" w:sz="6" w:space="0"/>
            </w:tcBorders>
            <w:vAlign w:val="center"/>
          </w:tcPr>
          <w:p w14:paraId="5ED39E01">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本项目中的职责</w:t>
            </w:r>
          </w:p>
        </w:tc>
        <w:tc>
          <w:tcPr>
            <w:tcW w:w="498" w:type="pct"/>
            <w:tcBorders>
              <w:top w:val="single" w:color="auto" w:sz="6" w:space="0"/>
              <w:left w:val="single" w:color="auto" w:sz="6" w:space="0"/>
              <w:bottom w:val="single" w:color="auto" w:sz="6" w:space="0"/>
              <w:right w:val="single" w:color="auto" w:sz="6" w:space="0"/>
            </w:tcBorders>
            <w:vAlign w:val="center"/>
          </w:tcPr>
          <w:p w14:paraId="3E7C1B3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项目经历</w:t>
            </w:r>
          </w:p>
        </w:tc>
        <w:tc>
          <w:tcPr>
            <w:tcW w:w="814" w:type="pct"/>
            <w:tcBorders>
              <w:top w:val="single" w:color="auto" w:sz="6" w:space="0"/>
              <w:left w:val="single" w:color="auto" w:sz="6" w:space="0"/>
              <w:bottom w:val="single" w:color="auto" w:sz="6" w:space="0"/>
              <w:right w:val="single" w:color="auto" w:sz="6" w:space="0"/>
            </w:tcBorders>
            <w:vAlign w:val="center"/>
          </w:tcPr>
          <w:p w14:paraId="7CB6804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参与本项目的到位情况</w:t>
            </w:r>
          </w:p>
        </w:tc>
      </w:tr>
      <w:tr w14:paraId="4F8875D0">
        <w:tblPrEx>
          <w:tblCellMar>
            <w:top w:w="0" w:type="dxa"/>
            <w:left w:w="108" w:type="dxa"/>
            <w:bottom w:w="0" w:type="dxa"/>
            <w:right w:w="108" w:type="dxa"/>
          </w:tblCellMar>
        </w:tblPrEx>
        <w:trPr>
          <w:trHeight w:val="479" w:hRule="atLeast"/>
        </w:trPr>
        <w:tc>
          <w:tcPr>
            <w:tcW w:w="232" w:type="pct"/>
            <w:tcBorders>
              <w:top w:val="single" w:color="auto" w:sz="6" w:space="0"/>
              <w:left w:val="single" w:color="auto" w:sz="6" w:space="0"/>
              <w:bottom w:val="single" w:color="auto" w:sz="6" w:space="0"/>
              <w:right w:val="single" w:color="auto" w:sz="6" w:space="0"/>
            </w:tcBorders>
          </w:tcPr>
          <w:p w14:paraId="5865A5F7">
            <w:pPr>
              <w:autoSpaceDE w:val="0"/>
              <w:autoSpaceDN w:val="0"/>
              <w:spacing w:line="360" w:lineRule="auto"/>
              <w:jc w:val="center"/>
              <w:rPr>
                <w:rFonts w:hint="eastAsia" w:ascii="宋体" w:hAnsi="宋体" w:eastAsia="宋体" w:cs="宋体"/>
                <w:color w:val="auto"/>
                <w:sz w:val="24"/>
              </w:rPr>
            </w:pPr>
          </w:p>
        </w:tc>
        <w:tc>
          <w:tcPr>
            <w:tcW w:w="435" w:type="pct"/>
            <w:tcBorders>
              <w:top w:val="single" w:color="auto" w:sz="6" w:space="0"/>
              <w:left w:val="single" w:color="auto" w:sz="6" w:space="0"/>
              <w:bottom w:val="single" w:color="auto" w:sz="6" w:space="0"/>
              <w:right w:val="single" w:color="auto" w:sz="6" w:space="0"/>
            </w:tcBorders>
          </w:tcPr>
          <w:p w14:paraId="5939248C">
            <w:pPr>
              <w:autoSpaceDE w:val="0"/>
              <w:autoSpaceDN w:val="0"/>
              <w:spacing w:line="360" w:lineRule="auto"/>
              <w:rPr>
                <w:rFonts w:hint="eastAsia" w:ascii="宋体" w:hAnsi="宋体" w:eastAsia="宋体" w:cs="宋体"/>
                <w:color w:val="auto"/>
                <w:sz w:val="24"/>
              </w:rPr>
            </w:pPr>
          </w:p>
        </w:tc>
        <w:tc>
          <w:tcPr>
            <w:tcW w:w="228" w:type="pct"/>
            <w:tcBorders>
              <w:top w:val="single" w:color="auto" w:sz="6" w:space="0"/>
              <w:left w:val="single" w:color="auto" w:sz="6" w:space="0"/>
              <w:bottom w:val="single" w:color="auto" w:sz="6" w:space="0"/>
              <w:right w:val="single" w:color="auto" w:sz="6" w:space="0"/>
            </w:tcBorders>
          </w:tcPr>
          <w:p w14:paraId="20F6F3E6">
            <w:pPr>
              <w:autoSpaceDE w:val="0"/>
              <w:autoSpaceDN w:val="0"/>
              <w:spacing w:line="360" w:lineRule="auto"/>
              <w:rPr>
                <w:rFonts w:hint="eastAsia" w:ascii="宋体" w:hAnsi="宋体" w:eastAsia="宋体" w:cs="宋体"/>
                <w:color w:val="auto"/>
                <w:sz w:val="24"/>
              </w:rPr>
            </w:pPr>
          </w:p>
        </w:tc>
        <w:tc>
          <w:tcPr>
            <w:tcW w:w="324" w:type="pct"/>
            <w:tcBorders>
              <w:top w:val="single" w:color="auto" w:sz="6" w:space="0"/>
              <w:left w:val="single" w:color="auto" w:sz="6" w:space="0"/>
              <w:bottom w:val="single" w:color="auto" w:sz="6" w:space="0"/>
              <w:right w:val="single" w:color="auto" w:sz="6" w:space="0"/>
            </w:tcBorders>
          </w:tcPr>
          <w:p w14:paraId="3EF2DF49">
            <w:pPr>
              <w:autoSpaceDE w:val="0"/>
              <w:autoSpaceDN w:val="0"/>
              <w:spacing w:line="360" w:lineRule="auto"/>
              <w:rPr>
                <w:rFonts w:hint="eastAsia" w:ascii="宋体" w:hAnsi="宋体" w:eastAsia="宋体" w:cs="宋体"/>
                <w:color w:val="auto"/>
                <w:sz w:val="24"/>
              </w:rPr>
            </w:pPr>
          </w:p>
        </w:tc>
        <w:tc>
          <w:tcPr>
            <w:tcW w:w="573" w:type="pct"/>
            <w:tcBorders>
              <w:top w:val="single" w:color="auto" w:sz="6" w:space="0"/>
              <w:left w:val="single" w:color="auto" w:sz="6" w:space="0"/>
              <w:bottom w:val="single" w:color="auto" w:sz="6" w:space="0"/>
              <w:right w:val="single" w:color="auto" w:sz="6" w:space="0"/>
            </w:tcBorders>
          </w:tcPr>
          <w:p w14:paraId="387D534D">
            <w:pPr>
              <w:autoSpaceDE w:val="0"/>
              <w:autoSpaceDN w:val="0"/>
              <w:spacing w:line="360" w:lineRule="auto"/>
              <w:rPr>
                <w:rFonts w:hint="eastAsia" w:ascii="宋体" w:hAnsi="宋体" w:eastAsia="宋体" w:cs="宋体"/>
                <w:color w:val="auto"/>
                <w:sz w:val="24"/>
              </w:rPr>
            </w:pPr>
          </w:p>
        </w:tc>
        <w:tc>
          <w:tcPr>
            <w:tcW w:w="597" w:type="pct"/>
            <w:tcBorders>
              <w:top w:val="single" w:color="auto" w:sz="6" w:space="0"/>
              <w:left w:val="single" w:color="auto" w:sz="6" w:space="0"/>
              <w:bottom w:val="single" w:color="auto" w:sz="6" w:space="0"/>
              <w:right w:val="single" w:color="auto" w:sz="6" w:space="0"/>
            </w:tcBorders>
          </w:tcPr>
          <w:p w14:paraId="228AEB15">
            <w:pPr>
              <w:autoSpaceDE w:val="0"/>
              <w:autoSpaceDN w:val="0"/>
              <w:spacing w:line="360" w:lineRule="auto"/>
              <w:rPr>
                <w:rFonts w:hint="eastAsia" w:ascii="宋体" w:hAnsi="宋体" w:eastAsia="宋体" w:cs="宋体"/>
                <w:color w:val="auto"/>
                <w:sz w:val="24"/>
              </w:rPr>
            </w:pPr>
          </w:p>
        </w:tc>
        <w:tc>
          <w:tcPr>
            <w:tcW w:w="597" w:type="pct"/>
            <w:tcBorders>
              <w:top w:val="single" w:color="auto" w:sz="6" w:space="0"/>
              <w:left w:val="single" w:color="auto" w:sz="6" w:space="0"/>
              <w:bottom w:val="single" w:color="auto" w:sz="6" w:space="0"/>
              <w:right w:val="single" w:color="auto" w:sz="6" w:space="0"/>
            </w:tcBorders>
          </w:tcPr>
          <w:p w14:paraId="5ABC3463">
            <w:pPr>
              <w:autoSpaceDE w:val="0"/>
              <w:autoSpaceDN w:val="0"/>
              <w:spacing w:line="360" w:lineRule="auto"/>
              <w:rPr>
                <w:rFonts w:hint="eastAsia" w:ascii="宋体" w:hAnsi="宋体" w:eastAsia="宋体" w:cs="宋体"/>
                <w:color w:val="auto"/>
                <w:sz w:val="24"/>
              </w:rPr>
            </w:pPr>
          </w:p>
        </w:tc>
        <w:tc>
          <w:tcPr>
            <w:tcW w:w="697" w:type="pct"/>
            <w:tcBorders>
              <w:top w:val="single" w:color="auto" w:sz="6" w:space="0"/>
              <w:left w:val="single" w:color="auto" w:sz="6" w:space="0"/>
              <w:bottom w:val="single" w:color="auto" w:sz="6" w:space="0"/>
              <w:right w:val="single" w:color="auto" w:sz="6" w:space="0"/>
            </w:tcBorders>
          </w:tcPr>
          <w:p w14:paraId="4977234E">
            <w:pPr>
              <w:autoSpaceDE w:val="0"/>
              <w:autoSpaceDN w:val="0"/>
              <w:spacing w:line="360" w:lineRule="auto"/>
              <w:rPr>
                <w:rFonts w:hint="eastAsia" w:ascii="宋体" w:hAnsi="宋体" w:eastAsia="宋体" w:cs="宋体"/>
                <w:color w:val="auto"/>
                <w:sz w:val="24"/>
              </w:rPr>
            </w:pPr>
          </w:p>
        </w:tc>
        <w:tc>
          <w:tcPr>
            <w:tcW w:w="498" w:type="pct"/>
            <w:tcBorders>
              <w:top w:val="single" w:color="auto" w:sz="6" w:space="0"/>
              <w:left w:val="single" w:color="auto" w:sz="6" w:space="0"/>
              <w:bottom w:val="single" w:color="auto" w:sz="6" w:space="0"/>
              <w:right w:val="single" w:color="auto" w:sz="6" w:space="0"/>
            </w:tcBorders>
          </w:tcPr>
          <w:p w14:paraId="210D8583">
            <w:pPr>
              <w:autoSpaceDE w:val="0"/>
              <w:autoSpaceDN w:val="0"/>
              <w:spacing w:line="360" w:lineRule="auto"/>
              <w:rPr>
                <w:rFonts w:hint="eastAsia" w:ascii="宋体" w:hAnsi="宋体" w:eastAsia="宋体" w:cs="宋体"/>
                <w:color w:val="auto"/>
                <w:sz w:val="24"/>
              </w:rPr>
            </w:pPr>
          </w:p>
        </w:tc>
        <w:tc>
          <w:tcPr>
            <w:tcW w:w="814" w:type="pct"/>
            <w:tcBorders>
              <w:top w:val="single" w:color="auto" w:sz="6" w:space="0"/>
              <w:left w:val="single" w:color="auto" w:sz="6" w:space="0"/>
              <w:bottom w:val="single" w:color="auto" w:sz="6" w:space="0"/>
              <w:right w:val="single" w:color="auto" w:sz="6" w:space="0"/>
            </w:tcBorders>
          </w:tcPr>
          <w:p w14:paraId="4C1B1452">
            <w:pPr>
              <w:autoSpaceDE w:val="0"/>
              <w:autoSpaceDN w:val="0"/>
              <w:spacing w:line="360" w:lineRule="auto"/>
              <w:rPr>
                <w:rFonts w:hint="eastAsia" w:ascii="宋体" w:hAnsi="宋体" w:eastAsia="宋体" w:cs="宋体"/>
                <w:color w:val="auto"/>
                <w:sz w:val="24"/>
              </w:rPr>
            </w:pPr>
          </w:p>
        </w:tc>
      </w:tr>
      <w:tr w14:paraId="4706859D">
        <w:tblPrEx>
          <w:tblCellMar>
            <w:top w:w="0" w:type="dxa"/>
            <w:left w:w="108" w:type="dxa"/>
            <w:bottom w:w="0" w:type="dxa"/>
            <w:right w:w="108" w:type="dxa"/>
          </w:tblCellMar>
        </w:tblPrEx>
        <w:trPr>
          <w:trHeight w:val="473" w:hRule="atLeast"/>
        </w:trPr>
        <w:tc>
          <w:tcPr>
            <w:tcW w:w="232" w:type="pct"/>
            <w:tcBorders>
              <w:top w:val="single" w:color="auto" w:sz="6" w:space="0"/>
              <w:left w:val="single" w:color="auto" w:sz="6" w:space="0"/>
              <w:bottom w:val="single" w:color="auto" w:sz="6" w:space="0"/>
              <w:right w:val="single" w:color="auto" w:sz="6" w:space="0"/>
            </w:tcBorders>
          </w:tcPr>
          <w:p w14:paraId="73B1725E">
            <w:pPr>
              <w:autoSpaceDE w:val="0"/>
              <w:autoSpaceDN w:val="0"/>
              <w:spacing w:line="360" w:lineRule="auto"/>
              <w:jc w:val="center"/>
              <w:rPr>
                <w:rFonts w:hint="eastAsia" w:ascii="宋体" w:hAnsi="宋体" w:eastAsia="宋体" w:cs="宋体"/>
                <w:color w:val="auto"/>
                <w:sz w:val="24"/>
              </w:rPr>
            </w:pPr>
          </w:p>
        </w:tc>
        <w:tc>
          <w:tcPr>
            <w:tcW w:w="435" w:type="pct"/>
            <w:tcBorders>
              <w:top w:val="single" w:color="auto" w:sz="6" w:space="0"/>
              <w:left w:val="single" w:color="auto" w:sz="6" w:space="0"/>
              <w:bottom w:val="single" w:color="auto" w:sz="6" w:space="0"/>
              <w:right w:val="single" w:color="auto" w:sz="6" w:space="0"/>
            </w:tcBorders>
          </w:tcPr>
          <w:p w14:paraId="3AF71E65">
            <w:pPr>
              <w:autoSpaceDE w:val="0"/>
              <w:autoSpaceDN w:val="0"/>
              <w:spacing w:line="360" w:lineRule="auto"/>
              <w:rPr>
                <w:rFonts w:hint="eastAsia" w:ascii="宋体" w:hAnsi="宋体" w:eastAsia="宋体" w:cs="宋体"/>
                <w:color w:val="auto"/>
                <w:sz w:val="24"/>
              </w:rPr>
            </w:pPr>
          </w:p>
        </w:tc>
        <w:tc>
          <w:tcPr>
            <w:tcW w:w="228" w:type="pct"/>
            <w:tcBorders>
              <w:top w:val="single" w:color="auto" w:sz="6" w:space="0"/>
              <w:left w:val="single" w:color="auto" w:sz="6" w:space="0"/>
              <w:bottom w:val="single" w:color="auto" w:sz="6" w:space="0"/>
              <w:right w:val="single" w:color="auto" w:sz="6" w:space="0"/>
            </w:tcBorders>
          </w:tcPr>
          <w:p w14:paraId="374CF7A2">
            <w:pPr>
              <w:autoSpaceDE w:val="0"/>
              <w:autoSpaceDN w:val="0"/>
              <w:spacing w:line="360" w:lineRule="auto"/>
              <w:rPr>
                <w:rFonts w:hint="eastAsia" w:ascii="宋体" w:hAnsi="宋体" w:eastAsia="宋体" w:cs="宋体"/>
                <w:color w:val="auto"/>
                <w:sz w:val="24"/>
              </w:rPr>
            </w:pPr>
          </w:p>
        </w:tc>
        <w:tc>
          <w:tcPr>
            <w:tcW w:w="324" w:type="pct"/>
            <w:tcBorders>
              <w:top w:val="single" w:color="auto" w:sz="6" w:space="0"/>
              <w:left w:val="single" w:color="auto" w:sz="6" w:space="0"/>
              <w:bottom w:val="single" w:color="auto" w:sz="6" w:space="0"/>
              <w:right w:val="single" w:color="auto" w:sz="6" w:space="0"/>
            </w:tcBorders>
          </w:tcPr>
          <w:p w14:paraId="487C9E75">
            <w:pPr>
              <w:autoSpaceDE w:val="0"/>
              <w:autoSpaceDN w:val="0"/>
              <w:spacing w:line="360" w:lineRule="auto"/>
              <w:rPr>
                <w:rFonts w:hint="eastAsia" w:ascii="宋体" w:hAnsi="宋体" w:eastAsia="宋体" w:cs="宋体"/>
                <w:color w:val="auto"/>
                <w:sz w:val="24"/>
              </w:rPr>
            </w:pPr>
          </w:p>
        </w:tc>
        <w:tc>
          <w:tcPr>
            <w:tcW w:w="573" w:type="pct"/>
            <w:tcBorders>
              <w:top w:val="single" w:color="auto" w:sz="6" w:space="0"/>
              <w:left w:val="single" w:color="auto" w:sz="6" w:space="0"/>
              <w:bottom w:val="single" w:color="auto" w:sz="6" w:space="0"/>
              <w:right w:val="single" w:color="auto" w:sz="6" w:space="0"/>
            </w:tcBorders>
          </w:tcPr>
          <w:p w14:paraId="3D9FED06">
            <w:pPr>
              <w:autoSpaceDE w:val="0"/>
              <w:autoSpaceDN w:val="0"/>
              <w:spacing w:line="360" w:lineRule="auto"/>
              <w:rPr>
                <w:rFonts w:hint="eastAsia" w:ascii="宋体" w:hAnsi="宋体" w:eastAsia="宋体" w:cs="宋体"/>
                <w:color w:val="auto"/>
                <w:sz w:val="24"/>
              </w:rPr>
            </w:pPr>
          </w:p>
        </w:tc>
        <w:tc>
          <w:tcPr>
            <w:tcW w:w="597" w:type="pct"/>
            <w:tcBorders>
              <w:top w:val="single" w:color="auto" w:sz="6" w:space="0"/>
              <w:left w:val="single" w:color="auto" w:sz="6" w:space="0"/>
              <w:bottom w:val="single" w:color="auto" w:sz="6" w:space="0"/>
              <w:right w:val="single" w:color="auto" w:sz="6" w:space="0"/>
            </w:tcBorders>
          </w:tcPr>
          <w:p w14:paraId="3D1DD902">
            <w:pPr>
              <w:autoSpaceDE w:val="0"/>
              <w:autoSpaceDN w:val="0"/>
              <w:spacing w:line="360" w:lineRule="auto"/>
              <w:rPr>
                <w:rFonts w:hint="eastAsia" w:ascii="宋体" w:hAnsi="宋体" w:eastAsia="宋体" w:cs="宋体"/>
                <w:color w:val="auto"/>
                <w:sz w:val="24"/>
              </w:rPr>
            </w:pPr>
          </w:p>
        </w:tc>
        <w:tc>
          <w:tcPr>
            <w:tcW w:w="597" w:type="pct"/>
            <w:tcBorders>
              <w:top w:val="single" w:color="auto" w:sz="6" w:space="0"/>
              <w:left w:val="single" w:color="auto" w:sz="6" w:space="0"/>
              <w:bottom w:val="single" w:color="auto" w:sz="6" w:space="0"/>
              <w:right w:val="single" w:color="auto" w:sz="6" w:space="0"/>
            </w:tcBorders>
          </w:tcPr>
          <w:p w14:paraId="036A595D">
            <w:pPr>
              <w:autoSpaceDE w:val="0"/>
              <w:autoSpaceDN w:val="0"/>
              <w:spacing w:line="360" w:lineRule="auto"/>
              <w:rPr>
                <w:rFonts w:hint="eastAsia" w:ascii="宋体" w:hAnsi="宋体" w:eastAsia="宋体" w:cs="宋体"/>
                <w:color w:val="auto"/>
                <w:sz w:val="24"/>
              </w:rPr>
            </w:pPr>
          </w:p>
        </w:tc>
        <w:tc>
          <w:tcPr>
            <w:tcW w:w="697" w:type="pct"/>
            <w:tcBorders>
              <w:top w:val="single" w:color="auto" w:sz="6" w:space="0"/>
              <w:left w:val="single" w:color="auto" w:sz="6" w:space="0"/>
              <w:bottom w:val="single" w:color="auto" w:sz="6" w:space="0"/>
              <w:right w:val="single" w:color="auto" w:sz="6" w:space="0"/>
            </w:tcBorders>
          </w:tcPr>
          <w:p w14:paraId="4E126E7A">
            <w:pPr>
              <w:autoSpaceDE w:val="0"/>
              <w:autoSpaceDN w:val="0"/>
              <w:spacing w:line="360" w:lineRule="auto"/>
              <w:rPr>
                <w:rFonts w:hint="eastAsia" w:ascii="宋体" w:hAnsi="宋体" w:eastAsia="宋体" w:cs="宋体"/>
                <w:color w:val="auto"/>
                <w:sz w:val="24"/>
              </w:rPr>
            </w:pPr>
          </w:p>
        </w:tc>
        <w:tc>
          <w:tcPr>
            <w:tcW w:w="498" w:type="pct"/>
            <w:tcBorders>
              <w:top w:val="single" w:color="auto" w:sz="6" w:space="0"/>
              <w:left w:val="single" w:color="auto" w:sz="6" w:space="0"/>
              <w:bottom w:val="single" w:color="auto" w:sz="6" w:space="0"/>
              <w:right w:val="single" w:color="auto" w:sz="6" w:space="0"/>
            </w:tcBorders>
          </w:tcPr>
          <w:p w14:paraId="01070916">
            <w:pPr>
              <w:autoSpaceDE w:val="0"/>
              <w:autoSpaceDN w:val="0"/>
              <w:spacing w:line="360" w:lineRule="auto"/>
              <w:rPr>
                <w:rFonts w:hint="eastAsia" w:ascii="宋体" w:hAnsi="宋体" w:eastAsia="宋体" w:cs="宋体"/>
                <w:color w:val="auto"/>
                <w:sz w:val="24"/>
              </w:rPr>
            </w:pPr>
          </w:p>
        </w:tc>
        <w:tc>
          <w:tcPr>
            <w:tcW w:w="814" w:type="pct"/>
            <w:tcBorders>
              <w:top w:val="single" w:color="auto" w:sz="6" w:space="0"/>
              <w:left w:val="single" w:color="auto" w:sz="6" w:space="0"/>
              <w:bottom w:val="single" w:color="auto" w:sz="6" w:space="0"/>
              <w:right w:val="single" w:color="auto" w:sz="6" w:space="0"/>
            </w:tcBorders>
          </w:tcPr>
          <w:p w14:paraId="29F9EC3F">
            <w:pPr>
              <w:autoSpaceDE w:val="0"/>
              <w:autoSpaceDN w:val="0"/>
              <w:spacing w:line="360" w:lineRule="auto"/>
              <w:rPr>
                <w:rFonts w:hint="eastAsia" w:ascii="宋体" w:hAnsi="宋体" w:eastAsia="宋体" w:cs="宋体"/>
                <w:color w:val="auto"/>
                <w:sz w:val="24"/>
              </w:rPr>
            </w:pPr>
          </w:p>
        </w:tc>
      </w:tr>
    </w:tbl>
    <w:p w14:paraId="3659D05B">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注：供应商可按上述的格式自行编制，须随表提交相应的证书扫描件并注明所在响应技术文件页码。</w:t>
      </w:r>
    </w:p>
    <w:p w14:paraId="5DF851E7">
      <w:pPr>
        <w:spacing w:line="360" w:lineRule="auto"/>
        <w:rPr>
          <w:rFonts w:hint="eastAsia" w:ascii="宋体" w:hAnsi="宋体" w:eastAsia="宋体" w:cs="宋体"/>
          <w:b/>
          <w:color w:val="auto"/>
          <w:sz w:val="24"/>
        </w:rPr>
      </w:pPr>
    </w:p>
    <w:p w14:paraId="23C259B7">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附表C:本项目的项目经理和小组人员有效的劳动合同扫描件、有效期内的身份证复印件。</w:t>
      </w:r>
    </w:p>
    <w:p w14:paraId="131C0F72">
      <w:pPr>
        <w:autoSpaceDE w:val="0"/>
        <w:autoSpaceDN w:val="0"/>
        <w:spacing w:line="360" w:lineRule="auto"/>
        <w:rPr>
          <w:rFonts w:hint="eastAsia" w:ascii="宋体" w:hAnsi="宋体" w:eastAsia="宋体" w:cs="宋体"/>
          <w:b/>
          <w:bCs/>
          <w:color w:val="auto"/>
          <w:sz w:val="24"/>
        </w:rPr>
      </w:pPr>
    </w:p>
    <w:p w14:paraId="37513AF6">
      <w:pPr>
        <w:autoSpaceDE w:val="0"/>
        <w:autoSpaceDN w:val="0"/>
        <w:spacing w:line="360" w:lineRule="auto"/>
        <w:ind w:left="4335" w:leftChars="1950" w:hanging="240" w:hangingChars="100"/>
        <w:rPr>
          <w:rFonts w:hint="eastAsia" w:ascii="宋体" w:hAnsi="宋体" w:eastAsia="宋体" w:cs="宋体"/>
          <w:color w:val="auto"/>
          <w:kern w:val="0"/>
          <w:sz w:val="24"/>
        </w:rPr>
      </w:pPr>
      <w:r>
        <w:rPr>
          <w:rFonts w:hint="eastAsia" w:ascii="宋体" w:hAnsi="宋体" w:eastAsia="宋体" w:cs="宋体"/>
          <w:color w:val="auto"/>
          <w:kern w:val="0"/>
          <w:sz w:val="24"/>
        </w:rPr>
        <w:t>供应商名称（电子签章）：</w:t>
      </w:r>
    </w:p>
    <w:p w14:paraId="69FF0214">
      <w:pPr>
        <w:autoSpaceDE w:val="0"/>
        <w:autoSpaceDN w:val="0"/>
        <w:spacing w:line="360" w:lineRule="auto"/>
        <w:jc w:val="center"/>
        <w:rPr>
          <w:rFonts w:hint="eastAsia" w:ascii="宋体" w:hAnsi="宋体" w:eastAsia="宋体" w:cs="宋体"/>
          <w:color w:val="auto"/>
          <w:kern w:val="0"/>
          <w:sz w:val="24"/>
          <w:lang w:val="zh-CN"/>
        </w:rPr>
      </w:pPr>
      <w:r>
        <w:rPr>
          <w:rFonts w:hint="eastAsia" w:ascii="宋体" w:hAnsi="宋体" w:eastAsia="宋体" w:cs="宋体"/>
          <w:color w:val="auto"/>
          <w:kern w:val="0"/>
          <w:sz w:val="24"/>
        </w:rPr>
        <w:t xml:space="preserve">                   </w:t>
      </w:r>
      <w:r>
        <w:rPr>
          <w:rFonts w:hint="eastAsia" w:ascii="宋体" w:hAnsi="宋体" w:eastAsia="宋体" w:cs="宋体"/>
          <w:color w:val="auto"/>
          <w:kern w:val="0"/>
          <w:sz w:val="24"/>
          <w:lang w:val="zh-CN"/>
        </w:rPr>
        <w:t>日期：  年  月   日</w:t>
      </w:r>
    </w:p>
    <w:p w14:paraId="37B8DBC8">
      <w:pPr>
        <w:spacing w:line="300" w:lineRule="auto"/>
        <w:outlineLvl w:val="2"/>
        <w:rPr>
          <w:rFonts w:hint="eastAsia" w:ascii="宋体" w:hAnsi="宋体" w:eastAsia="宋体" w:cs="宋体"/>
          <w:b/>
          <w:bCs/>
          <w:color w:val="auto"/>
          <w:sz w:val="24"/>
        </w:rPr>
      </w:pPr>
    </w:p>
    <w:p w14:paraId="238E973A">
      <w:pPr>
        <w:spacing w:line="440" w:lineRule="exact"/>
        <w:ind w:firstLine="422" w:firstLineChars="200"/>
        <w:contextualSpacing/>
        <w:jc w:val="center"/>
        <w:rPr>
          <w:rFonts w:hint="eastAsia" w:ascii="宋体" w:hAnsi="宋体" w:eastAsia="宋体" w:cs="宋体"/>
          <w:b/>
          <w:bCs/>
          <w:color w:val="auto"/>
          <w:sz w:val="24"/>
          <w:szCs w:val="24"/>
        </w:rPr>
      </w:pPr>
      <w:r>
        <w:rPr>
          <w:rFonts w:hint="eastAsia" w:ascii="宋体" w:hAnsi="宋体" w:eastAsia="宋体" w:cs="宋体"/>
          <w:b/>
          <w:bCs/>
          <w:color w:val="auto"/>
          <w:szCs w:val="21"/>
        </w:rPr>
        <w:br w:type="page"/>
      </w:r>
      <w:bookmarkStart w:id="183" w:name="_Toc71366061"/>
      <w:bookmarkStart w:id="184" w:name="_Toc71365383"/>
      <w:r>
        <w:rPr>
          <w:rFonts w:hint="eastAsia" w:ascii="宋体" w:hAnsi="宋体" w:eastAsia="宋体" w:cs="宋体"/>
          <w:b/>
          <w:bCs/>
          <w:color w:val="auto"/>
          <w:sz w:val="24"/>
          <w:szCs w:val="24"/>
        </w:rPr>
        <w:t>中小企业声明函（货物）</w:t>
      </w:r>
      <w:bookmarkEnd w:id="183"/>
      <w:bookmarkEnd w:id="184"/>
    </w:p>
    <w:p w14:paraId="0CEBD031">
      <w:pPr>
        <w:spacing w:line="440" w:lineRule="exact"/>
        <w:ind w:firstLine="480" w:firstLineChars="200"/>
        <w:contextualSpacing/>
        <w:rPr>
          <w:rFonts w:hint="eastAsia" w:ascii="宋体" w:hAnsi="宋体" w:eastAsia="宋体" w:cs="宋体"/>
          <w:color w:val="auto"/>
          <w:sz w:val="24"/>
          <w:szCs w:val="24"/>
        </w:rPr>
      </w:pPr>
    </w:p>
    <w:p w14:paraId="2C7204A0">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号）的规定，本公司（联合体）参加（单位名称）的（项目名称）采购活动，提供的货物全部由符合政策要求的中小企业制造。相关企业（含联合体中的中小企业、签订分包意向协议的中小企业）的具体情况如下：</w:t>
      </w:r>
    </w:p>
    <w:p w14:paraId="4A663E18">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1.（标的名称），属于（采购文件中明确的所属行业）行业；制造商为（企业名称），从业人员人，营业收入为万元，资产总额为万元，属于（中型企业、小型企业、微型企业）；</w:t>
      </w:r>
    </w:p>
    <w:p w14:paraId="3BB92793">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2.（标的名称），属于（采购文件中明确的所属行业）行业；制造商为（企业名称），从业人员人，营业收入为万元，资产总额为万元，属于（中型企业、小型企业、微型企业）；</w:t>
      </w:r>
    </w:p>
    <w:p w14:paraId="05A83B45">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rPr>
        <w:tab/>
      </w:r>
    </w:p>
    <w:p w14:paraId="65910824">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0ACBC071">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06C5D2D3">
      <w:pPr>
        <w:spacing w:line="440" w:lineRule="exact"/>
        <w:ind w:firstLine="480" w:firstLineChars="200"/>
        <w:contextualSpacing/>
        <w:rPr>
          <w:rFonts w:hint="eastAsia" w:ascii="宋体" w:hAnsi="宋体" w:eastAsia="宋体" w:cs="宋体"/>
          <w:color w:val="auto"/>
          <w:sz w:val="24"/>
          <w:szCs w:val="24"/>
        </w:rPr>
      </w:pPr>
    </w:p>
    <w:p w14:paraId="3CB69990">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 xml:space="preserve">企业名称（章）： </w:t>
      </w:r>
    </w:p>
    <w:p w14:paraId="40E9133E">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日期：</w:t>
      </w:r>
    </w:p>
    <w:p w14:paraId="77D9D969">
      <w:pPr>
        <w:spacing w:line="440" w:lineRule="exact"/>
        <w:ind w:firstLine="480" w:firstLineChars="200"/>
        <w:contextualSpacing/>
        <w:rPr>
          <w:rFonts w:hint="eastAsia" w:ascii="宋体" w:hAnsi="宋体" w:eastAsia="宋体" w:cs="宋体"/>
          <w:color w:val="auto"/>
          <w:sz w:val="24"/>
          <w:szCs w:val="24"/>
        </w:rPr>
      </w:pPr>
    </w:p>
    <w:p w14:paraId="77B0BF20">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77CCE00B">
      <w:pPr>
        <w:spacing w:line="360" w:lineRule="auto"/>
        <w:contextualSpacing/>
        <w:jc w:val="center"/>
        <w:rPr>
          <w:rFonts w:hint="eastAsia" w:ascii="宋体" w:hAnsi="宋体" w:eastAsia="宋体" w:cs="宋体"/>
          <w:b/>
          <w:bCs/>
          <w:color w:val="auto"/>
          <w:sz w:val="28"/>
          <w:szCs w:val="28"/>
        </w:rPr>
      </w:pPr>
    </w:p>
    <w:p w14:paraId="78ED1D2A">
      <w:pPr>
        <w:spacing w:line="360" w:lineRule="auto"/>
        <w:contextualSpacing/>
        <w:jc w:val="center"/>
        <w:rPr>
          <w:rFonts w:hint="eastAsia" w:ascii="宋体" w:hAnsi="宋体" w:eastAsia="宋体" w:cs="宋体"/>
          <w:b/>
          <w:bCs/>
          <w:color w:val="auto"/>
          <w:sz w:val="28"/>
          <w:szCs w:val="28"/>
        </w:rPr>
      </w:pPr>
    </w:p>
    <w:p w14:paraId="72EABC00">
      <w:pPr>
        <w:spacing w:line="360" w:lineRule="auto"/>
        <w:contextualSpacing/>
        <w:jc w:val="center"/>
        <w:rPr>
          <w:rFonts w:hint="eastAsia" w:ascii="宋体" w:hAnsi="宋体" w:eastAsia="宋体" w:cs="宋体"/>
          <w:b/>
          <w:bCs/>
          <w:color w:val="auto"/>
          <w:sz w:val="28"/>
          <w:szCs w:val="28"/>
        </w:rPr>
      </w:pPr>
    </w:p>
    <w:p w14:paraId="5B160EB6">
      <w:pPr>
        <w:spacing w:line="360" w:lineRule="auto"/>
        <w:contextualSpacing/>
        <w:jc w:val="center"/>
        <w:rPr>
          <w:rFonts w:hint="eastAsia" w:ascii="宋体" w:hAnsi="宋体" w:eastAsia="宋体" w:cs="宋体"/>
          <w:b/>
          <w:bCs/>
          <w:color w:val="auto"/>
          <w:sz w:val="28"/>
          <w:szCs w:val="28"/>
        </w:rPr>
      </w:pPr>
    </w:p>
    <w:p w14:paraId="0D0F087E">
      <w:pPr>
        <w:pStyle w:val="39"/>
        <w:rPr>
          <w:rFonts w:hint="eastAsia" w:ascii="宋体" w:hAnsi="宋体" w:eastAsia="宋体" w:cs="宋体"/>
          <w:b/>
          <w:bCs/>
          <w:color w:val="auto"/>
          <w:sz w:val="28"/>
          <w:szCs w:val="28"/>
        </w:rPr>
      </w:pPr>
    </w:p>
    <w:p w14:paraId="13E8165A">
      <w:pPr>
        <w:pStyle w:val="39"/>
        <w:rPr>
          <w:rFonts w:hint="eastAsia" w:ascii="宋体" w:hAnsi="宋体" w:eastAsia="宋体" w:cs="宋体"/>
          <w:b/>
          <w:bCs/>
          <w:color w:val="auto"/>
          <w:sz w:val="28"/>
          <w:szCs w:val="28"/>
        </w:rPr>
      </w:pPr>
    </w:p>
    <w:p w14:paraId="58651E8C">
      <w:pPr>
        <w:pStyle w:val="39"/>
        <w:rPr>
          <w:rFonts w:hint="eastAsia" w:ascii="宋体" w:hAnsi="宋体" w:eastAsia="宋体" w:cs="宋体"/>
          <w:b/>
          <w:bCs/>
          <w:color w:val="auto"/>
          <w:sz w:val="28"/>
          <w:szCs w:val="28"/>
        </w:rPr>
      </w:pPr>
    </w:p>
    <w:p w14:paraId="2F4F5BC4">
      <w:pPr>
        <w:spacing w:line="360" w:lineRule="auto"/>
        <w:ind w:firstLine="2530" w:firstLineChars="900"/>
        <w:contextualSpacing/>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残疾人福利性单位声明函</w:t>
      </w:r>
    </w:p>
    <w:p w14:paraId="685DB669">
      <w:pPr>
        <w:spacing w:line="440" w:lineRule="exact"/>
        <w:rPr>
          <w:rFonts w:hint="eastAsia" w:ascii="宋体" w:hAnsi="宋体" w:eastAsia="宋体" w:cs="宋体"/>
          <w:color w:val="auto"/>
          <w:sz w:val="32"/>
          <w:szCs w:val="32"/>
        </w:rPr>
      </w:pPr>
    </w:p>
    <w:p w14:paraId="49D48B4F">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       单位的        项目采购活动提供本单位制造的货物（由本单位承担工程/提供服务），或者提供其他残疾人福利性单位制造的货物（不包括使用非残疾人福利性单位注册商标的货物）。</w:t>
      </w:r>
    </w:p>
    <w:p w14:paraId="61F5529C">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5A64A52F">
      <w:pPr>
        <w:spacing w:line="440" w:lineRule="exact"/>
        <w:ind w:firstLine="480" w:firstLineChars="200"/>
        <w:contextualSpacing/>
        <w:rPr>
          <w:rFonts w:hint="eastAsia" w:ascii="宋体" w:hAnsi="宋体" w:eastAsia="宋体" w:cs="宋体"/>
          <w:color w:val="auto"/>
          <w:sz w:val="24"/>
          <w:szCs w:val="24"/>
        </w:rPr>
      </w:pPr>
    </w:p>
    <w:p w14:paraId="7955AF0C">
      <w:pPr>
        <w:spacing w:line="440" w:lineRule="exact"/>
        <w:ind w:firstLine="480" w:firstLineChars="200"/>
        <w:contextualSpacing/>
        <w:rPr>
          <w:rFonts w:hint="eastAsia" w:ascii="宋体" w:hAnsi="宋体" w:eastAsia="宋体" w:cs="宋体"/>
          <w:color w:val="auto"/>
          <w:sz w:val="24"/>
          <w:szCs w:val="24"/>
        </w:rPr>
      </w:pPr>
    </w:p>
    <w:p w14:paraId="26E32F81">
      <w:pPr>
        <w:spacing w:line="440" w:lineRule="exact"/>
        <w:ind w:firstLine="480" w:firstLineChars="200"/>
        <w:contextualSpacing/>
        <w:rPr>
          <w:rFonts w:hint="eastAsia" w:ascii="宋体" w:hAnsi="宋体" w:eastAsia="宋体" w:cs="宋体"/>
          <w:color w:val="auto"/>
          <w:sz w:val="24"/>
          <w:szCs w:val="24"/>
        </w:rPr>
      </w:pPr>
    </w:p>
    <w:p w14:paraId="22E9C004">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供应商[公章（CA签章）]：</w:t>
      </w:r>
    </w:p>
    <w:p w14:paraId="4F2BE9C0">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日  期：</w:t>
      </w:r>
    </w:p>
    <w:p w14:paraId="7A388270">
      <w:pPr>
        <w:spacing w:line="440" w:lineRule="exact"/>
        <w:ind w:firstLine="480" w:firstLineChars="200"/>
        <w:contextualSpacing/>
        <w:rPr>
          <w:rFonts w:hint="eastAsia" w:ascii="宋体" w:hAnsi="宋体" w:eastAsia="宋体" w:cs="宋体"/>
          <w:color w:val="auto"/>
          <w:sz w:val="24"/>
          <w:szCs w:val="24"/>
        </w:rPr>
      </w:pPr>
    </w:p>
    <w:p w14:paraId="70C6280D">
      <w:pPr>
        <w:spacing w:line="440" w:lineRule="exact"/>
        <w:ind w:firstLine="480" w:firstLineChars="200"/>
        <w:contextualSpacing/>
        <w:rPr>
          <w:rFonts w:hint="eastAsia" w:ascii="宋体" w:hAnsi="宋体" w:eastAsia="宋体" w:cs="宋体"/>
          <w:color w:val="auto"/>
          <w:sz w:val="24"/>
          <w:szCs w:val="24"/>
        </w:rPr>
      </w:pPr>
    </w:p>
    <w:p w14:paraId="3C5320F8">
      <w:pPr>
        <w:spacing w:line="440" w:lineRule="exact"/>
        <w:ind w:firstLine="480" w:firstLineChars="200"/>
        <w:contextualSpacing/>
        <w:rPr>
          <w:rFonts w:hint="eastAsia" w:ascii="宋体" w:hAnsi="宋体" w:eastAsia="宋体" w:cs="宋体"/>
          <w:color w:val="auto"/>
          <w:sz w:val="24"/>
          <w:szCs w:val="24"/>
        </w:rPr>
      </w:pPr>
    </w:p>
    <w:p w14:paraId="36889441">
      <w:pPr>
        <w:spacing w:line="440" w:lineRule="exact"/>
        <w:ind w:firstLine="480" w:firstLineChars="200"/>
        <w:contextualSpacing/>
        <w:rPr>
          <w:rFonts w:hint="eastAsia" w:ascii="宋体" w:hAnsi="宋体" w:eastAsia="宋体" w:cs="宋体"/>
          <w:color w:val="auto"/>
          <w:sz w:val="24"/>
          <w:szCs w:val="24"/>
        </w:rPr>
      </w:pPr>
    </w:p>
    <w:p w14:paraId="266BF7B7">
      <w:pPr>
        <w:spacing w:line="440" w:lineRule="exact"/>
        <w:ind w:firstLine="480" w:firstLineChars="200"/>
        <w:contextualSpacing/>
        <w:rPr>
          <w:rFonts w:hint="eastAsia" w:ascii="宋体" w:hAnsi="宋体" w:eastAsia="宋体" w:cs="宋体"/>
          <w:color w:val="auto"/>
          <w:sz w:val="24"/>
          <w:szCs w:val="24"/>
        </w:rPr>
      </w:pPr>
    </w:p>
    <w:p w14:paraId="46446960">
      <w:pPr>
        <w:spacing w:line="440" w:lineRule="exact"/>
        <w:ind w:firstLine="480" w:firstLineChars="200"/>
        <w:contextualSpacing/>
        <w:rPr>
          <w:rFonts w:hint="eastAsia" w:ascii="宋体" w:hAnsi="宋体" w:eastAsia="宋体" w:cs="宋体"/>
          <w:color w:val="auto"/>
          <w:sz w:val="24"/>
          <w:szCs w:val="24"/>
        </w:rPr>
      </w:pPr>
    </w:p>
    <w:p w14:paraId="665556D1">
      <w:pPr>
        <w:spacing w:line="440" w:lineRule="exact"/>
        <w:ind w:firstLine="480" w:firstLineChars="200"/>
        <w:contextualSpacing/>
        <w:rPr>
          <w:rFonts w:hint="eastAsia" w:ascii="宋体" w:hAnsi="宋体" w:eastAsia="宋体" w:cs="宋体"/>
          <w:color w:val="auto"/>
          <w:sz w:val="24"/>
          <w:szCs w:val="24"/>
        </w:rPr>
      </w:pPr>
    </w:p>
    <w:p w14:paraId="5AE3F2AE">
      <w:pPr>
        <w:spacing w:line="440" w:lineRule="exact"/>
        <w:ind w:firstLine="480" w:firstLineChars="200"/>
        <w:contextualSpacing/>
        <w:rPr>
          <w:rFonts w:hint="eastAsia" w:ascii="宋体" w:hAnsi="宋体" w:eastAsia="宋体" w:cs="宋体"/>
          <w:color w:val="auto"/>
          <w:sz w:val="24"/>
          <w:szCs w:val="24"/>
        </w:rPr>
      </w:pPr>
    </w:p>
    <w:p w14:paraId="6F574626">
      <w:pPr>
        <w:spacing w:line="440" w:lineRule="exact"/>
        <w:ind w:firstLine="480" w:firstLineChars="200"/>
        <w:contextualSpacing/>
        <w:rPr>
          <w:rFonts w:hint="eastAsia" w:ascii="宋体" w:hAnsi="宋体" w:eastAsia="宋体" w:cs="宋体"/>
          <w:color w:val="auto"/>
          <w:sz w:val="24"/>
          <w:szCs w:val="24"/>
        </w:rPr>
      </w:pPr>
    </w:p>
    <w:p w14:paraId="16231A4D">
      <w:pPr>
        <w:spacing w:line="44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注：请根据自己的真实情况出具《残疾人福利性单位声明函》。依法享受中小企业优惠政策的，采购人或者采购代理机构在公告成交结果时，同时公告其《残疾人福利性单位声明函》，接受社会监督。</w:t>
      </w:r>
    </w:p>
    <w:p w14:paraId="452EA356">
      <w:pPr>
        <w:spacing w:line="360" w:lineRule="auto"/>
        <w:jc w:val="center"/>
        <w:rPr>
          <w:rFonts w:hint="eastAsia" w:ascii="宋体" w:hAnsi="宋体" w:eastAsia="宋体" w:cs="宋体"/>
          <w:b/>
          <w:bCs/>
          <w:color w:val="auto"/>
          <w:sz w:val="32"/>
          <w:szCs w:val="32"/>
        </w:rPr>
      </w:pPr>
      <w:r>
        <w:rPr>
          <w:rFonts w:hint="eastAsia" w:ascii="宋体" w:hAnsi="宋体" w:eastAsia="宋体" w:cs="宋体"/>
          <w:color w:val="auto"/>
          <w:sz w:val="24"/>
        </w:rPr>
        <w:br w:type="page"/>
      </w:r>
      <w:r>
        <w:rPr>
          <w:rFonts w:hint="eastAsia" w:ascii="宋体" w:hAnsi="宋体" w:eastAsia="宋体" w:cs="宋体"/>
          <w:b/>
          <w:bCs/>
          <w:color w:val="auto"/>
          <w:sz w:val="32"/>
          <w:szCs w:val="32"/>
        </w:rPr>
        <w:t>质疑函（格式）</w:t>
      </w:r>
    </w:p>
    <w:p w14:paraId="462F3B7D">
      <w:pPr>
        <w:pStyle w:val="19"/>
        <w:spacing w:line="440" w:lineRule="exact"/>
        <w:ind w:firstLine="422" w:firstLineChars="200"/>
        <w:contextualSpacing/>
        <w:rPr>
          <w:rFonts w:hint="eastAsia" w:ascii="宋体" w:hAnsi="宋体" w:eastAsia="宋体" w:cs="宋体"/>
          <w:b/>
          <w:bCs/>
          <w:color w:val="auto"/>
          <w:sz w:val="21"/>
        </w:rPr>
      </w:pPr>
      <w:r>
        <w:rPr>
          <w:rFonts w:hint="eastAsia" w:ascii="宋体" w:hAnsi="宋体" w:eastAsia="宋体" w:cs="宋体"/>
          <w:b/>
          <w:bCs/>
          <w:color w:val="auto"/>
          <w:sz w:val="21"/>
        </w:rPr>
        <w:t>一、质疑供应商基本信息：</w:t>
      </w:r>
    </w:p>
    <w:p w14:paraId="7591D60D">
      <w:pPr>
        <w:pStyle w:val="19"/>
        <w:spacing w:line="440" w:lineRule="exact"/>
        <w:ind w:firstLine="420" w:firstLineChars="200"/>
        <w:contextualSpacing/>
        <w:rPr>
          <w:rFonts w:hint="eastAsia" w:ascii="宋体" w:hAnsi="宋体" w:eastAsia="宋体" w:cs="宋体"/>
          <w:bCs/>
          <w:color w:val="auto"/>
          <w:sz w:val="21"/>
          <w:u w:val="single"/>
        </w:rPr>
      </w:pPr>
      <w:r>
        <w:rPr>
          <w:rFonts w:hint="eastAsia" w:ascii="宋体" w:hAnsi="宋体" w:eastAsia="宋体" w:cs="宋体"/>
          <w:bCs/>
          <w:color w:val="auto"/>
          <w:sz w:val="21"/>
        </w:rPr>
        <w:t>质疑供应商：</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7AD0071F">
      <w:pPr>
        <w:pStyle w:val="19"/>
        <w:spacing w:line="440" w:lineRule="exact"/>
        <w:ind w:firstLine="420" w:firstLineChars="200"/>
        <w:contextualSpacing/>
        <w:rPr>
          <w:rFonts w:hint="eastAsia" w:ascii="宋体" w:hAnsi="宋体" w:eastAsia="宋体" w:cs="宋体"/>
          <w:bCs/>
          <w:color w:val="auto"/>
          <w:sz w:val="21"/>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2F15B67B">
      <w:pPr>
        <w:pStyle w:val="19"/>
        <w:spacing w:line="440" w:lineRule="exact"/>
        <w:ind w:firstLine="420" w:firstLineChars="200"/>
        <w:contextualSpacing/>
        <w:rPr>
          <w:rFonts w:hint="eastAsia" w:ascii="宋体" w:hAnsi="宋体" w:eastAsia="宋体" w:cs="宋体"/>
          <w:bCs/>
          <w:color w:val="auto"/>
          <w:sz w:val="21"/>
        </w:rPr>
      </w:pPr>
      <w:r>
        <w:rPr>
          <w:rFonts w:hint="eastAsia" w:ascii="宋体" w:hAnsi="宋体" w:eastAsia="宋体" w:cs="宋体"/>
          <w:bCs/>
          <w:color w:val="auto"/>
          <w:sz w:val="21"/>
        </w:rPr>
        <w:t>联系人：</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p>
    <w:p w14:paraId="5C283B57">
      <w:pPr>
        <w:pStyle w:val="19"/>
        <w:spacing w:line="440" w:lineRule="exact"/>
        <w:ind w:firstLine="420" w:firstLineChars="200"/>
        <w:contextualSpacing/>
        <w:rPr>
          <w:rFonts w:hint="eastAsia" w:ascii="宋体" w:hAnsi="宋体" w:eastAsia="宋体" w:cs="宋体"/>
          <w:bCs/>
          <w:color w:val="auto"/>
          <w:sz w:val="21"/>
        </w:rPr>
      </w:pPr>
      <w:r>
        <w:rPr>
          <w:rFonts w:hint="eastAsia" w:ascii="宋体" w:hAnsi="宋体" w:eastAsia="宋体" w:cs="宋体"/>
          <w:bCs/>
          <w:color w:val="auto"/>
          <w:sz w:val="21"/>
        </w:rPr>
        <w:t>授权代表：</w:t>
      </w:r>
      <w:r>
        <w:rPr>
          <w:rFonts w:hint="eastAsia" w:ascii="宋体" w:hAnsi="宋体" w:eastAsia="宋体" w:cs="宋体"/>
          <w:bCs/>
          <w:color w:val="auto"/>
          <w:sz w:val="21"/>
          <w:u w:val="single"/>
        </w:rPr>
        <w:t xml:space="preserve">                      </w:t>
      </w:r>
    </w:p>
    <w:p w14:paraId="018275EA">
      <w:pPr>
        <w:pStyle w:val="19"/>
        <w:spacing w:line="440" w:lineRule="exact"/>
        <w:ind w:firstLine="420" w:firstLineChars="200"/>
        <w:contextualSpacing/>
        <w:rPr>
          <w:rFonts w:hint="eastAsia" w:ascii="宋体" w:hAnsi="宋体" w:eastAsia="宋体" w:cs="宋体"/>
          <w:bCs/>
          <w:color w:val="auto"/>
          <w:sz w:val="21"/>
          <w:u w:val="single"/>
        </w:rPr>
      </w:pP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p>
    <w:p w14:paraId="4ACA2EE1">
      <w:pPr>
        <w:pStyle w:val="19"/>
        <w:spacing w:line="440" w:lineRule="exact"/>
        <w:ind w:firstLine="420" w:firstLineChars="200"/>
        <w:contextualSpacing/>
        <w:rPr>
          <w:rFonts w:hint="eastAsia" w:ascii="宋体" w:hAnsi="宋体" w:eastAsia="宋体" w:cs="宋体"/>
          <w:bCs/>
          <w:color w:val="auto"/>
          <w:sz w:val="21"/>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116B6EAF">
      <w:pPr>
        <w:pStyle w:val="19"/>
        <w:spacing w:line="440" w:lineRule="exact"/>
        <w:ind w:firstLine="422" w:firstLineChars="200"/>
        <w:contextualSpacing/>
        <w:rPr>
          <w:rFonts w:hint="eastAsia" w:ascii="宋体" w:hAnsi="宋体" w:eastAsia="宋体" w:cs="宋体"/>
          <w:b/>
          <w:bCs/>
          <w:color w:val="auto"/>
          <w:sz w:val="21"/>
        </w:rPr>
      </w:pPr>
      <w:r>
        <w:rPr>
          <w:rFonts w:hint="eastAsia" w:ascii="宋体" w:hAnsi="宋体" w:eastAsia="宋体" w:cs="宋体"/>
          <w:b/>
          <w:bCs/>
          <w:color w:val="auto"/>
          <w:sz w:val="21"/>
        </w:rPr>
        <w:t>二、质疑项目基本情况：</w:t>
      </w:r>
    </w:p>
    <w:p w14:paraId="71BDCCD6">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bCs/>
          <w:color w:val="auto"/>
          <w:sz w:val="21"/>
        </w:rPr>
        <w:t>质疑</w:t>
      </w:r>
      <w:r>
        <w:rPr>
          <w:rFonts w:hint="eastAsia" w:ascii="宋体" w:hAnsi="宋体" w:eastAsia="宋体" w:cs="宋体"/>
          <w:color w:val="auto"/>
          <w:sz w:val="21"/>
        </w:rPr>
        <w:t>项目的名称：</w:t>
      </w:r>
      <w:r>
        <w:rPr>
          <w:rFonts w:hint="eastAsia" w:ascii="宋体" w:hAnsi="宋体" w:eastAsia="宋体" w:cs="宋体"/>
          <w:bCs/>
          <w:color w:val="auto"/>
          <w:sz w:val="21"/>
          <w:u w:val="single"/>
        </w:rPr>
        <w:t xml:space="preserve">                                     </w:t>
      </w:r>
    </w:p>
    <w:p w14:paraId="44A7A7CF">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bCs/>
          <w:color w:val="auto"/>
          <w:sz w:val="21"/>
        </w:rPr>
        <w:t>质疑</w:t>
      </w:r>
      <w:r>
        <w:rPr>
          <w:rFonts w:hint="eastAsia" w:ascii="宋体" w:hAnsi="宋体" w:eastAsia="宋体" w:cs="宋体"/>
          <w:color w:val="auto"/>
          <w:sz w:val="21"/>
        </w:rPr>
        <w:t>项目的编号：</w:t>
      </w:r>
      <w:r>
        <w:rPr>
          <w:rFonts w:hint="eastAsia" w:ascii="宋体" w:hAnsi="宋体" w:eastAsia="宋体" w:cs="宋体"/>
          <w:bCs/>
          <w:color w:val="auto"/>
          <w:sz w:val="21"/>
          <w:u w:val="single"/>
        </w:rPr>
        <w:t xml:space="preserve">                                     </w:t>
      </w:r>
    </w:p>
    <w:p w14:paraId="3EE2F86F">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采购人名称：</w:t>
      </w:r>
      <w:r>
        <w:rPr>
          <w:rFonts w:hint="eastAsia" w:ascii="宋体" w:hAnsi="宋体" w:eastAsia="宋体" w:cs="宋体"/>
          <w:bCs/>
          <w:color w:val="auto"/>
          <w:sz w:val="21"/>
          <w:u w:val="single"/>
        </w:rPr>
        <w:t xml:space="preserve">                                         </w:t>
      </w:r>
    </w:p>
    <w:p w14:paraId="5419851F">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质疑事项：</w:t>
      </w:r>
    </w:p>
    <w:p w14:paraId="3133ED86">
      <w:pPr>
        <w:pStyle w:val="19"/>
        <w:spacing w:line="440" w:lineRule="exact"/>
        <w:ind w:firstLine="308" w:firstLineChars="147"/>
        <w:contextualSpacing/>
        <w:rPr>
          <w:rFonts w:hint="eastAsia" w:ascii="宋体" w:hAnsi="宋体" w:eastAsia="宋体" w:cs="宋体"/>
          <w:color w:val="auto"/>
          <w:sz w:val="21"/>
        </w:rPr>
      </w:pPr>
      <w:r>
        <w:rPr>
          <w:rFonts w:hint="eastAsia" w:ascii="宋体" w:hAnsi="宋体" w:eastAsia="宋体" w:cs="宋体"/>
          <w:color w:val="auto"/>
          <w:sz w:val="21"/>
        </w:rPr>
        <w:t>□采购文件   采购文件获取日期：</w:t>
      </w:r>
      <w:r>
        <w:rPr>
          <w:rFonts w:hint="eastAsia" w:ascii="宋体" w:hAnsi="宋体" w:eastAsia="宋体" w:cs="宋体"/>
          <w:bCs/>
          <w:color w:val="auto"/>
          <w:sz w:val="21"/>
          <w:u w:val="single"/>
        </w:rPr>
        <w:t xml:space="preserve">                                   </w:t>
      </w:r>
    </w:p>
    <w:p w14:paraId="2A7AB7FD">
      <w:pPr>
        <w:pStyle w:val="19"/>
        <w:spacing w:line="440" w:lineRule="exact"/>
        <w:ind w:firstLine="308" w:firstLineChars="147"/>
        <w:contextualSpacing/>
        <w:rPr>
          <w:rFonts w:hint="eastAsia" w:ascii="宋体" w:hAnsi="宋体" w:eastAsia="宋体" w:cs="宋体"/>
          <w:color w:val="auto"/>
          <w:sz w:val="21"/>
        </w:rPr>
      </w:pPr>
      <w:r>
        <w:rPr>
          <w:rFonts w:hint="eastAsia" w:ascii="宋体" w:hAnsi="宋体" w:eastAsia="宋体" w:cs="宋体"/>
          <w:color w:val="auto"/>
          <w:sz w:val="21"/>
        </w:rPr>
        <w:t xml:space="preserve">□采购过程   </w:t>
      </w:r>
    </w:p>
    <w:p w14:paraId="1AB6B741">
      <w:pPr>
        <w:pStyle w:val="19"/>
        <w:spacing w:line="440" w:lineRule="exact"/>
        <w:ind w:firstLine="308" w:firstLineChars="147"/>
        <w:contextualSpacing/>
        <w:rPr>
          <w:rFonts w:hint="eastAsia" w:ascii="宋体" w:hAnsi="宋体" w:eastAsia="宋体" w:cs="宋体"/>
          <w:bCs/>
          <w:color w:val="auto"/>
          <w:sz w:val="21"/>
          <w:u w:val="single"/>
        </w:rPr>
      </w:pPr>
      <w:r>
        <w:rPr>
          <w:rFonts w:hint="eastAsia" w:ascii="宋体" w:hAnsi="宋体" w:eastAsia="宋体" w:cs="宋体"/>
          <w:color w:val="auto"/>
          <w:sz w:val="21"/>
        </w:rPr>
        <w:t xml:space="preserve">□成交结果   </w:t>
      </w:r>
    </w:p>
    <w:p w14:paraId="6B6C6F4C">
      <w:pPr>
        <w:pStyle w:val="19"/>
        <w:spacing w:line="440" w:lineRule="exact"/>
        <w:ind w:firstLine="413" w:firstLineChars="196"/>
        <w:contextualSpacing/>
        <w:rPr>
          <w:rFonts w:hint="eastAsia" w:ascii="宋体" w:hAnsi="宋体" w:eastAsia="宋体" w:cs="宋体"/>
          <w:b/>
          <w:color w:val="auto"/>
          <w:sz w:val="21"/>
        </w:rPr>
      </w:pPr>
      <w:r>
        <w:rPr>
          <w:rFonts w:hint="eastAsia" w:ascii="宋体" w:hAnsi="宋体" w:eastAsia="宋体" w:cs="宋体"/>
          <w:b/>
          <w:color w:val="auto"/>
          <w:sz w:val="21"/>
        </w:rPr>
        <w:t>三、质疑事项具体内容</w:t>
      </w:r>
    </w:p>
    <w:p w14:paraId="7DEC703F">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质疑事项1：</w:t>
      </w:r>
      <w:r>
        <w:rPr>
          <w:rFonts w:hint="eastAsia" w:ascii="宋体" w:hAnsi="宋体" w:eastAsia="宋体" w:cs="宋体"/>
          <w:bCs/>
          <w:color w:val="auto"/>
          <w:sz w:val="21"/>
          <w:u w:val="single"/>
        </w:rPr>
        <w:t xml:space="preserve">                                                                    </w:t>
      </w:r>
    </w:p>
    <w:p w14:paraId="19D6E950">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事实依据：</w:t>
      </w:r>
      <w:r>
        <w:rPr>
          <w:rFonts w:hint="eastAsia" w:ascii="宋体" w:hAnsi="宋体" w:eastAsia="宋体" w:cs="宋体"/>
          <w:bCs/>
          <w:color w:val="auto"/>
          <w:sz w:val="21"/>
          <w:u w:val="single"/>
        </w:rPr>
        <w:t xml:space="preserve">                                                                      </w:t>
      </w:r>
    </w:p>
    <w:p w14:paraId="7107BCF8">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法律依据：</w:t>
      </w:r>
      <w:r>
        <w:rPr>
          <w:rFonts w:hint="eastAsia" w:ascii="宋体" w:hAnsi="宋体" w:eastAsia="宋体" w:cs="宋体"/>
          <w:color w:val="auto"/>
          <w:sz w:val="21"/>
          <w:u w:val="single"/>
        </w:rPr>
        <w:t xml:space="preserve">                                                        </w:t>
      </w:r>
      <w:r>
        <w:rPr>
          <w:rFonts w:hint="eastAsia" w:ascii="宋体" w:hAnsi="宋体" w:eastAsia="宋体" w:cs="宋体"/>
          <w:bCs/>
          <w:color w:val="auto"/>
          <w:sz w:val="21"/>
          <w:u w:val="single"/>
        </w:rPr>
        <w:t xml:space="preserve">               </w:t>
      </w:r>
    </w:p>
    <w:p w14:paraId="7B9ABD9C">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质疑事项2</w:t>
      </w:r>
    </w:p>
    <w:p w14:paraId="2986BEBB">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w:t>
      </w:r>
    </w:p>
    <w:p w14:paraId="3F17CD27">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四、与质疑事项相关的质疑请求：</w:t>
      </w:r>
    </w:p>
    <w:p w14:paraId="186E6FFC">
      <w:pPr>
        <w:pStyle w:val="19"/>
        <w:spacing w:line="440" w:lineRule="exact"/>
        <w:ind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请求：</w:t>
      </w:r>
      <w:r>
        <w:rPr>
          <w:rFonts w:hint="eastAsia" w:ascii="宋体" w:hAnsi="宋体" w:eastAsia="宋体" w:cs="宋体"/>
          <w:bCs/>
          <w:color w:val="auto"/>
          <w:sz w:val="21"/>
          <w:u w:val="single"/>
        </w:rPr>
        <w:t xml:space="preserve">                                                                </w:t>
      </w:r>
    </w:p>
    <w:p w14:paraId="74C4F170">
      <w:pPr>
        <w:pStyle w:val="19"/>
        <w:spacing w:line="360" w:lineRule="auto"/>
        <w:ind w:left="25" w:leftChars="12" w:firstLine="308" w:firstLineChars="147"/>
        <w:contextualSpacing/>
        <w:rPr>
          <w:rFonts w:hint="eastAsia" w:ascii="宋体" w:hAnsi="宋体" w:eastAsia="宋体" w:cs="宋体"/>
          <w:color w:val="auto"/>
          <w:sz w:val="21"/>
        </w:rPr>
      </w:pPr>
    </w:p>
    <w:p w14:paraId="58BD334F">
      <w:pPr>
        <w:pStyle w:val="19"/>
        <w:spacing w:line="360" w:lineRule="auto"/>
        <w:ind w:left="25" w:leftChars="12" w:firstLine="413" w:firstLineChars="197"/>
        <w:contextualSpacing/>
        <w:rPr>
          <w:rFonts w:hint="eastAsia" w:ascii="宋体" w:hAnsi="宋体" w:eastAsia="宋体" w:cs="宋体"/>
          <w:color w:val="auto"/>
          <w:sz w:val="21"/>
          <w:u w:val="single"/>
        </w:rPr>
      </w:pPr>
      <w:r>
        <w:rPr>
          <w:rFonts w:hint="eastAsia" w:ascii="宋体" w:hAnsi="宋体" w:eastAsia="宋体" w:cs="宋体"/>
          <w:color w:val="auto"/>
          <w:sz w:val="21"/>
        </w:rPr>
        <w:t>签字（签章）：</w:t>
      </w:r>
      <w:r>
        <w:rPr>
          <w:rFonts w:hint="eastAsia" w:ascii="宋体" w:hAnsi="宋体" w:eastAsia="宋体" w:cs="宋体"/>
          <w:color w:val="auto"/>
          <w:sz w:val="21"/>
          <w:u w:val="single"/>
        </w:rPr>
        <w:t xml:space="preserve">                                      </w:t>
      </w:r>
    </w:p>
    <w:p w14:paraId="466F1748">
      <w:pPr>
        <w:pStyle w:val="19"/>
        <w:spacing w:line="360" w:lineRule="auto"/>
        <w:ind w:firstLine="420" w:firstLineChars="200"/>
        <w:contextualSpacing/>
        <w:rPr>
          <w:rFonts w:hint="eastAsia" w:ascii="宋体" w:hAnsi="宋体" w:eastAsia="宋体" w:cs="宋体"/>
          <w:color w:val="auto"/>
          <w:sz w:val="21"/>
        </w:rPr>
      </w:pPr>
      <w:r>
        <w:rPr>
          <w:rFonts w:hint="eastAsia" w:ascii="宋体" w:hAnsi="宋体" w:eastAsia="宋体" w:cs="宋体"/>
          <w:color w:val="auto"/>
          <w:sz w:val="21"/>
        </w:rPr>
        <w:t>公章：</w:t>
      </w:r>
      <w:r>
        <w:rPr>
          <w:rFonts w:hint="eastAsia" w:ascii="宋体" w:hAnsi="宋体" w:eastAsia="宋体" w:cs="宋体"/>
          <w:color w:val="auto"/>
          <w:sz w:val="21"/>
          <w:u w:val="single"/>
        </w:rPr>
        <w:t xml:space="preserve">                                      </w:t>
      </w:r>
    </w:p>
    <w:p w14:paraId="5EF45522">
      <w:pPr>
        <w:pStyle w:val="19"/>
        <w:spacing w:line="360" w:lineRule="auto"/>
        <w:ind w:left="25" w:leftChars="12" w:firstLine="413" w:firstLineChars="197"/>
        <w:contextualSpacing/>
        <w:rPr>
          <w:rFonts w:hint="eastAsia" w:ascii="宋体" w:hAnsi="宋体" w:eastAsia="宋体" w:cs="宋体"/>
          <w:color w:val="auto"/>
          <w:sz w:val="21"/>
        </w:rPr>
      </w:pPr>
      <w:r>
        <w:rPr>
          <w:rFonts w:hint="eastAsia" w:ascii="宋体" w:hAnsi="宋体" w:eastAsia="宋体" w:cs="宋体"/>
          <w:color w:val="auto"/>
          <w:sz w:val="21"/>
        </w:rPr>
        <w:t>日期：</w:t>
      </w:r>
    </w:p>
    <w:p w14:paraId="1F730402">
      <w:pPr>
        <w:pStyle w:val="19"/>
        <w:spacing w:line="360" w:lineRule="auto"/>
        <w:contextualSpacing/>
        <w:rPr>
          <w:rFonts w:hint="eastAsia" w:ascii="宋体" w:hAnsi="宋体" w:eastAsia="宋体" w:cs="宋体"/>
          <w:b/>
          <w:color w:val="auto"/>
          <w:sz w:val="21"/>
        </w:rPr>
      </w:pPr>
    </w:p>
    <w:p w14:paraId="0931EAC1">
      <w:pPr>
        <w:pStyle w:val="19"/>
        <w:spacing w:line="440" w:lineRule="exact"/>
        <w:contextualSpacing/>
        <w:rPr>
          <w:rFonts w:hint="eastAsia" w:ascii="宋体" w:hAnsi="宋体" w:eastAsia="宋体" w:cs="宋体"/>
          <w:b/>
          <w:color w:val="auto"/>
          <w:sz w:val="21"/>
        </w:rPr>
      </w:pPr>
      <w:r>
        <w:rPr>
          <w:rFonts w:hint="eastAsia" w:ascii="宋体" w:hAnsi="宋体" w:eastAsia="宋体" w:cs="宋体"/>
          <w:b/>
          <w:color w:val="auto"/>
          <w:sz w:val="21"/>
        </w:rPr>
        <w:t>说明：</w:t>
      </w:r>
    </w:p>
    <w:p w14:paraId="00D77DB3">
      <w:pPr>
        <w:pStyle w:val="19"/>
        <w:spacing w:line="440" w:lineRule="exact"/>
        <w:ind w:left="25" w:leftChars="12" w:firstLine="310" w:firstLineChars="147"/>
        <w:contextualSpacing/>
        <w:rPr>
          <w:rFonts w:hint="eastAsia" w:ascii="宋体" w:hAnsi="宋体" w:eastAsia="宋体" w:cs="宋体"/>
          <w:b/>
          <w:bCs/>
          <w:color w:val="auto"/>
          <w:sz w:val="21"/>
        </w:rPr>
      </w:pPr>
      <w:r>
        <w:rPr>
          <w:rFonts w:hint="eastAsia" w:ascii="宋体" w:hAnsi="宋体" w:eastAsia="宋体" w:cs="宋体"/>
          <w:b/>
          <w:color w:val="auto"/>
          <w:sz w:val="21"/>
        </w:rPr>
        <w:t>1.供应商提出质疑时，应提交质疑函和必要的证明材料</w:t>
      </w:r>
      <w:r>
        <w:rPr>
          <w:rFonts w:hint="eastAsia" w:ascii="宋体" w:hAnsi="宋体" w:eastAsia="宋体" w:cs="宋体"/>
          <w:b/>
          <w:bCs/>
          <w:color w:val="auto"/>
          <w:sz w:val="21"/>
        </w:rPr>
        <w:t>。</w:t>
      </w:r>
    </w:p>
    <w:p w14:paraId="380802D8">
      <w:pPr>
        <w:pStyle w:val="19"/>
        <w:spacing w:line="440" w:lineRule="exact"/>
        <w:ind w:left="25" w:leftChars="12" w:firstLine="310" w:firstLineChars="147"/>
        <w:contextualSpacing/>
        <w:rPr>
          <w:rFonts w:hint="eastAsia" w:ascii="宋体" w:hAnsi="宋体" w:eastAsia="宋体" w:cs="宋体"/>
          <w:b/>
          <w:color w:val="auto"/>
          <w:sz w:val="21"/>
        </w:rPr>
      </w:pPr>
      <w:r>
        <w:rPr>
          <w:rFonts w:hint="eastAsia" w:ascii="宋体" w:hAnsi="宋体" w:eastAsia="宋体" w:cs="宋体"/>
          <w:b/>
          <w:color w:val="auto"/>
          <w:sz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FA4B230">
      <w:pPr>
        <w:pStyle w:val="19"/>
        <w:spacing w:line="440" w:lineRule="exact"/>
        <w:ind w:left="25" w:leftChars="12" w:firstLine="310" w:firstLineChars="147"/>
        <w:contextualSpacing/>
        <w:rPr>
          <w:rFonts w:hint="eastAsia" w:ascii="宋体" w:hAnsi="宋体" w:eastAsia="宋体" w:cs="宋体"/>
          <w:b/>
          <w:color w:val="auto"/>
          <w:sz w:val="21"/>
        </w:rPr>
      </w:pPr>
      <w:r>
        <w:rPr>
          <w:rFonts w:hint="eastAsia" w:ascii="宋体" w:hAnsi="宋体" w:eastAsia="宋体" w:cs="宋体"/>
          <w:b/>
          <w:color w:val="auto"/>
          <w:sz w:val="21"/>
        </w:rPr>
        <w:t>3.质疑函的质疑事项应具体、明确，并有必要的事实依据和法律依据。</w:t>
      </w:r>
    </w:p>
    <w:p w14:paraId="4DD222C8">
      <w:pPr>
        <w:pStyle w:val="19"/>
        <w:spacing w:line="440" w:lineRule="exact"/>
        <w:ind w:left="25" w:leftChars="12" w:firstLine="310" w:firstLineChars="147"/>
        <w:contextualSpacing/>
        <w:rPr>
          <w:rFonts w:hint="eastAsia" w:ascii="宋体" w:hAnsi="宋体" w:eastAsia="宋体" w:cs="宋体"/>
          <w:b/>
          <w:color w:val="auto"/>
          <w:sz w:val="21"/>
        </w:rPr>
      </w:pPr>
      <w:r>
        <w:rPr>
          <w:rFonts w:hint="eastAsia" w:ascii="宋体" w:hAnsi="宋体" w:eastAsia="宋体" w:cs="宋体"/>
          <w:b/>
          <w:color w:val="auto"/>
          <w:sz w:val="21"/>
        </w:rPr>
        <w:t>4.质疑函的质疑请求应与质疑事项相关。</w:t>
      </w:r>
    </w:p>
    <w:p w14:paraId="380AAF48">
      <w:pPr>
        <w:pStyle w:val="19"/>
        <w:spacing w:line="440" w:lineRule="exact"/>
        <w:ind w:left="25" w:leftChars="12" w:firstLine="310" w:firstLineChars="147"/>
        <w:contextualSpacing/>
        <w:rPr>
          <w:rFonts w:hint="eastAsia" w:ascii="宋体" w:hAnsi="宋体" w:eastAsia="宋体" w:cs="宋体"/>
          <w:b/>
          <w:color w:val="auto"/>
          <w:sz w:val="21"/>
        </w:rPr>
      </w:pPr>
      <w:r>
        <w:rPr>
          <w:rFonts w:hint="eastAsia" w:ascii="宋体" w:hAnsi="宋体" w:eastAsia="宋体" w:cs="宋体"/>
          <w:b/>
          <w:color w:val="auto"/>
          <w:sz w:val="21"/>
        </w:rPr>
        <w:t>5.质疑供应商为法人或者其他组织的，质疑函应由法定代表人、主要负责人，或者其授权代表签字或者盖章，并加盖公章。</w:t>
      </w:r>
    </w:p>
    <w:p w14:paraId="06ECE90F">
      <w:pPr>
        <w:pStyle w:val="19"/>
        <w:snapToGrid w:val="0"/>
        <w:rPr>
          <w:rFonts w:hint="eastAsia" w:ascii="宋体" w:hAnsi="宋体" w:eastAsia="宋体" w:cs="宋体"/>
          <w:b/>
          <w:color w:val="auto"/>
          <w:sz w:val="24"/>
          <w:szCs w:val="24"/>
        </w:rPr>
      </w:pPr>
    </w:p>
    <w:p w14:paraId="5A91799D">
      <w:pPr>
        <w:spacing w:line="460" w:lineRule="exact"/>
        <w:jc w:val="center"/>
        <w:rPr>
          <w:rFonts w:hint="eastAsia" w:ascii="宋体" w:hAnsi="宋体" w:eastAsia="宋体" w:cs="宋体"/>
          <w:color w:val="auto"/>
          <w:sz w:val="44"/>
        </w:rPr>
      </w:pPr>
      <w:r>
        <w:rPr>
          <w:rFonts w:hint="eastAsia" w:ascii="宋体" w:hAnsi="宋体" w:eastAsia="宋体" w:cs="宋体"/>
          <w:color w:val="auto"/>
          <w:sz w:val="44"/>
        </w:rPr>
        <w:br w:type="page"/>
      </w:r>
    </w:p>
    <w:p w14:paraId="1D049287">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投诉书（格式）</w:t>
      </w:r>
    </w:p>
    <w:p w14:paraId="3B09EF40">
      <w:pPr>
        <w:pStyle w:val="19"/>
        <w:snapToGrid w:val="0"/>
        <w:spacing w:line="360" w:lineRule="auto"/>
        <w:ind w:firstLine="422" w:firstLineChars="200"/>
        <w:rPr>
          <w:rFonts w:hint="eastAsia" w:ascii="宋体" w:hAnsi="宋体" w:eastAsia="宋体" w:cs="宋体"/>
          <w:b/>
          <w:bCs/>
          <w:color w:val="auto"/>
          <w:sz w:val="21"/>
        </w:rPr>
      </w:pPr>
      <w:r>
        <w:rPr>
          <w:rFonts w:hint="eastAsia" w:ascii="宋体" w:hAnsi="宋体" w:eastAsia="宋体" w:cs="宋体"/>
          <w:b/>
          <w:bCs/>
          <w:color w:val="auto"/>
          <w:sz w:val="21"/>
        </w:rPr>
        <w:t>一、投诉相关主体基本情况：</w:t>
      </w:r>
    </w:p>
    <w:p w14:paraId="3185D9C1">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供应商：</w:t>
      </w:r>
      <w:r>
        <w:rPr>
          <w:rFonts w:hint="eastAsia" w:ascii="宋体" w:hAnsi="宋体" w:eastAsia="宋体" w:cs="宋体"/>
          <w:bCs/>
          <w:color w:val="auto"/>
          <w:sz w:val="21"/>
          <w:u w:val="single"/>
        </w:rPr>
        <w:t xml:space="preserve">                                                                        </w:t>
      </w:r>
    </w:p>
    <w:p w14:paraId="45CFF309">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2FFBCF69">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法定代表人/主要负责人：</w:t>
      </w:r>
      <w:r>
        <w:rPr>
          <w:rFonts w:hint="eastAsia" w:ascii="宋体" w:hAnsi="宋体" w:eastAsia="宋体" w:cs="宋体"/>
          <w:bCs/>
          <w:color w:val="auto"/>
          <w:sz w:val="21"/>
          <w:u w:val="single"/>
        </w:rPr>
        <w:t xml:space="preserve">                                                         </w:t>
      </w:r>
    </w:p>
    <w:p w14:paraId="35BCE02F">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p>
    <w:p w14:paraId="31478A3A">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授权代表：</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p>
    <w:p w14:paraId="07BAAF32">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p>
    <w:p w14:paraId="634CCAFA">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0B7797F3">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被投诉人1：</w:t>
      </w:r>
    </w:p>
    <w:p w14:paraId="116B3B8C">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p>
    <w:p w14:paraId="232FA2FB">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4509A67C">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联系人：</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p>
    <w:p w14:paraId="06F53F0E">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被投诉人2：</w:t>
      </w:r>
    </w:p>
    <w:p w14:paraId="7E610EF7">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w:t>
      </w:r>
    </w:p>
    <w:p w14:paraId="0DE36D8A">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相关供应商：</w:t>
      </w:r>
      <w:r>
        <w:rPr>
          <w:rFonts w:hint="eastAsia" w:ascii="宋体" w:hAnsi="宋体" w:eastAsia="宋体" w:cs="宋体"/>
          <w:bCs/>
          <w:color w:val="auto"/>
          <w:sz w:val="21"/>
          <w:u w:val="single"/>
        </w:rPr>
        <w:t xml:space="preserve">                                                                       </w:t>
      </w:r>
    </w:p>
    <w:p w14:paraId="51EC27F5">
      <w:pPr>
        <w:pStyle w:val="19"/>
        <w:snapToGrid w:val="0"/>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地址：</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邮编：</w:t>
      </w:r>
      <w:r>
        <w:rPr>
          <w:rFonts w:hint="eastAsia" w:ascii="宋体" w:hAnsi="宋体" w:eastAsia="宋体" w:cs="宋体"/>
          <w:bCs/>
          <w:color w:val="auto"/>
          <w:sz w:val="21"/>
          <w:u w:val="single"/>
        </w:rPr>
        <w:t xml:space="preserve">                         </w:t>
      </w:r>
    </w:p>
    <w:p w14:paraId="48E636DA">
      <w:pPr>
        <w:pStyle w:val="19"/>
        <w:snapToGrid w:val="0"/>
        <w:spacing w:line="360" w:lineRule="auto"/>
        <w:ind w:firstLine="420" w:firstLineChars="200"/>
        <w:rPr>
          <w:rFonts w:hint="eastAsia" w:ascii="宋体" w:hAnsi="宋体" w:eastAsia="宋体" w:cs="宋体"/>
          <w:bCs/>
          <w:color w:val="auto"/>
          <w:sz w:val="21"/>
        </w:rPr>
      </w:pPr>
      <w:r>
        <w:rPr>
          <w:rFonts w:hint="eastAsia" w:ascii="宋体" w:hAnsi="宋体" w:eastAsia="宋体" w:cs="宋体"/>
          <w:bCs/>
          <w:color w:val="auto"/>
          <w:sz w:val="21"/>
        </w:rPr>
        <w:t>联系人：</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联系电话：</w:t>
      </w:r>
      <w:r>
        <w:rPr>
          <w:rFonts w:hint="eastAsia" w:ascii="宋体" w:hAnsi="宋体" w:eastAsia="宋体" w:cs="宋体"/>
          <w:bCs/>
          <w:color w:val="auto"/>
          <w:sz w:val="21"/>
          <w:u w:val="single"/>
        </w:rPr>
        <w:t xml:space="preserve">                     </w:t>
      </w:r>
      <w:r>
        <w:rPr>
          <w:rFonts w:hint="eastAsia" w:ascii="宋体" w:hAnsi="宋体" w:eastAsia="宋体" w:cs="宋体"/>
          <w:bCs/>
          <w:color w:val="auto"/>
          <w:sz w:val="21"/>
        </w:rPr>
        <w:t xml:space="preserve">                </w:t>
      </w:r>
    </w:p>
    <w:p w14:paraId="40FBF11A">
      <w:pPr>
        <w:pStyle w:val="19"/>
        <w:snapToGrid w:val="0"/>
        <w:spacing w:line="360" w:lineRule="auto"/>
        <w:ind w:firstLine="422" w:firstLineChars="200"/>
        <w:rPr>
          <w:rFonts w:hint="eastAsia" w:ascii="宋体" w:hAnsi="宋体" w:eastAsia="宋体" w:cs="宋体"/>
          <w:b/>
          <w:bCs/>
          <w:color w:val="auto"/>
          <w:sz w:val="21"/>
        </w:rPr>
      </w:pPr>
      <w:r>
        <w:rPr>
          <w:rFonts w:hint="eastAsia" w:ascii="宋体" w:hAnsi="宋体" w:eastAsia="宋体" w:cs="宋体"/>
          <w:b/>
          <w:bCs/>
          <w:color w:val="auto"/>
          <w:sz w:val="21"/>
        </w:rPr>
        <w:t>二、投诉项目基本情况：</w:t>
      </w:r>
    </w:p>
    <w:p w14:paraId="577D786E">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bCs/>
          <w:color w:val="auto"/>
          <w:sz w:val="21"/>
        </w:rPr>
        <w:t>采购</w:t>
      </w:r>
      <w:r>
        <w:rPr>
          <w:rFonts w:hint="eastAsia" w:ascii="宋体" w:hAnsi="宋体" w:eastAsia="宋体" w:cs="宋体"/>
          <w:color w:val="auto"/>
          <w:sz w:val="21"/>
        </w:rPr>
        <w:t>项目的名称：</w:t>
      </w:r>
      <w:r>
        <w:rPr>
          <w:rFonts w:hint="eastAsia" w:ascii="宋体" w:hAnsi="宋体" w:eastAsia="宋体" w:cs="宋体"/>
          <w:bCs/>
          <w:color w:val="auto"/>
          <w:sz w:val="21"/>
          <w:u w:val="single"/>
        </w:rPr>
        <w:t xml:space="preserve">                                                                   </w:t>
      </w:r>
    </w:p>
    <w:p w14:paraId="114C53E5">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bCs/>
          <w:color w:val="auto"/>
          <w:sz w:val="21"/>
        </w:rPr>
        <w:t>采购</w:t>
      </w:r>
      <w:r>
        <w:rPr>
          <w:rFonts w:hint="eastAsia" w:ascii="宋体" w:hAnsi="宋体" w:eastAsia="宋体" w:cs="宋体"/>
          <w:color w:val="auto"/>
          <w:sz w:val="21"/>
        </w:rPr>
        <w:t>项目的编号：</w:t>
      </w:r>
      <w:r>
        <w:rPr>
          <w:rFonts w:hint="eastAsia" w:ascii="宋体" w:hAnsi="宋体" w:eastAsia="宋体" w:cs="宋体"/>
          <w:bCs/>
          <w:color w:val="auto"/>
          <w:sz w:val="21"/>
          <w:u w:val="single"/>
        </w:rPr>
        <w:t xml:space="preserve">                                          </w:t>
      </w:r>
    </w:p>
    <w:p w14:paraId="1EDCC4A2">
      <w:pPr>
        <w:pStyle w:val="19"/>
        <w:spacing w:line="360" w:lineRule="auto"/>
        <w:ind w:left="25" w:leftChars="12" w:firstLine="413" w:firstLineChars="197"/>
        <w:rPr>
          <w:rFonts w:hint="eastAsia" w:ascii="宋体" w:hAnsi="宋体" w:eastAsia="宋体" w:cs="宋体"/>
          <w:bCs/>
          <w:color w:val="auto"/>
          <w:sz w:val="21"/>
          <w:u w:val="single"/>
        </w:rPr>
      </w:pPr>
      <w:r>
        <w:rPr>
          <w:rFonts w:hint="eastAsia" w:ascii="宋体" w:hAnsi="宋体" w:eastAsia="宋体" w:cs="宋体"/>
          <w:color w:val="auto"/>
          <w:sz w:val="21"/>
        </w:rPr>
        <w:t>采购人名称：</w:t>
      </w:r>
      <w:r>
        <w:rPr>
          <w:rFonts w:hint="eastAsia" w:ascii="宋体" w:hAnsi="宋体" w:eastAsia="宋体" w:cs="宋体"/>
          <w:bCs/>
          <w:color w:val="auto"/>
          <w:sz w:val="21"/>
          <w:u w:val="single"/>
        </w:rPr>
        <w:t xml:space="preserve">                                                                        </w:t>
      </w:r>
    </w:p>
    <w:p w14:paraId="0805E75D">
      <w:pPr>
        <w:pStyle w:val="19"/>
        <w:spacing w:line="360" w:lineRule="auto"/>
        <w:ind w:left="25" w:leftChars="12" w:firstLine="413" w:firstLineChars="197"/>
        <w:rPr>
          <w:rFonts w:hint="eastAsia" w:ascii="宋体" w:hAnsi="宋体" w:eastAsia="宋体" w:cs="宋体"/>
          <w:bCs/>
          <w:color w:val="auto"/>
          <w:sz w:val="21"/>
          <w:u w:val="single"/>
        </w:rPr>
      </w:pPr>
      <w:r>
        <w:rPr>
          <w:rFonts w:hint="eastAsia" w:ascii="宋体" w:hAnsi="宋体" w:eastAsia="宋体" w:cs="宋体"/>
          <w:color w:val="auto"/>
          <w:sz w:val="21"/>
        </w:rPr>
        <w:t>代理机构名称：</w:t>
      </w:r>
      <w:r>
        <w:rPr>
          <w:rFonts w:hint="eastAsia" w:ascii="宋体" w:hAnsi="宋体" w:eastAsia="宋体" w:cs="宋体"/>
          <w:bCs/>
          <w:color w:val="auto"/>
          <w:sz w:val="21"/>
          <w:u w:val="single"/>
        </w:rPr>
        <w:t xml:space="preserve">                                                                      </w:t>
      </w:r>
    </w:p>
    <w:p w14:paraId="68D2018E">
      <w:pPr>
        <w:pStyle w:val="19"/>
        <w:spacing w:line="360" w:lineRule="auto"/>
        <w:ind w:left="25" w:leftChars="12" w:firstLine="413" w:firstLineChars="197"/>
        <w:rPr>
          <w:rFonts w:hint="eastAsia" w:ascii="宋体" w:hAnsi="宋体" w:eastAsia="宋体" w:cs="宋体"/>
          <w:bCs/>
          <w:color w:val="auto"/>
          <w:sz w:val="21"/>
          <w:u w:val="single"/>
        </w:rPr>
      </w:pPr>
      <w:r>
        <w:rPr>
          <w:rFonts w:hint="eastAsia" w:ascii="宋体" w:hAnsi="宋体" w:eastAsia="宋体" w:cs="宋体"/>
          <w:bCs/>
          <w:color w:val="auto"/>
          <w:sz w:val="21"/>
        </w:rPr>
        <w:t>采购文件公告：</w:t>
      </w:r>
      <w:r>
        <w:rPr>
          <w:rFonts w:hint="eastAsia" w:ascii="宋体" w:hAnsi="宋体" w:eastAsia="宋体" w:cs="宋体"/>
          <w:bCs/>
          <w:color w:val="auto"/>
          <w:sz w:val="21"/>
          <w:u w:val="single"/>
        </w:rPr>
        <w:t>是/否</w:t>
      </w:r>
      <w:r>
        <w:rPr>
          <w:rFonts w:hint="eastAsia" w:ascii="宋体" w:hAnsi="宋体" w:eastAsia="宋体" w:cs="宋体"/>
          <w:bCs/>
          <w:color w:val="auto"/>
          <w:sz w:val="21"/>
        </w:rPr>
        <w:t>公告期限：</w:t>
      </w:r>
      <w:r>
        <w:rPr>
          <w:rFonts w:hint="eastAsia" w:ascii="宋体" w:hAnsi="宋体" w:eastAsia="宋体" w:cs="宋体"/>
          <w:bCs/>
          <w:color w:val="auto"/>
          <w:sz w:val="21"/>
          <w:u w:val="single"/>
        </w:rPr>
        <w:t xml:space="preserve">                                                       </w:t>
      </w:r>
    </w:p>
    <w:p w14:paraId="0E652A0E">
      <w:pPr>
        <w:pStyle w:val="19"/>
        <w:spacing w:line="360" w:lineRule="auto"/>
        <w:ind w:left="25" w:leftChars="12" w:firstLine="413" w:firstLineChars="197"/>
        <w:rPr>
          <w:rFonts w:hint="eastAsia" w:ascii="宋体" w:hAnsi="宋体" w:eastAsia="宋体" w:cs="宋体"/>
          <w:b/>
          <w:color w:val="auto"/>
          <w:sz w:val="21"/>
        </w:rPr>
      </w:pPr>
      <w:r>
        <w:rPr>
          <w:rFonts w:hint="eastAsia" w:ascii="宋体" w:hAnsi="宋体" w:eastAsia="宋体" w:cs="宋体"/>
          <w:bCs/>
          <w:color w:val="auto"/>
          <w:sz w:val="21"/>
        </w:rPr>
        <w:t>采购结果公告：</w:t>
      </w:r>
      <w:r>
        <w:rPr>
          <w:rFonts w:hint="eastAsia" w:ascii="宋体" w:hAnsi="宋体" w:eastAsia="宋体" w:cs="宋体"/>
          <w:bCs/>
          <w:color w:val="auto"/>
          <w:sz w:val="21"/>
          <w:u w:val="single"/>
        </w:rPr>
        <w:t>是/否</w:t>
      </w:r>
      <w:r>
        <w:rPr>
          <w:rFonts w:hint="eastAsia" w:ascii="宋体" w:hAnsi="宋体" w:eastAsia="宋体" w:cs="宋体"/>
          <w:bCs/>
          <w:color w:val="auto"/>
          <w:sz w:val="21"/>
        </w:rPr>
        <w:t>公告期限：</w:t>
      </w:r>
      <w:r>
        <w:rPr>
          <w:rFonts w:hint="eastAsia" w:ascii="宋体" w:hAnsi="宋体" w:eastAsia="宋体" w:cs="宋体"/>
          <w:bCs/>
          <w:color w:val="auto"/>
          <w:sz w:val="21"/>
          <w:u w:val="single"/>
        </w:rPr>
        <w:t xml:space="preserve">                                                       </w:t>
      </w:r>
    </w:p>
    <w:p w14:paraId="718178CC">
      <w:pPr>
        <w:pStyle w:val="19"/>
        <w:spacing w:line="360" w:lineRule="auto"/>
        <w:ind w:left="25" w:leftChars="12" w:firstLine="413" w:firstLineChars="196"/>
        <w:rPr>
          <w:rFonts w:hint="eastAsia" w:ascii="宋体" w:hAnsi="宋体" w:eastAsia="宋体" w:cs="宋体"/>
          <w:b/>
          <w:color w:val="auto"/>
          <w:sz w:val="21"/>
        </w:rPr>
      </w:pPr>
      <w:r>
        <w:rPr>
          <w:rFonts w:hint="eastAsia" w:ascii="宋体" w:hAnsi="宋体" w:eastAsia="宋体" w:cs="宋体"/>
          <w:b/>
          <w:color w:val="auto"/>
          <w:sz w:val="21"/>
        </w:rPr>
        <w:t>三、质疑基本情况</w:t>
      </w:r>
    </w:p>
    <w:p w14:paraId="7B0264D7">
      <w:pPr>
        <w:pStyle w:val="19"/>
        <w:spacing w:line="360" w:lineRule="auto"/>
        <w:ind w:left="23" w:leftChars="11" w:firstLine="472" w:firstLineChars="225"/>
        <w:rPr>
          <w:rFonts w:hint="eastAsia" w:ascii="宋体" w:hAnsi="宋体" w:eastAsia="宋体" w:cs="宋体"/>
          <w:color w:val="auto"/>
          <w:sz w:val="21"/>
        </w:rPr>
      </w:pPr>
      <w:r>
        <w:rPr>
          <w:rFonts w:hint="eastAsia" w:ascii="宋体" w:hAnsi="宋体" w:eastAsia="宋体" w:cs="宋体"/>
          <w:color w:val="auto"/>
          <w:sz w:val="21"/>
        </w:rPr>
        <w:t>投诉人于</w:t>
      </w:r>
      <w:r>
        <w:rPr>
          <w:rFonts w:hint="eastAsia" w:ascii="宋体" w:hAnsi="宋体" w:eastAsia="宋体" w:cs="宋体"/>
          <w:color w:val="auto"/>
          <w:sz w:val="21"/>
          <w:u w:val="single"/>
        </w:rPr>
        <w:t xml:space="preserve">      </w:t>
      </w:r>
      <w:r>
        <w:rPr>
          <w:rFonts w:hint="eastAsia" w:ascii="宋体" w:hAnsi="宋体" w:eastAsia="宋体" w:cs="宋体"/>
          <w:color w:val="auto"/>
          <w:sz w:val="21"/>
        </w:rPr>
        <w:t>年</w:t>
      </w:r>
      <w:r>
        <w:rPr>
          <w:rFonts w:hint="eastAsia" w:ascii="宋体" w:hAnsi="宋体" w:eastAsia="宋体" w:cs="宋体"/>
          <w:color w:val="auto"/>
          <w:sz w:val="21"/>
          <w:u w:val="single"/>
        </w:rPr>
        <w:t xml:space="preserve">   </w:t>
      </w:r>
      <w:r>
        <w:rPr>
          <w:rFonts w:hint="eastAsia" w:ascii="宋体" w:hAnsi="宋体" w:eastAsia="宋体" w:cs="宋体"/>
          <w:color w:val="auto"/>
          <w:sz w:val="21"/>
        </w:rPr>
        <w:t>月</w:t>
      </w:r>
      <w:r>
        <w:rPr>
          <w:rFonts w:hint="eastAsia" w:ascii="宋体" w:hAnsi="宋体" w:eastAsia="宋体" w:cs="宋体"/>
          <w:color w:val="auto"/>
          <w:sz w:val="21"/>
          <w:u w:val="single"/>
        </w:rPr>
        <w:t xml:space="preserve">   </w:t>
      </w:r>
      <w:r>
        <w:rPr>
          <w:rFonts w:hint="eastAsia" w:ascii="宋体" w:hAnsi="宋体" w:eastAsia="宋体" w:cs="宋体"/>
          <w:color w:val="auto"/>
          <w:sz w:val="21"/>
        </w:rPr>
        <w:t>日，向</w:t>
      </w:r>
      <w:r>
        <w:rPr>
          <w:rFonts w:hint="eastAsia" w:ascii="宋体" w:hAnsi="宋体" w:eastAsia="宋体" w:cs="宋体"/>
          <w:color w:val="auto"/>
          <w:sz w:val="21"/>
          <w:u w:val="single"/>
        </w:rPr>
        <w:t xml:space="preserve">                                </w:t>
      </w:r>
      <w:r>
        <w:rPr>
          <w:rFonts w:hint="eastAsia" w:ascii="宋体" w:hAnsi="宋体" w:eastAsia="宋体" w:cs="宋体"/>
          <w:color w:val="auto"/>
          <w:sz w:val="21"/>
        </w:rPr>
        <w:t>提出质疑，质疑事项为：</w:t>
      </w:r>
    </w:p>
    <w:p w14:paraId="1D7C8F69">
      <w:pPr>
        <w:pStyle w:val="19"/>
        <w:spacing w:line="360" w:lineRule="auto"/>
        <w:ind w:left="23" w:leftChars="11" w:firstLine="472" w:firstLineChars="225"/>
        <w:rPr>
          <w:rFonts w:hint="eastAsia" w:ascii="宋体" w:hAnsi="宋体" w:eastAsia="宋体" w:cs="宋体"/>
          <w:bCs/>
          <w:color w:val="auto"/>
          <w:sz w:val="21"/>
          <w:u w:val="single"/>
        </w:rPr>
      </w:pPr>
      <w:r>
        <w:rPr>
          <w:rFonts w:hint="eastAsia" w:ascii="宋体" w:hAnsi="宋体" w:eastAsia="宋体" w:cs="宋体"/>
          <w:color w:val="auto"/>
          <w:sz w:val="21"/>
        </w:rPr>
        <w:t xml:space="preserve">    </w:t>
      </w:r>
      <w:r>
        <w:rPr>
          <w:rFonts w:hint="eastAsia" w:ascii="宋体" w:hAnsi="宋体" w:eastAsia="宋体" w:cs="宋体"/>
          <w:bCs/>
          <w:color w:val="auto"/>
          <w:sz w:val="21"/>
          <w:u w:val="single"/>
        </w:rPr>
        <w:t xml:space="preserve">                                                                                      </w:t>
      </w:r>
    </w:p>
    <w:p w14:paraId="53BDD824">
      <w:pPr>
        <w:pStyle w:val="19"/>
        <w:spacing w:line="360" w:lineRule="auto"/>
        <w:ind w:left="23" w:leftChars="11" w:firstLine="472" w:firstLineChars="225"/>
        <w:rPr>
          <w:rFonts w:hint="eastAsia" w:ascii="宋体" w:hAnsi="宋体" w:eastAsia="宋体" w:cs="宋体"/>
          <w:bCs/>
          <w:color w:val="auto"/>
          <w:sz w:val="21"/>
          <w:u w:val="single"/>
        </w:rPr>
      </w:pPr>
      <w:r>
        <w:rPr>
          <w:rFonts w:hint="eastAsia" w:ascii="宋体" w:hAnsi="宋体" w:eastAsia="宋体" w:cs="宋体"/>
          <w:bCs/>
          <w:color w:val="auto"/>
          <w:sz w:val="21"/>
        </w:rPr>
        <w:t xml:space="preserve">    </w:t>
      </w:r>
      <w:r>
        <w:rPr>
          <w:rFonts w:hint="eastAsia" w:ascii="宋体" w:hAnsi="宋体" w:eastAsia="宋体" w:cs="宋体"/>
          <w:bCs/>
          <w:color w:val="auto"/>
          <w:sz w:val="21"/>
          <w:u w:val="single"/>
        </w:rPr>
        <w:t xml:space="preserve">                                                                                      </w:t>
      </w:r>
    </w:p>
    <w:p w14:paraId="5F66BA7A">
      <w:pPr>
        <w:pStyle w:val="19"/>
        <w:spacing w:line="360" w:lineRule="auto"/>
        <w:ind w:left="23" w:leftChars="11" w:firstLine="472" w:firstLineChars="225"/>
        <w:rPr>
          <w:rFonts w:hint="eastAsia" w:ascii="宋体" w:hAnsi="宋体" w:eastAsia="宋体" w:cs="宋体"/>
          <w:color w:val="auto"/>
          <w:sz w:val="21"/>
        </w:rPr>
      </w:pPr>
      <w:r>
        <w:rPr>
          <w:rFonts w:hint="eastAsia" w:ascii="宋体" w:hAnsi="宋体" w:eastAsia="宋体" w:cs="宋体"/>
          <w:bCs/>
          <w:color w:val="auto"/>
          <w:sz w:val="21"/>
          <w:u w:val="single"/>
        </w:rPr>
        <w:t>采购人/代理机构</w:t>
      </w:r>
      <w:r>
        <w:rPr>
          <w:rFonts w:hint="eastAsia" w:ascii="宋体" w:hAnsi="宋体" w:eastAsia="宋体" w:cs="宋体"/>
          <w:bCs/>
          <w:color w:val="auto"/>
          <w:sz w:val="21"/>
        </w:rPr>
        <w:t>于</w:t>
      </w:r>
      <w:r>
        <w:rPr>
          <w:rFonts w:hint="eastAsia" w:ascii="宋体" w:hAnsi="宋体" w:eastAsia="宋体" w:cs="宋体"/>
          <w:color w:val="auto"/>
          <w:sz w:val="21"/>
          <w:u w:val="single"/>
        </w:rPr>
        <w:t xml:space="preserve">      </w:t>
      </w:r>
      <w:r>
        <w:rPr>
          <w:rFonts w:hint="eastAsia" w:ascii="宋体" w:hAnsi="宋体" w:eastAsia="宋体" w:cs="宋体"/>
          <w:color w:val="auto"/>
          <w:sz w:val="21"/>
        </w:rPr>
        <w:t>年</w:t>
      </w:r>
      <w:r>
        <w:rPr>
          <w:rFonts w:hint="eastAsia" w:ascii="宋体" w:hAnsi="宋体" w:eastAsia="宋体" w:cs="宋体"/>
          <w:color w:val="auto"/>
          <w:sz w:val="21"/>
          <w:u w:val="single"/>
        </w:rPr>
        <w:t xml:space="preserve">   </w:t>
      </w:r>
      <w:r>
        <w:rPr>
          <w:rFonts w:hint="eastAsia" w:ascii="宋体" w:hAnsi="宋体" w:eastAsia="宋体" w:cs="宋体"/>
          <w:color w:val="auto"/>
          <w:sz w:val="21"/>
        </w:rPr>
        <w:t>月</w:t>
      </w:r>
      <w:r>
        <w:rPr>
          <w:rFonts w:hint="eastAsia" w:ascii="宋体" w:hAnsi="宋体" w:eastAsia="宋体" w:cs="宋体"/>
          <w:color w:val="auto"/>
          <w:sz w:val="21"/>
          <w:u w:val="single"/>
        </w:rPr>
        <w:t xml:space="preserve">   </w:t>
      </w:r>
      <w:r>
        <w:rPr>
          <w:rFonts w:hint="eastAsia" w:ascii="宋体" w:hAnsi="宋体" w:eastAsia="宋体" w:cs="宋体"/>
          <w:color w:val="auto"/>
          <w:sz w:val="21"/>
        </w:rPr>
        <w:t>日，</w:t>
      </w:r>
      <w:r>
        <w:rPr>
          <w:rFonts w:hint="eastAsia" w:ascii="宋体" w:hAnsi="宋体" w:eastAsia="宋体" w:cs="宋体"/>
          <w:bCs/>
          <w:color w:val="auto"/>
          <w:sz w:val="21"/>
        </w:rPr>
        <w:t xml:space="preserve">就质疑事项作出了答复/没有在法定期限内作出答复。                                                                                             </w:t>
      </w:r>
    </w:p>
    <w:p w14:paraId="1FE2DEE8">
      <w:pPr>
        <w:pStyle w:val="19"/>
        <w:spacing w:line="360" w:lineRule="auto"/>
        <w:ind w:left="25" w:leftChars="12" w:firstLine="413" w:firstLineChars="196"/>
        <w:rPr>
          <w:rFonts w:hint="eastAsia" w:ascii="宋体" w:hAnsi="宋体" w:eastAsia="宋体" w:cs="宋体"/>
          <w:b/>
          <w:color w:val="auto"/>
          <w:sz w:val="21"/>
        </w:rPr>
      </w:pPr>
      <w:r>
        <w:rPr>
          <w:rFonts w:hint="eastAsia" w:ascii="宋体" w:hAnsi="宋体" w:eastAsia="宋体" w:cs="宋体"/>
          <w:b/>
          <w:color w:val="auto"/>
          <w:sz w:val="21"/>
        </w:rPr>
        <w:t>四、投诉事项具体内容</w:t>
      </w:r>
    </w:p>
    <w:p w14:paraId="3CFD33A1">
      <w:pPr>
        <w:pStyle w:val="19"/>
        <w:spacing w:line="360" w:lineRule="auto"/>
        <w:ind w:left="25" w:leftChars="12" w:firstLine="413" w:firstLineChars="197"/>
        <w:rPr>
          <w:rFonts w:hint="eastAsia" w:ascii="宋体" w:hAnsi="宋体" w:eastAsia="宋体" w:cs="宋体"/>
          <w:bCs/>
          <w:color w:val="auto"/>
          <w:sz w:val="21"/>
          <w:u w:val="single"/>
        </w:rPr>
      </w:pPr>
      <w:r>
        <w:rPr>
          <w:rFonts w:hint="eastAsia" w:ascii="宋体" w:hAnsi="宋体" w:eastAsia="宋体" w:cs="宋体"/>
          <w:color w:val="auto"/>
          <w:sz w:val="21"/>
        </w:rPr>
        <w:t>投诉事项1：</w:t>
      </w:r>
      <w:r>
        <w:rPr>
          <w:rFonts w:hint="eastAsia" w:ascii="宋体" w:hAnsi="宋体" w:eastAsia="宋体" w:cs="宋体"/>
          <w:bCs/>
          <w:color w:val="auto"/>
          <w:sz w:val="21"/>
          <w:u w:val="single"/>
        </w:rPr>
        <w:t xml:space="preserve">                                                                           </w:t>
      </w:r>
    </w:p>
    <w:p w14:paraId="77170A3A">
      <w:pPr>
        <w:pStyle w:val="19"/>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事实依据：</w:t>
      </w:r>
      <w:r>
        <w:rPr>
          <w:rFonts w:hint="eastAsia" w:ascii="宋体" w:hAnsi="宋体" w:eastAsia="宋体" w:cs="宋体"/>
          <w:color w:val="auto"/>
          <w:sz w:val="21"/>
        </w:rPr>
        <w:t xml:space="preserve"> </w:t>
      </w:r>
      <w:r>
        <w:rPr>
          <w:rFonts w:hint="eastAsia" w:ascii="宋体" w:hAnsi="宋体" w:eastAsia="宋体" w:cs="宋体"/>
          <w:bCs/>
          <w:color w:val="auto"/>
          <w:sz w:val="21"/>
          <w:u w:val="single"/>
        </w:rPr>
        <w:t xml:space="preserve">                                                                                      </w:t>
      </w:r>
    </w:p>
    <w:p w14:paraId="1F1D929D">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bCs/>
          <w:color w:val="auto"/>
          <w:sz w:val="21"/>
          <w:u w:val="single"/>
        </w:rPr>
        <w:t xml:space="preserve">                                                                                        </w:t>
      </w:r>
    </w:p>
    <w:p w14:paraId="68E23E87">
      <w:pPr>
        <w:pStyle w:val="19"/>
        <w:spacing w:line="360" w:lineRule="auto"/>
        <w:ind w:firstLine="420" w:firstLineChars="200"/>
        <w:rPr>
          <w:rFonts w:hint="eastAsia" w:ascii="宋体" w:hAnsi="宋体" w:eastAsia="宋体" w:cs="宋体"/>
          <w:bCs/>
          <w:color w:val="auto"/>
          <w:sz w:val="21"/>
          <w:u w:val="single"/>
        </w:rPr>
      </w:pPr>
      <w:r>
        <w:rPr>
          <w:rFonts w:hint="eastAsia" w:ascii="宋体" w:hAnsi="宋体" w:eastAsia="宋体" w:cs="宋体"/>
          <w:bCs/>
          <w:color w:val="auto"/>
          <w:sz w:val="21"/>
        </w:rPr>
        <w:t>法律依据：</w:t>
      </w:r>
      <w:r>
        <w:rPr>
          <w:rFonts w:hint="eastAsia" w:ascii="宋体" w:hAnsi="宋体" w:eastAsia="宋体" w:cs="宋体"/>
          <w:color w:val="auto"/>
          <w:sz w:val="21"/>
        </w:rPr>
        <w:t xml:space="preserve"> </w:t>
      </w:r>
      <w:r>
        <w:rPr>
          <w:rFonts w:hint="eastAsia" w:ascii="宋体" w:hAnsi="宋体" w:eastAsia="宋体" w:cs="宋体"/>
          <w:bCs/>
          <w:color w:val="auto"/>
          <w:sz w:val="21"/>
          <w:u w:val="single"/>
        </w:rPr>
        <w:t xml:space="preserve">                                                                                      </w:t>
      </w:r>
    </w:p>
    <w:p w14:paraId="528D0143">
      <w:pPr>
        <w:pStyle w:val="19"/>
        <w:spacing w:line="360" w:lineRule="auto"/>
        <w:ind w:left="25" w:leftChars="12" w:firstLine="308" w:firstLineChars="147"/>
        <w:rPr>
          <w:rFonts w:hint="eastAsia" w:ascii="宋体" w:hAnsi="宋体" w:eastAsia="宋体" w:cs="宋体"/>
          <w:bCs/>
          <w:color w:val="auto"/>
          <w:sz w:val="21"/>
          <w:u w:val="single"/>
        </w:rPr>
      </w:pPr>
      <w:r>
        <w:rPr>
          <w:rFonts w:hint="eastAsia" w:ascii="宋体" w:hAnsi="宋体" w:eastAsia="宋体" w:cs="宋体"/>
          <w:bCs/>
          <w:color w:val="auto"/>
          <w:sz w:val="21"/>
        </w:rPr>
        <w:t xml:space="preserve"> </w:t>
      </w:r>
      <w:r>
        <w:rPr>
          <w:rFonts w:hint="eastAsia" w:ascii="宋体" w:hAnsi="宋体" w:eastAsia="宋体" w:cs="宋体"/>
          <w:bCs/>
          <w:color w:val="auto"/>
          <w:sz w:val="21"/>
          <w:u w:val="single"/>
        </w:rPr>
        <w:t xml:space="preserve">                                                                                        </w:t>
      </w:r>
    </w:p>
    <w:p w14:paraId="77854FFA">
      <w:pPr>
        <w:pStyle w:val="19"/>
        <w:spacing w:line="360" w:lineRule="auto"/>
        <w:ind w:left="25" w:leftChars="12" w:firstLine="413" w:firstLineChars="197"/>
        <w:rPr>
          <w:rFonts w:hint="eastAsia" w:ascii="宋体" w:hAnsi="宋体" w:eastAsia="宋体" w:cs="宋体"/>
          <w:bCs/>
          <w:color w:val="auto"/>
          <w:sz w:val="21"/>
        </w:rPr>
      </w:pPr>
      <w:r>
        <w:rPr>
          <w:rFonts w:hint="eastAsia" w:ascii="宋体" w:hAnsi="宋体" w:eastAsia="宋体" w:cs="宋体"/>
          <w:color w:val="auto"/>
          <w:sz w:val="21"/>
        </w:rPr>
        <w:t xml:space="preserve">投诉事项2  </w:t>
      </w:r>
      <w:r>
        <w:rPr>
          <w:rFonts w:hint="eastAsia" w:ascii="宋体" w:hAnsi="宋体" w:eastAsia="宋体" w:cs="宋体"/>
          <w:bCs/>
          <w:color w:val="auto"/>
          <w:sz w:val="21"/>
        </w:rPr>
        <w:t xml:space="preserve">   </w:t>
      </w:r>
    </w:p>
    <w:p w14:paraId="5C85F75C">
      <w:pPr>
        <w:pStyle w:val="19"/>
        <w:spacing w:line="360" w:lineRule="auto"/>
        <w:ind w:left="25" w:leftChars="12" w:firstLine="413" w:firstLineChars="197"/>
        <w:rPr>
          <w:rFonts w:hint="eastAsia" w:ascii="宋体" w:hAnsi="宋体" w:eastAsia="宋体" w:cs="宋体"/>
          <w:bCs/>
          <w:color w:val="auto"/>
          <w:sz w:val="21"/>
        </w:rPr>
      </w:pPr>
      <w:r>
        <w:rPr>
          <w:rFonts w:hint="eastAsia" w:ascii="宋体" w:hAnsi="宋体" w:eastAsia="宋体" w:cs="宋体"/>
          <w:bCs/>
          <w:color w:val="auto"/>
          <w:sz w:val="21"/>
        </w:rPr>
        <w:t>……</w:t>
      </w:r>
    </w:p>
    <w:p w14:paraId="6CAD5D86">
      <w:pPr>
        <w:pStyle w:val="19"/>
        <w:spacing w:line="360" w:lineRule="auto"/>
        <w:ind w:left="25" w:leftChars="12" w:firstLine="413" w:firstLineChars="196"/>
        <w:rPr>
          <w:rFonts w:hint="eastAsia" w:ascii="宋体" w:hAnsi="宋体" w:eastAsia="宋体" w:cs="宋体"/>
          <w:b/>
          <w:color w:val="auto"/>
          <w:sz w:val="21"/>
        </w:rPr>
      </w:pPr>
      <w:r>
        <w:rPr>
          <w:rFonts w:hint="eastAsia" w:ascii="宋体" w:hAnsi="宋体" w:eastAsia="宋体" w:cs="宋体"/>
          <w:b/>
          <w:color w:val="auto"/>
          <w:sz w:val="21"/>
        </w:rPr>
        <w:t>五、与投诉事项相关的投诉请求：</w:t>
      </w:r>
    </w:p>
    <w:p w14:paraId="77EBB812">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color w:val="auto"/>
          <w:sz w:val="21"/>
        </w:rPr>
        <w:t>请求：</w:t>
      </w:r>
      <w:r>
        <w:rPr>
          <w:rFonts w:hint="eastAsia" w:ascii="宋体" w:hAnsi="宋体" w:eastAsia="宋体" w:cs="宋体"/>
          <w:bCs/>
          <w:color w:val="auto"/>
          <w:sz w:val="21"/>
          <w:u w:val="single"/>
        </w:rPr>
        <w:t xml:space="preserve">                                                                                 </w:t>
      </w:r>
    </w:p>
    <w:p w14:paraId="2299481A">
      <w:pPr>
        <w:pStyle w:val="19"/>
        <w:spacing w:line="360" w:lineRule="auto"/>
        <w:ind w:left="25" w:leftChars="12" w:firstLine="308" w:firstLineChars="147"/>
        <w:rPr>
          <w:rFonts w:hint="eastAsia" w:ascii="宋体" w:hAnsi="宋体" w:eastAsia="宋体" w:cs="宋体"/>
          <w:color w:val="auto"/>
          <w:sz w:val="21"/>
        </w:rPr>
      </w:pPr>
    </w:p>
    <w:p w14:paraId="32B9D3E8">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color w:val="auto"/>
          <w:sz w:val="21"/>
        </w:rPr>
        <w:t>签字（签章）：                                       公章：</w:t>
      </w:r>
    </w:p>
    <w:p w14:paraId="3ADCA38F">
      <w:pPr>
        <w:pStyle w:val="19"/>
        <w:spacing w:line="360" w:lineRule="auto"/>
        <w:ind w:left="25" w:leftChars="12" w:firstLine="308" w:firstLineChars="147"/>
        <w:rPr>
          <w:rFonts w:hint="eastAsia" w:ascii="宋体" w:hAnsi="宋体" w:eastAsia="宋体" w:cs="宋体"/>
          <w:color w:val="auto"/>
          <w:sz w:val="21"/>
        </w:rPr>
      </w:pPr>
    </w:p>
    <w:p w14:paraId="02B5719D">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color w:val="auto"/>
          <w:sz w:val="21"/>
        </w:rPr>
        <w:t>日期：</w:t>
      </w:r>
    </w:p>
    <w:p w14:paraId="75B94FF6">
      <w:pPr>
        <w:pStyle w:val="19"/>
        <w:spacing w:line="360" w:lineRule="auto"/>
        <w:ind w:left="25" w:leftChars="12" w:firstLine="413" w:firstLineChars="197"/>
        <w:rPr>
          <w:rFonts w:hint="eastAsia" w:ascii="宋体" w:hAnsi="宋体" w:eastAsia="宋体" w:cs="宋体"/>
          <w:color w:val="auto"/>
          <w:sz w:val="21"/>
        </w:rPr>
      </w:pPr>
      <w:r>
        <w:rPr>
          <w:rFonts w:hint="eastAsia" w:ascii="宋体" w:hAnsi="宋体" w:eastAsia="宋体" w:cs="宋体"/>
          <w:bCs/>
          <w:color w:val="auto"/>
          <w:sz w:val="21"/>
        </w:rPr>
        <w:t xml:space="preserve">                                                                                 </w:t>
      </w:r>
    </w:p>
    <w:p w14:paraId="586F7CDE">
      <w:pPr>
        <w:pStyle w:val="19"/>
        <w:snapToGrid w:val="0"/>
        <w:spacing w:line="360" w:lineRule="auto"/>
        <w:rPr>
          <w:rFonts w:hint="eastAsia" w:ascii="宋体" w:hAnsi="宋体" w:eastAsia="宋体" w:cs="宋体"/>
          <w:b/>
          <w:color w:val="auto"/>
          <w:sz w:val="21"/>
        </w:rPr>
      </w:pPr>
    </w:p>
    <w:p w14:paraId="096BB5FB">
      <w:pPr>
        <w:pStyle w:val="19"/>
        <w:snapToGrid w:val="0"/>
        <w:spacing w:line="360" w:lineRule="auto"/>
        <w:rPr>
          <w:rFonts w:hint="eastAsia" w:ascii="宋体" w:hAnsi="宋体" w:eastAsia="宋体" w:cs="宋体"/>
          <w:b/>
          <w:color w:val="auto"/>
          <w:sz w:val="21"/>
        </w:rPr>
      </w:pPr>
      <w:r>
        <w:rPr>
          <w:rFonts w:hint="eastAsia" w:ascii="宋体" w:hAnsi="宋体" w:eastAsia="宋体" w:cs="宋体"/>
          <w:b/>
          <w:color w:val="auto"/>
          <w:sz w:val="21"/>
        </w:rPr>
        <w:t>说明：</w:t>
      </w:r>
    </w:p>
    <w:p w14:paraId="40529667">
      <w:pPr>
        <w:pStyle w:val="19"/>
        <w:spacing w:line="360" w:lineRule="auto"/>
        <w:ind w:left="25" w:leftChars="12" w:firstLine="310" w:firstLineChars="147"/>
        <w:rPr>
          <w:rFonts w:hint="eastAsia" w:ascii="宋体" w:hAnsi="宋体" w:eastAsia="宋体" w:cs="宋体"/>
          <w:b/>
          <w:bCs/>
          <w:color w:val="auto"/>
          <w:sz w:val="21"/>
        </w:rPr>
      </w:pPr>
      <w:r>
        <w:rPr>
          <w:rFonts w:hint="eastAsia" w:ascii="宋体" w:hAnsi="宋体" w:eastAsia="宋体" w:cs="宋体"/>
          <w:b/>
          <w:color w:val="auto"/>
          <w:sz w:val="21"/>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1"/>
        </w:rPr>
        <w:t>。</w:t>
      </w:r>
    </w:p>
    <w:p w14:paraId="15072072">
      <w:pPr>
        <w:pStyle w:val="19"/>
        <w:spacing w:line="360" w:lineRule="auto"/>
        <w:ind w:left="25" w:leftChars="12" w:firstLine="310" w:firstLineChars="147"/>
        <w:rPr>
          <w:rFonts w:hint="eastAsia" w:ascii="宋体" w:hAnsi="宋体" w:eastAsia="宋体" w:cs="宋体"/>
          <w:b/>
          <w:color w:val="auto"/>
          <w:sz w:val="21"/>
        </w:rPr>
      </w:pPr>
      <w:r>
        <w:rPr>
          <w:rFonts w:hint="eastAsia" w:ascii="宋体" w:hAnsi="宋体" w:eastAsia="宋体" w:cs="宋体"/>
          <w:b/>
          <w:color w:val="auto"/>
          <w:sz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2A3BEDC">
      <w:pPr>
        <w:pStyle w:val="19"/>
        <w:spacing w:line="360" w:lineRule="auto"/>
        <w:ind w:left="25" w:leftChars="12" w:firstLine="310" w:firstLineChars="147"/>
        <w:rPr>
          <w:rFonts w:hint="eastAsia" w:ascii="宋体" w:hAnsi="宋体" w:eastAsia="宋体" w:cs="宋体"/>
          <w:b/>
          <w:color w:val="auto"/>
          <w:sz w:val="21"/>
        </w:rPr>
      </w:pPr>
      <w:r>
        <w:rPr>
          <w:rFonts w:hint="eastAsia" w:ascii="宋体" w:hAnsi="宋体" w:eastAsia="宋体" w:cs="宋体"/>
          <w:b/>
          <w:color w:val="auto"/>
          <w:sz w:val="21"/>
        </w:rPr>
        <w:t>3.投诉书应简要列明质疑事项，质疑函、质疑答复等作为附件材料提供。</w:t>
      </w:r>
    </w:p>
    <w:p w14:paraId="00AECC21">
      <w:pPr>
        <w:pStyle w:val="19"/>
        <w:spacing w:line="360" w:lineRule="auto"/>
        <w:ind w:left="25" w:leftChars="12" w:firstLine="310" w:firstLineChars="147"/>
        <w:rPr>
          <w:rFonts w:hint="eastAsia" w:ascii="宋体" w:hAnsi="宋体" w:eastAsia="宋体" w:cs="宋体"/>
          <w:b/>
          <w:color w:val="auto"/>
          <w:sz w:val="21"/>
        </w:rPr>
      </w:pPr>
      <w:r>
        <w:rPr>
          <w:rFonts w:hint="eastAsia" w:ascii="宋体" w:hAnsi="宋体" w:eastAsia="宋体" w:cs="宋体"/>
          <w:b/>
          <w:color w:val="auto"/>
          <w:sz w:val="21"/>
        </w:rPr>
        <w:t>4.投诉书的投诉事项应具体、明确，并有必要的事实依据和法律依据。</w:t>
      </w:r>
    </w:p>
    <w:p w14:paraId="1512F1C6">
      <w:pPr>
        <w:pStyle w:val="19"/>
        <w:spacing w:line="360" w:lineRule="auto"/>
        <w:ind w:left="25" w:leftChars="12" w:firstLine="310" w:firstLineChars="147"/>
        <w:rPr>
          <w:rFonts w:hint="eastAsia" w:ascii="宋体" w:hAnsi="宋体" w:eastAsia="宋体" w:cs="宋体"/>
          <w:b/>
          <w:color w:val="auto"/>
          <w:sz w:val="21"/>
        </w:rPr>
      </w:pPr>
      <w:r>
        <w:rPr>
          <w:rFonts w:hint="eastAsia" w:ascii="宋体" w:hAnsi="宋体" w:eastAsia="宋体" w:cs="宋体"/>
          <w:b/>
          <w:color w:val="auto"/>
          <w:sz w:val="21"/>
        </w:rPr>
        <w:t>5.投诉书的投诉请求应与投诉事项相关。</w:t>
      </w:r>
    </w:p>
    <w:p w14:paraId="6D917C9B">
      <w:pPr>
        <w:pStyle w:val="19"/>
        <w:spacing w:line="360" w:lineRule="auto"/>
        <w:ind w:left="25" w:leftChars="12" w:firstLine="310" w:firstLineChars="147"/>
        <w:rPr>
          <w:rFonts w:hint="eastAsia" w:ascii="宋体" w:hAnsi="宋体" w:eastAsia="宋体" w:cs="宋体"/>
          <w:b/>
          <w:color w:val="auto"/>
          <w:sz w:val="21"/>
        </w:rPr>
      </w:pPr>
      <w:r>
        <w:rPr>
          <w:rFonts w:hint="eastAsia" w:ascii="宋体" w:hAnsi="宋体" w:eastAsia="宋体" w:cs="宋体"/>
          <w:b/>
          <w:color w:val="auto"/>
          <w:sz w:val="21"/>
        </w:rPr>
        <w:t>6.投诉人为法人或者其他组织的，投诉书应由法定代表人、主要负责人，或者其授权代表签字或者盖章，并加盖公章。</w:t>
      </w:r>
    </w:p>
    <w:p w14:paraId="19E5467C">
      <w:pPr>
        <w:pStyle w:val="3"/>
        <w:jc w:val="center"/>
        <w:rPr>
          <w:rFonts w:hint="eastAsia" w:ascii="宋体" w:hAnsi="宋体" w:eastAsia="宋体" w:cs="宋体"/>
          <w:color w:val="auto"/>
        </w:rPr>
      </w:pPr>
      <w:r>
        <w:rPr>
          <w:rFonts w:hint="eastAsia" w:ascii="宋体" w:hAnsi="宋体" w:eastAsia="宋体" w:cs="宋体"/>
          <w:color w:val="auto"/>
        </w:rPr>
        <w:br w:type="page"/>
      </w:r>
      <w:bookmarkStart w:id="185" w:name="_Toc20262"/>
      <w:bookmarkStart w:id="186" w:name="_Toc4339"/>
      <w:bookmarkStart w:id="187" w:name="_Toc9980"/>
      <w:bookmarkStart w:id="188" w:name="_Toc21319"/>
      <w:bookmarkStart w:id="189" w:name="_Toc20402"/>
      <w:bookmarkStart w:id="190" w:name="_Toc5962"/>
      <w:bookmarkStart w:id="191" w:name="_Toc20208"/>
      <w:bookmarkStart w:id="192" w:name="_Toc7615"/>
      <w:bookmarkStart w:id="193" w:name="_Toc11922"/>
      <w:bookmarkStart w:id="194" w:name="_Toc29274"/>
      <w:r>
        <w:rPr>
          <w:rFonts w:hint="eastAsia" w:ascii="宋体" w:hAnsi="宋体" w:eastAsia="宋体" w:cs="宋体"/>
          <w:color w:val="auto"/>
        </w:rPr>
        <w:t>第六章 合同文本</w:t>
      </w:r>
      <w:bookmarkEnd w:id="185"/>
      <w:bookmarkEnd w:id="186"/>
      <w:bookmarkEnd w:id="187"/>
      <w:bookmarkEnd w:id="188"/>
      <w:bookmarkEnd w:id="189"/>
      <w:bookmarkEnd w:id="190"/>
      <w:bookmarkEnd w:id="191"/>
      <w:bookmarkEnd w:id="192"/>
      <w:bookmarkEnd w:id="193"/>
      <w:bookmarkEnd w:id="194"/>
    </w:p>
    <w:p w14:paraId="74BD96C4">
      <w:pPr>
        <w:rPr>
          <w:rFonts w:hint="eastAsia" w:ascii="宋体" w:hAnsi="宋体" w:eastAsia="宋体" w:cs="宋体"/>
          <w:color w:val="auto"/>
        </w:rPr>
      </w:pPr>
    </w:p>
    <w:p w14:paraId="254A722D">
      <w:pPr>
        <w:pStyle w:val="19"/>
        <w:wordWrap w:val="0"/>
        <w:jc w:val="center"/>
        <w:rPr>
          <w:color w:val="000000" w:themeColor="text1"/>
          <w:sz w:val="72"/>
          <w:szCs w:val="72"/>
          <w:highlight w:val="none"/>
          <w14:textFill>
            <w14:solidFill>
              <w14:schemeClr w14:val="tx1"/>
            </w14:solidFill>
          </w14:textFill>
        </w:rPr>
      </w:pPr>
    </w:p>
    <w:p w14:paraId="1F0A9DCC">
      <w:pPr>
        <w:pStyle w:val="19"/>
        <w:wordWrap w:val="0"/>
        <w:jc w:val="center"/>
        <w:rPr>
          <w:color w:val="000000" w:themeColor="text1"/>
          <w:sz w:val="72"/>
          <w:szCs w:val="72"/>
          <w:highlight w:val="none"/>
          <w14:textFill>
            <w14:solidFill>
              <w14:schemeClr w14:val="tx1"/>
            </w14:solidFill>
          </w14:textFill>
        </w:rPr>
      </w:pPr>
      <w:r>
        <w:rPr>
          <w:rFonts w:hint="eastAsia"/>
          <w:color w:val="000000" w:themeColor="text1"/>
          <w:sz w:val="72"/>
          <w:szCs w:val="72"/>
          <w:highlight w:val="none"/>
          <w14:textFill>
            <w14:solidFill>
              <w14:schemeClr w14:val="tx1"/>
            </w14:solidFill>
          </w14:textFill>
        </w:rPr>
        <w:t>合同书</w:t>
      </w:r>
    </w:p>
    <w:p w14:paraId="509A0211">
      <w:pPr>
        <w:wordWrap w:val="0"/>
        <w:spacing w:line="360" w:lineRule="auto"/>
        <w:rPr>
          <w:color w:val="000000" w:themeColor="text1"/>
          <w:highlight w:val="none"/>
          <w14:textFill>
            <w14:solidFill>
              <w14:schemeClr w14:val="tx1"/>
            </w14:solidFill>
          </w14:textFill>
        </w:rPr>
      </w:pPr>
    </w:p>
    <w:p w14:paraId="733319C6">
      <w:pPr>
        <w:wordWrap w:val="0"/>
        <w:spacing w:line="360" w:lineRule="auto"/>
        <w:rPr>
          <w:color w:val="000000" w:themeColor="text1"/>
          <w:highlight w:val="none"/>
          <w14:textFill>
            <w14:solidFill>
              <w14:schemeClr w14:val="tx1"/>
            </w14:solidFill>
          </w14:textFill>
        </w:rPr>
      </w:pPr>
    </w:p>
    <w:p w14:paraId="6DC3535E">
      <w:pPr>
        <w:wordWrap w:val="0"/>
        <w:spacing w:line="360" w:lineRule="auto"/>
        <w:rPr>
          <w:color w:val="000000" w:themeColor="text1"/>
          <w:highlight w:val="none"/>
          <w14:textFill>
            <w14:solidFill>
              <w14:schemeClr w14:val="tx1"/>
            </w14:solidFill>
          </w14:textFill>
        </w:rPr>
      </w:pPr>
    </w:p>
    <w:p w14:paraId="3B207D1D">
      <w:pPr>
        <w:wordWrap w:val="0"/>
        <w:spacing w:line="360" w:lineRule="auto"/>
        <w:rPr>
          <w:color w:val="000000" w:themeColor="text1"/>
          <w:highlight w:val="none"/>
          <w14:textFill>
            <w14:solidFill>
              <w14:schemeClr w14:val="tx1"/>
            </w14:solidFill>
          </w14:textFill>
        </w:rPr>
      </w:pPr>
    </w:p>
    <w:p w14:paraId="3997891C">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项目名称：</w:t>
      </w:r>
      <w:r>
        <w:rPr>
          <w:rFonts w:ascii="黑体" w:hAnsi="黑体" w:eastAsia="黑体" w:cs="黑体"/>
          <w:b/>
          <w:bCs/>
          <w:color w:val="000000" w:themeColor="text1"/>
          <w:sz w:val="32"/>
          <w:szCs w:val="32"/>
          <w:highlight w:val="none"/>
          <w14:textFill>
            <w14:solidFill>
              <w14:schemeClr w14:val="tx1"/>
            </w14:solidFill>
          </w14:textFill>
        </w:rPr>
        <w:t xml:space="preserve"> </w:t>
      </w:r>
    </w:p>
    <w:p w14:paraId="5D19B95D">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采购计划号：</w:t>
      </w:r>
    </w:p>
    <w:p w14:paraId="16A7DFF7">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项目编号：</w:t>
      </w:r>
    </w:p>
    <w:p w14:paraId="1E481EC2">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合同编号：</w:t>
      </w:r>
    </w:p>
    <w:p w14:paraId="09367EB2">
      <w:pPr>
        <w:wordWrap w:val="0"/>
        <w:spacing w:line="360" w:lineRule="auto"/>
        <w:rPr>
          <w:rFonts w:hint="eastAsia"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 xml:space="preserve">采购人（甲方）：钦州市钦北区应急管理局                 </w:t>
      </w:r>
    </w:p>
    <w:p w14:paraId="619D627F">
      <w:pPr>
        <w:wordWrap w:val="0"/>
        <w:spacing w:line="360" w:lineRule="auto"/>
        <w:rPr>
          <w:rFonts w:hint="eastAsia" w:ascii="黑体" w:hAnsi="黑体" w:eastAsia="黑体" w:cs="黑体"/>
          <w:b/>
          <w:bCs/>
          <w:color w:val="000000" w:themeColor="text1"/>
          <w:sz w:val="32"/>
          <w:szCs w:val="32"/>
          <w:highlight w:val="none"/>
          <w:lang w:eastAsia="zh-CN"/>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成交供应商（乙方）</w:t>
      </w:r>
      <w:r>
        <w:rPr>
          <w:rFonts w:hint="eastAsia" w:ascii="黑体" w:hAnsi="黑体" w:eastAsia="黑体" w:cs="黑体"/>
          <w:b/>
          <w:bCs/>
          <w:color w:val="000000" w:themeColor="text1"/>
          <w:sz w:val="32"/>
          <w:szCs w:val="32"/>
          <w:highlight w:val="none"/>
          <w:lang w:eastAsia="zh-CN"/>
          <w14:textFill>
            <w14:solidFill>
              <w14:schemeClr w14:val="tx1"/>
            </w14:solidFill>
          </w14:textFill>
        </w:rPr>
        <w:t>：</w:t>
      </w:r>
    </w:p>
    <w:p w14:paraId="12D74688">
      <w:pPr>
        <w:wordWrap w:val="0"/>
        <w:spacing w:line="360" w:lineRule="auto"/>
        <w:rPr>
          <w:rFonts w:hint="eastAsia" w:ascii="黑体" w:hAnsi="黑体" w:eastAsia="黑体" w:cs="黑体"/>
          <w:b/>
          <w:bCs/>
          <w:color w:val="000000" w:themeColor="text1"/>
          <w:sz w:val="32"/>
          <w:szCs w:val="32"/>
          <w:highlight w:val="none"/>
          <w:lang w:eastAsia="zh-CN"/>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采购代理机构：</w:t>
      </w:r>
      <w:r>
        <w:rPr>
          <w:rFonts w:hint="eastAsia" w:ascii="黑体" w:hAnsi="黑体" w:eastAsia="黑体" w:cs="黑体"/>
          <w:b/>
          <w:bCs/>
          <w:color w:val="000000" w:themeColor="text1"/>
          <w:sz w:val="32"/>
          <w:szCs w:val="32"/>
          <w:highlight w:val="none"/>
          <w:lang w:eastAsia="zh-CN"/>
          <w14:textFill>
            <w14:solidFill>
              <w14:schemeClr w14:val="tx1"/>
            </w14:solidFill>
          </w14:textFill>
        </w:rPr>
        <w:t>大华建设项目管理有限公司</w:t>
      </w:r>
    </w:p>
    <w:p w14:paraId="7B0A0B3A">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签订地点：钦州市</w:t>
      </w:r>
    </w:p>
    <w:p w14:paraId="6819A61B">
      <w:pPr>
        <w:wordWrap w:val="0"/>
        <w:spacing w:line="360" w:lineRule="auto"/>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t>签订时间：2025年   月   日</w:t>
      </w:r>
    </w:p>
    <w:p w14:paraId="6923EA8F">
      <w:pPr>
        <w:keepNext/>
        <w:keepLines/>
        <w:wordWrap w:val="0"/>
        <w:spacing w:before="60" w:after="60" w:line="413" w:lineRule="auto"/>
        <w:rPr>
          <w:rFonts w:ascii="黑体" w:hAnsi="黑体" w:eastAsia="黑体" w:cs="黑体"/>
          <w:b/>
          <w:bCs/>
          <w:color w:val="000000" w:themeColor="text1"/>
          <w:sz w:val="32"/>
          <w:szCs w:val="32"/>
          <w:highlight w:val="none"/>
          <w14:textFill>
            <w14:solidFill>
              <w14:schemeClr w14:val="tx1"/>
            </w14:solidFill>
          </w14:textFill>
        </w:rPr>
      </w:pPr>
    </w:p>
    <w:p w14:paraId="18EDEB65">
      <w:pPr>
        <w:wordWrap w:val="0"/>
        <w:rPr>
          <w:rFonts w:ascii="黑体" w:hAnsi="黑体" w:eastAsia="黑体" w:cs="黑体"/>
          <w:b/>
          <w:bCs/>
          <w:color w:val="000000" w:themeColor="text1"/>
          <w:sz w:val="32"/>
          <w:szCs w:val="32"/>
          <w:highlight w:val="none"/>
          <w14:textFill>
            <w14:solidFill>
              <w14:schemeClr w14:val="tx1"/>
            </w14:solidFill>
          </w14:textFill>
        </w:rPr>
      </w:pPr>
    </w:p>
    <w:p w14:paraId="27F2C5BE">
      <w:pPr>
        <w:keepNext/>
        <w:keepLines/>
        <w:wordWrap w:val="0"/>
        <w:spacing w:before="60" w:after="60" w:line="413" w:lineRule="auto"/>
        <w:jc w:val="center"/>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b/>
          <w:bCs/>
          <w:color w:val="000000" w:themeColor="text1"/>
          <w:sz w:val="32"/>
          <w:szCs w:val="32"/>
          <w:highlight w:val="none"/>
          <w14:textFill>
            <w14:solidFill>
              <w14:schemeClr w14:val="tx1"/>
            </w14:solidFill>
          </w14:textFill>
        </w:rPr>
        <w:br w:type="page"/>
      </w:r>
      <w:r>
        <w:rPr>
          <w:rFonts w:hint="eastAsia" w:ascii="黑体" w:hAnsi="黑体" w:eastAsia="黑体" w:cs="黑体"/>
          <w:b/>
          <w:bCs/>
          <w:color w:val="000000" w:themeColor="text1"/>
          <w:sz w:val="32"/>
          <w:szCs w:val="32"/>
          <w:highlight w:val="none"/>
          <w14:textFill>
            <w14:solidFill>
              <w14:schemeClr w14:val="tx1"/>
            </w14:solidFill>
          </w14:textFill>
        </w:rPr>
        <w:t>XX采购合同</w:t>
      </w:r>
    </w:p>
    <w:p w14:paraId="6C8B30FE">
      <w:pPr>
        <w:wordWrap w:val="0"/>
        <w:snapToGrid w:val="0"/>
        <w:spacing w:line="360" w:lineRule="auto"/>
        <w:rPr>
          <w:rFonts w:ascii="宋体" w:hAnsi="宋体"/>
          <w:color w:val="000000" w:themeColor="text1"/>
          <w:szCs w:val="21"/>
          <w:highlight w:val="none"/>
          <w14:textFill>
            <w14:solidFill>
              <w14:schemeClr w14:val="tx1"/>
            </w14:solidFill>
          </w14:textFill>
        </w:rPr>
      </w:pPr>
    </w:p>
    <w:p w14:paraId="56BF6A8C">
      <w:pPr>
        <w:wordWrap w:val="0"/>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采购人（甲方）：钦州市钦北区应急管理局                    </w:t>
      </w:r>
    </w:p>
    <w:p w14:paraId="16563144">
      <w:pPr>
        <w:wordWrap w:val="0"/>
        <w:snapToGrid w:val="0"/>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供应商（乙方）：</w:t>
      </w:r>
    </w:p>
    <w:p w14:paraId="3A9D9723">
      <w:pPr>
        <w:wordWrap w:val="0"/>
        <w:snapToGrid w:val="0"/>
        <w:spacing w:line="360" w:lineRule="auto"/>
        <w:rPr>
          <w:rFonts w:ascii="宋体" w:hAnsi="宋体"/>
          <w:color w:val="000000" w:themeColor="text1"/>
          <w:spacing w:val="-20"/>
          <w:szCs w:val="21"/>
          <w:highlight w:val="none"/>
          <w14:textFill>
            <w14:solidFill>
              <w14:schemeClr w14:val="tx1"/>
            </w14:solidFill>
          </w14:textFill>
        </w:rPr>
      </w:pPr>
      <w:r>
        <w:rPr>
          <w:rFonts w:hint="eastAsia" w:ascii="宋体" w:hAnsi="宋体"/>
          <w:color w:val="000000" w:themeColor="text1"/>
          <w:spacing w:val="-20"/>
          <w:szCs w:val="21"/>
          <w:highlight w:val="none"/>
          <w14:textFill>
            <w14:solidFill>
              <w14:schemeClr w14:val="tx1"/>
            </w14:solidFill>
          </w14:textFill>
        </w:rPr>
        <w:t>采 购 计 划 号：</w:t>
      </w:r>
    </w:p>
    <w:p w14:paraId="20CFC4A2">
      <w:pPr>
        <w:wordWrap w:val="0"/>
        <w:snapToGrid w:val="0"/>
        <w:spacing w:line="360" w:lineRule="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val="en-US" w:eastAsia="zh-CN"/>
          <w14:textFill>
            <w14:solidFill>
              <w14:schemeClr w14:val="tx1"/>
            </w14:solidFill>
          </w14:textFill>
        </w:rPr>
        <w:t xml:space="preserve"> </w:t>
      </w:r>
    </w:p>
    <w:p w14:paraId="04C1A6FD">
      <w:pPr>
        <w:wordWrap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p>
    <w:p w14:paraId="20FFF062">
      <w:pPr>
        <w:wordWrap w:val="0"/>
        <w:snapToGrid w:val="0"/>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w:t>
      </w:r>
      <w:r>
        <w:rPr>
          <w:rFonts w:hint="eastAsia" w:ascii="宋体" w:hAnsi="宋体"/>
          <w:color w:val="000000" w:themeColor="text1"/>
          <w:highlight w:val="none"/>
          <w14:textFill>
            <w14:solidFill>
              <w14:schemeClr w14:val="tx1"/>
            </w14:solidFill>
          </w14:textFill>
        </w:rPr>
        <w:t>类型：</w:t>
      </w:r>
      <w:r>
        <w:rPr>
          <w:rFonts w:hint="eastAsia" w:ascii="宋体" w:hAnsi="宋体"/>
          <w:color w:val="000000" w:themeColor="text1"/>
          <w:highlight w:val="none"/>
          <w:u w:val="single"/>
          <w14:textFill>
            <w14:solidFill>
              <w14:schemeClr w14:val="tx1"/>
            </w14:solidFill>
          </w14:textFill>
        </w:rPr>
        <w:t>买卖合同</w:t>
      </w:r>
    </w:p>
    <w:p w14:paraId="51948977">
      <w:pPr>
        <w:wordWrap w:val="0"/>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本合同为中小企业预留合同：</w:t>
      </w:r>
      <w:r>
        <w:rPr>
          <w:rFonts w:hint="eastAsia" w:ascii="宋体" w:hAnsi="宋体" w:cs="宋体"/>
          <w:color w:val="000000" w:themeColor="text1"/>
          <w:szCs w:val="21"/>
          <w:highlight w:val="none"/>
          <w:u w:val="single"/>
          <w14:textFill>
            <w14:solidFill>
              <w14:schemeClr w14:val="tx1"/>
            </w14:solidFill>
          </w14:textFill>
        </w:rPr>
        <w:t xml:space="preserve"> 否</w:t>
      </w:r>
      <w:r>
        <w:rPr>
          <w:rFonts w:hint="eastAsia" w:ascii="宋体" w:hAnsi="宋体" w:cs="宋体"/>
          <w:color w:val="000000" w:themeColor="text1"/>
          <w:szCs w:val="21"/>
          <w:highlight w:val="none"/>
          <w14:textFill>
            <w14:solidFill>
              <w14:schemeClr w14:val="tx1"/>
            </w14:solidFill>
          </w14:textFill>
        </w:rPr>
        <w:t>。</w:t>
      </w:r>
    </w:p>
    <w:p w14:paraId="20C8E547">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根据《中华人民共和国政府采购法》、《中华人民共和国民法典》等法律、法规规定，按照采购文件规定条款和乙方竞标承诺，甲乙双方签订本合同。</w:t>
      </w:r>
    </w:p>
    <w:p w14:paraId="7F038A8F">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第一条　合同标的</w:t>
      </w:r>
    </w:p>
    <w:tbl>
      <w:tblPr>
        <w:tblStyle w:val="30"/>
        <w:tblW w:w="915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87"/>
        <w:gridCol w:w="1191"/>
        <w:gridCol w:w="1167"/>
        <w:gridCol w:w="1090"/>
        <w:gridCol w:w="908"/>
        <w:gridCol w:w="668"/>
        <w:gridCol w:w="947"/>
        <w:gridCol w:w="1189"/>
      </w:tblGrid>
      <w:tr w14:paraId="6EF2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vAlign w:val="center"/>
          </w:tcPr>
          <w:p w14:paraId="6A8EBD94">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1287" w:type="dxa"/>
            <w:vAlign w:val="center"/>
          </w:tcPr>
          <w:p w14:paraId="7FFFF366">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1191" w:type="dxa"/>
            <w:vAlign w:val="center"/>
          </w:tcPr>
          <w:p w14:paraId="69B84146">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品牌</w:t>
            </w:r>
          </w:p>
        </w:tc>
        <w:tc>
          <w:tcPr>
            <w:tcW w:w="1167" w:type="dxa"/>
            <w:vAlign w:val="center"/>
          </w:tcPr>
          <w:p w14:paraId="3ACF35BE">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规格型号</w:t>
            </w:r>
          </w:p>
        </w:tc>
        <w:tc>
          <w:tcPr>
            <w:tcW w:w="1090" w:type="dxa"/>
            <w:vAlign w:val="center"/>
          </w:tcPr>
          <w:p w14:paraId="331E75A8">
            <w:pPr>
              <w:wordWrap w:val="0"/>
              <w:snapToGrid w:val="0"/>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制造商</w:t>
            </w:r>
          </w:p>
        </w:tc>
        <w:tc>
          <w:tcPr>
            <w:tcW w:w="908" w:type="dxa"/>
            <w:vAlign w:val="center"/>
          </w:tcPr>
          <w:p w14:paraId="614E7C4B">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  量</w:t>
            </w:r>
          </w:p>
        </w:tc>
        <w:tc>
          <w:tcPr>
            <w:tcW w:w="668" w:type="dxa"/>
            <w:vAlign w:val="center"/>
          </w:tcPr>
          <w:p w14:paraId="339869A7">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947" w:type="dxa"/>
            <w:vAlign w:val="center"/>
          </w:tcPr>
          <w:p w14:paraId="6BBA3297">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  价</w:t>
            </w:r>
          </w:p>
          <w:p w14:paraId="52C52E64">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c>
          <w:tcPr>
            <w:tcW w:w="1189" w:type="dxa"/>
            <w:vAlign w:val="center"/>
          </w:tcPr>
          <w:p w14:paraId="0E62F563">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金  额</w:t>
            </w:r>
          </w:p>
          <w:p w14:paraId="0D76E215">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（元）</w:t>
            </w:r>
          </w:p>
        </w:tc>
      </w:tr>
      <w:tr w14:paraId="0D3E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675C6675">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87" w:type="dxa"/>
            <w:vAlign w:val="center"/>
          </w:tcPr>
          <w:p w14:paraId="591A5585">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91" w:type="dxa"/>
            <w:vAlign w:val="center"/>
          </w:tcPr>
          <w:p w14:paraId="358C40F9">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67" w:type="dxa"/>
            <w:vAlign w:val="center"/>
          </w:tcPr>
          <w:p w14:paraId="20D3050F">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090" w:type="dxa"/>
            <w:vAlign w:val="center"/>
          </w:tcPr>
          <w:p w14:paraId="33EBDD2F">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08" w:type="dxa"/>
            <w:vAlign w:val="center"/>
          </w:tcPr>
          <w:p w14:paraId="05B7B7CE">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668" w:type="dxa"/>
            <w:vAlign w:val="center"/>
          </w:tcPr>
          <w:p w14:paraId="4E0B519B">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47" w:type="dxa"/>
            <w:vAlign w:val="center"/>
          </w:tcPr>
          <w:p w14:paraId="75F516E6">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89" w:type="dxa"/>
            <w:vAlign w:val="center"/>
          </w:tcPr>
          <w:p w14:paraId="5ACBBB1A">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2C52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3EA68BFC">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87" w:type="dxa"/>
            <w:vAlign w:val="center"/>
          </w:tcPr>
          <w:p w14:paraId="587041E5">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91" w:type="dxa"/>
            <w:vAlign w:val="center"/>
          </w:tcPr>
          <w:p w14:paraId="491CA39A">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67" w:type="dxa"/>
            <w:vAlign w:val="center"/>
          </w:tcPr>
          <w:p w14:paraId="32071825">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090" w:type="dxa"/>
            <w:vAlign w:val="center"/>
          </w:tcPr>
          <w:p w14:paraId="4C5EDDC2">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08" w:type="dxa"/>
            <w:vAlign w:val="center"/>
          </w:tcPr>
          <w:p w14:paraId="75C446D3">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668" w:type="dxa"/>
            <w:vAlign w:val="center"/>
          </w:tcPr>
          <w:p w14:paraId="12BF6824">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47" w:type="dxa"/>
            <w:vAlign w:val="center"/>
          </w:tcPr>
          <w:p w14:paraId="4F8728C9">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89" w:type="dxa"/>
            <w:vAlign w:val="center"/>
          </w:tcPr>
          <w:p w14:paraId="57A36764">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57B7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38027A7A">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p>
        </w:tc>
        <w:tc>
          <w:tcPr>
            <w:tcW w:w="1287" w:type="dxa"/>
            <w:vAlign w:val="center"/>
          </w:tcPr>
          <w:p w14:paraId="44547FE9">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91" w:type="dxa"/>
            <w:vAlign w:val="center"/>
          </w:tcPr>
          <w:p w14:paraId="5E6D6B3E">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67" w:type="dxa"/>
            <w:vAlign w:val="center"/>
          </w:tcPr>
          <w:p w14:paraId="42B9676E">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090" w:type="dxa"/>
            <w:vAlign w:val="center"/>
          </w:tcPr>
          <w:p w14:paraId="0E119B40">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08" w:type="dxa"/>
            <w:vAlign w:val="center"/>
          </w:tcPr>
          <w:p w14:paraId="348D2969">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668" w:type="dxa"/>
            <w:vAlign w:val="center"/>
          </w:tcPr>
          <w:p w14:paraId="38B73278">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47" w:type="dxa"/>
            <w:vAlign w:val="center"/>
          </w:tcPr>
          <w:p w14:paraId="19FD1774">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89" w:type="dxa"/>
            <w:vAlign w:val="center"/>
          </w:tcPr>
          <w:p w14:paraId="77703822">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6C20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47AE89D0">
            <w:pPr>
              <w:wordWrap w:val="0"/>
              <w:snapToGrid w:val="0"/>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87" w:type="dxa"/>
            <w:vAlign w:val="center"/>
          </w:tcPr>
          <w:p w14:paraId="11213900">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91" w:type="dxa"/>
            <w:vAlign w:val="center"/>
          </w:tcPr>
          <w:p w14:paraId="16DC3BA3">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67" w:type="dxa"/>
            <w:vAlign w:val="center"/>
          </w:tcPr>
          <w:p w14:paraId="45094AD3">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090" w:type="dxa"/>
            <w:vAlign w:val="center"/>
          </w:tcPr>
          <w:p w14:paraId="3B27DEA1">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08" w:type="dxa"/>
            <w:vAlign w:val="center"/>
          </w:tcPr>
          <w:p w14:paraId="072A7421">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668" w:type="dxa"/>
            <w:vAlign w:val="center"/>
          </w:tcPr>
          <w:p w14:paraId="22EBF68D">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947" w:type="dxa"/>
            <w:vAlign w:val="center"/>
          </w:tcPr>
          <w:p w14:paraId="49838836">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c>
          <w:tcPr>
            <w:tcW w:w="1189" w:type="dxa"/>
            <w:vAlign w:val="center"/>
          </w:tcPr>
          <w:p w14:paraId="20CBC7FC">
            <w:pPr>
              <w:wordWrap w:val="0"/>
              <w:snapToGrid w:val="0"/>
              <w:spacing w:line="360" w:lineRule="auto"/>
              <w:jc w:val="center"/>
              <w:rPr>
                <w:rFonts w:ascii="宋体" w:hAnsi="宋体"/>
                <w:color w:val="000000" w:themeColor="text1"/>
                <w:szCs w:val="21"/>
                <w:highlight w:val="none"/>
                <w14:textFill>
                  <w14:solidFill>
                    <w14:schemeClr w14:val="tx1"/>
                  </w14:solidFill>
                </w14:textFill>
              </w:rPr>
            </w:pPr>
          </w:p>
        </w:tc>
      </w:tr>
      <w:tr w14:paraId="4E1E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156" w:type="dxa"/>
            <w:gridSpan w:val="9"/>
            <w:vAlign w:val="center"/>
          </w:tcPr>
          <w:p w14:paraId="7CC6B6C5">
            <w:pPr>
              <w:wordWrap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合计金额（人民币）：</w:t>
            </w:r>
            <w:r>
              <w:rPr>
                <w:rFonts w:hint="eastAsia" w:ascii="宋体" w:hAnsi="宋体"/>
                <w:color w:val="000000" w:themeColor="text1"/>
                <w:szCs w:val="21"/>
                <w:highlight w:val="none"/>
                <w:u w:val="single"/>
                <w14:textFill>
                  <w14:solidFill>
                    <w14:schemeClr w14:val="tx1"/>
                  </w14:solidFill>
                </w14:textFill>
              </w:rPr>
              <w:t xml:space="preserve">（大写）                          （小写）                 </w:t>
            </w:r>
          </w:p>
        </w:tc>
      </w:tr>
    </w:tbl>
    <w:p w14:paraId="0FCA9E21">
      <w:pPr>
        <w:wordWrap w:val="0"/>
        <w:snapToGrid w:val="0"/>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第二条　标的质量</w:t>
      </w:r>
    </w:p>
    <w:p w14:paraId="48D6EF48">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1.乙方所提供标的的名称、商标品牌、生产厂家、规格型号、技术参数等内容必须与乙方竞标文件及有关承诺相一致，且满足项目实施要求。</w:t>
      </w:r>
    </w:p>
    <w:p w14:paraId="4B28786E">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2.乙方所提供的货物必须是全新、未使用的原装产品，且在正常安装、使用和保养条件下，其使用寿命期内各项指标均达到竞标文件的承诺。</w:t>
      </w:r>
    </w:p>
    <w:p w14:paraId="408BB255">
      <w:pPr>
        <w:wordWrap w:val="0"/>
        <w:snapToGrid w:val="0"/>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第三条　</w:t>
      </w:r>
      <w:r>
        <w:rPr>
          <w:rFonts w:hint="eastAsia" w:ascii="宋体" w:hAnsi="宋体"/>
          <w:color w:val="000000" w:themeColor="text1"/>
          <w:szCs w:val="21"/>
          <w:highlight w:val="none"/>
          <w14:textFill>
            <w14:solidFill>
              <w14:schemeClr w14:val="tx1"/>
            </w14:solidFill>
          </w14:textFill>
        </w:rPr>
        <w:t>履行时间（期限）、地点和方式</w:t>
      </w:r>
    </w:p>
    <w:p w14:paraId="23FD4943">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1.履行时间（期限）：</w:t>
      </w:r>
    </w:p>
    <w:p w14:paraId="353AC083">
      <w:pPr>
        <w:wordWrap w:val="0"/>
        <w:snapToGrid w:val="0"/>
        <w:spacing w:line="360" w:lineRule="auto"/>
        <w:ind w:firstLine="420" w:firstLineChars="200"/>
        <w:rPr>
          <w:rFonts w:ascii="宋体" w:hAnsi="宋体" w:cs="宋体"/>
          <w:i/>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2.履行地点：</w:t>
      </w:r>
    </w:p>
    <w:p w14:paraId="30512EC6">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3.履行方式</w:t>
      </w:r>
    </w:p>
    <w:p w14:paraId="5BC2950C">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乙方负责货物运输，</w:t>
      </w:r>
      <w:r>
        <w:rPr>
          <w:rFonts w:hint="eastAsia" w:ascii="宋体" w:hAnsi="宋体" w:cs="宋体"/>
          <w:color w:val="000000" w:themeColor="text1"/>
          <w:szCs w:val="21"/>
          <w:highlight w:val="none"/>
          <w14:textFill>
            <w14:solidFill>
              <w14:schemeClr w14:val="tx1"/>
            </w14:solidFill>
          </w14:textFill>
        </w:rPr>
        <w:t>货物的运输方式：。</w:t>
      </w:r>
    </w:p>
    <w:p w14:paraId="355EC565">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（2）交货方式</w:t>
      </w:r>
    </w:p>
    <w:p w14:paraId="1C99EAC9">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乙方将货物送到甲方指定地点。</w:t>
      </w:r>
    </w:p>
    <w:p w14:paraId="686E38F9">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甲方自行到乙方指定地点提货。</w:t>
      </w:r>
    </w:p>
    <w:p w14:paraId="783BB845">
      <w:pPr>
        <w:wordWrap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其他：。</w:t>
      </w:r>
    </w:p>
    <w:p w14:paraId="46F7C013">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第四条　</w:t>
      </w:r>
      <w:r>
        <w:rPr>
          <w:rFonts w:hint="eastAsia" w:ascii="宋体" w:hAnsi="宋体"/>
          <w:b/>
          <w:color w:val="000000" w:themeColor="text1"/>
          <w:highlight w:val="none"/>
          <w14:textFill>
            <w14:solidFill>
              <w14:schemeClr w14:val="tx1"/>
            </w14:solidFill>
          </w14:textFill>
        </w:rPr>
        <w:t>包装方式</w:t>
      </w:r>
    </w:p>
    <w:p w14:paraId="7ADC8930">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1.乙方提供的货物均应按竞标文件承诺的要求的包装材料、包装标准、包装方式进行包装。</w:t>
      </w:r>
    </w:p>
    <w:p w14:paraId="27593EFE">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2.乙方应在货物发运前对其进行满足运输距离、防水、防潮、防震、防锈和防破损装卸等要求包装，以保证货物安全运达甲方指定地点。</w:t>
      </w:r>
    </w:p>
    <w:p w14:paraId="0956D1D8">
      <w:pPr>
        <w:wordWrap w:val="0"/>
        <w:spacing w:after="120"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3.货物的使用说明书（货物属于进口产品的，供货时应同时附上中文使用说明书）、质量检验证明书、质量合格证、随配附件和工具以及清单一并附于货物包装内。</w:t>
      </w:r>
    </w:p>
    <w:p w14:paraId="032F24D6">
      <w:pPr>
        <w:wordWrap w:val="0"/>
        <w:snapToGrid w:val="0"/>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第五条　安装和培训</w:t>
      </w:r>
    </w:p>
    <w:p w14:paraId="23902503">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1.安装时间：</w:t>
      </w:r>
      <w:r>
        <w:rPr>
          <w:rFonts w:hint="eastAsia" w:ascii="宋体" w:hAnsi="宋体"/>
          <w:color w:val="000000" w:themeColor="text1"/>
          <w:szCs w:val="21"/>
          <w:highlight w:val="none"/>
          <w:u w:val="single"/>
          <w14:textFill>
            <w14:solidFill>
              <w14:schemeClr w14:val="tx1"/>
            </w14:solidFill>
          </w14:textFill>
        </w:rPr>
        <w:t>自签订合同之日起   个日历日内交货并安装调试完毕</w:t>
      </w:r>
      <w:r>
        <w:rPr>
          <w:rFonts w:hint="eastAsia" w:ascii="宋体" w:hAnsi="宋体"/>
          <w:color w:val="000000" w:themeColor="text1"/>
          <w:szCs w:val="21"/>
          <w:highlight w:val="none"/>
          <w14:textFill>
            <w14:solidFill>
              <w14:schemeClr w14:val="tx1"/>
            </w14:solidFill>
          </w14:textFill>
        </w:rPr>
        <w:t>；安装地点：</w:t>
      </w:r>
      <w:r>
        <w:rPr>
          <w:rFonts w:hint="eastAsia" w:ascii="宋体" w:hAnsi="宋体"/>
          <w:color w:val="000000" w:themeColor="text1"/>
          <w:szCs w:val="21"/>
          <w:highlight w:val="none"/>
          <w:u w:val="single"/>
          <w14:textFill>
            <w14:solidFill>
              <w14:schemeClr w14:val="tx1"/>
            </w14:solidFill>
          </w14:textFill>
        </w:rPr>
        <w:t xml:space="preserve">     。</w:t>
      </w:r>
    </w:p>
    <w:p w14:paraId="4F2D611C">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2.安装要求：</w:t>
      </w:r>
      <w:r>
        <w:rPr>
          <w:rFonts w:hint="eastAsia" w:ascii="宋体" w:hAnsi="宋体"/>
          <w:color w:val="000000" w:themeColor="text1"/>
          <w:szCs w:val="21"/>
          <w:highlight w:val="none"/>
          <w:u w:val="single"/>
          <w14:textFill>
            <w14:solidFill>
              <w14:schemeClr w14:val="tx1"/>
            </w14:solidFill>
          </w14:textFill>
        </w:rPr>
        <w:t>乙方应当按采购文件要求（如有）或甲方要求进行安装</w:t>
      </w:r>
      <w:r>
        <w:rPr>
          <w:rFonts w:hint="eastAsia" w:ascii="宋体" w:hAnsi="宋体"/>
          <w:color w:val="000000" w:themeColor="text1"/>
          <w:szCs w:val="21"/>
          <w:highlight w:val="none"/>
          <w14:textFill>
            <w14:solidFill>
              <w14:schemeClr w14:val="tx1"/>
            </w14:solidFill>
          </w14:textFill>
        </w:rPr>
        <w:t>。</w:t>
      </w:r>
    </w:p>
    <w:p w14:paraId="08457C43">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3.甲方应提供必要安装条件（如场地、电源、水源等）。</w:t>
      </w:r>
    </w:p>
    <w:p w14:paraId="6C0D6959">
      <w:pPr>
        <w:wordWrap w:val="0"/>
        <w:spacing w:after="120"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4.乙方应当按照竞标（响应）文件的承诺对甲方有关人员进行培训。培训时间：；培训地点：。</w:t>
      </w:r>
    </w:p>
    <w:p w14:paraId="02F0D870">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第六条　合同价款及支付</w:t>
      </w:r>
    </w:p>
    <w:p w14:paraId="0570FA07">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1.本合同以人民币付款。</w:t>
      </w:r>
    </w:p>
    <w:p w14:paraId="629B8BA3">
      <w:pPr>
        <w:wordWrap w:val="0"/>
        <w:snapToGrid w:val="0"/>
        <w:spacing w:line="360" w:lineRule="auto"/>
        <w:ind w:firstLine="420" w:firstLineChars="200"/>
        <w:rPr>
          <w:rFonts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2.合同价款（或者报酬）：</w:t>
      </w:r>
      <w:r>
        <w:rPr>
          <w:rFonts w:hint="eastAsia" w:ascii="宋体" w:hAnsi="宋体"/>
          <w:color w:val="000000" w:themeColor="text1"/>
          <w:kern w:val="0"/>
          <w:szCs w:val="21"/>
          <w:highlight w:val="none"/>
          <w:u w:val="single"/>
          <w14:textFill>
            <w14:solidFill>
              <w14:schemeClr w14:val="tx1"/>
            </w14:solidFill>
          </w14:textFill>
        </w:rPr>
        <w:t xml:space="preserve">          </w:t>
      </w:r>
      <w:r>
        <w:rPr>
          <w:rFonts w:hint="eastAsia" w:ascii="宋体" w:hAnsi="宋体"/>
          <w:color w:val="000000" w:themeColor="text1"/>
          <w:kern w:val="0"/>
          <w:szCs w:val="21"/>
          <w:highlight w:val="none"/>
          <w14:textFill>
            <w14:solidFill>
              <w14:schemeClr w14:val="tx1"/>
            </w14:solidFill>
          </w14:textFill>
        </w:rPr>
        <w:t xml:space="preserve"> </w:t>
      </w:r>
      <w:r>
        <w:rPr>
          <w:rFonts w:hint="eastAsia" w:ascii="宋体" w:hAnsi="宋体"/>
          <w:color w:val="000000" w:themeColor="text1"/>
          <w:kern w:val="0"/>
          <w:sz w:val="20"/>
          <w:szCs w:val="21"/>
          <w:highlight w:val="none"/>
          <w14:textFill>
            <w14:solidFill>
              <w14:schemeClr w14:val="tx1"/>
            </w14:solidFill>
          </w14:textFill>
        </w:rPr>
        <w:t>。</w:t>
      </w:r>
    </w:p>
    <w:p w14:paraId="1F030238">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合同价款包括但不限于本次采购范围内货物货款、货物标准附件、备品备件、专用工具、包装、运输、装卸、保险、利润、税金、货到就位以及安装、安装所需辅材、调试、培训、承诺售后服务内售后服务费用以及相关文件规定、合同包含的所有风险、责任等各项应有费用和税金</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乙方实施项目工作期间如出现人员人身、财产安全事故、损失等，均由成交供应商全部负责，甲方不负任何负责。</w:t>
      </w:r>
    </w:p>
    <w:p w14:paraId="1E17F28D">
      <w:pPr>
        <w:wordWrap w:val="0"/>
        <w:snapToGrid w:val="0"/>
        <w:spacing w:line="360" w:lineRule="auto"/>
        <w:ind w:firstLine="420" w:firstLineChars="200"/>
        <w:rPr>
          <w:color w:val="000000" w:themeColor="text1"/>
          <w:szCs w:val="21"/>
          <w:highlight w:val="none"/>
          <w:u w:val="single"/>
          <w14:textFill>
            <w14:solidFill>
              <w14:schemeClr w14:val="tx1"/>
            </w14:solidFill>
          </w14:textFill>
        </w:rPr>
      </w:pPr>
      <w:r>
        <w:rPr>
          <w:rFonts w:hint="eastAsia" w:ascii="宋体" w:hAnsi="宋体"/>
          <w:bCs/>
          <w:color w:val="000000" w:themeColor="text1"/>
          <w:kern w:val="0"/>
          <w:szCs w:val="21"/>
          <w:highlight w:val="none"/>
          <w14:textFill>
            <w14:solidFill>
              <w14:schemeClr w14:val="tx1"/>
            </w14:solidFill>
          </w14:textFill>
        </w:rPr>
        <w:t>4.</w:t>
      </w:r>
      <w:r>
        <w:rPr>
          <w:rFonts w:hint="eastAsia" w:ascii="宋体" w:hAnsi="宋体"/>
          <w:color w:val="000000" w:themeColor="text1"/>
          <w:kern w:val="0"/>
          <w:szCs w:val="21"/>
          <w:highlight w:val="none"/>
          <w14:textFill>
            <w14:solidFill>
              <w14:schemeClr w14:val="tx1"/>
            </w14:solidFill>
          </w14:textFill>
        </w:rPr>
        <w:t>付款进度安排</w:t>
      </w:r>
      <w:r>
        <w:rPr>
          <w:rFonts w:hint="eastAsia" w:ascii="宋体" w:hAnsi="宋体"/>
          <w:i/>
          <w:color w:val="000000" w:themeColor="text1"/>
          <w:kern w:val="0"/>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本项目无预付款。待交货完毕，甲方和乙方双方现场验收合格后，成乙方开具合同价款100%的合法发票给甲方，甲方收到财政拨款后10个工作日内一次性支付合同总价给乙方（无息）。</w:t>
      </w:r>
    </w:p>
    <w:p w14:paraId="3B44CF0D">
      <w:pPr>
        <w:wordWrap w:val="0"/>
        <w:snapToGrid w:val="0"/>
        <w:spacing w:line="360" w:lineRule="auto"/>
        <w:ind w:firstLine="420" w:firstLineChars="200"/>
        <w:rPr>
          <w:rFonts w:ascii="宋体" w:hAnsi="宋体"/>
          <w:b/>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5.资金支付方式： </w:t>
      </w:r>
      <w:r>
        <w:rPr>
          <w:rFonts w:hint="eastAsia" w:hAnsi="宋体"/>
          <w:color w:val="000000" w:themeColor="text1"/>
          <w:highlight w:val="none"/>
          <w:u w:val="single"/>
          <w14:textFill>
            <w14:solidFill>
              <w14:schemeClr w14:val="tx1"/>
            </w14:solidFill>
          </w14:textFill>
        </w:rPr>
        <w:t>银行转账</w:t>
      </w:r>
      <w:r>
        <w:rPr>
          <w:rFonts w:hint="eastAsia" w:hAnsi="宋体"/>
          <w:color w:val="000000" w:themeColor="text1"/>
          <w:highlight w:val="none"/>
          <w14:textFill>
            <w14:solidFill>
              <w14:schemeClr w14:val="tx1"/>
            </w14:solidFill>
          </w14:textFill>
        </w:rPr>
        <w:t>。</w:t>
      </w:r>
    </w:p>
    <w:p w14:paraId="677525A1">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第七条　验收、交付标准和方法</w:t>
      </w:r>
    </w:p>
    <w:p w14:paraId="33A9A44D">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1.验收标准和方法</w:t>
      </w:r>
    </w:p>
    <w:p w14:paraId="25BAF32B">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（1）验收标准：</w:t>
      </w:r>
    </w:p>
    <w:p w14:paraId="09B4FD02">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1）为保证本项目的货物是原装正品、符合国家标准的产品，乙方在供货前须按设备参数及其性能配置要求规定的检验项目和检验方法</w:t>
      </w:r>
      <w:r>
        <w:rPr>
          <w:color w:val="000000" w:themeColor="text1"/>
          <w:highlight w:val="none"/>
          <w14:textFill>
            <w14:solidFill>
              <w14:schemeClr w14:val="tx1"/>
            </w14:solidFill>
          </w14:textFill>
        </w:rPr>
        <w:t>对将要供应的货物</w:t>
      </w:r>
      <w:r>
        <w:rPr>
          <w:rFonts w:hint="eastAsia" w:ascii="宋体" w:hAnsi="宋体"/>
          <w:color w:val="000000" w:themeColor="text1"/>
          <w:szCs w:val="21"/>
          <w:highlight w:val="none"/>
          <w14:textFill>
            <w14:solidFill>
              <w14:schemeClr w14:val="tx1"/>
            </w14:solidFill>
          </w14:textFill>
        </w:rPr>
        <w:t>进行全面检验，提供相关检测报告，结果必须符合验收标准要求，否则甲方有权上报监督管理部门并取消合同。</w:t>
      </w:r>
    </w:p>
    <w:p w14:paraId="1C58F15D">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乙方必须保证所提供的货物及相关服务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甲方有权追究供应商的法律责任，其不利后果由乙方全部承担。</w:t>
      </w:r>
    </w:p>
    <w:p w14:paraId="5048BDCC">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（2）验收程序及方法：</w:t>
      </w:r>
    </w:p>
    <w:p w14:paraId="2797753E">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1）乙方履行完合同义务后，书面向甲方提交验收申请。</w:t>
      </w:r>
    </w:p>
    <w:p w14:paraId="42893484">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2）甲方收到乙方验收申请之日起7个工作日内组织验收，并提出验收意见，逾期不验收的，视同验收合格。甲方委托第三方机构组织项目验收的，其验收时间以该项目验收方案确定的验收时间为准。</w:t>
      </w:r>
    </w:p>
    <w:p w14:paraId="7692B722">
      <w:pPr>
        <w:wordWrap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3）本项目验收由验收小组按照采购合同约定对每一项技术和商务要求的履约情况进行确认。</w:t>
      </w:r>
    </w:p>
    <w:p w14:paraId="3EBE8017">
      <w:pPr>
        <w:wordWrap w:val="0"/>
        <w:spacing w:line="360" w:lineRule="auto"/>
        <w:ind w:firstLine="420" w:firstLineChars="200"/>
        <w:rPr>
          <w:rFonts w:ascii="宋体" w:hAnsi="宋体" w:cs="宋体"/>
          <w:i w:val="0"/>
          <w:iCs w:val="0"/>
          <w:color w:val="000000" w:themeColor="text1"/>
          <w:kern w:val="0"/>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4）验收结束后，验收小组出具采购验收书，验收书应当包括每一项技术和商务要求的履约情况，并列明项目总体评价，由验收小组、甲方和乙方共同签署。甲方委托第三方机构组织项目验收的，</w:t>
      </w:r>
      <w:r>
        <w:rPr>
          <w:rFonts w:hint="eastAsia" w:ascii="宋体" w:hAnsi="宋体"/>
          <w:i w:val="0"/>
          <w:iCs w:val="0"/>
          <w:color w:val="000000" w:themeColor="text1"/>
          <w:szCs w:val="21"/>
          <w:highlight w:val="none"/>
          <w14:textFill>
            <w14:solidFill>
              <w14:schemeClr w14:val="tx1"/>
            </w14:solidFill>
          </w14:textFill>
        </w:rPr>
        <w:t>其验收结果以第三方机构出具验收书结论为准，甲方和乙方共同签署确认。</w:t>
      </w:r>
    </w:p>
    <w:p w14:paraId="16BE14A0">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5）验收过程中所产生的一切费用均由乙方承担。</w:t>
      </w:r>
    </w:p>
    <w:p w14:paraId="4DF2145C">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6）</w:t>
      </w:r>
      <w:r>
        <w:rPr>
          <w:rFonts w:hint="eastAsia"/>
          <w:i w:val="0"/>
          <w:iCs w:val="0"/>
          <w:color w:val="000000" w:themeColor="text1"/>
          <w:highlight w:val="none"/>
          <w14:textFill>
            <w14:solidFill>
              <w14:schemeClr w14:val="tx1"/>
            </w14:solidFill>
          </w14:textFill>
        </w:rPr>
        <w:t>验收书一式份，甲乙双方各执份、受托第三方机构一份（如有）</w:t>
      </w:r>
      <w:r>
        <w:rPr>
          <w:rFonts w:hint="eastAsia" w:ascii="宋体" w:hAnsi="宋体"/>
          <w:i w:val="0"/>
          <w:iCs w:val="0"/>
          <w:color w:val="000000" w:themeColor="text1"/>
          <w:szCs w:val="21"/>
          <w:highlight w:val="none"/>
          <w14:textFill>
            <w14:solidFill>
              <w14:schemeClr w14:val="tx1"/>
            </w14:solidFill>
          </w14:textFill>
        </w:rPr>
        <w:t xml:space="preserve">。 </w:t>
      </w:r>
    </w:p>
    <w:p w14:paraId="6083FF72">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7）验收结论不合格的，乙方应自收到验收书后日内及时予以解决。经乙方对验收结论不合格的货物进行整改后，仍然达不到要求的，经双方协商，可按以下办法处理：</w:t>
      </w:r>
    </w:p>
    <w:p w14:paraId="324F4F6E">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①更换：由乙方承担所发生的全部费用。</w:t>
      </w:r>
    </w:p>
    <w:p w14:paraId="35B91ED0">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②贬值处理：由甲乙双方合议定价。</w:t>
      </w:r>
    </w:p>
    <w:p w14:paraId="08EEC027">
      <w:pPr>
        <w:wordWrap w:val="0"/>
        <w:spacing w:line="360" w:lineRule="auto"/>
        <w:ind w:firstLine="420" w:firstLineChars="200"/>
        <w:rPr>
          <w:rFonts w:ascii="宋体" w:hAnsi="宋体"/>
          <w:i w:val="0"/>
          <w:iCs w:val="0"/>
          <w:color w:val="000000" w:themeColor="text1"/>
          <w:highlight w:val="none"/>
          <w14:textFill>
            <w14:solidFill>
              <w14:schemeClr w14:val="tx1"/>
            </w14:solidFill>
          </w14:textFill>
        </w:rPr>
      </w:pPr>
      <w:r>
        <w:rPr>
          <w:rFonts w:hint="eastAsia" w:ascii="宋体" w:hAnsi="宋体"/>
          <w:i w:val="0"/>
          <w:iCs w:val="0"/>
          <w:color w:val="000000" w:themeColor="text1"/>
          <w:highlight w:val="none"/>
          <w14:textFill>
            <w14:solidFill>
              <w14:schemeClr w14:val="tx1"/>
            </w14:solidFill>
          </w14:textFill>
        </w:rPr>
        <w:t>2.交付标准和方法</w:t>
      </w:r>
    </w:p>
    <w:p w14:paraId="103E26BE">
      <w:pPr>
        <w:wordWrap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highlight w:val="none"/>
          <w14:textFill>
            <w14:solidFill>
              <w14:schemeClr w14:val="tx1"/>
            </w14:solidFill>
          </w14:textFill>
        </w:rPr>
        <w:t>（1）除售后服务验收外，</w:t>
      </w:r>
      <w:r>
        <w:rPr>
          <w:rFonts w:hint="eastAsia" w:ascii="宋体" w:hAnsi="宋体"/>
          <w:i w:val="0"/>
          <w:iCs w:val="0"/>
          <w:color w:val="000000" w:themeColor="text1"/>
          <w:szCs w:val="21"/>
          <w:highlight w:val="none"/>
          <w14:textFill>
            <w14:solidFill>
              <w14:schemeClr w14:val="tx1"/>
            </w14:solidFill>
          </w14:textFill>
        </w:rPr>
        <w:t>验收结论合格的，乙方应自收到验收书后日内向甲方交付使用。</w:t>
      </w:r>
    </w:p>
    <w:p w14:paraId="5AD67D29">
      <w:pPr>
        <w:wordWrap w:val="0"/>
        <w:snapToGrid w:val="0"/>
        <w:spacing w:line="360" w:lineRule="auto"/>
        <w:ind w:firstLine="420" w:firstLineChars="200"/>
        <w:rPr>
          <w:rFonts w:ascii="宋体" w:hAnsi="宋体"/>
          <w:b/>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highlight w:val="none"/>
          <w14:textFill>
            <w14:solidFill>
              <w14:schemeClr w14:val="tx1"/>
            </w14:solidFill>
          </w14:textFill>
        </w:rPr>
        <w:t>（2）货物的所有权和风险自交付时起由乙方转移至甲方，货物交付给甲方之前所有风险均由乙方承担。</w:t>
      </w:r>
    </w:p>
    <w:p w14:paraId="173D8608">
      <w:pPr>
        <w:wordWrap w:val="0"/>
        <w:snapToGrid w:val="0"/>
        <w:spacing w:line="360" w:lineRule="auto"/>
        <w:ind w:firstLine="422" w:firstLineChars="200"/>
        <w:rPr>
          <w:rFonts w:ascii="宋体" w:hAnsi="宋体"/>
          <w:b/>
          <w:i w:val="0"/>
          <w:iCs w:val="0"/>
          <w:color w:val="000000" w:themeColor="text1"/>
          <w:szCs w:val="21"/>
          <w:highlight w:val="none"/>
          <w14:textFill>
            <w14:solidFill>
              <w14:schemeClr w14:val="tx1"/>
            </w14:solidFill>
          </w14:textFill>
        </w:rPr>
      </w:pPr>
      <w:r>
        <w:rPr>
          <w:rFonts w:hint="eastAsia" w:ascii="宋体" w:hAnsi="宋体"/>
          <w:b/>
          <w:i w:val="0"/>
          <w:iCs w:val="0"/>
          <w:color w:val="000000" w:themeColor="text1"/>
          <w:szCs w:val="21"/>
          <w:highlight w:val="none"/>
          <w14:textFill>
            <w14:solidFill>
              <w14:schemeClr w14:val="tx1"/>
            </w14:solidFill>
          </w14:textFill>
        </w:rPr>
        <w:t>第八条  售后服务</w:t>
      </w:r>
    </w:p>
    <w:p w14:paraId="362BA374">
      <w:pPr>
        <w:wordWrap w:val="0"/>
        <w:snapToGrid w:val="0"/>
        <w:spacing w:line="360" w:lineRule="auto"/>
        <w:ind w:firstLine="420" w:firstLineChars="200"/>
        <w:rPr>
          <w:rFonts w:ascii="宋体" w:hAnsi="宋体"/>
          <w:i w:val="0"/>
          <w:iCs w:val="0"/>
          <w:color w:val="000000" w:themeColor="text1"/>
          <w:szCs w:val="2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1.乙方应按照国家有关法律法规规定以及竞标（响应）文件承诺，为甲方提供售后服务。</w:t>
      </w:r>
    </w:p>
    <w:p w14:paraId="0DA45973">
      <w:pPr>
        <w:wordWrap w:val="0"/>
        <w:snapToGrid w:val="0"/>
        <w:spacing w:line="360" w:lineRule="auto"/>
        <w:ind w:firstLine="420" w:firstLineChars="200"/>
        <w:rPr>
          <w:rFonts w:hint="eastAsia" w:ascii="宋体" w:hAnsi="宋体"/>
          <w:i w:val="0"/>
          <w:iCs w:val="0"/>
          <w:color w:val="000000" w:themeColor="text1"/>
          <w:highlight w:val="none"/>
          <w14:textFill>
            <w14:solidFill>
              <w14:schemeClr w14:val="tx1"/>
            </w14:solidFill>
          </w14:textFill>
        </w:rPr>
      </w:pPr>
      <w:r>
        <w:rPr>
          <w:rFonts w:hint="eastAsia" w:ascii="宋体" w:hAnsi="宋体"/>
          <w:i w:val="0"/>
          <w:iCs w:val="0"/>
          <w:color w:val="000000" w:themeColor="text1"/>
          <w:szCs w:val="21"/>
          <w:highlight w:val="none"/>
          <w14:textFill>
            <w14:solidFill>
              <w14:schemeClr w14:val="tx1"/>
            </w14:solidFill>
          </w14:textFill>
        </w:rPr>
        <w:t>2.质量保修范围：</w:t>
      </w:r>
      <w:r>
        <w:rPr>
          <w:rFonts w:hint="eastAsia" w:ascii="宋体" w:hAnsi="宋体"/>
          <w:i w:val="0"/>
          <w:iCs w:val="0"/>
          <w:color w:val="000000" w:themeColor="text1"/>
          <w:szCs w:val="21"/>
          <w:highlight w:val="none"/>
          <w:u w:val="single"/>
          <w14:textFill>
            <w14:solidFill>
              <w14:schemeClr w14:val="tx1"/>
            </w14:solidFill>
          </w14:textFill>
        </w:rPr>
        <w:t xml:space="preserve">          ；</w:t>
      </w:r>
      <w:r>
        <w:rPr>
          <w:rFonts w:hint="eastAsia" w:ascii="宋体" w:hAnsi="宋体"/>
          <w:i w:val="0"/>
          <w:iCs w:val="0"/>
          <w:color w:val="000000" w:themeColor="text1"/>
          <w:szCs w:val="21"/>
          <w:highlight w:val="none"/>
          <w14:textFill>
            <w14:solidFill>
              <w14:schemeClr w14:val="tx1"/>
            </w14:solidFill>
          </w14:textFill>
        </w:rPr>
        <w:t>质保期：</w:t>
      </w:r>
      <w:r>
        <w:rPr>
          <w:rFonts w:hint="eastAsia" w:ascii="宋体" w:hAnsi="宋体"/>
          <w:i w:val="0"/>
          <w:iCs w:val="0"/>
          <w:color w:val="000000" w:themeColor="text1"/>
          <w:szCs w:val="21"/>
          <w:highlight w:val="none"/>
          <w:u w:val="single"/>
          <w14:textFill>
            <w14:solidFill>
              <w14:schemeClr w14:val="tx1"/>
            </w14:solidFill>
          </w14:textFill>
        </w:rPr>
        <w:t xml:space="preserve">      </w:t>
      </w:r>
      <w:r>
        <w:rPr>
          <w:rFonts w:hint="eastAsia" w:ascii="宋体" w:hAnsi="宋体"/>
          <w:i w:val="0"/>
          <w:iCs w:val="0"/>
          <w:color w:val="000000" w:themeColor="text1"/>
          <w:szCs w:val="21"/>
          <w:highlight w:val="none"/>
          <w14:textFill>
            <w14:solidFill>
              <w14:schemeClr w14:val="tx1"/>
            </w14:solidFill>
          </w14:textFill>
        </w:rPr>
        <w:t>。</w:t>
      </w:r>
      <w:r>
        <w:rPr>
          <w:rFonts w:hint="eastAsia" w:ascii="宋体" w:hAnsi="宋体"/>
          <w:i w:val="0"/>
          <w:iCs w:val="0"/>
          <w:color w:val="000000" w:themeColor="text1"/>
          <w:highlight w:val="none"/>
          <w14:textFill>
            <w14:solidFill>
              <w14:schemeClr w14:val="tx1"/>
            </w14:solidFill>
          </w14:textFill>
        </w:rPr>
        <w:t>（</w:t>
      </w:r>
      <w:r>
        <w:rPr>
          <w:rFonts w:hint="eastAsia" w:hAnsi="宋体"/>
          <w:i w:val="0"/>
          <w:iCs w:val="0"/>
          <w:color w:val="000000" w:themeColor="text1"/>
          <w:highlight w:val="none"/>
          <w14:textFill>
            <w14:solidFill>
              <w14:schemeClr w14:val="tx1"/>
            </w14:solidFill>
          </w14:textFill>
        </w:rPr>
        <w:t>注：</w:t>
      </w:r>
      <w:r>
        <w:rPr>
          <w:rFonts w:hint="eastAsia" w:ascii="宋体" w:hAnsi="宋体"/>
          <w:i w:val="0"/>
          <w:iCs w:val="0"/>
          <w:color w:val="000000" w:themeColor="text1"/>
          <w:highlight w:val="none"/>
          <w14:textFill>
            <w14:solidFill>
              <w14:schemeClr w14:val="tx1"/>
            </w14:solidFill>
          </w14:textFill>
        </w:rPr>
        <w:t>根据项目实际情况填写，且与</w:t>
      </w:r>
      <w:r>
        <w:rPr>
          <w:rFonts w:hint="eastAsia" w:ascii="宋体" w:hAnsi="宋体"/>
          <w:i w:val="0"/>
          <w:iCs w:val="0"/>
          <w:color w:val="000000" w:themeColor="text1"/>
          <w:szCs w:val="21"/>
          <w:highlight w:val="none"/>
          <w14:textFill>
            <w14:solidFill>
              <w14:schemeClr w14:val="tx1"/>
            </w14:solidFill>
          </w14:textFill>
        </w:rPr>
        <w:t>竞标（响应）文件承诺</w:t>
      </w:r>
      <w:r>
        <w:rPr>
          <w:rFonts w:hint="eastAsia" w:ascii="宋体" w:hAnsi="宋体"/>
          <w:i w:val="0"/>
          <w:iCs w:val="0"/>
          <w:color w:val="000000" w:themeColor="text1"/>
          <w:highlight w:val="none"/>
          <w14:textFill>
            <w14:solidFill>
              <w14:schemeClr w14:val="tx1"/>
            </w14:solidFill>
          </w14:textFill>
        </w:rPr>
        <w:t>一致）</w:t>
      </w:r>
    </w:p>
    <w:p w14:paraId="012DA8A0">
      <w:pPr>
        <w:wordWrap w:val="0"/>
        <w:snapToGrid w:val="0"/>
        <w:spacing w:line="360" w:lineRule="auto"/>
        <w:ind w:firstLine="420" w:firstLineChars="200"/>
        <w:rPr>
          <w:rFonts w:hint="default" w:ascii="宋体" w:hAnsi="宋体"/>
          <w:i w:val="0"/>
          <w:iCs w:val="0"/>
          <w:color w:val="000000" w:themeColor="text1"/>
          <w:szCs w:val="21"/>
          <w:highlight w:val="none"/>
          <w:lang w:val="en-US" w:eastAsia="zh-CN"/>
          <w14:textFill>
            <w14:solidFill>
              <w14:schemeClr w14:val="tx1"/>
            </w14:solidFill>
          </w14:textFill>
        </w:rPr>
      </w:pPr>
      <w:r>
        <w:rPr>
          <w:rFonts w:hint="eastAsia" w:ascii="宋体" w:hAnsi="宋体"/>
          <w:i w:val="0"/>
          <w:iCs w:val="0"/>
          <w:color w:val="000000" w:themeColor="text1"/>
          <w:szCs w:val="21"/>
          <w:highlight w:val="none"/>
          <w:lang w:val="en-US" w:eastAsia="zh-CN"/>
          <w14:textFill>
            <w14:solidFill>
              <w14:schemeClr w14:val="tx1"/>
            </w14:solidFill>
          </w14:textFill>
        </w:rPr>
        <w:t>3.核查原材料的要求：</w:t>
      </w:r>
      <w:r>
        <w:rPr>
          <w:rFonts w:hint="eastAsia" w:ascii="宋体" w:hAnsi="宋体"/>
          <w:i w:val="0"/>
          <w:iCs w:val="0"/>
          <w:color w:val="000000" w:themeColor="text1"/>
          <w:szCs w:val="21"/>
          <w:highlight w:val="none"/>
          <w14:textFill>
            <w14:solidFill>
              <w14:schemeClr w14:val="tx1"/>
            </w14:solidFill>
          </w14:textFill>
        </w:rPr>
        <w:t>签订合同后3个工作日内，</w:t>
      </w:r>
      <w:r>
        <w:rPr>
          <w:rFonts w:hint="eastAsia" w:ascii="宋体" w:hAnsi="宋体"/>
          <w:i w:val="0"/>
          <w:iCs w:val="0"/>
          <w:color w:val="000000" w:themeColor="text1"/>
          <w:szCs w:val="21"/>
          <w:highlight w:val="none"/>
          <w:lang w:val="en-US" w:eastAsia="zh-CN"/>
          <w14:textFill>
            <w14:solidFill>
              <w14:schemeClr w14:val="tx1"/>
            </w14:solidFill>
          </w14:textFill>
        </w:rPr>
        <w:t>针对本项目当中包括要求提供的</w:t>
      </w:r>
      <w:r>
        <w:rPr>
          <w:rFonts w:hint="eastAsia" w:ascii="宋体" w:hAnsi="宋体"/>
          <w:i w:val="0"/>
          <w:iCs w:val="0"/>
          <w:color w:val="000000" w:themeColor="text1"/>
          <w:szCs w:val="21"/>
          <w:highlight w:val="none"/>
          <w14:textFill>
            <w14:solidFill>
              <w14:schemeClr w14:val="tx1"/>
            </w14:solidFill>
          </w14:textFill>
        </w:rPr>
        <w:t>包括检测报告在内的相关证明材料</w:t>
      </w:r>
      <w:r>
        <w:rPr>
          <w:rFonts w:hint="eastAsia" w:ascii="宋体" w:hAnsi="宋体"/>
          <w:i w:val="0"/>
          <w:iCs w:val="0"/>
          <w:color w:val="000000" w:themeColor="text1"/>
          <w:szCs w:val="21"/>
          <w:highlight w:val="none"/>
          <w:lang w:eastAsia="zh-CN"/>
          <w14:textFill>
            <w14:solidFill>
              <w14:schemeClr w14:val="tx1"/>
            </w14:solidFill>
          </w14:textFill>
        </w:rPr>
        <w:t>，</w:t>
      </w:r>
      <w:r>
        <w:rPr>
          <w:rFonts w:hint="eastAsia" w:ascii="宋体" w:hAnsi="宋体"/>
          <w:i w:val="0"/>
          <w:iCs w:val="0"/>
          <w:color w:val="000000" w:themeColor="text1"/>
          <w:szCs w:val="21"/>
          <w:highlight w:val="none"/>
          <w:lang w:val="en-US" w:eastAsia="zh-CN"/>
          <w14:textFill>
            <w14:solidFill>
              <w14:schemeClr w14:val="tx1"/>
            </w14:solidFill>
          </w14:textFill>
        </w:rPr>
        <w:t>甲方有权要求乙方提供相应原件进行核查</w:t>
      </w:r>
      <w:r>
        <w:rPr>
          <w:rFonts w:hint="eastAsia" w:ascii="宋体" w:hAnsi="宋体"/>
          <w:i w:val="0"/>
          <w:iCs w:val="0"/>
          <w:color w:val="000000" w:themeColor="text1"/>
          <w:szCs w:val="21"/>
          <w:highlight w:val="none"/>
          <w14:textFill>
            <w14:solidFill>
              <w14:schemeClr w14:val="tx1"/>
            </w14:solidFill>
          </w14:textFill>
        </w:rPr>
        <w:t>，</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不得拒绝，如有虚假材料，报采购监督管理部门处理，给</w:t>
      </w:r>
      <w:r>
        <w:rPr>
          <w:rFonts w:hint="eastAsia" w:ascii="宋体" w:hAnsi="宋体"/>
          <w:i w:val="0"/>
          <w:iCs w:val="0"/>
          <w:color w:val="000000" w:themeColor="text1"/>
          <w:szCs w:val="21"/>
          <w:highlight w:val="none"/>
          <w:lang w:val="en-US" w:eastAsia="zh-CN"/>
          <w14:textFill>
            <w14:solidFill>
              <w14:schemeClr w14:val="tx1"/>
            </w14:solidFill>
          </w14:textFill>
        </w:rPr>
        <w:t>甲方</w:t>
      </w:r>
      <w:r>
        <w:rPr>
          <w:rFonts w:hint="eastAsia" w:ascii="宋体" w:hAnsi="宋体"/>
          <w:i w:val="0"/>
          <w:iCs w:val="0"/>
          <w:color w:val="000000" w:themeColor="text1"/>
          <w:szCs w:val="21"/>
          <w:highlight w:val="none"/>
          <w14:textFill>
            <w14:solidFill>
              <w14:schemeClr w14:val="tx1"/>
            </w14:solidFill>
          </w14:textFill>
        </w:rPr>
        <w:t>带来的一切损失由</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负责。</w:t>
      </w:r>
      <w:r>
        <w:rPr>
          <w:rFonts w:hint="eastAsia" w:ascii="宋体" w:hAnsi="宋体"/>
          <w:i w:val="0"/>
          <w:iCs w:val="0"/>
          <w:color w:val="000000" w:themeColor="text1"/>
          <w:szCs w:val="21"/>
          <w:highlight w:val="none"/>
          <w:lang w:val="en-US" w:eastAsia="zh-CN"/>
          <w14:textFill>
            <w14:solidFill>
              <w14:schemeClr w14:val="tx1"/>
            </w14:solidFill>
          </w14:textFill>
        </w:rPr>
        <w:t>甲方</w:t>
      </w:r>
      <w:r>
        <w:rPr>
          <w:rFonts w:hint="eastAsia" w:ascii="宋体" w:hAnsi="宋体"/>
          <w:i w:val="0"/>
          <w:iCs w:val="0"/>
          <w:color w:val="000000" w:themeColor="text1"/>
          <w:szCs w:val="21"/>
          <w:highlight w:val="none"/>
          <w14:textFill>
            <w14:solidFill>
              <w14:schemeClr w14:val="tx1"/>
            </w14:solidFill>
          </w14:textFill>
        </w:rPr>
        <w:t>对</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提供的包括检测报告在内的材料的真实性存在疑问的，</w:t>
      </w:r>
      <w:r>
        <w:rPr>
          <w:rFonts w:hint="eastAsia" w:ascii="宋体" w:hAnsi="宋体"/>
          <w:i w:val="0"/>
          <w:iCs w:val="0"/>
          <w:color w:val="000000" w:themeColor="text1"/>
          <w:szCs w:val="21"/>
          <w:highlight w:val="none"/>
          <w:lang w:val="en-US" w:eastAsia="zh-CN"/>
          <w14:textFill>
            <w14:solidFill>
              <w14:schemeClr w14:val="tx1"/>
            </w14:solidFill>
          </w14:textFill>
        </w:rPr>
        <w:t>甲方</w:t>
      </w:r>
      <w:r>
        <w:rPr>
          <w:rFonts w:hint="eastAsia" w:ascii="宋体" w:hAnsi="宋体"/>
          <w:i w:val="0"/>
          <w:iCs w:val="0"/>
          <w:color w:val="000000" w:themeColor="text1"/>
          <w:szCs w:val="21"/>
          <w:highlight w:val="none"/>
          <w14:textFill>
            <w14:solidFill>
              <w14:schemeClr w14:val="tx1"/>
            </w14:solidFill>
          </w14:textFill>
        </w:rPr>
        <w:t>有权向</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所提供的检测报告的出具机构发出协查函，如</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所提供的检测报告复印件及原件有任何虚假情况，</w:t>
      </w:r>
      <w:r>
        <w:rPr>
          <w:rFonts w:hint="eastAsia" w:ascii="宋体" w:hAnsi="宋体"/>
          <w:i w:val="0"/>
          <w:iCs w:val="0"/>
          <w:color w:val="000000" w:themeColor="text1"/>
          <w:szCs w:val="21"/>
          <w:highlight w:val="none"/>
          <w:lang w:val="en-US" w:eastAsia="zh-CN"/>
          <w14:textFill>
            <w14:solidFill>
              <w14:schemeClr w14:val="tx1"/>
            </w14:solidFill>
          </w14:textFill>
        </w:rPr>
        <w:t>甲方</w:t>
      </w:r>
      <w:r>
        <w:rPr>
          <w:rFonts w:hint="eastAsia" w:ascii="宋体" w:hAnsi="宋体"/>
          <w:i w:val="0"/>
          <w:iCs w:val="0"/>
          <w:color w:val="000000" w:themeColor="text1"/>
          <w:szCs w:val="21"/>
          <w:highlight w:val="none"/>
          <w14:textFill>
            <w14:solidFill>
              <w14:schemeClr w14:val="tx1"/>
            </w14:solidFill>
          </w14:textFill>
        </w:rPr>
        <w:t>将报相关部门进行处理，所造成的损失由</w:t>
      </w:r>
      <w:r>
        <w:rPr>
          <w:rFonts w:hint="eastAsia" w:ascii="宋体" w:hAnsi="宋体"/>
          <w:i w:val="0"/>
          <w:iCs w:val="0"/>
          <w:color w:val="000000" w:themeColor="text1"/>
          <w:szCs w:val="21"/>
          <w:highlight w:val="none"/>
          <w:lang w:val="en-US" w:eastAsia="zh-CN"/>
          <w14:textFill>
            <w14:solidFill>
              <w14:schemeClr w14:val="tx1"/>
            </w14:solidFill>
          </w14:textFill>
        </w:rPr>
        <w:t>乙方</w:t>
      </w:r>
      <w:r>
        <w:rPr>
          <w:rFonts w:hint="eastAsia" w:ascii="宋体" w:hAnsi="宋体"/>
          <w:i w:val="0"/>
          <w:iCs w:val="0"/>
          <w:color w:val="000000" w:themeColor="text1"/>
          <w:szCs w:val="21"/>
          <w:highlight w:val="none"/>
          <w14:textFill>
            <w14:solidFill>
              <w14:schemeClr w14:val="tx1"/>
            </w14:solidFill>
          </w14:textFill>
        </w:rPr>
        <w:t>负责。</w:t>
      </w:r>
    </w:p>
    <w:p w14:paraId="6C68839B">
      <w:pPr>
        <w:wordWrap w:val="0"/>
        <w:snapToGrid w:val="0"/>
        <w:spacing w:line="360" w:lineRule="auto"/>
        <w:ind w:left="-61" w:leftChars="-29" w:firstLine="517" w:firstLineChars="245"/>
        <w:rPr>
          <w:rFonts w:ascii="宋体" w:hAnsi="宋体"/>
          <w:b/>
          <w:i w:val="0"/>
          <w:iCs w:val="0"/>
          <w:color w:val="000000" w:themeColor="text1"/>
          <w:szCs w:val="21"/>
          <w:highlight w:val="none"/>
          <w14:textFill>
            <w14:solidFill>
              <w14:schemeClr w14:val="tx1"/>
            </w14:solidFill>
          </w14:textFill>
        </w:rPr>
      </w:pPr>
      <w:r>
        <w:rPr>
          <w:rFonts w:hint="eastAsia" w:ascii="宋体" w:hAnsi="宋体"/>
          <w:b/>
          <w:i w:val="0"/>
          <w:iCs w:val="0"/>
          <w:color w:val="000000" w:themeColor="text1"/>
          <w:szCs w:val="21"/>
          <w:highlight w:val="none"/>
          <w14:textFill>
            <w14:solidFill>
              <w14:schemeClr w14:val="tx1"/>
            </w14:solidFill>
          </w14:textFill>
        </w:rPr>
        <w:t>第九条　履约保证金</w:t>
      </w:r>
    </w:p>
    <w:p w14:paraId="4F6519A1">
      <w:pPr>
        <w:wordWrap w:val="0"/>
        <w:autoSpaceDE w:val="0"/>
        <w:autoSpaceDN w:val="0"/>
        <w:snapToGrid w:val="0"/>
        <w:spacing w:line="360" w:lineRule="auto"/>
        <w:ind w:firstLine="424" w:firstLineChars="202"/>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本项目不收取履约保证金</w:t>
      </w:r>
    </w:p>
    <w:p w14:paraId="7ADE703F">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第十条　违约责任</w:t>
      </w:r>
    </w:p>
    <w:p w14:paraId="32EB78F4">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1.合同一方不履行合同义务、履行合同义务不符合约定或者违反合同项下所作保证的， 应向对方承担继续履行、采取修理、更换、退货等补救措施或者赔偿损失等违约责任。</w:t>
      </w:r>
    </w:p>
    <w:p w14:paraId="4ABF790F">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2.乙方未能按时交付货物的，应向甲方支付迟延交付违约金。迟延交付违约金的计算方法如下：</w:t>
      </w:r>
    </w:p>
    <w:p w14:paraId="6559CCE9">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（1）从迟交的第一周到第四周，每周迟延交付违约金为合同价款（报酬）的</w:t>
      </w:r>
      <w:r>
        <w:rPr>
          <w:rFonts w:hint="eastAsia" w:ascii="宋体" w:hAnsi="宋体"/>
          <w:color w:val="000000" w:themeColor="text1"/>
          <w:kern w:val="0"/>
          <w:szCs w:val="21"/>
          <w:highlight w:val="none"/>
          <w:u w:val="single"/>
          <w14:textFill>
            <w14:solidFill>
              <w14:schemeClr w14:val="tx1"/>
            </w14:solidFill>
          </w14:textFill>
        </w:rPr>
        <w:t>0.5%</w:t>
      </w:r>
      <w:r>
        <w:rPr>
          <w:rFonts w:hint="eastAsia" w:ascii="宋体" w:hAnsi="宋体"/>
          <w:color w:val="000000" w:themeColor="text1"/>
          <w:kern w:val="0"/>
          <w:szCs w:val="21"/>
          <w:highlight w:val="none"/>
          <w14:textFill>
            <w14:solidFill>
              <w14:schemeClr w14:val="tx1"/>
            </w14:solidFill>
          </w14:textFill>
        </w:rPr>
        <w:t>；</w:t>
      </w:r>
    </w:p>
    <w:p w14:paraId="0BA0058F">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（2）从迟交的第五周到第八周，每周迟延交付违约金为合同价款（报酬）的</w:t>
      </w:r>
      <w:r>
        <w:rPr>
          <w:rFonts w:hint="eastAsia" w:ascii="宋体" w:hAnsi="宋体"/>
          <w:color w:val="000000" w:themeColor="text1"/>
          <w:kern w:val="0"/>
          <w:szCs w:val="21"/>
          <w:highlight w:val="none"/>
          <w:u w:val="single"/>
          <w14:textFill>
            <w14:solidFill>
              <w14:schemeClr w14:val="tx1"/>
            </w14:solidFill>
          </w14:textFill>
        </w:rPr>
        <w:t xml:space="preserve"> 1%</w:t>
      </w:r>
      <w:r>
        <w:rPr>
          <w:rFonts w:hint="eastAsia" w:ascii="宋体" w:hAnsi="宋体"/>
          <w:color w:val="000000" w:themeColor="text1"/>
          <w:kern w:val="0"/>
          <w:szCs w:val="21"/>
          <w:highlight w:val="none"/>
          <w14:textFill>
            <w14:solidFill>
              <w14:schemeClr w14:val="tx1"/>
            </w14:solidFill>
          </w14:textFill>
        </w:rPr>
        <w:t>；</w:t>
      </w:r>
    </w:p>
    <w:p w14:paraId="744D72EA">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（3）从迟交第九周起，每周迟延交付违约金为合同价款（报酬）的</w:t>
      </w:r>
      <w:r>
        <w:rPr>
          <w:rFonts w:hint="eastAsia" w:ascii="宋体" w:hAnsi="宋体"/>
          <w:color w:val="000000" w:themeColor="text1"/>
          <w:kern w:val="0"/>
          <w:szCs w:val="21"/>
          <w:highlight w:val="none"/>
          <w:u w:val="single"/>
          <w14:textFill>
            <w14:solidFill>
              <w14:schemeClr w14:val="tx1"/>
            </w14:solidFill>
          </w14:textFill>
        </w:rPr>
        <w:t>1.5%</w:t>
      </w:r>
      <w:r>
        <w:rPr>
          <w:rFonts w:hint="eastAsia" w:ascii="宋体" w:hAnsi="宋体"/>
          <w:color w:val="000000" w:themeColor="text1"/>
          <w:kern w:val="0"/>
          <w:szCs w:val="21"/>
          <w:highlight w:val="none"/>
          <w14:textFill>
            <w14:solidFill>
              <w14:schemeClr w14:val="tx1"/>
            </w14:solidFill>
          </w14:textFill>
        </w:rPr>
        <w:t>。在计算迟延交付违约金时，迟交不足一周的按一周计算。迟延交付违约金的总额不得超过合同价款（报酬）的</w:t>
      </w:r>
      <w:r>
        <w:rPr>
          <w:rFonts w:hint="eastAsia" w:ascii="宋体" w:hAnsi="宋体"/>
          <w:color w:val="000000" w:themeColor="text1"/>
          <w:kern w:val="0"/>
          <w:szCs w:val="21"/>
          <w:highlight w:val="none"/>
          <w:u w:val="single"/>
          <w14:textFill>
            <w14:solidFill>
              <w14:schemeClr w14:val="tx1"/>
            </w14:solidFill>
          </w14:textFill>
        </w:rPr>
        <w:t xml:space="preserve"> 10% </w:t>
      </w:r>
      <w:r>
        <w:rPr>
          <w:rFonts w:hint="eastAsia" w:ascii="宋体" w:hAnsi="宋体"/>
          <w:color w:val="000000" w:themeColor="text1"/>
          <w:kern w:val="0"/>
          <w:szCs w:val="21"/>
          <w:highlight w:val="none"/>
          <w14:textFill>
            <w14:solidFill>
              <w14:schemeClr w14:val="tx1"/>
            </w14:solidFill>
          </w14:textFill>
        </w:rPr>
        <w:t>。迟延交付违约金的支付不能免除乙方继续交付相关合同货物的义务，但如迟延交付必然导致合同货物安装、调试、验收等工作推迟的，相关工作应相应顺延。</w:t>
      </w:r>
    </w:p>
    <w:p w14:paraId="702E4300">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3.乙方未按本合同和竞标文件承诺提供售后服务的，乙方应按本合同价款（报酬）的 </w:t>
      </w:r>
      <w:r>
        <w:rPr>
          <w:rFonts w:hint="eastAsia" w:ascii="宋体" w:hAnsi="宋体"/>
          <w:color w:val="000000" w:themeColor="text1"/>
          <w:kern w:val="0"/>
          <w:szCs w:val="21"/>
          <w:highlight w:val="none"/>
          <w:u w:val="single"/>
          <w14:textFill>
            <w14:solidFill>
              <w14:schemeClr w14:val="tx1"/>
            </w14:solidFill>
          </w14:textFill>
        </w:rPr>
        <w:t xml:space="preserve">10 </w:t>
      </w:r>
      <w:r>
        <w:rPr>
          <w:rFonts w:hint="eastAsia" w:ascii="宋体" w:hAnsi="宋体"/>
          <w:color w:val="000000" w:themeColor="text1"/>
          <w:kern w:val="0"/>
          <w:szCs w:val="21"/>
          <w:highlight w:val="none"/>
          <w14:textFill>
            <w14:solidFill>
              <w14:schemeClr w14:val="tx1"/>
            </w14:solidFill>
          </w14:textFill>
        </w:rPr>
        <w:t>%向甲方支付违约金。</w:t>
      </w:r>
    </w:p>
    <w:p w14:paraId="032EADE2">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4.因某一方原因导致变更、中止或者终止政府采购合同的，该方应当对另一方受到的损失予以赔偿或者补偿。</w:t>
      </w:r>
    </w:p>
    <w:p w14:paraId="0AC1B132">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5.其它违约责任按《中华人民共和国民法典》处理。</w:t>
      </w:r>
    </w:p>
    <w:p w14:paraId="4EC9DA1B">
      <w:pPr>
        <w:wordWrap w:val="0"/>
        <w:snapToGrid w:val="0"/>
        <w:spacing w:line="360" w:lineRule="auto"/>
        <w:ind w:firstLine="413" w:firstLineChars="196"/>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第十一条  不可抗力事件处理</w:t>
      </w:r>
    </w:p>
    <w:p w14:paraId="15A13FD6">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1.在合同有效期内，任何一方因不可抗力事件导致不能履行合同，则合同履行期可延长，其延长期与不可抗力影响期相同。</w:t>
      </w:r>
    </w:p>
    <w:p w14:paraId="3B263B66">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2.不可抗力事件发生后，应立即通知对方，并寄送有关权威机构出具的证明。</w:t>
      </w:r>
    </w:p>
    <w:p w14:paraId="15D2F16E">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3.不可抗力事件延续一百二十天以上，双方应通过友好协商，确定是否继续履行合同。</w:t>
      </w:r>
    </w:p>
    <w:p w14:paraId="25EAB5B2">
      <w:pPr>
        <w:wordWrap w:val="0"/>
        <w:snapToGrid w:val="0"/>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第十二条  合同争议解决</w:t>
      </w:r>
    </w:p>
    <w:p w14:paraId="589964F8">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1.因货物质量问题发生争议的，应邀请国家认可的质量检测机构对货物质量进行鉴定。货物符合标准的，鉴定费由甲方承担；货物不符合标准的，鉴定费由乙方承担。</w:t>
      </w:r>
    </w:p>
    <w:p w14:paraId="0B4023FA">
      <w:pPr>
        <w:wordWrap w:val="0"/>
        <w:autoSpaceDE w:val="0"/>
        <w:autoSpaceDN w:val="0"/>
        <w:adjustRightInd w:val="0"/>
        <w:spacing w:line="360" w:lineRule="auto"/>
        <w:ind w:left="100" w:right="42"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2.因履行本合同引起的或者与本合同有关的争议，甲乙双方应首先通过友好协商解决，如果协商不能解决，按下列</w:t>
      </w:r>
      <w:r>
        <w:rPr>
          <w:rFonts w:hint="eastAsia" w:ascii="宋体" w:hAnsi="宋体"/>
          <w:color w:val="000000" w:themeColor="text1"/>
          <w:szCs w:val="21"/>
          <w:highlight w:val="none"/>
          <w:u w:val="single"/>
          <w14:textFill>
            <w14:solidFill>
              <w14:schemeClr w14:val="tx1"/>
            </w14:solidFill>
          </w14:textFill>
        </w:rPr>
        <w:t xml:space="preserve">  1 </w:t>
      </w:r>
      <w:r>
        <w:rPr>
          <w:rFonts w:hint="eastAsia" w:ascii="宋体" w:hAnsi="宋体"/>
          <w:color w:val="000000" w:themeColor="text1"/>
          <w:szCs w:val="21"/>
          <w:highlight w:val="none"/>
          <w14:textFill>
            <w14:solidFill>
              <w14:schemeClr w14:val="tx1"/>
            </w14:solidFill>
          </w14:textFill>
        </w:rPr>
        <w:t>方式解决：</w:t>
      </w:r>
    </w:p>
    <w:p w14:paraId="7914F958">
      <w:pPr>
        <w:wordWrap w:val="0"/>
        <w:autoSpaceDE w:val="0"/>
        <w:autoSpaceDN w:val="0"/>
        <w:adjustRightInd w:val="0"/>
        <w:spacing w:line="360" w:lineRule="auto"/>
        <w:ind w:right="40"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）向</w:t>
      </w:r>
      <w:r>
        <w:rPr>
          <w:rFonts w:hint="eastAsia" w:ascii="宋体" w:hAnsi="宋体"/>
          <w:color w:val="000000" w:themeColor="text1"/>
          <w:szCs w:val="21"/>
          <w:highlight w:val="none"/>
          <w:u w:val="single"/>
          <w14:textFill>
            <w14:solidFill>
              <w14:schemeClr w14:val="tx1"/>
            </w14:solidFill>
          </w14:textFill>
        </w:rPr>
        <w:t xml:space="preserve"> 钦州 </w:t>
      </w:r>
      <w:r>
        <w:rPr>
          <w:rFonts w:hint="eastAsia" w:ascii="宋体" w:hAnsi="宋体"/>
          <w:color w:val="000000" w:themeColor="text1"/>
          <w:szCs w:val="21"/>
          <w:highlight w:val="none"/>
          <w14:textFill>
            <w14:solidFill>
              <w14:schemeClr w14:val="tx1"/>
            </w14:solidFill>
          </w14:textFill>
        </w:rPr>
        <w:t>仲裁委员会申请仲裁；</w:t>
      </w:r>
    </w:p>
    <w:p w14:paraId="5D5EB90B">
      <w:pPr>
        <w:wordWrap w:val="0"/>
        <w:autoSpaceDE w:val="0"/>
        <w:autoSpaceDN w:val="0"/>
        <w:adjustRightInd w:val="0"/>
        <w:spacing w:line="360" w:lineRule="auto"/>
        <w:ind w:right="40"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）向有甲方所在地的人民法院提起诉讼。</w:t>
      </w:r>
    </w:p>
    <w:p w14:paraId="15A6BA03">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第十三条　合同的变更、中止或者终止</w:t>
      </w:r>
    </w:p>
    <w:p w14:paraId="50CA8847">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除《中华人民共和国政府采购法》第五十条规定的情形外，本合同一经签订，甲乙双方不得擅自变更、中止或者终止合同。</w:t>
      </w:r>
    </w:p>
    <w:p w14:paraId="1B8CE3DA">
      <w:pPr>
        <w:wordWrap w:val="0"/>
        <w:spacing w:after="120"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2.采购合同继续履行将损害国家利益和社会公共利益的，双方当事人应当变更、中止或者终止合同。有过错的一方应当承担赔偿责任，双方都有过错的，各自承担相应的责任。</w:t>
      </w:r>
    </w:p>
    <w:p w14:paraId="4A729C1D">
      <w:pPr>
        <w:wordWrap w:val="0"/>
        <w:snapToGrid w:val="0"/>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第十四条　</w:t>
      </w:r>
      <w:r>
        <w:rPr>
          <w:rFonts w:hint="eastAsia" w:ascii="宋体" w:hAnsi="宋体" w:cs="微软雅黑"/>
          <w:b/>
          <w:color w:val="000000" w:themeColor="text1"/>
          <w:kern w:val="0"/>
          <w:szCs w:val="21"/>
          <w:highlight w:val="none"/>
          <w14:textFill>
            <w14:solidFill>
              <w14:schemeClr w14:val="tx1"/>
            </w14:solidFill>
          </w14:textFill>
        </w:rPr>
        <w:t>合</w:t>
      </w:r>
      <w:r>
        <w:rPr>
          <w:rFonts w:hint="eastAsia" w:ascii="宋体" w:hAnsi="宋体" w:cs="微软雅黑"/>
          <w:b/>
          <w:color w:val="000000" w:themeColor="text1"/>
          <w:spacing w:val="-2"/>
          <w:kern w:val="0"/>
          <w:szCs w:val="21"/>
          <w:highlight w:val="none"/>
          <w14:textFill>
            <w14:solidFill>
              <w14:schemeClr w14:val="tx1"/>
            </w14:solidFill>
          </w14:textFill>
        </w:rPr>
        <w:t>同</w:t>
      </w:r>
      <w:r>
        <w:rPr>
          <w:rFonts w:hint="eastAsia" w:ascii="宋体" w:hAnsi="宋体" w:cs="微软雅黑"/>
          <w:b/>
          <w:color w:val="000000" w:themeColor="text1"/>
          <w:kern w:val="0"/>
          <w:szCs w:val="21"/>
          <w:highlight w:val="none"/>
          <w14:textFill>
            <w14:solidFill>
              <w14:schemeClr w14:val="tx1"/>
            </w14:solidFill>
          </w14:textFill>
        </w:rPr>
        <w:t>文</w:t>
      </w:r>
      <w:r>
        <w:rPr>
          <w:rFonts w:hint="eastAsia" w:ascii="宋体" w:hAnsi="宋体" w:cs="微软雅黑"/>
          <w:b/>
          <w:color w:val="000000" w:themeColor="text1"/>
          <w:spacing w:val="-2"/>
          <w:kern w:val="0"/>
          <w:szCs w:val="21"/>
          <w:highlight w:val="none"/>
          <w14:textFill>
            <w14:solidFill>
              <w14:schemeClr w14:val="tx1"/>
            </w14:solidFill>
          </w14:textFill>
        </w:rPr>
        <w:t>件构成</w:t>
      </w:r>
    </w:p>
    <w:p w14:paraId="46B70A20">
      <w:pPr>
        <w:wordWrap w:val="0"/>
        <w:snapToGrid w:val="0"/>
        <w:spacing w:line="360" w:lineRule="auto"/>
        <w:ind w:left="420" w:leftChars="200"/>
        <w:rPr>
          <w:rFonts w:hint="default" w:ascii="宋体" w:hAnsi="宋体" w:eastAsia="宋体"/>
          <w:color w:val="000000" w:themeColor="text1"/>
          <w:kern w:val="0"/>
          <w:szCs w:val="21"/>
          <w:highlight w:val="none"/>
          <w:lang w:val="en-US" w:eastAsia="zh-CN"/>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1.政府采购</w:t>
      </w:r>
      <w:r>
        <w:rPr>
          <w:rFonts w:hint="eastAsia" w:ascii="宋体" w:hAnsi="宋体"/>
          <w:color w:val="000000" w:themeColor="text1"/>
          <w:kern w:val="0"/>
          <w:szCs w:val="21"/>
          <w:highlight w:val="none"/>
          <w:lang w:val="en-US" w:eastAsia="zh-CN"/>
          <w14:textFill>
            <w14:solidFill>
              <w14:schemeClr w14:val="tx1"/>
            </w14:solidFill>
          </w14:textFill>
        </w:rPr>
        <w:t>合同文本</w:t>
      </w:r>
    </w:p>
    <w:p w14:paraId="6186D6CD">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2.中标（成交）通知书；</w:t>
      </w:r>
    </w:p>
    <w:p w14:paraId="5A396304">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3.竞标（响应）文件；</w:t>
      </w:r>
    </w:p>
    <w:p w14:paraId="5777D913">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4.采购文件及更正公告（澄清或补充通知）；</w:t>
      </w:r>
    </w:p>
    <w:p w14:paraId="492CA830">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5.标准、规范及有关技术文件；</w:t>
      </w:r>
    </w:p>
    <w:p w14:paraId="14185158">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6.双方约定的其他合同文件。</w:t>
      </w:r>
    </w:p>
    <w:p w14:paraId="148E42E3">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上述合同文件互相补充和解释。如果合同文件之间存在矛盾或者不一致之处，以上述文件的排列顺序在先者为准。</w:t>
      </w:r>
    </w:p>
    <w:p w14:paraId="7C942608">
      <w:pPr>
        <w:wordWrap w:val="0"/>
        <w:snapToGrid w:val="0"/>
        <w:spacing w:line="360" w:lineRule="auto"/>
        <w:ind w:firstLine="422" w:firstLineChars="200"/>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第</w:t>
      </w:r>
      <w:r>
        <w:rPr>
          <w:rFonts w:hint="eastAsia" w:hAnsi="宋体"/>
          <w:b/>
          <w:color w:val="000000" w:themeColor="text1"/>
          <w:highlight w:val="none"/>
          <w14:textFill>
            <w14:solidFill>
              <w14:schemeClr w14:val="tx1"/>
            </w14:solidFill>
          </w14:textFill>
        </w:rPr>
        <w:t>十五</w:t>
      </w:r>
      <w:r>
        <w:rPr>
          <w:rFonts w:hint="eastAsia" w:ascii="宋体" w:hAnsi="宋体"/>
          <w:b/>
          <w:color w:val="000000" w:themeColor="text1"/>
          <w:szCs w:val="21"/>
          <w:highlight w:val="none"/>
          <w14:textFill>
            <w14:solidFill>
              <w14:schemeClr w14:val="tx1"/>
            </w14:solidFill>
          </w14:textFill>
        </w:rPr>
        <w:t>条　知识产权和保密要求</w:t>
      </w:r>
    </w:p>
    <w:p w14:paraId="094205E4">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1.甲方在履行合同过程中提供给乙方的全部图纸、文件和其他含有数据和信息的资料，其知识产权属于甲方。</w:t>
      </w:r>
    </w:p>
    <w:p w14:paraId="06C67F6D">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2.除采购文件采购需求另有约定外，甲方不因签署和履行合同而享有乙方在履行合同过程中提供给甲方的图纸、文件、配套软件、电子辅助程序和其他含有数据和信息的资料的知识产权。</w:t>
      </w:r>
    </w:p>
    <w:p w14:paraId="5AE834A6">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74C7D521">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4.乙方保证将要交付的货物的所有权完全属于乙方且无任何抵押、质押、查封等产权瑕疵。</w:t>
      </w:r>
    </w:p>
    <w:p w14:paraId="44E251D3">
      <w:pPr>
        <w:wordWrap w:val="0"/>
        <w:snapToGrid w:val="0"/>
        <w:spacing w:line="360" w:lineRule="auto"/>
        <w:ind w:firstLine="413" w:firstLineChars="196"/>
        <w:rPr>
          <w:rFonts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kern w:val="0"/>
          <w:szCs w:val="21"/>
          <w:highlight w:val="none"/>
          <w14:textFill>
            <w14:solidFill>
              <w14:schemeClr w14:val="tx1"/>
            </w14:solidFill>
          </w14:textFill>
        </w:rPr>
        <w:t>第十六条  合同生效及其它</w:t>
      </w:r>
    </w:p>
    <w:p w14:paraId="198659D8">
      <w:pPr>
        <w:wordWrap w:val="0"/>
        <w:snapToGrid w:val="0"/>
        <w:spacing w:line="360" w:lineRule="auto"/>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1.合同经双方法定代表人或者委托代理人签字并加盖单位公章后生效（委托代理人签字的需后附授权委托书，格式自拟）。</w:t>
      </w:r>
    </w:p>
    <w:p w14:paraId="1A3D637D">
      <w:pPr>
        <w:wordWrap w:val="0"/>
        <w:spacing w:after="120"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2.合同执行中涉及采购资金和采购内容修改或者补充的，并签书面补充协议报财政部门备案，方可作为主合同不可分割的一部分。</w:t>
      </w:r>
    </w:p>
    <w:p w14:paraId="330B0F63">
      <w:pPr>
        <w:wordWrap w:val="0"/>
        <w:spacing w:after="120"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3.合同生效后，甲乙双方不得因姓名、名称的变更或者法定代表人、负责人、承办人的变动而不履行合同义务。</w:t>
      </w:r>
    </w:p>
    <w:p w14:paraId="31FBD98A">
      <w:pPr>
        <w:wordWrap w:val="0"/>
        <w:snapToGrid w:val="0"/>
        <w:spacing w:line="360" w:lineRule="auto"/>
        <w:ind w:left="420" w:leftChars="2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4.本合同未尽事宜，遵照《中华人民共和国民法典》有关条文执行。</w:t>
      </w:r>
    </w:p>
    <w:p w14:paraId="769BDFB6">
      <w:pPr>
        <w:wordWrap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5.本合同一式</w:t>
      </w:r>
      <w:r>
        <w:rPr>
          <w:rFonts w:hint="eastAsia" w:ascii="宋体" w:hAnsi="宋体"/>
          <w:color w:val="000000" w:themeColor="text1"/>
          <w:szCs w:val="21"/>
          <w:highlight w:val="none"/>
          <w:u w:val="single"/>
          <w14:textFill>
            <w14:solidFill>
              <w14:schemeClr w14:val="tx1"/>
            </w14:solidFill>
          </w14:textFill>
        </w:rPr>
        <w:t xml:space="preserve"> 三 </w:t>
      </w:r>
      <w:r>
        <w:rPr>
          <w:rFonts w:hint="eastAsia" w:ascii="宋体" w:hAnsi="宋体"/>
          <w:color w:val="000000" w:themeColor="text1"/>
          <w:szCs w:val="21"/>
          <w:highlight w:val="none"/>
          <w14:textFill>
            <w14:solidFill>
              <w14:schemeClr w14:val="tx1"/>
            </w14:solidFill>
          </w14:textFill>
        </w:rPr>
        <w:t>份，具有同等法律效力，采购代理机构、甲乙双方各一份。</w:t>
      </w:r>
    </w:p>
    <w:tbl>
      <w:tblPr>
        <w:tblStyle w:val="30"/>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3"/>
        <w:gridCol w:w="4061"/>
      </w:tblGrid>
      <w:tr w14:paraId="5446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163" w:type="dxa"/>
            <w:vAlign w:val="center"/>
          </w:tcPr>
          <w:p w14:paraId="60CDA2B0">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 xml:space="preserve">甲方（章）：           </w:t>
            </w:r>
          </w:p>
          <w:p w14:paraId="2754546F">
            <w:pPr>
              <w:wordWrap w:val="0"/>
              <w:snapToGrid w:val="0"/>
              <w:spacing w:line="400" w:lineRule="exact"/>
              <w:rPr>
                <w:rFonts w:ascii="宋体" w:hAnsi="宋体" w:cs="仿宋"/>
                <w:color w:val="000000" w:themeColor="text1"/>
                <w:szCs w:val="21"/>
                <w:highlight w:val="none"/>
                <w14:textFill>
                  <w14:solidFill>
                    <w14:schemeClr w14:val="tx1"/>
                  </w14:solidFill>
                </w14:textFill>
              </w:rPr>
            </w:pPr>
          </w:p>
          <w:p w14:paraId="762654FE">
            <w:pPr>
              <w:wordWrap w:val="0"/>
              <w:snapToGrid w:val="0"/>
              <w:spacing w:line="400" w:lineRule="exact"/>
              <w:rPr>
                <w:rFonts w:ascii="宋体" w:hAnsi="宋体" w:cs="仿宋"/>
                <w:color w:val="000000" w:themeColor="text1"/>
                <w:szCs w:val="21"/>
                <w:highlight w:val="none"/>
                <w14:textFill>
                  <w14:solidFill>
                    <w14:schemeClr w14:val="tx1"/>
                  </w14:solidFill>
                </w14:textFill>
              </w:rPr>
            </w:pPr>
          </w:p>
          <w:p w14:paraId="0DF6BC86">
            <w:pPr>
              <w:wordWrap w:val="0"/>
              <w:snapToGrid w:val="0"/>
              <w:spacing w:line="400" w:lineRule="exact"/>
              <w:ind w:firstLine="945" w:firstLineChars="450"/>
              <w:jc w:val="righ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年   月   日</w:t>
            </w:r>
          </w:p>
        </w:tc>
        <w:tc>
          <w:tcPr>
            <w:tcW w:w="4061" w:type="dxa"/>
            <w:vAlign w:val="center"/>
          </w:tcPr>
          <w:p w14:paraId="644800A8">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 xml:space="preserve">乙方（章）：              </w:t>
            </w:r>
          </w:p>
          <w:p w14:paraId="44B6C3B7">
            <w:pPr>
              <w:wordWrap w:val="0"/>
              <w:snapToGrid w:val="0"/>
              <w:spacing w:line="400" w:lineRule="exact"/>
              <w:rPr>
                <w:rFonts w:ascii="宋体" w:hAnsi="宋体" w:cs="仿宋"/>
                <w:color w:val="000000" w:themeColor="text1"/>
                <w:szCs w:val="21"/>
                <w:highlight w:val="none"/>
                <w14:textFill>
                  <w14:solidFill>
                    <w14:schemeClr w14:val="tx1"/>
                  </w14:solidFill>
                </w14:textFill>
              </w:rPr>
            </w:pPr>
          </w:p>
          <w:p w14:paraId="01EA9F7F">
            <w:pPr>
              <w:wordWrap w:val="0"/>
              <w:snapToGrid w:val="0"/>
              <w:spacing w:line="400" w:lineRule="exact"/>
              <w:rPr>
                <w:rFonts w:ascii="宋体" w:hAnsi="宋体" w:cs="仿宋"/>
                <w:color w:val="000000" w:themeColor="text1"/>
                <w:szCs w:val="21"/>
                <w:highlight w:val="none"/>
                <w14:textFill>
                  <w14:solidFill>
                    <w14:schemeClr w14:val="tx1"/>
                  </w14:solidFill>
                </w14:textFill>
              </w:rPr>
            </w:pPr>
          </w:p>
          <w:p w14:paraId="6706144B">
            <w:pPr>
              <w:wordWrap w:val="0"/>
              <w:snapToGrid w:val="0"/>
              <w:spacing w:line="400" w:lineRule="exact"/>
              <w:jc w:val="righ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 xml:space="preserve"> 年   月   日</w:t>
            </w:r>
          </w:p>
        </w:tc>
      </w:tr>
      <w:tr w14:paraId="12EF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vAlign w:val="center"/>
          </w:tcPr>
          <w:p w14:paraId="556CA9DF">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单位地址：</w:t>
            </w:r>
          </w:p>
        </w:tc>
        <w:tc>
          <w:tcPr>
            <w:tcW w:w="4061" w:type="dxa"/>
            <w:vAlign w:val="center"/>
          </w:tcPr>
          <w:p w14:paraId="608C1F5C">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单位地址：</w:t>
            </w:r>
          </w:p>
        </w:tc>
      </w:tr>
      <w:tr w14:paraId="0B3A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tcPr>
          <w:p w14:paraId="29B74C2A">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法定代表人</w:t>
            </w:r>
          </w:p>
          <w:p w14:paraId="779A0D44">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或委托代理人：</w:t>
            </w:r>
          </w:p>
        </w:tc>
        <w:tc>
          <w:tcPr>
            <w:tcW w:w="4061" w:type="dxa"/>
          </w:tcPr>
          <w:p w14:paraId="462BCBD0">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法定代表人（负责人或自然人）</w:t>
            </w:r>
          </w:p>
          <w:p w14:paraId="22A4D54D">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或委托代理人：</w:t>
            </w:r>
          </w:p>
        </w:tc>
      </w:tr>
      <w:tr w14:paraId="6EDD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vAlign w:val="center"/>
          </w:tcPr>
          <w:p w14:paraId="1837DF4A">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电话：</w:t>
            </w:r>
          </w:p>
        </w:tc>
        <w:tc>
          <w:tcPr>
            <w:tcW w:w="4061" w:type="dxa"/>
            <w:vAlign w:val="center"/>
          </w:tcPr>
          <w:p w14:paraId="6F9C185A">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电话：</w:t>
            </w:r>
          </w:p>
        </w:tc>
      </w:tr>
      <w:tr w14:paraId="0BD6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vAlign w:val="center"/>
          </w:tcPr>
          <w:p w14:paraId="318C9CF9">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开户银行：</w:t>
            </w:r>
          </w:p>
        </w:tc>
        <w:tc>
          <w:tcPr>
            <w:tcW w:w="4061" w:type="dxa"/>
            <w:vAlign w:val="center"/>
          </w:tcPr>
          <w:p w14:paraId="76348BDF">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开户银行：</w:t>
            </w:r>
          </w:p>
        </w:tc>
      </w:tr>
      <w:tr w14:paraId="7860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vAlign w:val="center"/>
          </w:tcPr>
          <w:p w14:paraId="2A49A1AA">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账号：</w:t>
            </w:r>
          </w:p>
        </w:tc>
        <w:tc>
          <w:tcPr>
            <w:tcW w:w="4061" w:type="dxa"/>
            <w:vAlign w:val="center"/>
          </w:tcPr>
          <w:p w14:paraId="5C08A36C">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账号：</w:t>
            </w:r>
          </w:p>
        </w:tc>
      </w:tr>
      <w:tr w14:paraId="3387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63" w:type="dxa"/>
            <w:vAlign w:val="center"/>
          </w:tcPr>
          <w:p w14:paraId="43FF1BA8">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邮政编码：</w:t>
            </w:r>
          </w:p>
        </w:tc>
        <w:tc>
          <w:tcPr>
            <w:tcW w:w="4061" w:type="dxa"/>
            <w:vAlign w:val="center"/>
          </w:tcPr>
          <w:p w14:paraId="73CCC18D">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邮政编码：</w:t>
            </w:r>
          </w:p>
        </w:tc>
      </w:tr>
      <w:tr w14:paraId="082E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trPr>
        <w:tc>
          <w:tcPr>
            <w:tcW w:w="8224" w:type="dxa"/>
            <w:gridSpan w:val="2"/>
          </w:tcPr>
          <w:p w14:paraId="321752A9">
            <w:pPr>
              <w:wordWrap w:val="0"/>
              <w:snapToGrid w:val="0"/>
              <w:spacing w:line="400" w:lineRule="exac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经办人：</w:t>
            </w:r>
          </w:p>
          <w:p w14:paraId="58CBF8BB">
            <w:pPr>
              <w:wordWrap w:val="0"/>
              <w:snapToGrid w:val="0"/>
              <w:spacing w:line="400" w:lineRule="exact"/>
              <w:rPr>
                <w:rFonts w:ascii="宋体" w:hAnsi="宋体" w:cs="仿宋"/>
                <w:color w:val="000000" w:themeColor="text1"/>
                <w:szCs w:val="21"/>
                <w:highlight w:val="none"/>
                <w14:textFill>
                  <w14:solidFill>
                    <w14:schemeClr w14:val="tx1"/>
                  </w14:solidFill>
                </w14:textFill>
              </w:rPr>
            </w:pPr>
          </w:p>
          <w:p w14:paraId="32F921C2">
            <w:pPr>
              <w:wordWrap w:val="0"/>
              <w:snapToGrid w:val="0"/>
              <w:spacing w:line="400" w:lineRule="exact"/>
              <w:ind w:firstLine="630" w:firstLineChars="300"/>
              <w:jc w:val="right"/>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年    月    日</w:t>
            </w:r>
          </w:p>
        </w:tc>
      </w:tr>
    </w:tbl>
    <w:p w14:paraId="3B2564D8">
      <w:pPr>
        <w:widowControl/>
        <w:shd w:val="clear" w:color="auto" w:fill="FFFFFF"/>
        <w:wordWrap w:val="0"/>
        <w:spacing w:line="480" w:lineRule="atLeast"/>
        <w:jc w:val="left"/>
        <w:rPr>
          <w:rFonts w:ascii="黑体" w:hAnsi="黑体" w:eastAsia="黑体" w:cs="黑体"/>
          <w:b/>
          <w:bCs/>
          <w:color w:val="000000" w:themeColor="text1"/>
          <w:kern w:val="0"/>
          <w:sz w:val="32"/>
          <w:szCs w:val="32"/>
          <w:highlight w:val="none"/>
          <w14:textFill>
            <w14:solidFill>
              <w14:schemeClr w14:val="tx1"/>
            </w14:solidFill>
          </w14:textFill>
        </w:rPr>
      </w:pPr>
      <w:r>
        <w:rPr>
          <w:rFonts w:ascii="宋体" w:hAnsi="宋体"/>
          <w:color w:val="000000" w:themeColor="text1"/>
          <w:sz w:val="24"/>
          <w:szCs w:val="21"/>
          <w:highlight w:val="none"/>
          <w14:textFill>
            <w14:solidFill>
              <w14:schemeClr w14:val="tx1"/>
            </w14:solidFill>
          </w14:textFill>
        </w:rPr>
        <w:br w:type="page"/>
      </w:r>
      <w:r>
        <w:rPr>
          <w:rFonts w:hint="eastAsia" w:ascii="黑体" w:hAnsi="黑体" w:eastAsia="黑体" w:cs="黑体"/>
          <w:b/>
          <w:bCs/>
          <w:color w:val="000000" w:themeColor="text1"/>
          <w:kern w:val="0"/>
          <w:sz w:val="32"/>
          <w:szCs w:val="32"/>
          <w:highlight w:val="none"/>
          <w14:textFill>
            <w14:solidFill>
              <w14:schemeClr w14:val="tx1"/>
            </w14:solidFill>
          </w14:textFill>
        </w:rPr>
        <w:t>附件1：</w:t>
      </w:r>
    </w:p>
    <w:p w14:paraId="4A43CC6D">
      <w:pPr>
        <w:widowControl/>
        <w:shd w:val="clear" w:color="auto" w:fill="FFFFFF"/>
        <w:wordWrap w:val="0"/>
        <w:spacing w:line="480" w:lineRule="atLeast"/>
        <w:jc w:val="center"/>
        <w:rPr>
          <w:rFonts w:ascii="黑体" w:hAnsi="黑体" w:eastAsia="黑体" w:cs="黑体"/>
          <w:color w:val="000000" w:themeColor="text1"/>
          <w:kern w:val="0"/>
          <w:sz w:val="32"/>
          <w:szCs w:val="32"/>
          <w:highlight w:val="none"/>
          <w14:textFill>
            <w14:solidFill>
              <w14:schemeClr w14:val="tx1"/>
            </w14:solidFill>
          </w14:textFill>
        </w:rPr>
      </w:pPr>
      <w:r>
        <w:rPr>
          <w:rFonts w:hint="eastAsia" w:ascii="黑体" w:hAnsi="黑体" w:eastAsia="黑体" w:cs="黑体"/>
          <w:b/>
          <w:bCs/>
          <w:color w:val="000000" w:themeColor="text1"/>
          <w:kern w:val="0"/>
          <w:sz w:val="32"/>
          <w:szCs w:val="32"/>
          <w:highlight w:val="none"/>
          <w14:textFill>
            <w14:solidFill>
              <w14:schemeClr w14:val="tx1"/>
            </w14:solidFill>
          </w14:textFill>
        </w:rPr>
        <w:t>《广西壮族自治区政府采购项目合同验收书》</w:t>
      </w:r>
    </w:p>
    <w:p w14:paraId="5E4DA250">
      <w:pPr>
        <w:widowControl/>
        <w:shd w:val="clear" w:color="auto" w:fill="FFFFFF"/>
        <w:wordWrap w:val="0"/>
        <w:snapToGrid w:val="0"/>
        <w:spacing w:line="320" w:lineRule="atLeast"/>
        <w:jc w:val="left"/>
        <w:rPr>
          <w:rFonts w:ascii="仿宋" w:hAnsi="仿宋" w:eastAsia="仿宋" w:cs="宋体"/>
          <w:color w:val="000000" w:themeColor="text1"/>
          <w:kern w:val="0"/>
          <w:szCs w:val="21"/>
          <w:highlight w:val="none"/>
          <w14:textFill>
            <w14:solidFill>
              <w14:schemeClr w14:val="tx1"/>
            </w14:solidFill>
          </w14:textFill>
        </w:rPr>
      </w:pPr>
    </w:p>
    <w:tbl>
      <w:tblPr>
        <w:tblStyle w:val="30"/>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3AE035CA">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0812AA92">
            <w:pPr>
              <w:widowControl/>
              <w:wordWrap w:val="0"/>
              <w:snapToGrid w:val="0"/>
              <w:spacing w:before="100" w:beforeAutospacing="1" w:after="100" w:afterAutospacing="1" w:line="320" w:lineRule="atLeast"/>
              <w:ind w:firstLine="5"/>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验收方式：</w:t>
            </w:r>
          </w:p>
        </w:tc>
        <w:tc>
          <w:tcPr>
            <w:tcW w:w="5193" w:type="dxa"/>
            <w:gridSpan w:val="6"/>
            <w:tcBorders>
              <w:top w:val="single" w:color="auto" w:sz="8" w:space="0"/>
              <w:left w:val="nil"/>
              <w:bottom w:val="single" w:color="auto" w:sz="8" w:space="0"/>
              <w:right w:val="single" w:color="auto" w:sz="8" w:space="0"/>
            </w:tcBorders>
            <w:vAlign w:val="center"/>
          </w:tcPr>
          <w:p w14:paraId="6D2B6A7A">
            <w:pPr>
              <w:widowControl/>
              <w:wordWrap w:val="0"/>
              <w:snapToGrid w:val="0"/>
              <w:spacing w:before="100" w:beforeAutospacing="1" w:after="100" w:afterAutospacing="1" w:line="320" w:lineRule="atLeast"/>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sym w:font="Times New Roman" w:char="0000"/>
            </w:r>
            <w:r>
              <w:rPr>
                <w:rFonts w:ascii="Verdana" w:hAnsi="Verdana" w:cs="宋体"/>
                <w:color w:val="000000" w:themeColor="text1"/>
                <w:kern w:val="0"/>
                <w:szCs w:val="21"/>
                <w:highlight w:val="none"/>
                <w14:textFill>
                  <w14:solidFill>
                    <w14:schemeClr w14:val="tx1"/>
                  </w14:solidFill>
                </w14:textFill>
              </w:rPr>
              <w:t>自行验收</w:t>
            </w:r>
            <w:r>
              <w:rPr>
                <w:rFonts w:ascii="Verdana" w:hAnsi="Verdana" w:cs="宋体"/>
                <w:color w:val="000000" w:themeColor="text1"/>
                <w:kern w:val="0"/>
                <w:szCs w:val="21"/>
                <w:highlight w:val="none"/>
                <w14:textFill>
                  <w14:solidFill>
                    <w14:schemeClr w14:val="tx1"/>
                  </w14:solidFill>
                </w14:textFill>
              </w:rPr>
              <w:sym w:font="Times New Roman" w:char="0000"/>
            </w:r>
            <w:r>
              <w:rPr>
                <w:rFonts w:ascii="Verdana" w:hAnsi="Verdana" w:cs="宋体"/>
                <w:color w:val="000000" w:themeColor="text1"/>
                <w:kern w:val="0"/>
                <w:szCs w:val="21"/>
                <w:highlight w:val="none"/>
                <w14:textFill>
                  <w14:solidFill>
                    <w14:schemeClr w14:val="tx1"/>
                  </w14:solidFill>
                </w14:textFill>
              </w:rPr>
              <w:t>委托验收</w:t>
            </w:r>
          </w:p>
        </w:tc>
      </w:tr>
      <w:tr w14:paraId="30B9A9B9">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123DBB14">
            <w:pPr>
              <w:widowControl/>
              <w:wordWrap w:val="0"/>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序号</w:t>
            </w:r>
          </w:p>
        </w:tc>
        <w:tc>
          <w:tcPr>
            <w:tcW w:w="2448" w:type="dxa"/>
            <w:gridSpan w:val="2"/>
            <w:tcBorders>
              <w:top w:val="nil"/>
              <w:left w:val="nil"/>
              <w:bottom w:val="single" w:color="auto" w:sz="8" w:space="0"/>
              <w:right w:val="single" w:color="auto" w:sz="8" w:space="0"/>
            </w:tcBorders>
            <w:vAlign w:val="center"/>
          </w:tcPr>
          <w:p w14:paraId="7634B370">
            <w:pPr>
              <w:widowControl/>
              <w:wordWrap w:val="0"/>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名称</w:t>
            </w:r>
          </w:p>
        </w:tc>
        <w:tc>
          <w:tcPr>
            <w:tcW w:w="2902" w:type="dxa"/>
            <w:gridSpan w:val="3"/>
            <w:tcBorders>
              <w:top w:val="nil"/>
              <w:left w:val="nil"/>
              <w:bottom w:val="single" w:color="auto" w:sz="8" w:space="0"/>
              <w:right w:val="single" w:color="auto" w:sz="8" w:space="0"/>
            </w:tcBorders>
            <w:vAlign w:val="center"/>
          </w:tcPr>
          <w:p w14:paraId="1D197494">
            <w:pPr>
              <w:widowControl/>
              <w:wordWrap w:val="0"/>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货物型号规格、标准及配置等（或服务内容、标准）</w:t>
            </w:r>
          </w:p>
        </w:tc>
        <w:tc>
          <w:tcPr>
            <w:tcW w:w="863" w:type="dxa"/>
            <w:gridSpan w:val="2"/>
            <w:tcBorders>
              <w:top w:val="nil"/>
              <w:left w:val="nil"/>
              <w:bottom w:val="single" w:color="auto" w:sz="8" w:space="0"/>
              <w:right w:val="single" w:color="auto" w:sz="8" w:space="0"/>
            </w:tcBorders>
            <w:vAlign w:val="center"/>
          </w:tcPr>
          <w:p w14:paraId="241AFA9B">
            <w:pPr>
              <w:widowControl/>
              <w:wordWrap w:val="0"/>
              <w:snapToGrid w:val="0"/>
              <w:spacing w:before="100" w:beforeAutospacing="1" w:after="100" w:afterAutospacing="1" w:line="320" w:lineRule="atLeast"/>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数量</w:t>
            </w:r>
          </w:p>
        </w:tc>
        <w:tc>
          <w:tcPr>
            <w:tcW w:w="1428" w:type="dxa"/>
            <w:tcBorders>
              <w:top w:val="nil"/>
              <w:left w:val="nil"/>
              <w:bottom w:val="single" w:color="auto" w:sz="8" w:space="0"/>
              <w:right w:val="single" w:color="auto" w:sz="8" w:space="0"/>
            </w:tcBorders>
            <w:vAlign w:val="center"/>
          </w:tcPr>
          <w:p w14:paraId="71484539">
            <w:pPr>
              <w:widowControl/>
              <w:wordWrap w:val="0"/>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金额</w:t>
            </w:r>
          </w:p>
        </w:tc>
      </w:tr>
      <w:tr w14:paraId="32BE495B">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5E3CD9F">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vAlign w:val="center"/>
          </w:tcPr>
          <w:p w14:paraId="613DBE9B">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vAlign w:val="center"/>
          </w:tcPr>
          <w:p w14:paraId="759AA631">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vAlign w:val="center"/>
          </w:tcPr>
          <w:p w14:paraId="304DD6C3">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vAlign w:val="center"/>
          </w:tcPr>
          <w:p w14:paraId="12844ADA">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14:paraId="47CE74B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76E7012C">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vAlign w:val="center"/>
          </w:tcPr>
          <w:p w14:paraId="27FCEA3D">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vAlign w:val="center"/>
          </w:tcPr>
          <w:p w14:paraId="26497CC5">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vAlign w:val="center"/>
          </w:tcPr>
          <w:p w14:paraId="00453322">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vAlign w:val="center"/>
          </w:tcPr>
          <w:p w14:paraId="3C4384A0">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14:paraId="1A9E54B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B7D9B9D">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448" w:type="dxa"/>
            <w:gridSpan w:val="2"/>
            <w:tcBorders>
              <w:top w:val="nil"/>
              <w:left w:val="nil"/>
              <w:bottom w:val="single" w:color="auto" w:sz="8" w:space="0"/>
              <w:right w:val="single" w:color="auto" w:sz="8" w:space="0"/>
            </w:tcBorders>
            <w:vAlign w:val="center"/>
          </w:tcPr>
          <w:p w14:paraId="4D4891F1">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902" w:type="dxa"/>
            <w:gridSpan w:val="3"/>
            <w:tcBorders>
              <w:top w:val="nil"/>
              <w:left w:val="nil"/>
              <w:bottom w:val="single" w:color="auto" w:sz="8" w:space="0"/>
              <w:right w:val="single" w:color="auto" w:sz="8" w:space="0"/>
            </w:tcBorders>
            <w:vAlign w:val="center"/>
          </w:tcPr>
          <w:p w14:paraId="1C742EC3">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863" w:type="dxa"/>
            <w:gridSpan w:val="2"/>
            <w:tcBorders>
              <w:top w:val="nil"/>
              <w:left w:val="nil"/>
              <w:bottom w:val="single" w:color="auto" w:sz="8" w:space="0"/>
              <w:right w:val="single" w:color="auto" w:sz="8" w:space="0"/>
            </w:tcBorders>
            <w:vAlign w:val="center"/>
          </w:tcPr>
          <w:p w14:paraId="45E8D226">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vAlign w:val="center"/>
          </w:tcPr>
          <w:p w14:paraId="2AFC3DCF">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14:paraId="6C0612EC">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1EC5C847">
            <w:pPr>
              <w:widowControl/>
              <w:wordWrap w:val="0"/>
              <w:snapToGrid w:val="0"/>
              <w:spacing w:before="100" w:beforeAutospacing="1" w:after="100" w:afterAutospacing="1" w:line="320" w:lineRule="atLeast"/>
              <w:ind w:firstLine="5"/>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合计</w:t>
            </w:r>
          </w:p>
        </w:tc>
        <w:tc>
          <w:tcPr>
            <w:tcW w:w="863" w:type="dxa"/>
            <w:gridSpan w:val="2"/>
            <w:tcBorders>
              <w:top w:val="nil"/>
              <w:left w:val="nil"/>
              <w:bottom w:val="single" w:color="auto" w:sz="8" w:space="0"/>
              <w:right w:val="single" w:color="auto" w:sz="8" w:space="0"/>
            </w:tcBorders>
            <w:vAlign w:val="center"/>
          </w:tcPr>
          <w:p w14:paraId="7B49042C">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1428" w:type="dxa"/>
            <w:tcBorders>
              <w:top w:val="nil"/>
              <w:left w:val="nil"/>
              <w:bottom w:val="single" w:color="auto" w:sz="8" w:space="0"/>
              <w:right w:val="single" w:color="auto" w:sz="8" w:space="0"/>
            </w:tcBorders>
            <w:vAlign w:val="center"/>
          </w:tcPr>
          <w:p w14:paraId="2D5047B9">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14:paraId="2AAE6932">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660F4578">
            <w:pPr>
              <w:widowControl/>
              <w:wordWrap w:val="0"/>
              <w:snapToGrid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合计大写金额：仟佰拾万仟佰拾元</w:t>
            </w:r>
          </w:p>
        </w:tc>
      </w:tr>
      <w:tr w14:paraId="58FF44FC">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035E4FA7">
            <w:pPr>
              <w:widowControl/>
              <w:wordWrap w:val="0"/>
              <w:snapToGrid w:val="0"/>
              <w:spacing w:before="100" w:beforeAutospacing="1" w:after="100" w:afterAutospacing="1" w:line="320" w:lineRule="atLeast"/>
              <w:ind w:firstLine="2"/>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实际供货日期</w:t>
            </w:r>
          </w:p>
        </w:tc>
        <w:tc>
          <w:tcPr>
            <w:tcW w:w="2421" w:type="dxa"/>
            <w:gridSpan w:val="2"/>
            <w:tcBorders>
              <w:top w:val="nil"/>
              <w:left w:val="nil"/>
              <w:bottom w:val="single" w:color="auto" w:sz="8" w:space="0"/>
              <w:right w:val="single" w:color="auto" w:sz="8" w:space="0"/>
            </w:tcBorders>
            <w:vAlign w:val="center"/>
          </w:tcPr>
          <w:p w14:paraId="3732B92D">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c>
          <w:tcPr>
            <w:tcW w:w="2282" w:type="dxa"/>
            <w:gridSpan w:val="3"/>
            <w:tcBorders>
              <w:top w:val="nil"/>
              <w:left w:val="nil"/>
              <w:bottom w:val="single" w:color="auto" w:sz="8" w:space="0"/>
              <w:right w:val="single" w:color="auto" w:sz="8" w:space="0"/>
            </w:tcBorders>
            <w:vAlign w:val="center"/>
          </w:tcPr>
          <w:p w14:paraId="5E26445A">
            <w:pPr>
              <w:widowControl/>
              <w:wordWrap w:val="0"/>
              <w:snapToGrid w:val="0"/>
              <w:spacing w:before="100" w:beforeAutospacing="1" w:after="100" w:afterAutospacing="1" w:line="320" w:lineRule="atLeast"/>
              <w:ind w:firstLine="46"/>
              <w:jc w:val="center"/>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合同交货验收日期</w:t>
            </w:r>
          </w:p>
        </w:tc>
        <w:tc>
          <w:tcPr>
            <w:tcW w:w="2113" w:type="dxa"/>
            <w:gridSpan w:val="2"/>
            <w:tcBorders>
              <w:top w:val="nil"/>
              <w:left w:val="nil"/>
              <w:bottom w:val="single" w:color="auto" w:sz="8" w:space="0"/>
              <w:right w:val="single" w:color="auto" w:sz="8" w:space="0"/>
            </w:tcBorders>
            <w:vAlign w:val="center"/>
          </w:tcPr>
          <w:p w14:paraId="0E443B60">
            <w:pPr>
              <w:widowControl/>
              <w:wordWrap w:val="0"/>
              <w:spacing w:before="100" w:beforeAutospacing="1" w:after="100" w:afterAutospacing="1" w:line="240" w:lineRule="atLeast"/>
              <w:jc w:val="center"/>
              <w:rPr>
                <w:rFonts w:ascii="Verdana" w:hAnsi="Verdana" w:cs="宋体"/>
                <w:color w:val="000000" w:themeColor="text1"/>
                <w:kern w:val="0"/>
                <w:szCs w:val="21"/>
                <w:highlight w:val="none"/>
                <w14:textFill>
                  <w14:solidFill>
                    <w14:schemeClr w14:val="tx1"/>
                  </w14:solidFill>
                </w14:textFill>
              </w:rPr>
            </w:pPr>
          </w:p>
        </w:tc>
      </w:tr>
      <w:tr w14:paraId="35A5397B">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48A4AB3">
            <w:pPr>
              <w:widowControl/>
              <w:wordWrap w:val="0"/>
              <w:snapToGrid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75B66B66">
            <w:pPr>
              <w:widowControl/>
              <w:wordWrap w:val="0"/>
              <w:snapToGrid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应按采购合同、竞争性磋商文件、竞标响应文件及验收方案等进行验收；并核对成交供应商在安装调试等方面是否违反合同约定或服务规范要求、提供的质量保证证明材料是否齐全、应有的配件及附件是否达到合同约定等。可附件)</w:t>
            </w:r>
          </w:p>
        </w:tc>
      </w:tr>
      <w:tr w14:paraId="241AD787">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3E1B46">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验收小组意见</w:t>
            </w:r>
          </w:p>
        </w:tc>
        <w:tc>
          <w:tcPr>
            <w:tcW w:w="6816" w:type="dxa"/>
            <w:gridSpan w:val="7"/>
            <w:tcBorders>
              <w:top w:val="nil"/>
              <w:left w:val="nil"/>
              <w:bottom w:val="single" w:color="auto" w:sz="8" w:space="0"/>
              <w:right w:val="single" w:color="auto" w:sz="8" w:space="0"/>
            </w:tcBorders>
            <w:vAlign w:val="center"/>
          </w:tcPr>
          <w:p w14:paraId="0DF08550">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验收结论性意见：</w:t>
            </w:r>
          </w:p>
        </w:tc>
      </w:tr>
      <w:tr w14:paraId="00378E6F">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06296478">
            <w:pPr>
              <w:widowControl/>
              <w:wordWrap w:val="0"/>
              <w:jc w:val="left"/>
              <w:rPr>
                <w:rFonts w:ascii="Verdana" w:hAnsi="Verdana" w:cs="宋体"/>
                <w:color w:val="000000" w:themeColor="text1"/>
                <w:kern w:val="0"/>
                <w:szCs w:val="21"/>
                <w:highlight w:val="none"/>
                <w14:textFill>
                  <w14:solidFill>
                    <w14:schemeClr w14:val="tx1"/>
                  </w14:solidFill>
                </w14:textFill>
              </w:rPr>
            </w:pPr>
          </w:p>
        </w:tc>
        <w:tc>
          <w:tcPr>
            <w:tcW w:w="6816" w:type="dxa"/>
            <w:gridSpan w:val="7"/>
            <w:tcBorders>
              <w:top w:val="nil"/>
              <w:left w:val="nil"/>
              <w:bottom w:val="single" w:color="auto" w:sz="8" w:space="0"/>
              <w:right w:val="single" w:color="auto" w:sz="8" w:space="0"/>
            </w:tcBorders>
            <w:vAlign w:val="center"/>
          </w:tcPr>
          <w:p w14:paraId="5EDF5722">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有异议的意见和说明理由：</w:t>
            </w:r>
          </w:p>
          <w:p w14:paraId="73991C63">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签字：</w:t>
            </w:r>
          </w:p>
        </w:tc>
      </w:tr>
      <w:tr w14:paraId="08D959A5">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99ED5C4">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验收小组成员签字：</w:t>
            </w:r>
          </w:p>
        </w:tc>
      </w:tr>
      <w:tr w14:paraId="235E6806">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33D1BC5">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监督人员或其他相关人员签字：</w:t>
            </w:r>
          </w:p>
          <w:p w14:paraId="305DBE36">
            <w:pPr>
              <w:widowControl/>
              <w:wordWrap w:val="0"/>
              <w:spacing w:before="100" w:beforeAutospacing="1" w:after="100" w:afterAutospacing="1" w:line="320" w:lineRule="atLeast"/>
              <w:ind w:firstLine="74"/>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或受邀机构的意见（盖章）：</w:t>
            </w:r>
          </w:p>
        </w:tc>
      </w:tr>
      <w:tr w14:paraId="34236943">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7F2EB50A">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成交供应商负责人签字或盖章：</w:t>
            </w:r>
          </w:p>
          <w:p w14:paraId="12167BFF">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p>
          <w:p w14:paraId="5036D215">
            <w:pPr>
              <w:widowControl/>
              <w:wordWrap w:val="0"/>
              <w:spacing w:before="100" w:beforeAutospacing="1" w:after="100" w:afterAutospacing="1" w:line="320" w:lineRule="atLeast"/>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联系电话：年月日</w:t>
            </w:r>
          </w:p>
        </w:tc>
        <w:tc>
          <w:tcPr>
            <w:tcW w:w="4293" w:type="dxa"/>
            <w:gridSpan w:val="4"/>
            <w:tcBorders>
              <w:top w:val="nil"/>
              <w:left w:val="nil"/>
              <w:bottom w:val="single" w:color="auto" w:sz="8" w:space="0"/>
              <w:right w:val="single" w:color="auto" w:sz="8" w:space="0"/>
            </w:tcBorders>
            <w:vAlign w:val="center"/>
          </w:tcPr>
          <w:p w14:paraId="02464EA4">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采购人或受托机构的意见（盖章）：</w:t>
            </w:r>
          </w:p>
          <w:p w14:paraId="15C39E83">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p>
          <w:p w14:paraId="0D5345EC">
            <w:pPr>
              <w:widowControl/>
              <w:wordWrap w:val="0"/>
              <w:spacing w:before="100" w:beforeAutospacing="1" w:after="100" w:afterAutospacing="1" w:line="320" w:lineRule="atLeast"/>
              <w:ind w:firstLine="210" w:firstLineChars="100"/>
              <w:jc w:val="left"/>
              <w:rPr>
                <w:rFonts w:ascii="Verdana" w:hAnsi="Verdana" w:cs="宋体"/>
                <w:color w:val="000000" w:themeColor="text1"/>
                <w:kern w:val="0"/>
                <w:szCs w:val="21"/>
                <w:highlight w:val="none"/>
                <w14:textFill>
                  <w14:solidFill>
                    <w14:schemeClr w14:val="tx1"/>
                  </w14:solidFill>
                </w14:textFill>
              </w:rPr>
            </w:pPr>
            <w:r>
              <w:rPr>
                <w:rFonts w:ascii="Verdana" w:hAnsi="Verdana" w:cs="宋体"/>
                <w:color w:val="000000" w:themeColor="text1"/>
                <w:kern w:val="0"/>
                <w:szCs w:val="21"/>
                <w:highlight w:val="none"/>
                <w14:textFill>
                  <w14:solidFill>
                    <w14:schemeClr w14:val="tx1"/>
                  </w14:solidFill>
                </w14:textFill>
              </w:rPr>
              <w:t>联系电话：年月日</w:t>
            </w:r>
          </w:p>
        </w:tc>
      </w:tr>
    </w:tbl>
    <w:p w14:paraId="3E640413">
      <w:pPr>
        <w:wordWrap w:val="0"/>
        <w:rPr>
          <w:color w:val="000000" w:themeColor="text1"/>
          <w:highlight w:val="none"/>
          <w14:textFill>
            <w14:solidFill>
              <w14:schemeClr w14:val="tx1"/>
            </w14:solidFill>
          </w14:textFill>
        </w:rPr>
      </w:pPr>
    </w:p>
    <w:p w14:paraId="3590180D">
      <w:pPr>
        <w:rPr>
          <w:rFonts w:hint="eastAsia" w:ascii="宋体" w:hAnsi="宋体" w:eastAsia="宋体" w:cs="宋体"/>
          <w:color w:val="auto"/>
        </w:rPr>
      </w:pPr>
    </w:p>
    <w:sectPr>
      <w:footerReference r:id="rId6" w:type="first"/>
      <w:footerReference r:id="rId5" w:type="default"/>
      <w:pgSz w:w="11910" w:h="16840"/>
      <w:pgMar w:top="1417" w:right="1417" w:bottom="1417" w:left="141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1966EE1-CECA-45AE-9783-F86EF8A0AC7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1DFD89AE-5F22-4D95-9AA5-43987DAD633E}"/>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embedRegular r:id="rId3" w:fontKey="{0C3F6980-33D6-4AF6-8277-262D97FA17E0}"/>
  </w:font>
  <w:font w:name="Verdana">
    <w:panose1 w:val="020B0604030504040204"/>
    <w:charset w:val="00"/>
    <w:family w:val="swiss"/>
    <w:pitch w:val="default"/>
    <w:sig w:usb0="A10006FF" w:usb1="4000205B" w:usb2="00000010" w:usb3="00000000" w:csb0="2000019F" w:csb1="00000000"/>
    <w:embedRegular r:id="rId4" w:fontKey="{AD8CDB13-1720-493F-AB5C-D541131AFC01}"/>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3567">
    <w:pPr>
      <w:pStyle w:val="22"/>
      <w:jc w:val="center"/>
    </w:pPr>
    <w:r>
      <w:fldChar w:fldCharType="begin"/>
    </w:r>
    <w:r>
      <w:instrText xml:space="preserve"> PAGE   \* MERGEFORMAT </w:instrText>
    </w:r>
    <w:r>
      <w:fldChar w:fldCharType="separate"/>
    </w:r>
    <w:r>
      <w:rPr>
        <w:lang w:val="zh-CN"/>
      </w:rPr>
      <w:t>1</w:t>
    </w:r>
    <w:r>
      <w:fldChar w:fldCharType="end"/>
    </w:r>
  </w:p>
  <w:p w14:paraId="3DAE5018">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34391">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52979B">
                          <w:pPr>
                            <w:pStyle w:val="22"/>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h5+IsQBAACQAwAADgAAAGRycy9lMm9Eb2MueG1srVPNjtMwEL4j8Q6W&#10;79RpEas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3lDiuMWBX75/u/z4dfn5lbxa&#10;rl5mhfoANSbeB0xNwxs/4N7MfkBnJj6oaPMXKRGMo77nq75ySETkR+vVel1hSGBsviA+e3geIqS3&#10;0luSjYZGHGDRlZ/eQxpT55Rczfk7bUwZonF/ORAze1jufewxW2nYDxOhvW/PyKfH2TfU4apTYt45&#10;lDavyWzE2dhPRq4B4fUxYeHST0YdoaZiOKjCaFqqvAl/3kvWw4+0/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5h5+IsQBAACQAwAADgAAAAAAAAABACAAAAAeAQAAZHJzL2Uyb0RvYy54bWxQ&#10;SwUGAAAAAAYABgBZAQAAVAUAAAAA&#10;">
              <v:fill on="f" focussize="0,0"/>
              <v:stroke on="f"/>
              <v:imagedata o:title=""/>
              <o:lock v:ext="edit" aspectratio="f"/>
              <v:textbox inset="0mm,0mm,0mm,0mm" style="mso-fit-shape-to-text:t;">
                <w:txbxContent>
                  <w:p w14:paraId="1652979B">
                    <w:pPr>
                      <w:pStyle w:val="2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B745">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80A64C">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F+DEI7FAQAAkAMAAA4AAAAAAAAAAQAgAAAAHgEAAGRycy9lMm9Eb2MueG1s&#10;UEsFBgAAAAAGAAYAWQEAAFUFAAAAAA==&#10;">
              <v:fill on="f" focussize="0,0"/>
              <v:stroke on="f"/>
              <v:imagedata o:title=""/>
              <o:lock v:ext="edit" aspectratio="f"/>
              <v:textbox inset="0mm,0mm,0mm,0mm" style="mso-fit-shape-to-text:t;">
                <w:txbxContent>
                  <w:p w14:paraId="0580A64C">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157D">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CF58C"/>
    <w:multiLevelType w:val="singleLevel"/>
    <w:tmpl w:val="BB4CF58C"/>
    <w:lvl w:ilvl="0" w:tentative="0">
      <w:start w:val="2"/>
      <w:numFmt w:val="decimal"/>
      <w:suff w:val="nothing"/>
      <w:lvlText w:val="（%1）"/>
      <w:lvlJc w:val="left"/>
    </w:lvl>
  </w:abstractNum>
  <w:abstractNum w:abstractNumId="1">
    <w:nsid w:val="E675DE0D"/>
    <w:multiLevelType w:val="singleLevel"/>
    <w:tmpl w:val="E675DE0D"/>
    <w:lvl w:ilvl="0" w:tentative="0">
      <w:start w:val="7"/>
      <w:numFmt w:val="chineseCounting"/>
      <w:suff w:val="nothing"/>
      <w:lvlText w:val="%1、"/>
      <w:lvlJc w:val="left"/>
      <w:rPr>
        <w:rFonts w:hint="eastAsia"/>
        <w:b/>
        <w:bCs/>
      </w:rPr>
    </w:lvl>
  </w:abstractNum>
  <w:abstractNum w:abstractNumId="2">
    <w:nsid w:val="EB8CEB78"/>
    <w:multiLevelType w:val="singleLevel"/>
    <w:tmpl w:val="EB8CEB78"/>
    <w:lvl w:ilvl="0" w:tentative="0">
      <w:start w:val="3"/>
      <w:numFmt w:val="chineseCounting"/>
      <w:suff w:val="space"/>
      <w:lvlText w:val="第%1章"/>
      <w:lvlJc w:val="left"/>
      <w:rPr>
        <w:rFonts w:hint="eastAsia"/>
      </w:rPr>
    </w:lvl>
  </w:abstractNum>
  <w:abstractNum w:abstractNumId="3">
    <w:nsid w:val="FA91118B"/>
    <w:multiLevelType w:val="singleLevel"/>
    <w:tmpl w:val="FA91118B"/>
    <w:lvl w:ilvl="0" w:tentative="0">
      <w:start w:val="1"/>
      <w:numFmt w:val="decimal"/>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yYjZiY2UwOWZkMDJlOGQ3NDYwYWEzMDA3NzlkYzIifQ=="/>
    <w:docVar w:name="KSO_WPS_MARK_KEY" w:val="05d25a04-a69f-4be8-938b-fc61c606cee3"/>
  </w:docVars>
  <w:rsids>
    <w:rsidRoot w:val="00F34B14"/>
    <w:rsid w:val="00000672"/>
    <w:rsid w:val="00001799"/>
    <w:rsid w:val="00002D29"/>
    <w:rsid w:val="000040C5"/>
    <w:rsid w:val="00005E55"/>
    <w:rsid w:val="00005FDF"/>
    <w:rsid w:val="00006586"/>
    <w:rsid w:val="00010D39"/>
    <w:rsid w:val="000112BB"/>
    <w:rsid w:val="0001149B"/>
    <w:rsid w:val="0001172C"/>
    <w:rsid w:val="00012854"/>
    <w:rsid w:val="00012EA6"/>
    <w:rsid w:val="000139DC"/>
    <w:rsid w:val="00013D8C"/>
    <w:rsid w:val="00013DFE"/>
    <w:rsid w:val="000141EA"/>
    <w:rsid w:val="00016960"/>
    <w:rsid w:val="00017396"/>
    <w:rsid w:val="000177DB"/>
    <w:rsid w:val="00020227"/>
    <w:rsid w:val="000203E4"/>
    <w:rsid w:val="00020455"/>
    <w:rsid w:val="00022731"/>
    <w:rsid w:val="00022792"/>
    <w:rsid w:val="00025382"/>
    <w:rsid w:val="00025636"/>
    <w:rsid w:val="00025E36"/>
    <w:rsid w:val="00026627"/>
    <w:rsid w:val="00026886"/>
    <w:rsid w:val="00030496"/>
    <w:rsid w:val="000329E0"/>
    <w:rsid w:val="000333A0"/>
    <w:rsid w:val="000352E9"/>
    <w:rsid w:val="00036A07"/>
    <w:rsid w:val="00036E33"/>
    <w:rsid w:val="00040571"/>
    <w:rsid w:val="0004156E"/>
    <w:rsid w:val="00041597"/>
    <w:rsid w:val="0004440C"/>
    <w:rsid w:val="00045880"/>
    <w:rsid w:val="00046B5E"/>
    <w:rsid w:val="0004783A"/>
    <w:rsid w:val="000509D9"/>
    <w:rsid w:val="000552A6"/>
    <w:rsid w:val="00055D41"/>
    <w:rsid w:val="00057CEC"/>
    <w:rsid w:val="00060DCE"/>
    <w:rsid w:val="000623B4"/>
    <w:rsid w:val="000634A7"/>
    <w:rsid w:val="00063E85"/>
    <w:rsid w:val="00063F81"/>
    <w:rsid w:val="00064847"/>
    <w:rsid w:val="0006484B"/>
    <w:rsid w:val="000673E2"/>
    <w:rsid w:val="000711E4"/>
    <w:rsid w:val="00072AED"/>
    <w:rsid w:val="00073F47"/>
    <w:rsid w:val="00075B7E"/>
    <w:rsid w:val="00077C70"/>
    <w:rsid w:val="00080B57"/>
    <w:rsid w:val="00081BA3"/>
    <w:rsid w:val="00081D2E"/>
    <w:rsid w:val="00082D02"/>
    <w:rsid w:val="00083B91"/>
    <w:rsid w:val="0008404E"/>
    <w:rsid w:val="0008520B"/>
    <w:rsid w:val="000871B8"/>
    <w:rsid w:val="00087DB6"/>
    <w:rsid w:val="000913BE"/>
    <w:rsid w:val="00092442"/>
    <w:rsid w:val="0009588E"/>
    <w:rsid w:val="000959EE"/>
    <w:rsid w:val="00095B51"/>
    <w:rsid w:val="00097DA0"/>
    <w:rsid w:val="000A0D6B"/>
    <w:rsid w:val="000A166E"/>
    <w:rsid w:val="000A2B0E"/>
    <w:rsid w:val="000A398F"/>
    <w:rsid w:val="000A509C"/>
    <w:rsid w:val="000A6007"/>
    <w:rsid w:val="000A65A6"/>
    <w:rsid w:val="000A7275"/>
    <w:rsid w:val="000A7A12"/>
    <w:rsid w:val="000B039A"/>
    <w:rsid w:val="000B1801"/>
    <w:rsid w:val="000B1D0C"/>
    <w:rsid w:val="000B2D03"/>
    <w:rsid w:val="000B3815"/>
    <w:rsid w:val="000B3C7B"/>
    <w:rsid w:val="000B6C95"/>
    <w:rsid w:val="000C1679"/>
    <w:rsid w:val="000C2F89"/>
    <w:rsid w:val="000C4635"/>
    <w:rsid w:val="000C548E"/>
    <w:rsid w:val="000C6DE4"/>
    <w:rsid w:val="000D056E"/>
    <w:rsid w:val="000D0A89"/>
    <w:rsid w:val="000D1389"/>
    <w:rsid w:val="000D1798"/>
    <w:rsid w:val="000D1A2A"/>
    <w:rsid w:val="000D2626"/>
    <w:rsid w:val="000D4A06"/>
    <w:rsid w:val="000D73DD"/>
    <w:rsid w:val="000D7D9B"/>
    <w:rsid w:val="000E18E2"/>
    <w:rsid w:val="000E28AB"/>
    <w:rsid w:val="000E2E3E"/>
    <w:rsid w:val="000E33C5"/>
    <w:rsid w:val="000E3583"/>
    <w:rsid w:val="000E3AF0"/>
    <w:rsid w:val="000E3D53"/>
    <w:rsid w:val="000E4E04"/>
    <w:rsid w:val="000E6EC9"/>
    <w:rsid w:val="000E70B4"/>
    <w:rsid w:val="000F3281"/>
    <w:rsid w:val="000F3733"/>
    <w:rsid w:val="000F4D88"/>
    <w:rsid w:val="000F64AA"/>
    <w:rsid w:val="000F7AF4"/>
    <w:rsid w:val="000F7C33"/>
    <w:rsid w:val="000F7F0C"/>
    <w:rsid w:val="00100246"/>
    <w:rsid w:val="001004D6"/>
    <w:rsid w:val="00100D90"/>
    <w:rsid w:val="00103918"/>
    <w:rsid w:val="00104889"/>
    <w:rsid w:val="00104897"/>
    <w:rsid w:val="00104EDE"/>
    <w:rsid w:val="00106BEE"/>
    <w:rsid w:val="00113134"/>
    <w:rsid w:val="00113AC0"/>
    <w:rsid w:val="00114851"/>
    <w:rsid w:val="00115E11"/>
    <w:rsid w:val="00115F56"/>
    <w:rsid w:val="00117CBD"/>
    <w:rsid w:val="0012006A"/>
    <w:rsid w:val="00120990"/>
    <w:rsid w:val="001217B5"/>
    <w:rsid w:val="00121979"/>
    <w:rsid w:val="00122064"/>
    <w:rsid w:val="001263B8"/>
    <w:rsid w:val="00126763"/>
    <w:rsid w:val="00130217"/>
    <w:rsid w:val="00130783"/>
    <w:rsid w:val="001312CB"/>
    <w:rsid w:val="00132B47"/>
    <w:rsid w:val="00132E64"/>
    <w:rsid w:val="001351CB"/>
    <w:rsid w:val="001359A2"/>
    <w:rsid w:val="00135E37"/>
    <w:rsid w:val="00136020"/>
    <w:rsid w:val="00136445"/>
    <w:rsid w:val="00140132"/>
    <w:rsid w:val="00141C9C"/>
    <w:rsid w:val="001434BE"/>
    <w:rsid w:val="0014479F"/>
    <w:rsid w:val="001452B4"/>
    <w:rsid w:val="00146EC6"/>
    <w:rsid w:val="001478D2"/>
    <w:rsid w:val="00152A87"/>
    <w:rsid w:val="00156D0E"/>
    <w:rsid w:val="0016086E"/>
    <w:rsid w:val="00160D0C"/>
    <w:rsid w:val="00161172"/>
    <w:rsid w:val="0016139E"/>
    <w:rsid w:val="00161E65"/>
    <w:rsid w:val="00162597"/>
    <w:rsid w:val="001629AF"/>
    <w:rsid w:val="0016428A"/>
    <w:rsid w:val="001647C9"/>
    <w:rsid w:val="001661A3"/>
    <w:rsid w:val="0016782B"/>
    <w:rsid w:val="00173256"/>
    <w:rsid w:val="001733E1"/>
    <w:rsid w:val="00173F74"/>
    <w:rsid w:val="00175BA6"/>
    <w:rsid w:val="00176CA7"/>
    <w:rsid w:val="001778C5"/>
    <w:rsid w:val="00177E56"/>
    <w:rsid w:val="00177F0A"/>
    <w:rsid w:val="00185617"/>
    <w:rsid w:val="0019171E"/>
    <w:rsid w:val="0019220F"/>
    <w:rsid w:val="001928B1"/>
    <w:rsid w:val="00194ED5"/>
    <w:rsid w:val="00195424"/>
    <w:rsid w:val="001955FF"/>
    <w:rsid w:val="00197EDD"/>
    <w:rsid w:val="001A02B3"/>
    <w:rsid w:val="001A04BB"/>
    <w:rsid w:val="001A08D0"/>
    <w:rsid w:val="001A14B1"/>
    <w:rsid w:val="001A1B39"/>
    <w:rsid w:val="001A2492"/>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5D7"/>
    <w:rsid w:val="001B6752"/>
    <w:rsid w:val="001B6768"/>
    <w:rsid w:val="001B6F1F"/>
    <w:rsid w:val="001B7ECC"/>
    <w:rsid w:val="001C223A"/>
    <w:rsid w:val="001C25A7"/>
    <w:rsid w:val="001C318C"/>
    <w:rsid w:val="001C4287"/>
    <w:rsid w:val="001C4479"/>
    <w:rsid w:val="001C76FB"/>
    <w:rsid w:val="001D2764"/>
    <w:rsid w:val="001D3697"/>
    <w:rsid w:val="001D540E"/>
    <w:rsid w:val="001D58A1"/>
    <w:rsid w:val="001D5A8A"/>
    <w:rsid w:val="001D735E"/>
    <w:rsid w:val="001D73C8"/>
    <w:rsid w:val="001D7E1F"/>
    <w:rsid w:val="001E0756"/>
    <w:rsid w:val="001E0A8D"/>
    <w:rsid w:val="001E129E"/>
    <w:rsid w:val="001E5A94"/>
    <w:rsid w:val="001F127B"/>
    <w:rsid w:val="001F2A2E"/>
    <w:rsid w:val="001F3B72"/>
    <w:rsid w:val="001F3C63"/>
    <w:rsid w:val="001F4460"/>
    <w:rsid w:val="001F5DAF"/>
    <w:rsid w:val="001F6B6C"/>
    <w:rsid w:val="001F711A"/>
    <w:rsid w:val="001F75B0"/>
    <w:rsid w:val="001F7686"/>
    <w:rsid w:val="00200CE5"/>
    <w:rsid w:val="002014DB"/>
    <w:rsid w:val="00201E12"/>
    <w:rsid w:val="002031E2"/>
    <w:rsid w:val="002033B5"/>
    <w:rsid w:val="0020382C"/>
    <w:rsid w:val="0020437A"/>
    <w:rsid w:val="0020532C"/>
    <w:rsid w:val="0021064F"/>
    <w:rsid w:val="002114C7"/>
    <w:rsid w:val="00212756"/>
    <w:rsid w:val="0021302C"/>
    <w:rsid w:val="00213483"/>
    <w:rsid w:val="00213B1C"/>
    <w:rsid w:val="00214202"/>
    <w:rsid w:val="002146F3"/>
    <w:rsid w:val="002148E3"/>
    <w:rsid w:val="0021552D"/>
    <w:rsid w:val="002156AE"/>
    <w:rsid w:val="00217861"/>
    <w:rsid w:val="0022054D"/>
    <w:rsid w:val="00224DE1"/>
    <w:rsid w:val="00225664"/>
    <w:rsid w:val="002269DC"/>
    <w:rsid w:val="00227F2D"/>
    <w:rsid w:val="00231851"/>
    <w:rsid w:val="002319FB"/>
    <w:rsid w:val="00231B89"/>
    <w:rsid w:val="002355BE"/>
    <w:rsid w:val="00236DE9"/>
    <w:rsid w:val="00237D5A"/>
    <w:rsid w:val="00241300"/>
    <w:rsid w:val="00241D3C"/>
    <w:rsid w:val="002439AB"/>
    <w:rsid w:val="002450D5"/>
    <w:rsid w:val="00245587"/>
    <w:rsid w:val="00245F2B"/>
    <w:rsid w:val="00246F95"/>
    <w:rsid w:val="00247F3A"/>
    <w:rsid w:val="00250122"/>
    <w:rsid w:val="00250755"/>
    <w:rsid w:val="00250AE3"/>
    <w:rsid w:val="00251C4A"/>
    <w:rsid w:val="0025271C"/>
    <w:rsid w:val="00252A91"/>
    <w:rsid w:val="002533CD"/>
    <w:rsid w:val="00254EAB"/>
    <w:rsid w:val="002557AF"/>
    <w:rsid w:val="002566B1"/>
    <w:rsid w:val="002575E3"/>
    <w:rsid w:val="002603C1"/>
    <w:rsid w:val="002609A1"/>
    <w:rsid w:val="002612B1"/>
    <w:rsid w:val="00266165"/>
    <w:rsid w:val="0027125E"/>
    <w:rsid w:val="00271767"/>
    <w:rsid w:val="00272293"/>
    <w:rsid w:val="002723C8"/>
    <w:rsid w:val="00273CBE"/>
    <w:rsid w:val="0028232C"/>
    <w:rsid w:val="00282EC3"/>
    <w:rsid w:val="002835B0"/>
    <w:rsid w:val="0028407E"/>
    <w:rsid w:val="0028410F"/>
    <w:rsid w:val="00286603"/>
    <w:rsid w:val="00286FB5"/>
    <w:rsid w:val="00287763"/>
    <w:rsid w:val="00290606"/>
    <w:rsid w:val="00290F9D"/>
    <w:rsid w:val="002918A7"/>
    <w:rsid w:val="00291D6D"/>
    <w:rsid w:val="00291FF1"/>
    <w:rsid w:val="002923F6"/>
    <w:rsid w:val="00293361"/>
    <w:rsid w:val="00295287"/>
    <w:rsid w:val="002952B1"/>
    <w:rsid w:val="00295D11"/>
    <w:rsid w:val="00297A7A"/>
    <w:rsid w:val="002A0C3A"/>
    <w:rsid w:val="002A1130"/>
    <w:rsid w:val="002A14D3"/>
    <w:rsid w:val="002A1880"/>
    <w:rsid w:val="002A1D47"/>
    <w:rsid w:val="002A23B7"/>
    <w:rsid w:val="002A3A57"/>
    <w:rsid w:val="002A6DEF"/>
    <w:rsid w:val="002A7411"/>
    <w:rsid w:val="002A7C24"/>
    <w:rsid w:val="002B013E"/>
    <w:rsid w:val="002B058D"/>
    <w:rsid w:val="002B0C16"/>
    <w:rsid w:val="002B169E"/>
    <w:rsid w:val="002B2621"/>
    <w:rsid w:val="002B2AC5"/>
    <w:rsid w:val="002B3528"/>
    <w:rsid w:val="002B3539"/>
    <w:rsid w:val="002C0C1C"/>
    <w:rsid w:val="002C184E"/>
    <w:rsid w:val="002C54C2"/>
    <w:rsid w:val="002C5D34"/>
    <w:rsid w:val="002C661A"/>
    <w:rsid w:val="002D2231"/>
    <w:rsid w:val="002D25FC"/>
    <w:rsid w:val="002D318B"/>
    <w:rsid w:val="002D3380"/>
    <w:rsid w:val="002D4AC6"/>
    <w:rsid w:val="002D5C7B"/>
    <w:rsid w:val="002D7648"/>
    <w:rsid w:val="002D7909"/>
    <w:rsid w:val="002E109C"/>
    <w:rsid w:val="002E115E"/>
    <w:rsid w:val="002E193E"/>
    <w:rsid w:val="002E1D76"/>
    <w:rsid w:val="002E243C"/>
    <w:rsid w:val="002E26C4"/>
    <w:rsid w:val="002E4B37"/>
    <w:rsid w:val="002E4BF9"/>
    <w:rsid w:val="002E6F5B"/>
    <w:rsid w:val="002F16DD"/>
    <w:rsid w:val="002F199D"/>
    <w:rsid w:val="002F23B2"/>
    <w:rsid w:val="002F4084"/>
    <w:rsid w:val="002F4A08"/>
    <w:rsid w:val="002F4ADB"/>
    <w:rsid w:val="002F531E"/>
    <w:rsid w:val="002F5ACC"/>
    <w:rsid w:val="002F704B"/>
    <w:rsid w:val="002F72C3"/>
    <w:rsid w:val="002F768C"/>
    <w:rsid w:val="002F7D1E"/>
    <w:rsid w:val="00302F0F"/>
    <w:rsid w:val="00303243"/>
    <w:rsid w:val="00303BCC"/>
    <w:rsid w:val="00303F2B"/>
    <w:rsid w:val="00303F8D"/>
    <w:rsid w:val="00304580"/>
    <w:rsid w:val="0030586A"/>
    <w:rsid w:val="003074C5"/>
    <w:rsid w:val="00307A3C"/>
    <w:rsid w:val="00307FA4"/>
    <w:rsid w:val="00310CC1"/>
    <w:rsid w:val="00313026"/>
    <w:rsid w:val="0031421F"/>
    <w:rsid w:val="00314B31"/>
    <w:rsid w:val="00314B36"/>
    <w:rsid w:val="00315158"/>
    <w:rsid w:val="00315346"/>
    <w:rsid w:val="00315A65"/>
    <w:rsid w:val="00317BA7"/>
    <w:rsid w:val="00320BE2"/>
    <w:rsid w:val="00321886"/>
    <w:rsid w:val="00323694"/>
    <w:rsid w:val="00324D63"/>
    <w:rsid w:val="003255AF"/>
    <w:rsid w:val="003256EB"/>
    <w:rsid w:val="003259DB"/>
    <w:rsid w:val="00331A48"/>
    <w:rsid w:val="003330C9"/>
    <w:rsid w:val="0033364C"/>
    <w:rsid w:val="00334415"/>
    <w:rsid w:val="0033691E"/>
    <w:rsid w:val="00336CCB"/>
    <w:rsid w:val="0033745F"/>
    <w:rsid w:val="00337F44"/>
    <w:rsid w:val="003411D1"/>
    <w:rsid w:val="003416BA"/>
    <w:rsid w:val="00342A8A"/>
    <w:rsid w:val="00342F99"/>
    <w:rsid w:val="003454A4"/>
    <w:rsid w:val="00350E6C"/>
    <w:rsid w:val="003518A6"/>
    <w:rsid w:val="00351E7F"/>
    <w:rsid w:val="00352953"/>
    <w:rsid w:val="00354062"/>
    <w:rsid w:val="00355C0D"/>
    <w:rsid w:val="003566A9"/>
    <w:rsid w:val="00356988"/>
    <w:rsid w:val="00357128"/>
    <w:rsid w:val="0035755E"/>
    <w:rsid w:val="00357A80"/>
    <w:rsid w:val="00361B8B"/>
    <w:rsid w:val="00363F39"/>
    <w:rsid w:val="00364AB0"/>
    <w:rsid w:val="003667B0"/>
    <w:rsid w:val="003667DD"/>
    <w:rsid w:val="00366B48"/>
    <w:rsid w:val="00367764"/>
    <w:rsid w:val="00370316"/>
    <w:rsid w:val="00370DC7"/>
    <w:rsid w:val="0037156C"/>
    <w:rsid w:val="00371CBD"/>
    <w:rsid w:val="00373CBE"/>
    <w:rsid w:val="003740CC"/>
    <w:rsid w:val="00374E79"/>
    <w:rsid w:val="00375388"/>
    <w:rsid w:val="00375FB9"/>
    <w:rsid w:val="00376851"/>
    <w:rsid w:val="00376FA2"/>
    <w:rsid w:val="00377A3B"/>
    <w:rsid w:val="00377E3C"/>
    <w:rsid w:val="00380BBE"/>
    <w:rsid w:val="00381D70"/>
    <w:rsid w:val="00382128"/>
    <w:rsid w:val="0038235E"/>
    <w:rsid w:val="003829D0"/>
    <w:rsid w:val="0038444F"/>
    <w:rsid w:val="00384E83"/>
    <w:rsid w:val="00387051"/>
    <w:rsid w:val="00387D74"/>
    <w:rsid w:val="00387ECF"/>
    <w:rsid w:val="0039021B"/>
    <w:rsid w:val="00390429"/>
    <w:rsid w:val="0039327C"/>
    <w:rsid w:val="003933A2"/>
    <w:rsid w:val="0039366C"/>
    <w:rsid w:val="00393EC8"/>
    <w:rsid w:val="00395E42"/>
    <w:rsid w:val="00396A2D"/>
    <w:rsid w:val="00396FC3"/>
    <w:rsid w:val="003A1A94"/>
    <w:rsid w:val="003A204E"/>
    <w:rsid w:val="003A2D25"/>
    <w:rsid w:val="003A4DDB"/>
    <w:rsid w:val="003A60E7"/>
    <w:rsid w:val="003B0B6A"/>
    <w:rsid w:val="003B29CF"/>
    <w:rsid w:val="003B6659"/>
    <w:rsid w:val="003B7733"/>
    <w:rsid w:val="003C350C"/>
    <w:rsid w:val="003C3903"/>
    <w:rsid w:val="003C3BA0"/>
    <w:rsid w:val="003C4580"/>
    <w:rsid w:val="003C52D8"/>
    <w:rsid w:val="003C5C5E"/>
    <w:rsid w:val="003C6746"/>
    <w:rsid w:val="003C7133"/>
    <w:rsid w:val="003C7555"/>
    <w:rsid w:val="003C7898"/>
    <w:rsid w:val="003D0FF5"/>
    <w:rsid w:val="003D2D1B"/>
    <w:rsid w:val="003D30AB"/>
    <w:rsid w:val="003D3D94"/>
    <w:rsid w:val="003D48C7"/>
    <w:rsid w:val="003D4C08"/>
    <w:rsid w:val="003D7CE8"/>
    <w:rsid w:val="003E1032"/>
    <w:rsid w:val="003E1904"/>
    <w:rsid w:val="003E285E"/>
    <w:rsid w:val="003E3300"/>
    <w:rsid w:val="003E65AC"/>
    <w:rsid w:val="003E6E24"/>
    <w:rsid w:val="003E72B9"/>
    <w:rsid w:val="003E7ED4"/>
    <w:rsid w:val="003F0E52"/>
    <w:rsid w:val="003F0EF2"/>
    <w:rsid w:val="003F0F6B"/>
    <w:rsid w:val="003F1FE3"/>
    <w:rsid w:val="003F3865"/>
    <w:rsid w:val="003F4632"/>
    <w:rsid w:val="003F47BA"/>
    <w:rsid w:val="003F6617"/>
    <w:rsid w:val="00402332"/>
    <w:rsid w:val="004025C2"/>
    <w:rsid w:val="00403E55"/>
    <w:rsid w:val="00404681"/>
    <w:rsid w:val="0040496D"/>
    <w:rsid w:val="00405010"/>
    <w:rsid w:val="0040595A"/>
    <w:rsid w:val="00406923"/>
    <w:rsid w:val="0040713A"/>
    <w:rsid w:val="0040763D"/>
    <w:rsid w:val="004105B0"/>
    <w:rsid w:val="00410EC5"/>
    <w:rsid w:val="004133A8"/>
    <w:rsid w:val="00413821"/>
    <w:rsid w:val="00413D43"/>
    <w:rsid w:val="004141A3"/>
    <w:rsid w:val="00414909"/>
    <w:rsid w:val="00415E66"/>
    <w:rsid w:val="00416112"/>
    <w:rsid w:val="00416DF0"/>
    <w:rsid w:val="00417AE0"/>
    <w:rsid w:val="00417BAA"/>
    <w:rsid w:val="00420D7A"/>
    <w:rsid w:val="004223DE"/>
    <w:rsid w:val="0042293E"/>
    <w:rsid w:val="00422A10"/>
    <w:rsid w:val="00424D17"/>
    <w:rsid w:val="00425DFD"/>
    <w:rsid w:val="004263A3"/>
    <w:rsid w:val="00427713"/>
    <w:rsid w:val="00427CCC"/>
    <w:rsid w:val="0043013A"/>
    <w:rsid w:val="00430421"/>
    <w:rsid w:val="00430B4F"/>
    <w:rsid w:val="004314B1"/>
    <w:rsid w:val="00431E65"/>
    <w:rsid w:val="00432589"/>
    <w:rsid w:val="00432A94"/>
    <w:rsid w:val="00433827"/>
    <w:rsid w:val="004360C8"/>
    <w:rsid w:val="0044006B"/>
    <w:rsid w:val="0044033F"/>
    <w:rsid w:val="00440630"/>
    <w:rsid w:val="00441123"/>
    <w:rsid w:val="00442095"/>
    <w:rsid w:val="00442965"/>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78EB"/>
    <w:rsid w:val="00460303"/>
    <w:rsid w:val="00460697"/>
    <w:rsid w:val="00465EEF"/>
    <w:rsid w:val="00466D03"/>
    <w:rsid w:val="0046711B"/>
    <w:rsid w:val="00471156"/>
    <w:rsid w:val="00472429"/>
    <w:rsid w:val="004725E5"/>
    <w:rsid w:val="00472751"/>
    <w:rsid w:val="00473128"/>
    <w:rsid w:val="00475078"/>
    <w:rsid w:val="00475226"/>
    <w:rsid w:val="004779A0"/>
    <w:rsid w:val="004808E3"/>
    <w:rsid w:val="00481016"/>
    <w:rsid w:val="004814D3"/>
    <w:rsid w:val="0048204C"/>
    <w:rsid w:val="004821BB"/>
    <w:rsid w:val="00482233"/>
    <w:rsid w:val="004826FE"/>
    <w:rsid w:val="004827D5"/>
    <w:rsid w:val="004830C9"/>
    <w:rsid w:val="00483347"/>
    <w:rsid w:val="00483E2E"/>
    <w:rsid w:val="00484B69"/>
    <w:rsid w:val="00485406"/>
    <w:rsid w:val="0048590F"/>
    <w:rsid w:val="004867A5"/>
    <w:rsid w:val="00486D60"/>
    <w:rsid w:val="00487C87"/>
    <w:rsid w:val="00492A25"/>
    <w:rsid w:val="0049474A"/>
    <w:rsid w:val="00496350"/>
    <w:rsid w:val="00496F91"/>
    <w:rsid w:val="00497274"/>
    <w:rsid w:val="0049797C"/>
    <w:rsid w:val="00497C2C"/>
    <w:rsid w:val="004A1405"/>
    <w:rsid w:val="004A1FC6"/>
    <w:rsid w:val="004A3C03"/>
    <w:rsid w:val="004A3DB7"/>
    <w:rsid w:val="004A3FB3"/>
    <w:rsid w:val="004A5088"/>
    <w:rsid w:val="004A5255"/>
    <w:rsid w:val="004A6097"/>
    <w:rsid w:val="004A6CB0"/>
    <w:rsid w:val="004A70FF"/>
    <w:rsid w:val="004B1B84"/>
    <w:rsid w:val="004B29AC"/>
    <w:rsid w:val="004B35DF"/>
    <w:rsid w:val="004B3627"/>
    <w:rsid w:val="004B4922"/>
    <w:rsid w:val="004B57DF"/>
    <w:rsid w:val="004C2138"/>
    <w:rsid w:val="004C32D4"/>
    <w:rsid w:val="004C3940"/>
    <w:rsid w:val="004C51FD"/>
    <w:rsid w:val="004C65A8"/>
    <w:rsid w:val="004C786C"/>
    <w:rsid w:val="004C7963"/>
    <w:rsid w:val="004D2F63"/>
    <w:rsid w:val="004D35BA"/>
    <w:rsid w:val="004D4701"/>
    <w:rsid w:val="004D47C7"/>
    <w:rsid w:val="004D618D"/>
    <w:rsid w:val="004D62A9"/>
    <w:rsid w:val="004D6FC3"/>
    <w:rsid w:val="004D7476"/>
    <w:rsid w:val="004E0306"/>
    <w:rsid w:val="004E0572"/>
    <w:rsid w:val="004E25A8"/>
    <w:rsid w:val="004E3930"/>
    <w:rsid w:val="004E3ED9"/>
    <w:rsid w:val="004E5866"/>
    <w:rsid w:val="004E6097"/>
    <w:rsid w:val="004E61EF"/>
    <w:rsid w:val="004E76A7"/>
    <w:rsid w:val="004E7736"/>
    <w:rsid w:val="004E7B03"/>
    <w:rsid w:val="004F0064"/>
    <w:rsid w:val="004F06AC"/>
    <w:rsid w:val="004F1AE6"/>
    <w:rsid w:val="004F243F"/>
    <w:rsid w:val="004F3E0C"/>
    <w:rsid w:val="004F7160"/>
    <w:rsid w:val="00500258"/>
    <w:rsid w:val="0050175E"/>
    <w:rsid w:val="00501A99"/>
    <w:rsid w:val="00503180"/>
    <w:rsid w:val="0050417C"/>
    <w:rsid w:val="00505450"/>
    <w:rsid w:val="005100B7"/>
    <w:rsid w:val="005113C9"/>
    <w:rsid w:val="0051280C"/>
    <w:rsid w:val="00512842"/>
    <w:rsid w:val="005128BE"/>
    <w:rsid w:val="0051356F"/>
    <w:rsid w:val="00513E7C"/>
    <w:rsid w:val="005140BB"/>
    <w:rsid w:val="005143C2"/>
    <w:rsid w:val="00514FD9"/>
    <w:rsid w:val="0051608F"/>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358A"/>
    <w:rsid w:val="00534668"/>
    <w:rsid w:val="00534DDD"/>
    <w:rsid w:val="00535291"/>
    <w:rsid w:val="00535A94"/>
    <w:rsid w:val="00537874"/>
    <w:rsid w:val="00540204"/>
    <w:rsid w:val="00540578"/>
    <w:rsid w:val="005407D2"/>
    <w:rsid w:val="00540808"/>
    <w:rsid w:val="0054080E"/>
    <w:rsid w:val="00540EA1"/>
    <w:rsid w:val="0054358E"/>
    <w:rsid w:val="00543AF4"/>
    <w:rsid w:val="00544191"/>
    <w:rsid w:val="00544F39"/>
    <w:rsid w:val="00547700"/>
    <w:rsid w:val="00547EFB"/>
    <w:rsid w:val="005531DF"/>
    <w:rsid w:val="00553874"/>
    <w:rsid w:val="00553ACC"/>
    <w:rsid w:val="00554AD8"/>
    <w:rsid w:val="00554F78"/>
    <w:rsid w:val="005556A5"/>
    <w:rsid w:val="00556BF7"/>
    <w:rsid w:val="00562149"/>
    <w:rsid w:val="00563FFD"/>
    <w:rsid w:val="00565855"/>
    <w:rsid w:val="005677CE"/>
    <w:rsid w:val="00567B5D"/>
    <w:rsid w:val="00573733"/>
    <w:rsid w:val="00574554"/>
    <w:rsid w:val="00576089"/>
    <w:rsid w:val="005764B1"/>
    <w:rsid w:val="00576A56"/>
    <w:rsid w:val="00576D06"/>
    <w:rsid w:val="005779E4"/>
    <w:rsid w:val="0058289C"/>
    <w:rsid w:val="00582DC6"/>
    <w:rsid w:val="005836C7"/>
    <w:rsid w:val="0058408E"/>
    <w:rsid w:val="00585374"/>
    <w:rsid w:val="00590B77"/>
    <w:rsid w:val="005913A3"/>
    <w:rsid w:val="00594A7B"/>
    <w:rsid w:val="00594AFA"/>
    <w:rsid w:val="0059580E"/>
    <w:rsid w:val="00596A6F"/>
    <w:rsid w:val="005976E1"/>
    <w:rsid w:val="005A1525"/>
    <w:rsid w:val="005A1EC3"/>
    <w:rsid w:val="005A252B"/>
    <w:rsid w:val="005A2A71"/>
    <w:rsid w:val="005A3204"/>
    <w:rsid w:val="005A3341"/>
    <w:rsid w:val="005A46EC"/>
    <w:rsid w:val="005A4847"/>
    <w:rsid w:val="005B0160"/>
    <w:rsid w:val="005B0185"/>
    <w:rsid w:val="005B07EC"/>
    <w:rsid w:val="005B2B11"/>
    <w:rsid w:val="005B2E00"/>
    <w:rsid w:val="005B370E"/>
    <w:rsid w:val="005B4DA3"/>
    <w:rsid w:val="005B5BEE"/>
    <w:rsid w:val="005B77D2"/>
    <w:rsid w:val="005C019B"/>
    <w:rsid w:val="005C144E"/>
    <w:rsid w:val="005C30F5"/>
    <w:rsid w:val="005C357E"/>
    <w:rsid w:val="005C51A5"/>
    <w:rsid w:val="005C557A"/>
    <w:rsid w:val="005C61DD"/>
    <w:rsid w:val="005C6438"/>
    <w:rsid w:val="005C6B8B"/>
    <w:rsid w:val="005D02E3"/>
    <w:rsid w:val="005D1F34"/>
    <w:rsid w:val="005D2C1F"/>
    <w:rsid w:val="005D34B2"/>
    <w:rsid w:val="005D3B54"/>
    <w:rsid w:val="005D40CD"/>
    <w:rsid w:val="005D6B59"/>
    <w:rsid w:val="005D7037"/>
    <w:rsid w:val="005E03E4"/>
    <w:rsid w:val="005E0454"/>
    <w:rsid w:val="005E171D"/>
    <w:rsid w:val="005E34C2"/>
    <w:rsid w:val="005E35C6"/>
    <w:rsid w:val="005E5B01"/>
    <w:rsid w:val="005E7933"/>
    <w:rsid w:val="005F009E"/>
    <w:rsid w:val="005F0A88"/>
    <w:rsid w:val="005F0DF1"/>
    <w:rsid w:val="005F1516"/>
    <w:rsid w:val="005F229E"/>
    <w:rsid w:val="005F2564"/>
    <w:rsid w:val="005F3822"/>
    <w:rsid w:val="005F4D16"/>
    <w:rsid w:val="005F4E52"/>
    <w:rsid w:val="0060058E"/>
    <w:rsid w:val="00602A3C"/>
    <w:rsid w:val="00603EFD"/>
    <w:rsid w:val="0060475B"/>
    <w:rsid w:val="00604FB6"/>
    <w:rsid w:val="00605387"/>
    <w:rsid w:val="00606302"/>
    <w:rsid w:val="006076FD"/>
    <w:rsid w:val="0061143F"/>
    <w:rsid w:val="006114D8"/>
    <w:rsid w:val="00611585"/>
    <w:rsid w:val="00613601"/>
    <w:rsid w:val="00613791"/>
    <w:rsid w:val="00613AAB"/>
    <w:rsid w:val="006148C7"/>
    <w:rsid w:val="006150D6"/>
    <w:rsid w:val="00617EEE"/>
    <w:rsid w:val="006210FE"/>
    <w:rsid w:val="00622811"/>
    <w:rsid w:val="00622894"/>
    <w:rsid w:val="00622BB7"/>
    <w:rsid w:val="00622F3B"/>
    <w:rsid w:val="00623389"/>
    <w:rsid w:val="0062352A"/>
    <w:rsid w:val="006265C4"/>
    <w:rsid w:val="00627383"/>
    <w:rsid w:val="006301BB"/>
    <w:rsid w:val="00635A4A"/>
    <w:rsid w:val="00635FB9"/>
    <w:rsid w:val="00637774"/>
    <w:rsid w:val="0064024C"/>
    <w:rsid w:val="00640291"/>
    <w:rsid w:val="00641FAC"/>
    <w:rsid w:val="006432A5"/>
    <w:rsid w:val="00643664"/>
    <w:rsid w:val="00643CAA"/>
    <w:rsid w:val="00652680"/>
    <w:rsid w:val="00652A09"/>
    <w:rsid w:val="006530A1"/>
    <w:rsid w:val="00653CDE"/>
    <w:rsid w:val="0065636A"/>
    <w:rsid w:val="00656C3C"/>
    <w:rsid w:val="00657003"/>
    <w:rsid w:val="00657126"/>
    <w:rsid w:val="006572C1"/>
    <w:rsid w:val="00660238"/>
    <w:rsid w:val="006602EF"/>
    <w:rsid w:val="00661277"/>
    <w:rsid w:val="006616FE"/>
    <w:rsid w:val="006619D1"/>
    <w:rsid w:val="00663FEA"/>
    <w:rsid w:val="00664803"/>
    <w:rsid w:val="006661A4"/>
    <w:rsid w:val="006670E0"/>
    <w:rsid w:val="00667532"/>
    <w:rsid w:val="006704FD"/>
    <w:rsid w:val="0067294B"/>
    <w:rsid w:val="00673AA4"/>
    <w:rsid w:val="00674187"/>
    <w:rsid w:val="0067508F"/>
    <w:rsid w:val="00675349"/>
    <w:rsid w:val="00675E7E"/>
    <w:rsid w:val="0068051E"/>
    <w:rsid w:val="00680B9D"/>
    <w:rsid w:val="00681F13"/>
    <w:rsid w:val="0068231C"/>
    <w:rsid w:val="00682344"/>
    <w:rsid w:val="00682F28"/>
    <w:rsid w:val="00684842"/>
    <w:rsid w:val="00685BD6"/>
    <w:rsid w:val="006878A6"/>
    <w:rsid w:val="00690437"/>
    <w:rsid w:val="00690E65"/>
    <w:rsid w:val="0069188E"/>
    <w:rsid w:val="00691974"/>
    <w:rsid w:val="00692CE6"/>
    <w:rsid w:val="00693B6C"/>
    <w:rsid w:val="006942AE"/>
    <w:rsid w:val="00695421"/>
    <w:rsid w:val="00697BD3"/>
    <w:rsid w:val="00697DFA"/>
    <w:rsid w:val="006A10F3"/>
    <w:rsid w:val="006A16D5"/>
    <w:rsid w:val="006A1772"/>
    <w:rsid w:val="006A1780"/>
    <w:rsid w:val="006A25A5"/>
    <w:rsid w:val="006A3CEC"/>
    <w:rsid w:val="006A3F75"/>
    <w:rsid w:val="006A6CA7"/>
    <w:rsid w:val="006A703E"/>
    <w:rsid w:val="006A7BE3"/>
    <w:rsid w:val="006B01D1"/>
    <w:rsid w:val="006B16EA"/>
    <w:rsid w:val="006B1780"/>
    <w:rsid w:val="006B224E"/>
    <w:rsid w:val="006B376E"/>
    <w:rsid w:val="006B4589"/>
    <w:rsid w:val="006B6805"/>
    <w:rsid w:val="006B6BBE"/>
    <w:rsid w:val="006B6DE0"/>
    <w:rsid w:val="006B7D5F"/>
    <w:rsid w:val="006C32F4"/>
    <w:rsid w:val="006C3C54"/>
    <w:rsid w:val="006C427B"/>
    <w:rsid w:val="006C4F9F"/>
    <w:rsid w:val="006D0C1D"/>
    <w:rsid w:val="006D0CE1"/>
    <w:rsid w:val="006D2004"/>
    <w:rsid w:val="006D2E9D"/>
    <w:rsid w:val="006D4C1E"/>
    <w:rsid w:val="006D4C42"/>
    <w:rsid w:val="006D5809"/>
    <w:rsid w:val="006D630A"/>
    <w:rsid w:val="006D668D"/>
    <w:rsid w:val="006D7363"/>
    <w:rsid w:val="006D74F2"/>
    <w:rsid w:val="006E04C8"/>
    <w:rsid w:val="006E0712"/>
    <w:rsid w:val="006E0754"/>
    <w:rsid w:val="006E2668"/>
    <w:rsid w:val="006E2D39"/>
    <w:rsid w:val="006E32B0"/>
    <w:rsid w:val="006E36D8"/>
    <w:rsid w:val="006E396A"/>
    <w:rsid w:val="006E3A73"/>
    <w:rsid w:val="006E5DD8"/>
    <w:rsid w:val="006E5EA1"/>
    <w:rsid w:val="006F0760"/>
    <w:rsid w:val="006F0FF1"/>
    <w:rsid w:val="006F11E2"/>
    <w:rsid w:val="006F12F5"/>
    <w:rsid w:val="006F2574"/>
    <w:rsid w:val="006F3231"/>
    <w:rsid w:val="006F3DE3"/>
    <w:rsid w:val="006F511F"/>
    <w:rsid w:val="006F61D8"/>
    <w:rsid w:val="006F62B7"/>
    <w:rsid w:val="006F70BC"/>
    <w:rsid w:val="006F713A"/>
    <w:rsid w:val="006F76BF"/>
    <w:rsid w:val="007066A4"/>
    <w:rsid w:val="00706F37"/>
    <w:rsid w:val="0071209F"/>
    <w:rsid w:val="007125A2"/>
    <w:rsid w:val="00713F79"/>
    <w:rsid w:val="007148A8"/>
    <w:rsid w:val="007171E0"/>
    <w:rsid w:val="0072033C"/>
    <w:rsid w:val="00720B1B"/>
    <w:rsid w:val="00721062"/>
    <w:rsid w:val="00721E5D"/>
    <w:rsid w:val="007229D4"/>
    <w:rsid w:val="007230F8"/>
    <w:rsid w:val="007233F4"/>
    <w:rsid w:val="00724044"/>
    <w:rsid w:val="007244E1"/>
    <w:rsid w:val="007248D3"/>
    <w:rsid w:val="00725137"/>
    <w:rsid w:val="00727A43"/>
    <w:rsid w:val="00727FF2"/>
    <w:rsid w:val="007323E0"/>
    <w:rsid w:val="00733DE2"/>
    <w:rsid w:val="007352EA"/>
    <w:rsid w:val="007364E5"/>
    <w:rsid w:val="0073792F"/>
    <w:rsid w:val="00740DA6"/>
    <w:rsid w:val="00741D1E"/>
    <w:rsid w:val="00741EE2"/>
    <w:rsid w:val="00742367"/>
    <w:rsid w:val="00742EAA"/>
    <w:rsid w:val="00743818"/>
    <w:rsid w:val="007439E2"/>
    <w:rsid w:val="007441FB"/>
    <w:rsid w:val="00744517"/>
    <w:rsid w:val="00747DE2"/>
    <w:rsid w:val="007504BF"/>
    <w:rsid w:val="007506CD"/>
    <w:rsid w:val="0075267F"/>
    <w:rsid w:val="007526EC"/>
    <w:rsid w:val="0075310C"/>
    <w:rsid w:val="00753347"/>
    <w:rsid w:val="00753C48"/>
    <w:rsid w:val="00754C97"/>
    <w:rsid w:val="00754FE4"/>
    <w:rsid w:val="00756236"/>
    <w:rsid w:val="00756271"/>
    <w:rsid w:val="00756521"/>
    <w:rsid w:val="00756AB7"/>
    <w:rsid w:val="00760477"/>
    <w:rsid w:val="007623FB"/>
    <w:rsid w:val="0076376A"/>
    <w:rsid w:val="0076500F"/>
    <w:rsid w:val="0076504E"/>
    <w:rsid w:val="00767EA0"/>
    <w:rsid w:val="0077068F"/>
    <w:rsid w:val="0077408D"/>
    <w:rsid w:val="00774270"/>
    <w:rsid w:val="00775679"/>
    <w:rsid w:val="00777B32"/>
    <w:rsid w:val="0078051E"/>
    <w:rsid w:val="00781FDD"/>
    <w:rsid w:val="00782A9F"/>
    <w:rsid w:val="0078508A"/>
    <w:rsid w:val="00786D5C"/>
    <w:rsid w:val="00786E96"/>
    <w:rsid w:val="00787F93"/>
    <w:rsid w:val="007907CA"/>
    <w:rsid w:val="00791E6D"/>
    <w:rsid w:val="007928DC"/>
    <w:rsid w:val="007939CC"/>
    <w:rsid w:val="00796FB8"/>
    <w:rsid w:val="007A11C2"/>
    <w:rsid w:val="007A41BF"/>
    <w:rsid w:val="007A490A"/>
    <w:rsid w:val="007A581D"/>
    <w:rsid w:val="007A7B95"/>
    <w:rsid w:val="007B0297"/>
    <w:rsid w:val="007B0F53"/>
    <w:rsid w:val="007B1DD8"/>
    <w:rsid w:val="007B21AE"/>
    <w:rsid w:val="007B2570"/>
    <w:rsid w:val="007B3113"/>
    <w:rsid w:val="007B3304"/>
    <w:rsid w:val="007B332B"/>
    <w:rsid w:val="007B394D"/>
    <w:rsid w:val="007B7490"/>
    <w:rsid w:val="007C0525"/>
    <w:rsid w:val="007C13F7"/>
    <w:rsid w:val="007C218D"/>
    <w:rsid w:val="007C2D28"/>
    <w:rsid w:val="007C3E22"/>
    <w:rsid w:val="007C67C6"/>
    <w:rsid w:val="007C7E59"/>
    <w:rsid w:val="007D0B91"/>
    <w:rsid w:val="007D1452"/>
    <w:rsid w:val="007D1E29"/>
    <w:rsid w:val="007D460C"/>
    <w:rsid w:val="007D4AD3"/>
    <w:rsid w:val="007D4C8D"/>
    <w:rsid w:val="007D5D19"/>
    <w:rsid w:val="007D5FDC"/>
    <w:rsid w:val="007D6D68"/>
    <w:rsid w:val="007E1603"/>
    <w:rsid w:val="007E32DA"/>
    <w:rsid w:val="007E4998"/>
    <w:rsid w:val="007E4A9C"/>
    <w:rsid w:val="007E6914"/>
    <w:rsid w:val="007E7F78"/>
    <w:rsid w:val="007F1D44"/>
    <w:rsid w:val="007F2C13"/>
    <w:rsid w:val="007F2CEC"/>
    <w:rsid w:val="007F55DE"/>
    <w:rsid w:val="007F5605"/>
    <w:rsid w:val="007F6147"/>
    <w:rsid w:val="007F78FF"/>
    <w:rsid w:val="00800F6C"/>
    <w:rsid w:val="008025BE"/>
    <w:rsid w:val="008051FC"/>
    <w:rsid w:val="008055A9"/>
    <w:rsid w:val="008070EB"/>
    <w:rsid w:val="00810E8E"/>
    <w:rsid w:val="00812462"/>
    <w:rsid w:val="0081481D"/>
    <w:rsid w:val="00814BE8"/>
    <w:rsid w:val="00814F6E"/>
    <w:rsid w:val="00815B84"/>
    <w:rsid w:val="00821A3D"/>
    <w:rsid w:val="00822037"/>
    <w:rsid w:val="00823FC6"/>
    <w:rsid w:val="00823FFC"/>
    <w:rsid w:val="00824811"/>
    <w:rsid w:val="00825C74"/>
    <w:rsid w:val="00826AB9"/>
    <w:rsid w:val="00826E0E"/>
    <w:rsid w:val="0082731F"/>
    <w:rsid w:val="00827D11"/>
    <w:rsid w:val="00827E0F"/>
    <w:rsid w:val="00827F6E"/>
    <w:rsid w:val="00831758"/>
    <w:rsid w:val="0083279F"/>
    <w:rsid w:val="00833B7F"/>
    <w:rsid w:val="00834906"/>
    <w:rsid w:val="00836075"/>
    <w:rsid w:val="00836417"/>
    <w:rsid w:val="008411F9"/>
    <w:rsid w:val="008413AB"/>
    <w:rsid w:val="0084322B"/>
    <w:rsid w:val="00843B93"/>
    <w:rsid w:val="00843F81"/>
    <w:rsid w:val="00844087"/>
    <w:rsid w:val="0084519E"/>
    <w:rsid w:val="00846370"/>
    <w:rsid w:val="00847C2B"/>
    <w:rsid w:val="0085270D"/>
    <w:rsid w:val="008532BF"/>
    <w:rsid w:val="00853BF4"/>
    <w:rsid w:val="00854294"/>
    <w:rsid w:val="0085788B"/>
    <w:rsid w:val="00857A9E"/>
    <w:rsid w:val="00857DE2"/>
    <w:rsid w:val="0086407F"/>
    <w:rsid w:val="00864E79"/>
    <w:rsid w:val="0086661F"/>
    <w:rsid w:val="00866A0D"/>
    <w:rsid w:val="00866DB5"/>
    <w:rsid w:val="0086784E"/>
    <w:rsid w:val="00867AF1"/>
    <w:rsid w:val="00872118"/>
    <w:rsid w:val="00872827"/>
    <w:rsid w:val="00872A32"/>
    <w:rsid w:val="00876EAE"/>
    <w:rsid w:val="00880F95"/>
    <w:rsid w:val="00882B44"/>
    <w:rsid w:val="00882FE5"/>
    <w:rsid w:val="00886138"/>
    <w:rsid w:val="00886E66"/>
    <w:rsid w:val="008871B0"/>
    <w:rsid w:val="0089217C"/>
    <w:rsid w:val="00893671"/>
    <w:rsid w:val="00895838"/>
    <w:rsid w:val="00895A72"/>
    <w:rsid w:val="00895CDF"/>
    <w:rsid w:val="008968C7"/>
    <w:rsid w:val="00897A55"/>
    <w:rsid w:val="008A0FC9"/>
    <w:rsid w:val="008A1956"/>
    <w:rsid w:val="008A40D3"/>
    <w:rsid w:val="008A469C"/>
    <w:rsid w:val="008A484A"/>
    <w:rsid w:val="008A5877"/>
    <w:rsid w:val="008A6539"/>
    <w:rsid w:val="008B05DD"/>
    <w:rsid w:val="008B17E8"/>
    <w:rsid w:val="008B266C"/>
    <w:rsid w:val="008B2D03"/>
    <w:rsid w:val="008B2E7C"/>
    <w:rsid w:val="008B45A7"/>
    <w:rsid w:val="008B4A70"/>
    <w:rsid w:val="008B502F"/>
    <w:rsid w:val="008B7034"/>
    <w:rsid w:val="008B7227"/>
    <w:rsid w:val="008C191C"/>
    <w:rsid w:val="008C1DA4"/>
    <w:rsid w:val="008C2CD5"/>
    <w:rsid w:val="008C3618"/>
    <w:rsid w:val="008C43AD"/>
    <w:rsid w:val="008C59FB"/>
    <w:rsid w:val="008C6687"/>
    <w:rsid w:val="008C68F0"/>
    <w:rsid w:val="008C6F92"/>
    <w:rsid w:val="008C731F"/>
    <w:rsid w:val="008C74D9"/>
    <w:rsid w:val="008D124C"/>
    <w:rsid w:val="008D1BB3"/>
    <w:rsid w:val="008D22AE"/>
    <w:rsid w:val="008D234A"/>
    <w:rsid w:val="008D566C"/>
    <w:rsid w:val="008D58D9"/>
    <w:rsid w:val="008D66EA"/>
    <w:rsid w:val="008D6E59"/>
    <w:rsid w:val="008D7155"/>
    <w:rsid w:val="008E09B3"/>
    <w:rsid w:val="008E141A"/>
    <w:rsid w:val="008E1A44"/>
    <w:rsid w:val="008E28E6"/>
    <w:rsid w:val="008E2B60"/>
    <w:rsid w:val="008E3232"/>
    <w:rsid w:val="008E3674"/>
    <w:rsid w:val="008E3B6C"/>
    <w:rsid w:val="008E68BB"/>
    <w:rsid w:val="008E6C9B"/>
    <w:rsid w:val="008E77D4"/>
    <w:rsid w:val="008F0981"/>
    <w:rsid w:val="008F0AFD"/>
    <w:rsid w:val="008F17B2"/>
    <w:rsid w:val="008F28EE"/>
    <w:rsid w:val="008F357B"/>
    <w:rsid w:val="008F44CA"/>
    <w:rsid w:val="008F49B9"/>
    <w:rsid w:val="008F49D3"/>
    <w:rsid w:val="008F6519"/>
    <w:rsid w:val="008F7012"/>
    <w:rsid w:val="008F7B17"/>
    <w:rsid w:val="00900042"/>
    <w:rsid w:val="0090034B"/>
    <w:rsid w:val="00902623"/>
    <w:rsid w:val="00902890"/>
    <w:rsid w:val="00904BE4"/>
    <w:rsid w:val="0090504A"/>
    <w:rsid w:val="00905D7E"/>
    <w:rsid w:val="009063B7"/>
    <w:rsid w:val="00907037"/>
    <w:rsid w:val="0091160A"/>
    <w:rsid w:val="00913258"/>
    <w:rsid w:val="0091564D"/>
    <w:rsid w:val="009156DA"/>
    <w:rsid w:val="00916BC5"/>
    <w:rsid w:val="0091726A"/>
    <w:rsid w:val="00920184"/>
    <w:rsid w:val="00920EA4"/>
    <w:rsid w:val="00921792"/>
    <w:rsid w:val="00921BEA"/>
    <w:rsid w:val="00923998"/>
    <w:rsid w:val="00923DB4"/>
    <w:rsid w:val="0092430E"/>
    <w:rsid w:val="0092625F"/>
    <w:rsid w:val="009268A9"/>
    <w:rsid w:val="00927B37"/>
    <w:rsid w:val="009301B2"/>
    <w:rsid w:val="009313DD"/>
    <w:rsid w:val="009321B1"/>
    <w:rsid w:val="00932ED7"/>
    <w:rsid w:val="0093357E"/>
    <w:rsid w:val="0093422D"/>
    <w:rsid w:val="00934DD7"/>
    <w:rsid w:val="009369A9"/>
    <w:rsid w:val="00936CF7"/>
    <w:rsid w:val="00937201"/>
    <w:rsid w:val="0093734A"/>
    <w:rsid w:val="00937783"/>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8A2"/>
    <w:rsid w:val="00955643"/>
    <w:rsid w:val="00955FBB"/>
    <w:rsid w:val="0095694B"/>
    <w:rsid w:val="00956BD5"/>
    <w:rsid w:val="009574BB"/>
    <w:rsid w:val="009577B5"/>
    <w:rsid w:val="009608E6"/>
    <w:rsid w:val="00961779"/>
    <w:rsid w:val="00966522"/>
    <w:rsid w:val="00967D3F"/>
    <w:rsid w:val="00970D7E"/>
    <w:rsid w:val="00970F18"/>
    <w:rsid w:val="00971CF1"/>
    <w:rsid w:val="009721E9"/>
    <w:rsid w:val="00972A58"/>
    <w:rsid w:val="00973772"/>
    <w:rsid w:val="00975E1E"/>
    <w:rsid w:val="00975E70"/>
    <w:rsid w:val="00977CD6"/>
    <w:rsid w:val="00982D26"/>
    <w:rsid w:val="009849E9"/>
    <w:rsid w:val="00987812"/>
    <w:rsid w:val="00990225"/>
    <w:rsid w:val="0099244B"/>
    <w:rsid w:val="009947B6"/>
    <w:rsid w:val="00995150"/>
    <w:rsid w:val="009957F3"/>
    <w:rsid w:val="00995D67"/>
    <w:rsid w:val="009A013B"/>
    <w:rsid w:val="009A02F4"/>
    <w:rsid w:val="009A1F12"/>
    <w:rsid w:val="009A2494"/>
    <w:rsid w:val="009A26CA"/>
    <w:rsid w:val="009A36F2"/>
    <w:rsid w:val="009A5749"/>
    <w:rsid w:val="009A57D0"/>
    <w:rsid w:val="009A6559"/>
    <w:rsid w:val="009A68FC"/>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5AFE"/>
    <w:rsid w:val="009C6606"/>
    <w:rsid w:val="009C6CE5"/>
    <w:rsid w:val="009C6D50"/>
    <w:rsid w:val="009C7547"/>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4FCF"/>
    <w:rsid w:val="009F65F4"/>
    <w:rsid w:val="009F676B"/>
    <w:rsid w:val="00A004DF"/>
    <w:rsid w:val="00A00D29"/>
    <w:rsid w:val="00A00FD5"/>
    <w:rsid w:val="00A019A8"/>
    <w:rsid w:val="00A01B03"/>
    <w:rsid w:val="00A02C66"/>
    <w:rsid w:val="00A03861"/>
    <w:rsid w:val="00A0464C"/>
    <w:rsid w:val="00A054E0"/>
    <w:rsid w:val="00A0663F"/>
    <w:rsid w:val="00A066CE"/>
    <w:rsid w:val="00A0740B"/>
    <w:rsid w:val="00A075A9"/>
    <w:rsid w:val="00A11042"/>
    <w:rsid w:val="00A133D8"/>
    <w:rsid w:val="00A14E97"/>
    <w:rsid w:val="00A20069"/>
    <w:rsid w:val="00A20280"/>
    <w:rsid w:val="00A2244D"/>
    <w:rsid w:val="00A2253D"/>
    <w:rsid w:val="00A22AEC"/>
    <w:rsid w:val="00A2418A"/>
    <w:rsid w:val="00A247B8"/>
    <w:rsid w:val="00A24D39"/>
    <w:rsid w:val="00A24D8F"/>
    <w:rsid w:val="00A25B8B"/>
    <w:rsid w:val="00A269C3"/>
    <w:rsid w:val="00A26ECA"/>
    <w:rsid w:val="00A324C1"/>
    <w:rsid w:val="00A337DB"/>
    <w:rsid w:val="00A3467F"/>
    <w:rsid w:val="00A3551A"/>
    <w:rsid w:val="00A376E8"/>
    <w:rsid w:val="00A37E69"/>
    <w:rsid w:val="00A37F8E"/>
    <w:rsid w:val="00A41737"/>
    <w:rsid w:val="00A42B8F"/>
    <w:rsid w:val="00A43254"/>
    <w:rsid w:val="00A43896"/>
    <w:rsid w:val="00A43A26"/>
    <w:rsid w:val="00A447A0"/>
    <w:rsid w:val="00A459F5"/>
    <w:rsid w:val="00A45FC0"/>
    <w:rsid w:val="00A46B32"/>
    <w:rsid w:val="00A47ECC"/>
    <w:rsid w:val="00A5008C"/>
    <w:rsid w:val="00A50171"/>
    <w:rsid w:val="00A5102E"/>
    <w:rsid w:val="00A51083"/>
    <w:rsid w:val="00A5132E"/>
    <w:rsid w:val="00A51533"/>
    <w:rsid w:val="00A51E68"/>
    <w:rsid w:val="00A52F3B"/>
    <w:rsid w:val="00A531D4"/>
    <w:rsid w:val="00A55CFA"/>
    <w:rsid w:val="00A575B8"/>
    <w:rsid w:val="00A647B1"/>
    <w:rsid w:val="00A64DEF"/>
    <w:rsid w:val="00A65E4E"/>
    <w:rsid w:val="00A665DF"/>
    <w:rsid w:val="00A67F1B"/>
    <w:rsid w:val="00A67FCC"/>
    <w:rsid w:val="00A7217B"/>
    <w:rsid w:val="00A73067"/>
    <w:rsid w:val="00A737C4"/>
    <w:rsid w:val="00A739A6"/>
    <w:rsid w:val="00A75EF9"/>
    <w:rsid w:val="00A76BC9"/>
    <w:rsid w:val="00A8311C"/>
    <w:rsid w:val="00A84C5F"/>
    <w:rsid w:val="00A86973"/>
    <w:rsid w:val="00A8740B"/>
    <w:rsid w:val="00A87519"/>
    <w:rsid w:val="00A9246D"/>
    <w:rsid w:val="00A93644"/>
    <w:rsid w:val="00A93BD0"/>
    <w:rsid w:val="00A975A4"/>
    <w:rsid w:val="00AA2001"/>
    <w:rsid w:val="00AA2B5C"/>
    <w:rsid w:val="00AA5328"/>
    <w:rsid w:val="00AA5393"/>
    <w:rsid w:val="00AA63D4"/>
    <w:rsid w:val="00AB03FD"/>
    <w:rsid w:val="00AB38CB"/>
    <w:rsid w:val="00AB3BEC"/>
    <w:rsid w:val="00AB44E4"/>
    <w:rsid w:val="00AB4AEB"/>
    <w:rsid w:val="00AB5352"/>
    <w:rsid w:val="00AB56AE"/>
    <w:rsid w:val="00AB62D5"/>
    <w:rsid w:val="00AB65B5"/>
    <w:rsid w:val="00AB6DCD"/>
    <w:rsid w:val="00AB6EE0"/>
    <w:rsid w:val="00AC2DFD"/>
    <w:rsid w:val="00AC352D"/>
    <w:rsid w:val="00AC40B7"/>
    <w:rsid w:val="00AC531F"/>
    <w:rsid w:val="00AC6121"/>
    <w:rsid w:val="00AC626D"/>
    <w:rsid w:val="00AC6CB1"/>
    <w:rsid w:val="00AD0091"/>
    <w:rsid w:val="00AD23D8"/>
    <w:rsid w:val="00AD23EF"/>
    <w:rsid w:val="00AD307B"/>
    <w:rsid w:val="00AD41B3"/>
    <w:rsid w:val="00AD4C48"/>
    <w:rsid w:val="00AD6267"/>
    <w:rsid w:val="00AD7317"/>
    <w:rsid w:val="00AE01A8"/>
    <w:rsid w:val="00AE0CBD"/>
    <w:rsid w:val="00AE123A"/>
    <w:rsid w:val="00AE28A7"/>
    <w:rsid w:val="00AE33A6"/>
    <w:rsid w:val="00AE3715"/>
    <w:rsid w:val="00AE3729"/>
    <w:rsid w:val="00AE55B2"/>
    <w:rsid w:val="00AE5C6A"/>
    <w:rsid w:val="00AE65F7"/>
    <w:rsid w:val="00AE7280"/>
    <w:rsid w:val="00AF033A"/>
    <w:rsid w:val="00AF1699"/>
    <w:rsid w:val="00AF3896"/>
    <w:rsid w:val="00AF6C33"/>
    <w:rsid w:val="00B0098A"/>
    <w:rsid w:val="00B00A5F"/>
    <w:rsid w:val="00B0225F"/>
    <w:rsid w:val="00B029B8"/>
    <w:rsid w:val="00B02F60"/>
    <w:rsid w:val="00B032B8"/>
    <w:rsid w:val="00B04B46"/>
    <w:rsid w:val="00B0534D"/>
    <w:rsid w:val="00B06368"/>
    <w:rsid w:val="00B06FC6"/>
    <w:rsid w:val="00B07163"/>
    <w:rsid w:val="00B12FE6"/>
    <w:rsid w:val="00B1303F"/>
    <w:rsid w:val="00B1364A"/>
    <w:rsid w:val="00B13D3C"/>
    <w:rsid w:val="00B16715"/>
    <w:rsid w:val="00B17910"/>
    <w:rsid w:val="00B20F18"/>
    <w:rsid w:val="00B21516"/>
    <w:rsid w:val="00B22CE0"/>
    <w:rsid w:val="00B23738"/>
    <w:rsid w:val="00B23BEF"/>
    <w:rsid w:val="00B247BB"/>
    <w:rsid w:val="00B25C11"/>
    <w:rsid w:val="00B25EDF"/>
    <w:rsid w:val="00B25EE6"/>
    <w:rsid w:val="00B3115A"/>
    <w:rsid w:val="00B31A5C"/>
    <w:rsid w:val="00B33C19"/>
    <w:rsid w:val="00B34861"/>
    <w:rsid w:val="00B363BD"/>
    <w:rsid w:val="00B369F7"/>
    <w:rsid w:val="00B36A99"/>
    <w:rsid w:val="00B42980"/>
    <w:rsid w:val="00B434B2"/>
    <w:rsid w:val="00B434C7"/>
    <w:rsid w:val="00B43D45"/>
    <w:rsid w:val="00B44771"/>
    <w:rsid w:val="00B468F2"/>
    <w:rsid w:val="00B46B45"/>
    <w:rsid w:val="00B47286"/>
    <w:rsid w:val="00B47894"/>
    <w:rsid w:val="00B50234"/>
    <w:rsid w:val="00B51BF4"/>
    <w:rsid w:val="00B52C68"/>
    <w:rsid w:val="00B542FE"/>
    <w:rsid w:val="00B55A1B"/>
    <w:rsid w:val="00B561DB"/>
    <w:rsid w:val="00B61DCE"/>
    <w:rsid w:val="00B62188"/>
    <w:rsid w:val="00B62467"/>
    <w:rsid w:val="00B62F79"/>
    <w:rsid w:val="00B62F82"/>
    <w:rsid w:val="00B648FA"/>
    <w:rsid w:val="00B662FF"/>
    <w:rsid w:val="00B72C80"/>
    <w:rsid w:val="00B730B4"/>
    <w:rsid w:val="00B74340"/>
    <w:rsid w:val="00B744E0"/>
    <w:rsid w:val="00B74A58"/>
    <w:rsid w:val="00B74F2F"/>
    <w:rsid w:val="00B756FB"/>
    <w:rsid w:val="00B769BC"/>
    <w:rsid w:val="00B77349"/>
    <w:rsid w:val="00B7761E"/>
    <w:rsid w:val="00B80A37"/>
    <w:rsid w:val="00B80A3D"/>
    <w:rsid w:val="00B823E0"/>
    <w:rsid w:val="00B82B78"/>
    <w:rsid w:val="00B84662"/>
    <w:rsid w:val="00B85402"/>
    <w:rsid w:val="00B864A3"/>
    <w:rsid w:val="00B86C2A"/>
    <w:rsid w:val="00B902A5"/>
    <w:rsid w:val="00B90420"/>
    <w:rsid w:val="00B913E4"/>
    <w:rsid w:val="00B91DB9"/>
    <w:rsid w:val="00B93EFE"/>
    <w:rsid w:val="00B94956"/>
    <w:rsid w:val="00B94C7F"/>
    <w:rsid w:val="00B956B5"/>
    <w:rsid w:val="00B95C3A"/>
    <w:rsid w:val="00BA0D44"/>
    <w:rsid w:val="00BA0E26"/>
    <w:rsid w:val="00BA31BF"/>
    <w:rsid w:val="00BA43FC"/>
    <w:rsid w:val="00BA478B"/>
    <w:rsid w:val="00BA5224"/>
    <w:rsid w:val="00BA7E3B"/>
    <w:rsid w:val="00BB079C"/>
    <w:rsid w:val="00BB39C1"/>
    <w:rsid w:val="00BB5D16"/>
    <w:rsid w:val="00BB6180"/>
    <w:rsid w:val="00BB69E6"/>
    <w:rsid w:val="00BC1B7A"/>
    <w:rsid w:val="00BC2BC7"/>
    <w:rsid w:val="00BC2C17"/>
    <w:rsid w:val="00BC3ACD"/>
    <w:rsid w:val="00BC6E73"/>
    <w:rsid w:val="00BD0014"/>
    <w:rsid w:val="00BD01D8"/>
    <w:rsid w:val="00BD2512"/>
    <w:rsid w:val="00BD255F"/>
    <w:rsid w:val="00BD383D"/>
    <w:rsid w:val="00BD4236"/>
    <w:rsid w:val="00BD5CCA"/>
    <w:rsid w:val="00BD5CD4"/>
    <w:rsid w:val="00BD6EF9"/>
    <w:rsid w:val="00BD77DD"/>
    <w:rsid w:val="00BE0ACB"/>
    <w:rsid w:val="00BE3537"/>
    <w:rsid w:val="00BE360F"/>
    <w:rsid w:val="00BE50FD"/>
    <w:rsid w:val="00BE51CA"/>
    <w:rsid w:val="00BE5E5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58AF"/>
    <w:rsid w:val="00C124C1"/>
    <w:rsid w:val="00C128AE"/>
    <w:rsid w:val="00C136D6"/>
    <w:rsid w:val="00C13D5B"/>
    <w:rsid w:val="00C17AE2"/>
    <w:rsid w:val="00C20F27"/>
    <w:rsid w:val="00C215CF"/>
    <w:rsid w:val="00C2244B"/>
    <w:rsid w:val="00C22B0D"/>
    <w:rsid w:val="00C240C1"/>
    <w:rsid w:val="00C250D0"/>
    <w:rsid w:val="00C252AC"/>
    <w:rsid w:val="00C255AB"/>
    <w:rsid w:val="00C27214"/>
    <w:rsid w:val="00C27597"/>
    <w:rsid w:val="00C30382"/>
    <w:rsid w:val="00C30D6F"/>
    <w:rsid w:val="00C31063"/>
    <w:rsid w:val="00C31B7E"/>
    <w:rsid w:val="00C3242A"/>
    <w:rsid w:val="00C32AE2"/>
    <w:rsid w:val="00C33201"/>
    <w:rsid w:val="00C332C4"/>
    <w:rsid w:val="00C33974"/>
    <w:rsid w:val="00C360B3"/>
    <w:rsid w:val="00C3679B"/>
    <w:rsid w:val="00C37027"/>
    <w:rsid w:val="00C3778D"/>
    <w:rsid w:val="00C405A3"/>
    <w:rsid w:val="00C42752"/>
    <w:rsid w:val="00C42973"/>
    <w:rsid w:val="00C44F9C"/>
    <w:rsid w:val="00C4730E"/>
    <w:rsid w:val="00C5019C"/>
    <w:rsid w:val="00C5034F"/>
    <w:rsid w:val="00C52479"/>
    <w:rsid w:val="00C52C59"/>
    <w:rsid w:val="00C5349E"/>
    <w:rsid w:val="00C54467"/>
    <w:rsid w:val="00C54D3D"/>
    <w:rsid w:val="00C55A30"/>
    <w:rsid w:val="00C6028F"/>
    <w:rsid w:val="00C608F1"/>
    <w:rsid w:val="00C631E1"/>
    <w:rsid w:val="00C638D8"/>
    <w:rsid w:val="00C63D26"/>
    <w:rsid w:val="00C641EB"/>
    <w:rsid w:val="00C65053"/>
    <w:rsid w:val="00C66F69"/>
    <w:rsid w:val="00C67223"/>
    <w:rsid w:val="00C67CFF"/>
    <w:rsid w:val="00C707B8"/>
    <w:rsid w:val="00C71C15"/>
    <w:rsid w:val="00C71F3D"/>
    <w:rsid w:val="00C72F53"/>
    <w:rsid w:val="00C74035"/>
    <w:rsid w:val="00C77818"/>
    <w:rsid w:val="00C77AE3"/>
    <w:rsid w:val="00C8063F"/>
    <w:rsid w:val="00C81549"/>
    <w:rsid w:val="00C829A1"/>
    <w:rsid w:val="00C83B36"/>
    <w:rsid w:val="00C84F8A"/>
    <w:rsid w:val="00C85209"/>
    <w:rsid w:val="00C8618F"/>
    <w:rsid w:val="00C90372"/>
    <w:rsid w:val="00C9041F"/>
    <w:rsid w:val="00C91A45"/>
    <w:rsid w:val="00C91ED2"/>
    <w:rsid w:val="00C91FB4"/>
    <w:rsid w:val="00C95745"/>
    <w:rsid w:val="00C962E3"/>
    <w:rsid w:val="00C965BD"/>
    <w:rsid w:val="00C97997"/>
    <w:rsid w:val="00CA0FAC"/>
    <w:rsid w:val="00CA25C0"/>
    <w:rsid w:val="00CA3451"/>
    <w:rsid w:val="00CA4948"/>
    <w:rsid w:val="00CA52F9"/>
    <w:rsid w:val="00CA568B"/>
    <w:rsid w:val="00CA7500"/>
    <w:rsid w:val="00CB1239"/>
    <w:rsid w:val="00CB19FE"/>
    <w:rsid w:val="00CB304C"/>
    <w:rsid w:val="00CB53E8"/>
    <w:rsid w:val="00CB594A"/>
    <w:rsid w:val="00CB5CB2"/>
    <w:rsid w:val="00CB6979"/>
    <w:rsid w:val="00CC0A3D"/>
    <w:rsid w:val="00CC2373"/>
    <w:rsid w:val="00CC3D24"/>
    <w:rsid w:val="00CC3F91"/>
    <w:rsid w:val="00CC4B0A"/>
    <w:rsid w:val="00CC544A"/>
    <w:rsid w:val="00CC57EA"/>
    <w:rsid w:val="00CC5954"/>
    <w:rsid w:val="00CC6C4E"/>
    <w:rsid w:val="00CD05A2"/>
    <w:rsid w:val="00CD19DA"/>
    <w:rsid w:val="00CD29D4"/>
    <w:rsid w:val="00CD38F5"/>
    <w:rsid w:val="00CD437E"/>
    <w:rsid w:val="00CD5A89"/>
    <w:rsid w:val="00CD5DAD"/>
    <w:rsid w:val="00CD72C5"/>
    <w:rsid w:val="00CD79A7"/>
    <w:rsid w:val="00CE0789"/>
    <w:rsid w:val="00CE1A03"/>
    <w:rsid w:val="00CE2346"/>
    <w:rsid w:val="00CE3529"/>
    <w:rsid w:val="00CE35C8"/>
    <w:rsid w:val="00CE3962"/>
    <w:rsid w:val="00CE5105"/>
    <w:rsid w:val="00CE56BD"/>
    <w:rsid w:val="00CE5EC0"/>
    <w:rsid w:val="00CE6F9F"/>
    <w:rsid w:val="00CE773B"/>
    <w:rsid w:val="00CE781A"/>
    <w:rsid w:val="00CF1D74"/>
    <w:rsid w:val="00CF2BE2"/>
    <w:rsid w:val="00CF55F9"/>
    <w:rsid w:val="00CF71A6"/>
    <w:rsid w:val="00CF7495"/>
    <w:rsid w:val="00D01CF9"/>
    <w:rsid w:val="00D0334D"/>
    <w:rsid w:val="00D0374D"/>
    <w:rsid w:val="00D05A76"/>
    <w:rsid w:val="00D07F1D"/>
    <w:rsid w:val="00D10558"/>
    <w:rsid w:val="00D1203E"/>
    <w:rsid w:val="00D13E70"/>
    <w:rsid w:val="00D16C58"/>
    <w:rsid w:val="00D17019"/>
    <w:rsid w:val="00D21168"/>
    <w:rsid w:val="00D23242"/>
    <w:rsid w:val="00D235C8"/>
    <w:rsid w:val="00D2438C"/>
    <w:rsid w:val="00D26C3F"/>
    <w:rsid w:val="00D27185"/>
    <w:rsid w:val="00D32B84"/>
    <w:rsid w:val="00D337AE"/>
    <w:rsid w:val="00D33AB3"/>
    <w:rsid w:val="00D33F24"/>
    <w:rsid w:val="00D346B7"/>
    <w:rsid w:val="00D346B8"/>
    <w:rsid w:val="00D35AC8"/>
    <w:rsid w:val="00D35D34"/>
    <w:rsid w:val="00D36F87"/>
    <w:rsid w:val="00D37E4E"/>
    <w:rsid w:val="00D42E6C"/>
    <w:rsid w:val="00D43B80"/>
    <w:rsid w:val="00D44236"/>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EB6"/>
    <w:rsid w:val="00D60ED7"/>
    <w:rsid w:val="00D63586"/>
    <w:rsid w:val="00D664BF"/>
    <w:rsid w:val="00D66D8B"/>
    <w:rsid w:val="00D72A1C"/>
    <w:rsid w:val="00D73580"/>
    <w:rsid w:val="00D73802"/>
    <w:rsid w:val="00D73868"/>
    <w:rsid w:val="00D73C2C"/>
    <w:rsid w:val="00D73D52"/>
    <w:rsid w:val="00D745E7"/>
    <w:rsid w:val="00D77495"/>
    <w:rsid w:val="00D774ED"/>
    <w:rsid w:val="00D777F6"/>
    <w:rsid w:val="00D77F88"/>
    <w:rsid w:val="00D81EAA"/>
    <w:rsid w:val="00D8259F"/>
    <w:rsid w:val="00D825F2"/>
    <w:rsid w:val="00D828B1"/>
    <w:rsid w:val="00D84F27"/>
    <w:rsid w:val="00D862D1"/>
    <w:rsid w:val="00D873C6"/>
    <w:rsid w:val="00D94C7D"/>
    <w:rsid w:val="00D94CA4"/>
    <w:rsid w:val="00D95E99"/>
    <w:rsid w:val="00DA098C"/>
    <w:rsid w:val="00DA1A3A"/>
    <w:rsid w:val="00DA2C65"/>
    <w:rsid w:val="00DA395D"/>
    <w:rsid w:val="00DB16B8"/>
    <w:rsid w:val="00DB1D52"/>
    <w:rsid w:val="00DB1F62"/>
    <w:rsid w:val="00DB2E03"/>
    <w:rsid w:val="00DB3742"/>
    <w:rsid w:val="00DB3F4B"/>
    <w:rsid w:val="00DB61A4"/>
    <w:rsid w:val="00DB67C1"/>
    <w:rsid w:val="00DB70CD"/>
    <w:rsid w:val="00DB70F4"/>
    <w:rsid w:val="00DC1056"/>
    <w:rsid w:val="00DC211E"/>
    <w:rsid w:val="00DC21D8"/>
    <w:rsid w:val="00DC282A"/>
    <w:rsid w:val="00DC34DC"/>
    <w:rsid w:val="00DC3CC6"/>
    <w:rsid w:val="00DC514A"/>
    <w:rsid w:val="00DC64EC"/>
    <w:rsid w:val="00DC67B1"/>
    <w:rsid w:val="00DC7833"/>
    <w:rsid w:val="00DD132B"/>
    <w:rsid w:val="00DD1725"/>
    <w:rsid w:val="00DD2427"/>
    <w:rsid w:val="00DD2A18"/>
    <w:rsid w:val="00DD5B1A"/>
    <w:rsid w:val="00DD61E8"/>
    <w:rsid w:val="00DD62C0"/>
    <w:rsid w:val="00DD7859"/>
    <w:rsid w:val="00DE03AC"/>
    <w:rsid w:val="00DE0A1D"/>
    <w:rsid w:val="00DE15B2"/>
    <w:rsid w:val="00DE1A9A"/>
    <w:rsid w:val="00DE3D2C"/>
    <w:rsid w:val="00DE5E82"/>
    <w:rsid w:val="00DE5FA6"/>
    <w:rsid w:val="00DE6494"/>
    <w:rsid w:val="00DE6AA1"/>
    <w:rsid w:val="00DE74D7"/>
    <w:rsid w:val="00DE7EF7"/>
    <w:rsid w:val="00DF1185"/>
    <w:rsid w:val="00DF1299"/>
    <w:rsid w:val="00DF1A70"/>
    <w:rsid w:val="00DF23A8"/>
    <w:rsid w:val="00DF2F27"/>
    <w:rsid w:val="00DF6CCC"/>
    <w:rsid w:val="00DF6D0C"/>
    <w:rsid w:val="00DF6F64"/>
    <w:rsid w:val="00DF721E"/>
    <w:rsid w:val="00DF7C87"/>
    <w:rsid w:val="00E009B0"/>
    <w:rsid w:val="00E03D5C"/>
    <w:rsid w:val="00E04C0F"/>
    <w:rsid w:val="00E0570B"/>
    <w:rsid w:val="00E057B2"/>
    <w:rsid w:val="00E05996"/>
    <w:rsid w:val="00E10B87"/>
    <w:rsid w:val="00E1478B"/>
    <w:rsid w:val="00E14FAC"/>
    <w:rsid w:val="00E15007"/>
    <w:rsid w:val="00E15D48"/>
    <w:rsid w:val="00E16EC7"/>
    <w:rsid w:val="00E1714F"/>
    <w:rsid w:val="00E21576"/>
    <w:rsid w:val="00E219CE"/>
    <w:rsid w:val="00E23961"/>
    <w:rsid w:val="00E24071"/>
    <w:rsid w:val="00E24EBC"/>
    <w:rsid w:val="00E2522C"/>
    <w:rsid w:val="00E2599B"/>
    <w:rsid w:val="00E27383"/>
    <w:rsid w:val="00E2793D"/>
    <w:rsid w:val="00E31AFA"/>
    <w:rsid w:val="00E324EE"/>
    <w:rsid w:val="00E359FF"/>
    <w:rsid w:val="00E405F1"/>
    <w:rsid w:val="00E43054"/>
    <w:rsid w:val="00E44FE4"/>
    <w:rsid w:val="00E46013"/>
    <w:rsid w:val="00E477C3"/>
    <w:rsid w:val="00E5048D"/>
    <w:rsid w:val="00E50AC4"/>
    <w:rsid w:val="00E51077"/>
    <w:rsid w:val="00E51E16"/>
    <w:rsid w:val="00E52151"/>
    <w:rsid w:val="00E53730"/>
    <w:rsid w:val="00E53C46"/>
    <w:rsid w:val="00E54511"/>
    <w:rsid w:val="00E55DC3"/>
    <w:rsid w:val="00E57577"/>
    <w:rsid w:val="00E62043"/>
    <w:rsid w:val="00E626B9"/>
    <w:rsid w:val="00E627C9"/>
    <w:rsid w:val="00E630F3"/>
    <w:rsid w:val="00E65198"/>
    <w:rsid w:val="00E664FB"/>
    <w:rsid w:val="00E66F0D"/>
    <w:rsid w:val="00E70615"/>
    <w:rsid w:val="00E7207B"/>
    <w:rsid w:val="00E7347A"/>
    <w:rsid w:val="00E75A47"/>
    <w:rsid w:val="00E75D8C"/>
    <w:rsid w:val="00E77771"/>
    <w:rsid w:val="00E777F2"/>
    <w:rsid w:val="00E802C9"/>
    <w:rsid w:val="00E80F0A"/>
    <w:rsid w:val="00E81A6A"/>
    <w:rsid w:val="00E8291B"/>
    <w:rsid w:val="00E8395F"/>
    <w:rsid w:val="00E85E41"/>
    <w:rsid w:val="00E85EA1"/>
    <w:rsid w:val="00E91044"/>
    <w:rsid w:val="00E910D3"/>
    <w:rsid w:val="00E923CF"/>
    <w:rsid w:val="00E9335F"/>
    <w:rsid w:val="00E95111"/>
    <w:rsid w:val="00EA14C8"/>
    <w:rsid w:val="00EA19D3"/>
    <w:rsid w:val="00EB05D0"/>
    <w:rsid w:val="00EB07C5"/>
    <w:rsid w:val="00EB1D49"/>
    <w:rsid w:val="00EB42DD"/>
    <w:rsid w:val="00EB559F"/>
    <w:rsid w:val="00EB5F3D"/>
    <w:rsid w:val="00EB6EC2"/>
    <w:rsid w:val="00EC1CEB"/>
    <w:rsid w:val="00EC268C"/>
    <w:rsid w:val="00EC3753"/>
    <w:rsid w:val="00EC3D46"/>
    <w:rsid w:val="00EC4E71"/>
    <w:rsid w:val="00EC6667"/>
    <w:rsid w:val="00ED0365"/>
    <w:rsid w:val="00ED0865"/>
    <w:rsid w:val="00ED1C60"/>
    <w:rsid w:val="00ED2EB9"/>
    <w:rsid w:val="00ED4469"/>
    <w:rsid w:val="00ED5F23"/>
    <w:rsid w:val="00ED6DC0"/>
    <w:rsid w:val="00ED79CE"/>
    <w:rsid w:val="00ED7A7A"/>
    <w:rsid w:val="00EE038C"/>
    <w:rsid w:val="00EE47C5"/>
    <w:rsid w:val="00EE490C"/>
    <w:rsid w:val="00EE613B"/>
    <w:rsid w:val="00EE7E17"/>
    <w:rsid w:val="00EF2C8E"/>
    <w:rsid w:val="00EF3A0D"/>
    <w:rsid w:val="00EF3CEB"/>
    <w:rsid w:val="00EF41A8"/>
    <w:rsid w:val="00EF44FB"/>
    <w:rsid w:val="00EF4D3C"/>
    <w:rsid w:val="00EF5554"/>
    <w:rsid w:val="00EF5AD8"/>
    <w:rsid w:val="00EF5D2F"/>
    <w:rsid w:val="00EF6758"/>
    <w:rsid w:val="00EF6B90"/>
    <w:rsid w:val="00EF79F7"/>
    <w:rsid w:val="00F00418"/>
    <w:rsid w:val="00F006C0"/>
    <w:rsid w:val="00F019AA"/>
    <w:rsid w:val="00F0267E"/>
    <w:rsid w:val="00F02686"/>
    <w:rsid w:val="00F0459B"/>
    <w:rsid w:val="00F04E15"/>
    <w:rsid w:val="00F05DF3"/>
    <w:rsid w:val="00F069EA"/>
    <w:rsid w:val="00F07B6E"/>
    <w:rsid w:val="00F11461"/>
    <w:rsid w:val="00F11675"/>
    <w:rsid w:val="00F1182D"/>
    <w:rsid w:val="00F12557"/>
    <w:rsid w:val="00F13A8F"/>
    <w:rsid w:val="00F144F8"/>
    <w:rsid w:val="00F1479E"/>
    <w:rsid w:val="00F14DF8"/>
    <w:rsid w:val="00F164A3"/>
    <w:rsid w:val="00F17AD9"/>
    <w:rsid w:val="00F17F74"/>
    <w:rsid w:val="00F202C2"/>
    <w:rsid w:val="00F22756"/>
    <w:rsid w:val="00F23890"/>
    <w:rsid w:val="00F24638"/>
    <w:rsid w:val="00F2504D"/>
    <w:rsid w:val="00F2637F"/>
    <w:rsid w:val="00F268F7"/>
    <w:rsid w:val="00F3053D"/>
    <w:rsid w:val="00F30BDB"/>
    <w:rsid w:val="00F30CF8"/>
    <w:rsid w:val="00F31EDF"/>
    <w:rsid w:val="00F32CDE"/>
    <w:rsid w:val="00F32D4C"/>
    <w:rsid w:val="00F34811"/>
    <w:rsid w:val="00F34B14"/>
    <w:rsid w:val="00F36A6A"/>
    <w:rsid w:val="00F40101"/>
    <w:rsid w:val="00F404F7"/>
    <w:rsid w:val="00F40CCA"/>
    <w:rsid w:val="00F41521"/>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687F"/>
    <w:rsid w:val="00F575C7"/>
    <w:rsid w:val="00F60305"/>
    <w:rsid w:val="00F61B12"/>
    <w:rsid w:val="00F62398"/>
    <w:rsid w:val="00F63223"/>
    <w:rsid w:val="00F63264"/>
    <w:rsid w:val="00F6379E"/>
    <w:rsid w:val="00F70799"/>
    <w:rsid w:val="00F70A8B"/>
    <w:rsid w:val="00F724FB"/>
    <w:rsid w:val="00F72578"/>
    <w:rsid w:val="00F72A26"/>
    <w:rsid w:val="00F733C3"/>
    <w:rsid w:val="00F756DD"/>
    <w:rsid w:val="00F80047"/>
    <w:rsid w:val="00F8104D"/>
    <w:rsid w:val="00F81587"/>
    <w:rsid w:val="00F82571"/>
    <w:rsid w:val="00F85B72"/>
    <w:rsid w:val="00F8766F"/>
    <w:rsid w:val="00F91082"/>
    <w:rsid w:val="00F91A9A"/>
    <w:rsid w:val="00F93ABB"/>
    <w:rsid w:val="00F94D79"/>
    <w:rsid w:val="00FA118A"/>
    <w:rsid w:val="00FA31C7"/>
    <w:rsid w:val="00FA472D"/>
    <w:rsid w:val="00FA7254"/>
    <w:rsid w:val="00FB0214"/>
    <w:rsid w:val="00FB18F6"/>
    <w:rsid w:val="00FB2A52"/>
    <w:rsid w:val="00FB2F13"/>
    <w:rsid w:val="00FB6E19"/>
    <w:rsid w:val="00FB71F6"/>
    <w:rsid w:val="00FC0C9B"/>
    <w:rsid w:val="00FC1483"/>
    <w:rsid w:val="00FC1C47"/>
    <w:rsid w:val="00FC39ED"/>
    <w:rsid w:val="00FC4419"/>
    <w:rsid w:val="00FC47E2"/>
    <w:rsid w:val="00FC4AA5"/>
    <w:rsid w:val="00FC5148"/>
    <w:rsid w:val="00FC75AC"/>
    <w:rsid w:val="00FD01BF"/>
    <w:rsid w:val="00FD0525"/>
    <w:rsid w:val="00FD297D"/>
    <w:rsid w:val="00FD2D13"/>
    <w:rsid w:val="00FD3D26"/>
    <w:rsid w:val="00FD4789"/>
    <w:rsid w:val="00FD6071"/>
    <w:rsid w:val="00FE0794"/>
    <w:rsid w:val="00FE1041"/>
    <w:rsid w:val="00FE24CB"/>
    <w:rsid w:val="00FE3166"/>
    <w:rsid w:val="00FE3473"/>
    <w:rsid w:val="00FE353B"/>
    <w:rsid w:val="00FE4049"/>
    <w:rsid w:val="00FE4794"/>
    <w:rsid w:val="00FE5DF7"/>
    <w:rsid w:val="00FE5F72"/>
    <w:rsid w:val="00FF0231"/>
    <w:rsid w:val="00FF1C9B"/>
    <w:rsid w:val="00FF1D49"/>
    <w:rsid w:val="00FF2562"/>
    <w:rsid w:val="00FF2CE1"/>
    <w:rsid w:val="00FF3A41"/>
    <w:rsid w:val="00FF3E5B"/>
    <w:rsid w:val="00FF544F"/>
    <w:rsid w:val="00FF57E4"/>
    <w:rsid w:val="00FF78E5"/>
    <w:rsid w:val="014020C2"/>
    <w:rsid w:val="014B15D7"/>
    <w:rsid w:val="01730F16"/>
    <w:rsid w:val="018548F4"/>
    <w:rsid w:val="019952EE"/>
    <w:rsid w:val="019A2DF8"/>
    <w:rsid w:val="020C35CA"/>
    <w:rsid w:val="02270503"/>
    <w:rsid w:val="02511F9D"/>
    <w:rsid w:val="02656F7C"/>
    <w:rsid w:val="026671C1"/>
    <w:rsid w:val="02B255BA"/>
    <w:rsid w:val="02C170CB"/>
    <w:rsid w:val="02CD1236"/>
    <w:rsid w:val="02DA29AE"/>
    <w:rsid w:val="02F35723"/>
    <w:rsid w:val="03056ED3"/>
    <w:rsid w:val="03266292"/>
    <w:rsid w:val="032B09E8"/>
    <w:rsid w:val="03500E45"/>
    <w:rsid w:val="036B06B8"/>
    <w:rsid w:val="03A314B8"/>
    <w:rsid w:val="03D82B98"/>
    <w:rsid w:val="03DF5A69"/>
    <w:rsid w:val="03F83E8B"/>
    <w:rsid w:val="040861F7"/>
    <w:rsid w:val="040C23C0"/>
    <w:rsid w:val="042D4830"/>
    <w:rsid w:val="0438515F"/>
    <w:rsid w:val="04B42853"/>
    <w:rsid w:val="04C45DE7"/>
    <w:rsid w:val="05051DB8"/>
    <w:rsid w:val="05761498"/>
    <w:rsid w:val="058050AF"/>
    <w:rsid w:val="05A737A1"/>
    <w:rsid w:val="05AB1280"/>
    <w:rsid w:val="05CA5FF9"/>
    <w:rsid w:val="05F57356"/>
    <w:rsid w:val="065B0CAA"/>
    <w:rsid w:val="068A335B"/>
    <w:rsid w:val="0694431E"/>
    <w:rsid w:val="06B25552"/>
    <w:rsid w:val="06D373CC"/>
    <w:rsid w:val="06DB44C0"/>
    <w:rsid w:val="06DC356D"/>
    <w:rsid w:val="070014C7"/>
    <w:rsid w:val="07112396"/>
    <w:rsid w:val="071F10F5"/>
    <w:rsid w:val="075B5A15"/>
    <w:rsid w:val="07A75296"/>
    <w:rsid w:val="07AE4AAE"/>
    <w:rsid w:val="07B72767"/>
    <w:rsid w:val="08077E72"/>
    <w:rsid w:val="088D6C13"/>
    <w:rsid w:val="08BD20EF"/>
    <w:rsid w:val="08FF033D"/>
    <w:rsid w:val="094960D5"/>
    <w:rsid w:val="0953151F"/>
    <w:rsid w:val="095B5A0E"/>
    <w:rsid w:val="097857DC"/>
    <w:rsid w:val="097E4B47"/>
    <w:rsid w:val="097F1AB3"/>
    <w:rsid w:val="09B349F2"/>
    <w:rsid w:val="09C32ECA"/>
    <w:rsid w:val="09C83337"/>
    <w:rsid w:val="09CC2AAC"/>
    <w:rsid w:val="09CE59E4"/>
    <w:rsid w:val="0A0749FC"/>
    <w:rsid w:val="0A652D3E"/>
    <w:rsid w:val="0AE37592"/>
    <w:rsid w:val="0B1D37D5"/>
    <w:rsid w:val="0B7F6B4D"/>
    <w:rsid w:val="0C12334B"/>
    <w:rsid w:val="0C92213C"/>
    <w:rsid w:val="0D181FDD"/>
    <w:rsid w:val="0D2758D8"/>
    <w:rsid w:val="0D4F221D"/>
    <w:rsid w:val="0D84032B"/>
    <w:rsid w:val="0D9B0F22"/>
    <w:rsid w:val="0DDD0331"/>
    <w:rsid w:val="0DF26CD2"/>
    <w:rsid w:val="0ED65CAC"/>
    <w:rsid w:val="0F734CC1"/>
    <w:rsid w:val="0F9569FD"/>
    <w:rsid w:val="0F977E00"/>
    <w:rsid w:val="0FCE1F18"/>
    <w:rsid w:val="0FE65B2F"/>
    <w:rsid w:val="10272DE1"/>
    <w:rsid w:val="103A760B"/>
    <w:rsid w:val="108E22CC"/>
    <w:rsid w:val="10A27F31"/>
    <w:rsid w:val="10CB3BAC"/>
    <w:rsid w:val="10D86A3E"/>
    <w:rsid w:val="111E6BB4"/>
    <w:rsid w:val="112278CE"/>
    <w:rsid w:val="115B693C"/>
    <w:rsid w:val="118841F5"/>
    <w:rsid w:val="11907BC3"/>
    <w:rsid w:val="11927058"/>
    <w:rsid w:val="11A613BD"/>
    <w:rsid w:val="11BC6CAD"/>
    <w:rsid w:val="11DE519B"/>
    <w:rsid w:val="12491107"/>
    <w:rsid w:val="12501C85"/>
    <w:rsid w:val="12B30E2E"/>
    <w:rsid w:val="130948E0"/>
    <w:rsid w:val="13400B64"/>
    <w:rsid w:val="13716237"/>
    <w:rsid w:val="13AF4F03"/>
    <w:rsid w:val="13B44A8A"/>
    <w:rsid w:val="13FE6321"/>
    <w:rsid w:val="147109F3"/>
    <w:rsid w:val="14736E66"/>
    <w:rsid w:val="148B0A00"/>
    <w:rsid w:val="149B6AC2"/>
    <w:rsid w:val="149F2FE4"/>
    <w:rsid w:val="14B54AFE"/>
    <w:rsid w:val="15076926"/>
    <w:rsid w:val="152071BD"/>
    <w:rsid w:val="15293653"/>
    <w:rsid w:val="152B4CAF"/>
    <w:rsid w:val="1534169A"/>
    <w:rsid w:val="15C03E03"/>
    <w:rsid w:val="15F818FC"/>
    <w:rsid w:val="16007AB2"/>
    <w:rsid w:val="162069F5"/>
    <w:rsid w:val="162A25EB"/>
    <w:rsid w:val="16676AA7"/>
    <w:rsid w:val="16B50B9E"/>
    <w:rsid w:val="16FD2A55"/>
    <w:rsid w:val="17366761"/>
    <w:rsid w:val="173E6AE4"/>
    <w:rsid w:val="177C01F0"/>
    <w:rsid w:val="17B1375A"/>
    <w:rsid w:val="17B73FFC"/>
    <w:rsid w:val="17CE6630"/>
    <w:rsid w:val="180F455A"/>
    <w:rsid w:val="18117E99"/>
    <w:rsid w:val="181D0DEF"/>
    <w:rsid w:val="183A54FD"/>
    <w:rsid w:val="185607F9"/>
    <w:rsid w:val="18756296"/>
    <w:rsid w:val="187E1F1F"/>
    <w:rsid w:val="18994ED4"/>
    <w:rsid w:val="18A338FF"/>
    <w:rsid w:val="18C47FB2"/>
    <w:rsid w:val="19183638"/>
    <w:rsid w:val="193070E4"/>
    <w:rsid w:val="195C7DD9"/>
    <w:rsid w:val="19820BA0"/>
    <w:rsid w:val="1982499C"/>
    <w:rsid w:val="1A3E2C27"/>
    <w:rsid w:val="1A740F28"/>
    <w:rsid w:val="1ABE5379"/>
    <w:rsid w:val="1AFA16D5"/>
    <w:rsid w:val="1B0C3A33"/>
    <w:rsid w:val="1B1E3179"/>
    <w:rsid w:val="1B4F19F8"/>
    <w:rsid w:val="1B8F07C5"/>
    <w:rsid w:val="1BCD5C09"/>
    <w:rsid w:val="1BD92184"/>
    <w:rsid w:val="1C1E0C92"/>
    <w:rsid w:val="1C2D7E36"/>
    <w:rsid w:val="1C5170A2"/>
    <w:rsid w:val="1C7F30AF"/>
    <w:rsid w:val="1C812E06"/>
    <w:rsid w:val="1CC6446A"/>
    <w:rsid w:val="1CCE40D4"/>
    <w:rsid w:val="1DE60CC5"/>
    <w:rsid w:val="1E8D52EC"/>
    <w:rsid w:val="1E9C0A6A"/>
    <w:rsid w:val="1EF36FA5"/>
    <w:rsid w:val="1F063325"/>
    <w:rsid w:val="1F1E6CCC"/>
    <w:rsid w:val="1F3F5E38"/>
    <w:rsid w:val="1F864F29"/>
    <w:rsid w:val="1FBB4966"/>
    <w:rsid w:val="1FBC5DF5"/>
    <w:rsid w:val="1FC56CB7"/>
    <w:rsid w:val="201E6FA5"/>
    <w:rsid w:val="20DB0B2E"/>
    <w:rsid w:val="20E13B2F"/>
    <w:rsid w:val="20F010DF"/>
    <w:rsid w:val="21123813"/>
    <w:rsid w:val="213161C8"/>
    <w:rsid w:val="213E2107"/>
    <w:rsid w:val="215748C8"/>
    <w:rsid w:val="21696E53"/>
    <w:rsid w:val="219E4FA2"/>
    <w:rsid w:val="21B83F86"/>
    <w:rsid w:val="21E34FE0"/>
    <w:rsid w:val="21E55E66"/>
    <w:rsid w:val="21F703DC"/>
    <w:rsid w:val="221178A8"/>
    <w:rsid w:val="221213CF"/>
    <w:rsid w:val="22327A92"/>
    <w:rsid w:val="223C79F5"/>
    <w:rsid w:val="227466A2"/>
    <w:rsid w:val="228712FB"/>
    <w:rsid w:val="228D0920"/>
    <w:rsid w:val="22992D64"/>
    <w:rsid w:val="22C10024"/>
    <w:rsid w:val="231D53A2"/>
    <w:rsid w:val="23434353"/>
    <w:rsid w:val="236C2DD0"/>
    <w:rsid w:val="23B7504C"/>
    <w:rsid w:val="23C10802"/>
    <w:rsid w:val="24571307"/>
    <w:rsid w:val="24861D84"/>
    <w:rsid w:val="24BA2984"/>
    <w:rsid w:val="24D80253"/>
    <w:rsid w:val="250F1DC2"/>
    <w:rsid w:val="25247A8F"/>
    <w:rsid w:val="25394942"/>
    <w:rsid w:val="254B4ED3"/>
    <w:rsid w:val="25725497"/>
    <w:rsid w:val="25B73A0B"/>
    <w:rsid w:val="26446DE3"/>
    <w:rsid w:val="264F1013"/>
    <w:rsid w:val="26D7699F"/>
    <w:rsid w:val="273A1AD3"/>
    <w:rsid w:val="277763E0"/>
    <w:rsid w:val="27B65B06"/>
    <w:rsid w:val="27CE083F"/>
    <w:rsid w:val="27EC7623"/>
    <w:rsid w:val="282D478D"/>
    <w:rsid w:val="284350B1"/>
    <w:rsid w:val="28514037"/>
    <w:rsid w:val="286F320C"/>
    <w:rsid w:val="28D23490"/>
    <w:rsid w:val="28E50210"/>
    <w:rsid w:val="28EC0D11"/>
    <w:rsid w:val="29A91F76"/>
    <w:rsid w:val="29C80B9D"/>
    <w:rsid w:val="2A0852F5"/>
    <w:rsid w:val="2AA93D7F"/>
    <w:rsid w:val="2AAC10E7"/>
    <w:rsid w:val="2AF23800"/>
    <w:rsid w:val="2B09065E"/>
    <w:rsid w:val="2B416397"/>
    <w:rsid w:val="2B774624"/>
    <w:rsid w:val="2C291DAB"/>
    <w:rsid w:val="2C5A1872"/>
    <w:rsid w:val="2C7A72BE"/>
    <w:rsid w:val="2CA80644"/>
    <w:rsid w:val="2D16367A"/>
    <w:rsid w:val="2D2D2F04"/>
    <w:rsid w:val="2D655A96"/>
    <w:rsid w:val="2D821BBD"/>
    <w:rsid w:val="2D827F0C"/>
    <w:rsid w:val="2DBF5715"/>
    <w:rsid w:val="2E500813"/>
    <w:rsid w:val="2E681B17"/>
    <w:rsid w:val="2E6D3A1A"/>
    <w:rsid w:val="2E7F3A22"/>
    <w:rsid w:val="2EAA10DD"/>
    <w:rsid w:val="2F401D3C"/>
    <w:rsid w:val="2F977664"/>
    <w:rsid w:val="2FA95C88"/>
    <w:rsid w:val="2FCA5D55"/>
    <w:rsid w:val="302A47C0"/>
    <w:rsid w:val="3041370F"/>
    <w:rsid w:val="3057797E"/>
    <w:rsid w:val="308867A5"/>
    <w:rsid w:val="30D26F36"/>
    <w:rsid w:val="31140DD3"/>
    <w:rsid w:val="315B645A"/>
    <w:rsid w:val="315D48E2"/>
    <w:rsid w:val="31B102E8"/>
    <w:rsid w:val="32124579"/>
    <w:rsid w:val="3222723D"/>
    <w:rsid w:val="32453A27"/>
    <w:rsid w:val="3263064A"/>
    <w:rsid w:val="32AC0C06"/>
    <w:rsid w:val="32C70E07"/>
    <w:rsid w:val="32D004E7"/>
    <w:rsid w:val="32D9404C"/>
    <w:rsid w:val="333C43C8"/>
    <w:rsid w:val="335069BC"/>
    <w:rsid w:val="337436F9"/>
    <w:rsid w:val="33DC7C56"/>
    <w:rsid w:val="33FB4C18"/>
    <w:rsid w:val="341669C7"/>
    <w:rsid w:val="343C4B74"/>
    <w:rsid w:val="34BB0493"/>
    <w:rsid w:val="34C027FC"/>
    <w:rsid w:val="34C94A3D"/>
    <w:rsid w:val="3537750C"/>
    <w:rsid w:val="3537798C"/>
    <w:rsid w:val="358A766C"/>
    <w:rsid w:val="35B05160"/>
    <w:rsid w:val="35C13FC9"/>
    <w:rsid w:val="35D5670C"/>
    <w:rsid w:val="36065035"/>
    <w:rsid w:val="36067497"/>
    <w:rsid w:val="361F13AD"/>
    <w:rsid w:val="362E6D87"/>
    <w:rsid w:val="364257B6"/>
    <w:rsid w:val="3704027A"/>
    <w:rsid w:val="371872B1"/>
    <w:rsid w:val="374264D3"/>
    <w:rsid w:val="3747735D"/>
    <w:rsid w:val="376A6476"/>
    <w:rsid w:val="37DB7874"/>
    <w:rsid w:val="37E91CC8"/>
    <w:rsid w:val="37EA5922"/>
    <w:rsid w:val="38084878"/>
    <w:rsid w:val="38276B93"/>
    <w:rsid w:val="3848602D"/>
    <w:rsid w:val="3869739B"/>
    <w:rsid w:val="389F15F6"/>
    <w:rsid w:val="38F679AD"/>
    <w:rsid w:val="38FF353C"/>
    <w:rsid w:val="39695093"/>
    <w:rsid w:val="396F72E8"/>
    <w:rsid w:val="3A0B64A7"/>
    <w:rsid w:val="3A6F18F6"/>
    <w:rsid w:val="3AC171C2"/>
    <w:rsid w:val="3AF74C02"/>
    <w:rsid w:val="3B490F0E"/>
    <w:rsid w:val="3B7E4110"/>
    <w:rsid w:val="3BAD0748"/>
    <w:rsid w:val="3BDB2F25"/>
    <w:rsid w:val="3BFE1B41"/>
    <w:rsid w:val="3C0059A5"/>
    <w:rsid w:val="3C134E78"/>
    <w:rsid w:val="3C5000BD"/>
    <w:rsid w:val="3C56217A"/>
    <w:rsid w:val="3C926F3F"/>
    <w:rsid w:val="3D064F69"/>
    <w:rsid w:val="3DCC6B04"/>
    <w:rsid w:val="3DD94376"/>
    <w:rsid w:val="3DF6345D"/>
    <w:rsid w:val="3E0838B3"/>
    <w:rsid w:val="3E1D3A89"/>
    <w:rsid w:val="3E274859"/>
    <w:rsid w:val="3E345E35"/>
    <w:rsid w:val="3E866E66"/>
    <w:rsid w:val="3E8E51B6"/>
    <w:rsid w:val="3EB92D70"/>
    <w:rsid w:val="3EE13701"/>
    <w:rsid w:val="3EFA6F8F"/>
    <w:rsid w:val="3F122481"/>
    <w:rsid w:val="3F1A4BB3"/>
    <w:rsid w:val="3F200742"/>
    <w:rsid w:val="3F4A5777"/>
    <w:rsid w:val="401636BD"/>
    <w:rsid w:val="40192BA6"/>
    <w:rsid w:val="40CD641E"/>
    <w:rsid w:val="413954ED"/>
    <w:rsid w:val="41605725"/>
    <w:rsid w:val="41BB2BB0"/>
    <w:rsid w:val="41F8770C"/>
    <w:rsid w:val="4203458C"/>
    <w:rsid w:val="422506A0"/>
    <w:rsid w:val="424E6947"/>
    <w:rsid w:val="42521AD3"/>
    <w:rsid w:val="42550A18"/>
    <w:rsid w:val="427766F3"/>
    <w:rsid w:val="42877FCD"/>
    <w:rsid w:val="42A258CA"/>
    <w:rsid w:val="42AC0F8D"/>
    <w:rsid w:val="42AD767F"/>
    <w:rsid w:val="42BC1418"/>
    <w:rsid w:val="42F473A1"/>
    <w:rsid w:val="43601D9A"/>
    <w:rsid w:val="43643BA0"/>
    <w:rsid w:val="43C51876"/>
    <w:rsid w:val="43E334AF"/>
    <w:rsid w:val="44020D16"/>
    <w:rsid w:val="44032676"/>
    <w:rsid w:val="441E62C0"/>
    <w:rsid w:val="44616ABC"/>
    <w:rsid w:val="447603B4"/>
    <w:rsid w:val="4497145E"/>
    <w:rsid w:val="44BA7DF2"/>
    <w:rsid w:val="45315A95"/>
    <w:rsid w:val="45464EF6"/>
    <w:rsid w:val="457F1EF2"/>
    <w:rsid w:val="45811C7C"/>
    <w:rsid w:val="45895D00"/>
    <w:rsid w:val="4624572A"/>
    <w:rsid w:val="466D3A3A"/>
    <w:rsid w:val="468B3EFB"/>
    <w:rsid w:val="469324B1"/>
    <w:rsid w:val="46B53E1D"/>
    <w:rsid w:val="46BB74ED"/>
    <w:rsid w:val="470A6193"/>
    <w:rsid w:val="47471F58"/>
    <w:rsid w:val="479B06D1"/>
    <w:rsid w:val="47DC4F5C"/>
    <w:rsid w:val="47EC7D13"/>
    <w:rsid w:val="48346331"/>
    <w:rsid w:val="486C489C"/>
    <w:rsid w:val="48B40671"/>
    <w:rsid w:val="48DA6BEA"/>
    <w:rsid w:val="49066D36"/>
    <w:rsid w:val="490E088D"/>
    <w:rsid w:val="491717F5"/>
    <w:rsid w:val="49210DF3"/>
    <w:rsid w:val="492E435B"/>
    <w:rsid w:val="496A1F71"/>
    <w:rsid w:val="49723945"/>
    <w:rsid w:val="49804754"/>
    <w:rsid w:val="499B5738"/>
    <w:rsid w:val="499E65F0"/>
    <w:rsid w:val="499F244D"/>
    <w:rsid w:val="49EA3372"/>
    <w:rsid w:val="49FD1CD3"/>
    <w:rsid w:val="4A333500"/>
    <w:rsid w:val="4A8F58C2"/>
    <w:rsid w:val="4AB56D71"/>
    <w:rsid w:val="4ABD14F2"/>
    <w:rsid w:val="4AF96BC7"/>
    <w:rsid w:val="4B425E9C"/>
    <w:rsid w:val="4B557428"/>
    <w:rsid w:val="4BA86BB1"/>
    <w:rsid w:val="4BFB4050"/>
    <w:rsid w:val="4BFE7795"/>
    <w:rsid w:val="4C0E0D4C"/>
    <w:rsid w:val="4C461E79"/>
    <w:rsid w:val="4C854292"/>
    <w:rsid w:val="4C9E3FBC"/>
    <w:rsid w:val="4CA97D75"/>
    <w:rsid w:val="4CBE5242"/>
    <w:rsid w:val="4CE1122A"/>
    <w:rsid w:val="4CEF36E2"/>
    <w:rsid w:val="4D3B1120"/>
    <w:rsid w:val="4DF54439"/>
    <w:rsid w:val="4E076589"/>
    <w:rsid w:val="4E1C1B38"/>
    <w:rsid w:val="4EE852BE"/>
    <w:rsid w:val="4F372FFB"/>
    <w:rsid w:val="4F561F16"/>
    <w:rsid w:val="4F673C6E"/>
    <w:rsid w:val="4FB55818"/>
    <w:rsid w:val="50022AC5"/>
    <w:rsid w:val="508605D9"/>
    <w:rsid w:val="50863CAE"/>
    <w:rsid w:val="509C251E"/>
    <w:rsid w:val="50CC248F"/>
    <w:rsid w:val="514A3C58"/>
    <w:rsid w:val="51634EF2"/>
    <w:rsid w:val="517A4C33"/>
    <w:rsid w:val="518B7537"/>
    <w:rsid w:val="51D31AEC"/>
    <w:rsid w:val="52141BF0"/>
    <w:rsid w:val="52171A6E"/>
    <w:rsid w:val="52837F6C"/>
    <w:rsid w:val="52AB2578"/>
    <w:rsid w:val="52AC6434"/>
    <w:rsid w:val="52B245C4"/>
    <w:rsid w:val="52C10D75"/>
    <w:rsid w:val="53CB28DD"/>
    <w:rsid w:val="53E81271"/>
    <w:rsid w:val="540562CE"/>
    <w:rsid w:val="54073563"/>
    <w:rsid w:val="540A6E73"/>
    <w:rsid w:val="541D47E5"/>
    <w:rsid w:val="545C1D7C"/>
    <w:rsid w:val="54765D4F"/>
    <w:rsid w:val="548C60EF"/>
    <w:rsid w:val="54DD0A20"/>
    <w:rsid w:val="550C4BD7"/>
    <w:rsid w:val="552340F0"/>
    <w:rsid w:val="553E05D6"/>
    <w:rsid w:val="55403F62"/>
    <w:rsid w:val="55572986"/>
    <w:rsid w:val="558756A0"/>
    <w:rsid w:val="55880756"/>
    <w:rsid w:val="559047C5"/>
    <w:rsid w:val="55A849A8"/>
    <w:rsid w:val="55BE572A"/>
    <w:rsid w:val="563A60ED"/>
    <w:rsid w:val="563B5D27"/>
    <w:rsid w:val="56585DE4"/>
    <w:rsid w:val="567B7DA3"/>
    <w:rsid w:val="56BF06F6"/>
    <w:rsid w:val="571E6579"/>
    <w:rsid w:val="5754445F"/>
    <w:rsid w:val="57A85165"/>
    <w:rsid w:val="57AC373A"/>
    <w:rsid w:val="57BA4897"/>
    <w:rsid w:val="57E17D39"/>
    <w:rsid w:val="57EC1669"/>
    <w:rsid w:val="589237AC"/>
    <w:rsid w:val="590A3792"/>
    <w:rsid w:val="594912A3"/>
    <w:rsid w:val="5A957D93"/>
    <w:rsid w:val="5ACE14FA"/>
    <w:rsid w:val="5ACE22E2"/>
    <w:rsid w:val="5AF72D82"/>
    <w:rsid w:val="5B2911F4"/>
    <w:rsid w:val="5B3C1E8B"/>
    <w:rsid w:val="5B4D7224"/>
    <w:rsid w:val="5BB27446"/>
    <w:rsid w:val="5C020045"/>
    <w:rsid w:val="5C1D0043"/>
    <w:rsid w:val="5C263E0C"/>
    <w:rsid w:val="5C6A1D7F"/>
    <w:rsid w:val="5C9222A3"/>
    <w:rsid w:val="5CA13701"/>
    <w:rsid w:val="5CC67FCD"/>
    <w:rsid w:val="5CFC6960"/>
    <w:rsid w:val="5D1D5BAB"/>
    <w:rsid w:val="5D5B20AB"/>
    <w:rsid w:val="5D6B3425"/>
    <w:rsid w:val="5D902186"/>
    <w:rsid w:val="5D9C13C4"/>
    <w:rsid w:val="5DA02121"/>
    <w:rsid w:val="5DAA677D"/>
    <w:rsid w:val="5E0728D2"/>
    <w:rsid w:val="5E0915CA"/>
    <w:rsid w:val="5E1F537A"/>
    <w:rsid w:val="5E3873B6"/>
    <w:rsid w:val="5E6B1779"/>
    <w:rsid w:val="5E945782"/>
    <w:rsid w:val="5F064676"/>
    <w:rsid w:val="5F230066"/>
    <w:rsid w:val="5F287179"/>
    <w:rsid w:val="5FE775D4"/>
    <w:rsid w:val="606007BB"/>
    <w:rsid w:val="60AB6C5D"/>
    <w:rsid w:val="60AC7F66"/>
    <w:rsid w:val="60B963E9"/>
    <w:rsid w:val="60E04270"/>
    <w:rsid w:val="6105092D"/>
    <w:rsid w:val="61065074"/>
    <w:rsid w:val="61425A64"/>
    <w:rsid w:val="61454AE8"/>
    <w:rsid w:val="618835DC"/>
    <w:rsid w:val="619B1685"/>
    <w:rsid w:val="619C02B4"/>
    <w:rsid w:val="61BF10D9"/>
    <w:rsid w:val="61F40BD2"/>
    <w:rsid w:val="61FD47B1"/>
    <w:rsid w:val="6221717C"/>
    <w:rsid w:val="622A57E9"/>
    <w:rsid w:val="62512EF7"/>
    <w:rsid w:val="627D11C6"/>
    <w:rsid w:val="62D30D88"/>
    <w:rsid w:val="63130619"/>
    <w:rsid w:val="63230C38"/>
    <w:rsid w:val="634616BE"/>
    <w:rsid w:val="636E2D53"/>
    <w:rsid w:val="63780255"/>
    <w:rsid w:val="637A1CCC"/>
    <w:rsid w:val="63C077F3"/>
    <w:rsid w:val="640C7C21"/>
    <w:rsid w:val="644D1781"/>
    <w:rsid w:val="64AC5DA7"/>
    <w:rsid w:val="64E45EF7"/>
    <w:rsid w:val="64EB35F1"/>
    <w:rsid w:val="652D7647"/>
    <w:rsid w:val="65562818"/>
    <w:rsid w:val="656C7C71"/>
    <w:rsid w:val="65745E57"/>
    <w:rsid w:val="65841B9D"/>
    <w:rsid w:val="65E802C6"/>
    <w:rsid w:val="65F846EF"/>
    <w:rsid w:val="65FA100E"/>
    <w:rsid w:val="66505878"/>
    <w:rsid w:val="669E3D75"/>
    <w:rsid w:val="674E6E49"/>
    <w:rsid w:val="675A15B4"/>
    <w:rsid w:val="676A1D3D"/>
    <w:rsid w:val="677435B2"/>
    <w:rsid w:val="677969B9"/>
    <w:rsid w:val="67A0293C"/>
    <w:rsid w:val="67EF75F1"/>
    <w:rsid w:val="68033654"/>
    <w:rsid w:val="68451717"/>
    <w:rsid w:val="68671FBB"/>
    <w:rsid w:val="687D2C3B"/>
    <w:rsid w:val="68820395"/>
    <w:rsid w:val="68D24FB0"/>
    <w:rsid w:val="69124F16"/>
    <w:rsid w:val="69424488"/>
    <w:rsid w:val="694C640B"/>
    <w:rsid w:val="69C64B0E"/>
    <w:rsid w:val="69CD5C14"/>
    <w:rsid w:val="69CF0D33"/>
    <w:rsid w:val="69F65A5F"/>
    <w:rsid w:val="6A01146E"/>
    <w:rsid w:val="6A2151A2"/>
    <w:rsid w:val="6A665BEA"/>
    <w:rsid w:val="6A850288"/>
    <w:rsid w:val="6A8C79F3"/>
    <w:rsid w:val="6B2574F7"/>
    <w:rsid w:val="6B5831A2"/>
    <w:rsid w:val="6B61137D"/>
    <w:rsid w:val="6B7536F2"/>
    <w:rsid w:val="6B9946B3"/>
    <w:rsid w:val="6BA43167"/>
    <w:rsid w:val="6BCC1AEC"/>
    <w:rsid w:val="6BDA5AB6"/>
    <w:rsid w:val="6C28161C"/>
    <w:rsid w:val="6C6407CA"/>
    <w:rsid w:val="6C7626FD"/>
    <w:rsid w:val="6CB73497"/>
    <w:rsid w:val="6D103A2B"/>
    <w:rsid w:val="6D125276"/>
    <w:rsid w:val="6D7F7969"/>
    <w:rsid w:val="6D8F040E"/>
    <w:rsid w:val="6DA822F6"/>
    <w:rsid w:val="6DE76850"/>
    <w:rsid w:val="6DE97E26"/>
    <w:rsid w:val="6DEA36F7"/>
    <w:rsid w:val="6E3603BF"/>
    <w:rsid w:val="6E544226"/>
    <w:rsid w:val="6E907D72"/>
    <w:rsid w:val="6EA42846"/>
    <w:rsid w:val="6ED24CBD"/>
    <w:rsid w:val="6EF471EA"/>
    <w:rsid w:val="6F461BA7"/>
    <w:rsid w:val="6F7E097B"/>
    <w:rsid w:val="6F7E3016"/>
    <w:rsid w:val="6FB20BD4"/>
    <w:rsid w:val="6FBA59BE"/>
    <w:rsid w:val="6FF179FF"/>
    <w:rsid w:val="6FF432F0"/>
    <w:rsid w:val="701A5F17"/>
    <w:rsid w:val="701D7907"/>
    <w:rsid w:val="70296B3E"/>
    <w:rsid w:val="70346913"/>
    <w:rsid w:val="70497888"/>
    <w:rsid w:val="70611204"/>
    <w:rsid w:val="706A7177"/>
    <w:rsid w:val="708D6FDA"/>
    <w:rsid w:val="708F4614"/>
    <w:rsid w:val="7113780F"/>
    <w:rsid w:val="71366D6D"/>
    <w:rsid w:val="716770DC"/>
    <w:rsid w:val="7171281C"/>
    <w:rsid w:val="717C4E0D"/>
    <w:rsid w:val="7286582D"/>
    <w:rsid w:val="72ED3C0D"/>
    <w:rsid w:val="731178F9"/>
    <w:rsid w:val="733E1741"/>
    <w:rsid w:val="73601134"/>
    <w:rsid w:val="73A03AA9"/>
    <w:rsid w:val="73A237ED"/>
    <w:rsid w:val="741911ED"/>
    <w:rsid w:val="741E59BA"/>
    <w:rsid w:val="74404DBF"/>
    <w:rsid w:val="745264EB"/>
    <w:rsid w:val="74687E72"/>
    <w:rsid w:val="74722D94"/>
    <w:rsid w:val="74FA2C30"/>
    <w:rsid w:val="755600C1"/>
    <w:rsid w:val="75A639D8"/>
    <w:rsid w:val="7657694B"/>
    <w:rsid w:val="7695701D"/>
    <w:rsid w:val="76B254DB"/>
    <w:rsid w:val="77000DA2"/>
    <w:rsid w:val="775668D5"/>
    <w:rsid w:val="777B0A9A"/>
    <w:rsid w:val="77B44134"/>
    <w:rsid w:val="77D20625"/>
    <w:rsid w:val="77E42347"/>
    <w:rsid w:val="781E3A80"/>
    <w:rsid w:val="781E69D1"/>
    <w:rsid w:val="78AC47D1"/>
    <w:rsid w:val="78C37D6C"/>
    <w:rsid w:val="78CB4A8D"/>
    <w:rsid w:val="79193C9C"/>
    <w:rsid w:val="794C38BE"/>
    <w:rsid w:val="79A05903"/>
    <w:rsid w:val="79AF4435"/>
    <w:rsid w:val="79DB7D09"/>
    <w:rsid w:val="79E65AC0"/>
    <w:rsid w:val="7A01621D"/>
    <w:rsid w:val="7A02665F"/>
    <w:rsid w:val="7A2122BA"/>
    <w:rsid w:val="7A6C5003"/>
    <w:rsid w:val="7AA45ABC"/>
    <w:rsid w:val="7AF46346"/>
    <w:rsid w:val="7AF47372"/>
    <w:rsid w:val="7B0F5EBF"/>
    <w:rsid w:val="7B130FB9"/>
    <w:rsid w:val="7B923287"/>
    <w:rsid w:val="7BA16974"/>
    <w:rsid w:val="7BC0440B"/>
    <w:rsid w:val="7BC2430B"/>
    <w:rsid w:val="7BDE0625"/>
    <w:rsid w:val="7BF64EDE"/>
    <w:rsid w:val="7C0C5C9C"/>
    <w:rsid w:val="7C0D13CB"/>
    <w:rsid w:val="7C130F62"/>
    <w:rsid w:val="7C1A4147"/>
    <w:rsid w:val="7C2A0FA9"/>
    <w:rsid w:val="7C400C1E"/>
    <w:rsid w:val="7C763DC9"/>
    <w:rsid w:val="7CBE2977"/>
    <w:rsid w:val="7CF6541D"/>
    <w:rsid w:val="7D836036"/>
    <w:rsid w:val="7D870D17"/>
    <w:rsid w:val="7DD11708"/>
    <w:rsid w:val="7DD1469A"/>
    <w:rsid w:val="7E344402"/>
    <w:rsid w:val="7E8833DC"/>
    <w:rsid w:val="7E8B74F4"/>
    <w:rsid w:val="7E9510C1"/>
    <w:rsid w:val="7EA07CA2"/>
    <w:rsid w:val="7EBC46EA"/>
    <w:rsid w:val="7EC167BD"/>
    <w:rsid w:val="7F6D1914"/>
    <w:rsid w:val="7F7C7977"/>
    <w:rsid w:val="7FAB1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2"/>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outlineLvl w:val="2"/>
    </w:pPr>
    <w:rPr>
      <w:rFonts w:ascii="Calibri" w:hAnsi="Calibri"/>
      <w:b/>
      <w:sz w:val="32"/>
    </w:rPr>
  </w:style>
  <w:style w:type="paragraph" w:styleId="5">
    <w:name w:val="heading 5"/>
    <w:basedOn w:val="1"/>
    <w:next w:val="6"/>
    <w:link w:val="43"/>
    <w:qFormat/>
    <w:uiPriority w:val="9"/>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pPr>
    <w:rPr>
      <w:szCs w:val="20"/>
    </w:rPr>
  </w:style>
  <w:style w:type="paragraph" w:styleId="7">
    <w:name w:val="table of authorities"/>
    <w:basedOn w:val="1"/>
    <w:next w:val="1"/>
    <w:unhideWhenUsed/>
    <w:qFormat/>
    <w:uiPriority w:val="99"/>
    <w:pPr>
      <w:ind w:left="420" w:leftChars="200"/>
    </w:pPr>
  </w:style>
  <w:style w:type="paragraph" w:styleId="8">
    <w:name w:val="index 8"/>
    <w:basedOn w:val="1"/>
    <w:next w:val="1"/>
    <w:qFormat/>
    <w:uiPriority w:val="0"/>
    <w:pPr>
      <w:ind w:left="2940"/>
    </w:pPr>
  </w:style>
  <w:style w:type="paragraph" w:styleId="9">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0">
    <w:name w:val="annotation text"/>
    <w:basedOn w:val="1"/>
    <w:next w:val="11"/>
    <w:link w:val="44"/>
    <w:qFormat/>
    <w:uiPriority w:val="0"/>
    <w:pPr>
      <w:jc w:val="left"/>
    </w:pPr>
  </w:style>
  <w:style w:type="paragraph" w:styleId="11">
    <w:name w:val="Body Text Indent"/>
    <w:basedOn w:val="1"/>
    <w:next w:val="12"/>
    <w:link w:val="45"/>
    <w:qFormat/>
    <w:uiPriority w:val="0"/>
    <w:pPr>
      <w:ind w:firstLine="830" w:firstLineChars="352"/>
    </w:pPr>
    <w:rPr>
      <w:rFonts w:ascii="FangSong_GB2312" w:eastAsia="FangSong_GB2312"/>
      <w:kern w:val="0"/>
      <w:sz w:val="32"/>
      <w:szCs w:val="20"/>
    </w:rPr>
  </w:style>
  <w:style w:type="paragraph" w:styleId="12">
    <w:name w:val="envelope return"/>
    <w:basedOn w:val="1"/>
    <w:qFormat/>
    <w:uiPriority w:val="0"/>
    <w:pPr>
      <w:snapToGrid w:val="0"/>
    </w:pPr>
    <w:rPr>
      <w:rFonts w:ascii="Arial" w:hAnsi="Arial"/>
    </w:rPr>
  </w:style>
  <w:style w:type="paragraph" w:styleId="13">
    <w:name w:val="Body Text 3"/>
    <w:basedOn w:val="1"/>
    <w:next w:val="6"/>
    <w:link w:val="46"/>
    <w:unhideWhenUsed/>
    <w:qFormat/>
    <w:uiPriority w:val="99"/>
    <w:pPr>
      <w:spacing w:after="120"/>
    </w:pPr>
    <w:rPr>
      <w:sz w:val="16"/>
      <w:szCs w:val="16"/>
    </w:rPr>
  </w:style>
  <w:style w:type="paragraph" w:styleId="14">
    <w:name w:val="Body Text"/>
    <w:basedOn w:val="1"/>
    <w:next w:val="15"/>
    <w:link w:val="47"/>
    <w:unhideWhenUsed/>
    <w:qFormat/>
    <w:uiPriority w:val="0"/>
    <w:pPr>
      <w:spacing w:after="120"/>
    </w:pPr>
  </w:style>
  <w:style w:type="paragraph" w:styleId="15">
    <w:name w:val="toc 2"/>
    <w:basedOn w:val="1"/>
    <w:next w:val="1"/>
    <w:unhideWhenUsed/>
    <w:qFormat/>
    <w:uiPriority w:val="39"/>
    <w:pPr>
      <w:tabs>
        <w:tab w:val="right" w:leader="dot" w:pos="8296"/>
      </w:tabs>
      <w:ind w:left="420" w:leftChars="200"/>
    </w:pPr>
  </w:style>
  <w:style w:type="paragraph" w:styleId="16">
    <w:name w:val="List 2"/>
    <w:basedOn w:val="1"/>
    <w:unhideWhenUsed/>
    <w:qFormat/>
    <w:uiPriority w:val="99"/>
    <w:pPr>
      <w:ind w:left="100" w:leftChars="200" w:hanging="200" w:hangingChars="200"/>
      <w:contextualSpacing/>
    </w:pPr>
  </w:style>
  <w:style w:type="paragraph" w:styleId="17">
    <w:name w:val="Block Text"/>
    <w:basedOn w:val="1"/>
    <w:qFormat/>
    <w:uiPriority w:val="0"/>
    <w:pPr>
      <w:adjustRightInd w:val="0"/>
      <w:ind w:left="420" w:right="33"/>
      <w:jc w:val="left"/>
      <w:textAlignment w:val="baseline"/>
    </w:pPr>
    <w:rPr>
      <w:kern w:val="0"/>
      <w:sz w:val="24"/>
      <w:szCs w:val="20"/>
    </w:rPr>
  </w:style>
  <w:style w:type="paragraph" w:styleId="18">
    <w:name w:val="toc 3"/>
    <w:basedOn w:val="1"/>
    <w:next w:val="1"/>
    <w:unhideWhenUsed/>
    <w:qFormat/>
    <w:uiPriority w:val="39"/>
    <w:pPr>
      <w:ind w:left="840" w:leftChars="400"/>
    </w:pPr>
  </w:style>
  <w:style w:type="paragraph" w:styleId="19">
    <w:name w:val="Plain Text"/>
    <w:basedOn w:val="1"/>
    <w:link w:val="48"/>
    <w:qFormat/>
    <w:uiPriority w:val="0"/>
    <w:rPr>
      <w:rFonts w:ascii="宋体" w:hAnsi="Courier New"/>
      <w:kern w:val="0"/>
      <w:sz w:val="20"/>
      <w:szCs w:val="21"/>
    </w:rPr>
  </w:style>
  <w:style w:type="paragraph" w:styleId="20">
    <w:name w:val="Date"/>
    <w:basedOn w:val="1"/>
    <w:next w:val="1"/>
    <w:link w:val="49"/>
    <w:unhideWhenUsed/>
    <w:qFormat/>
    <w:uiPriority w:val="99"/>
    <w:pPr>
      <w:ind w:left="100" w:leftChars="2500"/>
    </w:pPr>
  </w:style>
  <w:style w:type="paragraph" w:styleId="21">
    <w:name w:val="Balloon Text"/>
    <w:basedOn w:val="1"/>
    <w:semiHidden/>
    <w:qFormat/>
    <w:uiPriority w:val="0"/>
    <w:rPr>
      <w:sz w:val="18"/>
      <w:szCs w:val="18"/>
    </w:rPr>
  </w:style>
  <w:style w:type="paragraph" w:styleId="22">
    <w:name w:val="footer"/>
    <w:basedOn w:val="1"/>
    <w:link w:val="50"/>
    <w:unhideWhenUsed/>
    <w:qFormat/>
    <w:uiPriority w:val="99"/>
    <w:pPr>
      <w:tabs>
        <w:tab w:val="center" w:pos="4153"/>
        <w:tab w:val="right" w:pos="8306"/>
      </w:tabs>
      <w:snapToGrid w:val="0"/>
      <w:jc w:val="left"/>
    </w:pPr>
    <w:rPr>
      <w:kern w:val="0"/>
      <w:sz w:val="18"/>
      <w:szCs w:val="18"/>
    </w:rPr>
  </w:style>
  <w:style w:type="paragraph" w:styleId="23">
    <w:name w:val="header"/>
    <w:basedOn w:val="1"/>
    <w:link w:val="5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unhideWhenUsed/>
    <w:qFormat/>
    <w:uiPriority w:val="39"/>
  </w:style>
  <w:style w:type="paragraph" w:styleId="25">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26">
    <w:name w:val="Normal (Web)"/>
    <w:basedOn w:val="1"/>
    <w:next w:val="13"/>
    <w:unhideWhenUsed/>
    <w:qFormat/>
    <w:uiPriority w:val="99"/>
    <w:rPr>
      <w:rFonts w:ascii="Calibri" w:hAnsi="Calibri"/>
      <w:kern w:val="0"/>
      <w:sz w:val="24"/>
    </w:rPr>
  </w:style>
  <w:style w:type="paragraph" w:styleId="27">
    <w:name w:val="annotation subject"/>
    <w:basedOn w:val="10"/>
    <w:next w:val="10"/>
    <w:link w:val="52"/>
    <w:qFormat/>
    <w:uiPriority w:val="99"/>
    <w:rPr>
      <w:b/>
      <w:bCs/>
    </w:rPr>
  </w:style>
  <w:style w:type="paragraph" w:styleId="28">
    <w:name w:val="Body Text First Indent"/>
    <w:basedOn w:val="14"/>
    <w:next w:val="1"/>
    <w:qFormat/>
    <w:uiPriority w:val="0"/>
    <w:pPr>
      <w:ind w:firstLine="420" w:firstLineChars="100"/>
    </w:pPr>
    <w:rPr>
      <w:sz w:val="24"/>
    </w:rPr>
  </w:style>
  <w:style w:type="paragraph" w:styleId="29">
    <w:name w:val="Body Text First Indent 2"/>
    <w:basedOn w:val="11"/>
    <w:next w:val="28"/>
    <w:qFormat/>
    <w:uiPriority w:val="0"/>
    <w:pPr>
      <w:ind w:firstLine="420" w:firstLineChars="200"/>
    </w:pPr>
  </w:style>
  <w:style w:type="table" w:styleId="31">
    <w:name w:val="Table Grid"/>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Strong"/>
    <w:basedOn w:val="32"/>
    <w:qFormat/>
    <w:uiPriority w:val="22"/>
    <w:rPr>
      <w:b/>
    </w:rPr>
  </w:style>
  <w:style w:type="character" w:styleId="34">
    <w:name w:val="FollowedHyperlink"/>
    <w:unhideWhenUsed/>
    <w:qFormat/>
    <w:uiPriority w:val="99"/>
    <w:rPr>
      <w:color w:val="1E90FF"/>
      <w:u w:val="single"/>
    </w:rPr>
  </w:style>
  <w:style w:type="character" w:styleId="35">
    <w:name w:val="Emphasis"/>
    <w:basedOn w:val="32"/>
    <w:qFormat/>
    <w:uiPriority w:val="20"/>
    <w:rPr>
      <w:i/>
    </w:rPr>
  </w:style>
  <w:style w:type="character" w:styleId="36">
    <w:name w:val="Hyperlink"/>
    <w:unhideWhenUsed/>
    <w:qFormat/>
    <w:uiPriority w:val="99"/>
    <w:rPr>
      <w:color w:val="1E90FF"/>
      <w:u w:val="single"/>
    </w:rPr>
  </w:style>
  <w:style w:type="character" w:styleId="37">
    <w:name w:val="annotation reference"/>
    <w:qFormat/>
    <w:uiPriority w:val="0"/>
    <w:rPr>
      <w:sz w:val="21"/>
      <w:szCs w:val="21"/>
    </w:rPr>
  </w:style>
  <w:style w:type="character" w:styleId="38">
    <w:name w:val="HTML Sample"/>
    <w:unhideWhenUsed/>
    <w:qFormat/>
    <w:uiPriority w:val="99"/>
    <w:rPr>
      <w:rFonts w:ascii="Courier New" w:hAnsi="Courier New"/>
    </w:rPr>
  </w:style>
  <w:style w:type="paragraph" w:customStyle="1" w:styleId="39">
    <w:name w:val="Default"/>
    <w:qFormat/>
    <w:uiPriority w:val="0"/>
    <w:pPr>
      <w:widowControl w:val="0"/>
      <w:autoSpaceDE w:val="0"/>
      <w:autoSpaceDN w:val="0"/>
    </w:pPr>
    <w:rPr>
      <w:rFonts w:hint="eastAsia" w:ascii="Times New Roman" w:hAnsi="Times New Roman" w:eastAsia="宋体" w:cs="Times New Roman"/>
      <w:color w:val="000000"/>
      <w:sz w:val="24"/>
      <w:lang w:val="en-US" w:eastAsia="zh-CN" w:bidi="ar-SA"/>
    </w:rPr>
  </w:style>
  <w:style w:type="paragraph" w:customStyle="1" w:styleId="40">
    <w:name w:val="TOC 标题2"/>
    <w:next w:val="1"/>
    <w:qFormat/>
    <w:uiPriority w:val="0"/>
    <w:pPr>
      <w:wordWrap w:val="0"/>
    </w:pPr>
    <w:rPr>
      <w:rFonts w:ascii="Times New Roman" w:hAnsi="Times New Roman" w:eastAsia="宋体" w:cs="Times New Roman"/>
      <w:sz w:val="32"/>
      <w:szCs w:val="22"/>
      <w:lang w:val="en-US" w:eastAsia="zh-CN" w:bidi="ar-SA"/>
    </w:rPr>
  </w:style>
  <w:style w:type="character" w:customStyle="1" w:styleId="41">
    <w:name w:val="标题 1 Char"/>
    <w:link w:val="2"/>
    <w:qFormat/>
    <w:uiPriority w:val="0"/>
    <w:rPr>
      <w:b/>
      <w:bCs/>
      <w:kern w:val="44"/>
      <w:sz w:val="44"/>
      <w:szCs w:val="44"/>
    </w:rPr>
  </w:style>
  <w:style w:type="character" w:customStyle="1" w:styleId="42">
    <w:name w:val="标题 2 Char"/>
    <w:link w:val="3"/>
    <w:qFormat/>
    <w:uiPriority w:val="9"/>
    <w:rPr>
      <w:rFonts w:ascii="Cambria" w:hAnsi="Cambria" w:eastAsia="宋体" w:cs="Times New Roman"/>
      <w:b/>
      <w:bCs/>
      <w:kern w:val="2"/>
      <w:sz w:val="32"/>
      <w:szCs w:val="32"/>
    </w:rPr>
  </w:style>
  <w:style w:type="character" w:customStyle="1" w:styleId="43">
    <w:name w:val="标题 5 Char"/>
    <w:link w:val="5"/>
    <w:semiHidden/>
    <w:qFormat/>
    <w:uiPriority w:val="9"/>
    <w:rPr>
      <w:rFonts w:ascii="Times New Roman" w:hAnsi="Times New Roman"/>
      <w:b/>
      <w:bCs/>
      <w:kern w:val="2"/>
      <w:sz w:val="28"/>
      <w:szCs w:val="28"/>
    </w:rPr>
  </w:style>
  <w:style w:type="character" w:customStyle="1" w:styleId="44">
    <w:name w:val="批注文字 Char"/>
    <w:link w:val="10"/>
    <w:qFormat/>
    <w:uiPriority w:val="0"/>
    <w:rPr>
      <w:rFonts w:ascii="Times New Roman" w:hAnsi="Times New Roman"/>
      <w:kern w:val="2"/>
      <w:sz w:val="21"/>
      <w:szCs w:val="24"/>
    </w:rPr>
  </w:style>
  <w:style w:type="character" w:customStyle="1" w:styleId="45">
    <w:name w:val="正文文本缩进 Char"/>
    <w:link w:val="11"/>
    <w:qFormat/>
    <w:uiPriority w:val="0"/>
    <w:rPr>
      <w:rFonts w:ascii="FangSong_GB2312" w:hAnsi="Times New Roman" w:eastAsia="FangSong_GB2312" w:cs="Times New Roman"/>
      <w:sz w:val="32"/>
      <w:szCs w:val="20"/>
    </w:rPr>
  </w:style>
  <w:style w:type="character" w:customStyle="1" w:styleId="46">
    <w:name w:val="正文文本 3 Char"/>
    <w:link w:val="13"/>
    <w:semiHidden/>
    <w:qFormat/>
    <w:uiPriority w:val="99"/>
    <w:rPr>
      <w:rFonts w:ascii="Times New Roman" w:hAnsi="Times New Roman"/>
      <w:kern w:val="2"/>
      <w:sz w:val="16"/>
      <w:szCs w:val="16"/>
    </w:rPr>
  </w:style>
  <w:style w:type="character" w:customStyle="1" w:styleId="47">
    <w:name w:val="正文文本 Char"/>
    <w:link w:val="14"/>
    <w:qFormat/>
    <w:uiPriority w:val="0"/>
    <w:rPr>
      <w:rFonts w:ascii="Times New Roman" w:hAnsi="Times New Roman"/>
      <w:kern w:val="2"/>
      <w:sz w:val="21"/>
      <w:szCs w:val="24"/>
    </w:rPr>
  </w:style>
  <w:style w:type="character" w:customStyle="1" w:styleId="48">
    <w:name w:val="纯文本 Char"/>
    <w:link w:val="19"/>
    <w:qFormat/>
    <w:uiPriority w:val="0"/>
    <w:rPr>
      <w:rFonts w:ascii="宋体" w:hAnsi="Courier New" w:eastAsia="宋体" w:cs="Courier New"/>
      <w:szCs w:val="21"/>
    </w:rPr>
  </w:style>
  <w:style w:type="character" w:customStyle="1" w:styleId="49">
    <w:name w:val="日期 Char"/>
    <w:link w:val="20"/>
    <w:semiHidden/>
    <w:qFormat/>
    <w:uiPriority w:val="99"/>
    <w:rPr>
      <w:rFonts w:ascii="Times New Roman" w:hAnsi="Times New Roman"/>
      <w:kern w:val="2"/>
      <w:sz w:val="21"/>
      <w:szCs w:val="24"/>
    </w:rPr>
  </w:style>
  <w:style w:type="character" w:customStyle="1" w:styleId="50">
    <w:name w:val="页脚 Char1"/>
    <w:link w:val="22"/>
    <w:qFormat/>
    <w:uiPriority w:val="99"/>
    <w:rPr>
      <w:sz w:val="18"/>
      <w:szCs w:val="18"/>
    </w:rPr>
  </w:style>
  <w:style w:type="character" w:customStyle="1" w:styleId="51">
    <w:name w:val="页眉 Char"/>
    <w:link w:val="23"/>
    <w:qFormat/>
    <w:uiPriority w:val="99"/>
    <w:rPr>
      <w:sz w:val="18"/>
      <w:szCs w:val="18"/>
    </w:rPr>
  </w:style>
  <w:style w:type="character" w:customStyle="1" w:styleId="52">
    <w:name w:val="批注主题 Char"/>
    <w:link w:val="27"/>
    <w:qFormat/>
    <w:uiPriority w:val="99"/>
    <w:rPr>
      <w:rFonts w:ascii="Times New Roman" w:hAnsi="Times New Roman"/>
      <w:b/>
      <w:bCs/>
      <w:kern w:val="2"/>
      <w:sz w:val="21"/>
      <w:szCs w:val="24"/>
    </w:rPr>
  </w:style>
  <w:style w:type="paragraph" w:customStyle="1" w:styleId="53">
    <w:name w:val="Heading2"/>
    <w:basedOn w:val="1"/>
    <w:next w:val="1"/>
    <w:qFormat/>
    <w:uiPriority w:val="0"/>
    <w:pPr>
      <w:keepNext/>
      <w:keepLines/>
      <w:spacing w:before="260" w:after="260" w:line="416" w:lineRule="auto"/>
    </w:pPr>
    <w:rPr>
      <w:rFonts w:ascii="Arial" w:hAnsi="Arial" w:eastAsia="黑体"/>
      <w:b/>
      <w:bCs/>
      <w:kern w:val="0"/>
      <w:sz w:val="32"/>
      <w:szCs w:val="32"/>
    </w:rPr>
  </w:style>
  <w:style w:type="character" w:customStyle="1" w:styleId="54">
    <w:name w:val="正文文本缩进 字符1"/>
    <w:qFormat/>
    <w:uiPriority w:val="0"/>
    <w:rPr>
      <w:rFonts w:ascii="FangSong_GB2312" w:hAnsi="Times New Roman" w:eastAsia="FangSong_GB2312" w:cs="Times New Roman"/>
      <w:sz w:val="32"/>
      <w:szCs w:val="20"/>
    </w:rPr>
  </w:style>
  <w:style w:type="character" w:customStyle="1" w:styleId="55">
    <w:name w:val="批注文字 字符1"/>
    <w:qFormat/>
    <w:uiPriority w:val="0"/>
    <w:rPr>
      <w:kern w:val="2"/>
      <w:sz w:val="21"/>
      <w:szCs w:val="24"/>
    </w:rPr>
  </w:style>
  <w:style w:type="character" w:customStyle="1" w:styleId="56">
    <w:name w:val="纯文本 字符2"/>
    <w:qFormat/>
    <w:uiPriority w:val="0"/>
    <w:rPr>
      <w:rFonts w:ascii="宋体" w:hAnsi="Courier New" w:eastAsia="宋体" w:cs="Courier New"/>
      <w:szCs w:val="21"/>
    </w:rPr>
  </w:style>
  <w:style w:type="character" w:customStyle="1" w:styleId="57">
    <w:name w:val="页脚 Char"/>
    <w:qFormat/>
    <w:uiPriority w:val="99"/>
    <w:rPr>
      <w:lang w:eastAsia="zh-CN"/>
    </w:rPr>
  </w:style>
  <w:style w:type="character" w:customStyle="1" w:styleId="58">
    <w:name w:val="apple-style-span"/>
    <w:qFormat/>
    <w:uiPriority w:val="0"/>
  </w:style>
  <w:style w:type="character" w:customStyle="1" w:styleId="59">
    <w:name w:val="标题 1 字符"/>
    <w:qFormat/>
    <w:uiPriority w:val="9"/>
    <w:rPr>
      <w:b/>
      <w:bCs/>
      <w:kern w:val="44"/>
      <w:sz w:val="44"/>
      <w:szCs w:val="44"/>
    </w:rPr>
  </w:style>
  <w:style w:type="character" w:customStyle="1" w:styleId="60">
    <w:name w:val="纯文本 字符1"/>
    <w:qFormat/>
    <w:uiPriority w:val="0"/>
    <w:rPr>
      <w:rFonts w:ascii="宋体" w:hAnsi="Courier New"/>
    </w:rPr>
  </w:style>
  <w:style w:type="character" w:customStyle="1" w:styleId="61">
    <w:name w:val="textcontents"/>
    <w:qFormat/>
    <w:uiPriority w:val="0"/>
  </w:style>
  <w:style w:type="paragraph" w:customStyle="1" w:styleId="62">
    <w:name w:val="表内文字"/>
    <w:basedOn w:val="1"/>
    <w:qFormat/>
    <w:uiPriority w:val="0"/>
    <w:pPr>
      <w:snapToGrid w:val="0"/>
      <w:spacing w:before="50" w:after="50"/>
      <w:jc w:val="center"/>
    </w:pPr>
    <w:rPr>
      <w:rFonts w:ascii="FangSong_GB2312" w:hAnsi="宋体" w:eastAsia="FangSong_GB2312"/>
      <w:b/>
      <w:color w:val="000000"/>
      <w:sz w:val="32"/>
      <w:szCs w:val="32"/>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默认段落字体 Para Char Char Char Char Char Char Char Char Char1 Char Char Char Char"/>
    <w:basedOn w:val="1"/>
    <w:qFormat/>
    <w:uiPriority w:val="0"/>
    <w:rPr>
      <w:rFonts w:ascii="Tahoma" w:hAnsi="Tahoma"/>
      <w:sz w:val="24"/>
      <w:szCs w:val="20"/>
    </w:rPr>
  </w:style>
  <w:style w:type="paragraph" w:styleId="65">
    <w:name w:val="List Paragraph"/>
    <w:basedOn w:val="1"/>
    <w:qFormat/>
    <w:uiPriority w:val="34"/>
    <w:pPr>
      <w:ind w:firstLine="420" w:firstLineChars="200"/>
    </w:pPr>
  </w:style>
  <w:style w:type="paragraph" w:customStyle="1" w:styleId="66">
    <w:name w:val="BodyText"/>
    <w:basedOn w:val="1"/>
    <w:qFormat/>
    <w:uiPriority w:val="0"/>
    <w:pPr>
      <w:textAlignment w:val="baseline"/>
    </w:pPr>
    <w:rPr>
      <w:szCs w:val="21"/>
    </w:rPr>
  </w:style>
  <w:style w:type="paragraph" w:customStyle="1" w:styleId="67">
    <w:name w:val="Table Paragraph"/>
    <w:basedOn w:val="1"/>
    <w:qFormat/>
    <w:uiPriority w:val="1"/>
    <w:pPr>
      <w:jc w:val="left"/>
    </w:pPr>
    <w:rPr>
      <w:rFonts w:ascii="Calibri" w:hAnsi="Calibri"/>
      <w:kern w:val="0"/>
      <w:sz w:val="22"/>
      <w:szCs w:val="22"/>
      <w:lang w:eastAsia="en-US"/>
    </w:rPr>
  </w:style>
  <w:style w:type="character" w:customStyle="1" w:styleId="68">
    <w:name w:val="NormalCharacter"/>
    <w:qFormat/>
    <w:uiPriority w:val="0"/>
    <w:rPr>
      <w:rFonts w:ascii="Times New Roman" w:hAnsi="Times New Roman" w:eastAsia="宋体"/>
    </w:rPr>
  </w:style>
  <w:style w:type="paragraph" w:customStyle="1" w:styleId="69">
    <w:name w:val="表格文字"/>
    <w:basedOn w:val="1"/>
    <w:qFormat/>
    <w:uiPriority w:val="99"/>
    <w:pPr>
      <w:spacing w:before="25" w:after="25"/>
      <w:ind w:firstLine="315" w:firstLineChars="150"/>
    </w:pPr>
    <w:rPr>
      <w:bCs/>
      <w:color w:val="000000"/>
    </w:rPr>
  </w:style>
  <w:style w:type="paragraph" w:customStyle="1" w:styleId="70">
    <w:name w:val="NormalIndent"/>
    <w:basedOn w:val="1"/>
    <w:qFormat/>
    <w:uiPriority w:val="0"/>
    <w:pPr>
      <w:ind w:firstLine="420"/>
    </w:pPr>
    <w:rPr>
      <w:szCs w:val="21"/>
    </w:rPr>
  </w:style>
  <w:style w:type="paragraph" w:customStyle="1" w:styleId="71">
    <w:name w:val="列出段落1"/>
    <w:basedOn w:val="1"/>
    <w:unhideWhenUsed/>
    <w:qFormat/>
    <w:uiPriority w:val="0"/>
    <w:pPr>
      <w:ind w:firstLine="420" w:firstLineChars="200"/>
    </w:pPr>
    <w:rPr>
      <w:szCs w:val="21"/>
    </w:rPr>
  </w:style>
  <w:style w:type="character" w:customStyle="1" w:styleId="72">
    <w:name w:val="font12"/>
    <w:basedOn w:val="32"/>
    <w:qFormat/>
    <w:uiPriority w:val="0"/>
    <w:rPr>
      <w:rFonts w:hint="eastAsia" w:ascii="宋体" w:hAnsi="宋体" w:eastAsia="宋体" w:cs="宋体"/>
      <w:color w:val="000000"/>
      <w:sz w:val="20"/>
      <w:szCs w:val="20"/>
      <w:u w:val="none"/>
    </w:rPr>
  </w:style>
  <w:style w:type="character" w:customStyle="1" w:styleId="73">
    <w:name w:val="font131"/>
    <w:basedOn w:val="32"/>
    <w:qFormat/>
    <w:uiPriority w:val="0"/>
    <w:rPr>
      <w:rFonts w:hint="eastAsia" w:ascii="宋体" w:hAnsi="宋体" w:eastAsia="宋体" w:cs="宋体"/>
      <w:color w:val="000000"/>
      <w:sz w:val="12"/>
      <w:szCs w:val="12"/>
      <w:u w:val="none"/>
    </w:rPr>
  </w:style>
  <w:style w:type="character" w:customStyle="1" w:styleId="74">
    <w:name w:val="font31"/>
    <w:basedOn w:val="32"/>
    <w:qFormat/>
    <w:uiPriority w:val="0"/>
    <w:rPr>
      <w:rFonts w:hint="eastAsia" w:ascii="宋体" w:hAnsi="宋体" w:eastAsia="宋体" w:cs="宋体"/>
      <w:color w:val="000000"/>
      <w:sz w:val="16"/>
      <w:szCs w:val="16"/>
      <w:u w:val="none"/>
    </w:rPr>
  </w:style>
  <w:style w:type="character" w:customStyle="1" w:styleId="75">
    <w:name w:val="font91"/>
    <w:basedOn w:val="32"/>
    <w:qFormat/>
    <w:uiPriority w:val="0"/>
    <w:rPr>
      <w:rFonts w:hint="eastAsia" w:ascii="宋体" w:hAnsi="宋体" w:eastAsia="宋体" w:cs="宋体"/>
      <w:b/>
      <w:bCs/>
      <w:color w:val="000000"/>
      <w:sz w:val="21"/>
      <w:szCs w:val="21"/>
      <w:u w:val="none"/>
    </w:rPr>
  </w:style>
  <w:style w:type="character" w:customStyle="1" w:styleId="76">
    <w:name w:val="font81"/>
    <w:basedOn w:val="32"/>
    <w:qFormat/>
    <w:uiPriority w:val="0"/>
    <w:rPr>
      <w:rFonts w:hint="eastAsia" w:ascii="宋体" w:hAnsi="宋体" w:eastAsia="宋体" w:cs="宋体"/>
      <w:color w:val="000000"/>
      <w:sz w:val="21"/>
      <w:szCs w:val="21"/>
      <w:u w:val="none"/>
    </w:rPr>
  </w:style>
  <w:style w:type="character" w:customStyle="1" w:styleId="77">
    <w:name w:val="font21"/>
    <w:basedOn w:val="32"/>
    <w:qFormat/>
    <w:uiPriority w:val="0"/>
    <w:rPr>
      <w:rFonts w:hint="eastAsia" w:ascii="宋体" w:hAnsi="宋体" w:eastAsia="宋体" w:cs="宋体"/>
      <w:color w:val="000000"/>
      <w:sz w:val="18"/>
      <w:szCs w:val="18"/>
      <w:u w:val="none"/>
    </w:rPr>
  </w:style>
  <w:style w:type="character" w:customStyle="1" w:styleId="78">
    <w:name w:val="font112"/>
    <w:basedOn w:val="32"/>
    <w:qFormat/>
    <w:uiPriority w:val="0"/>
    <w:rPr>
      <w:rFonts w:hint="eastAsia" w:ascii="宋体" w:hAnsi="宋体" w:eastAsia="宋体" w:cs="宋体"/>
      <w:color w:val="FF0000"/>
      <w:sz w:val="18"/>
      <w:szCs w:val="18"/>
      <w:u w:val="none"/>
    </w:rPr>
  </w:style>
  <w:style w:type="character" w:customStyle="1" w:styleId="79">
    <w:name w:val="font241"/>
    <w:basedOn w:val="32"/>
    <w:qFormat/>
    <w:uiPriority w:val="0"/>
    <w:rPr>
      <w:rFonts w:hint="default" w:ascii="Times New Roman" w:hAnsi="Times New Roman" w:cs="Times New Roman"/>
      <w:color w:val="000000"/>
      <w:sz w:val="18"/>
      <w:szCs w:val="18"/>
      <w:u w:val="none"/>
    </w:rPr>
  </w:style>
  <w:style w:type="character" w:customStyle="1" w:styleId="80">
    <w:name w:val="font141"/>
    <w:basedOn w:val="32"/>
    <w:qFormat/>
    <w:uiPriority w:val="0"/>
    <w:rPr>
      <w:rFonts w:hint="eastAsia" w:ascii="宋体" w:hAnsi="宋体" w:eastAsia="宋体" w:cs="宋体"/>
      <w:b/>
      <w:bCs/>
      <w:color w:val="FF0000"/>
      <w:sz w:val="18"/>
      <w:szCs w:val="18"/>
      <w:u w:val="none"/>
    </w:rPr>
  </w:style>
  <w:style w:type="character" w:customStyle="1" w:styleId="81">
    <w:name w:val="font41"/>
    <w:basedOn w:val="32"/>
    <w:qFormat/>
    <w:uiPriority w:val="0"/>
    <w:rPr>
      <w:rFonts w:hint="eastAsia" w:ascii="宋体" w:hAnsi="宋体" w:eastAsia="宋体" w:cs="宋体"/>
      <w:color w:val="000000"/>
      <w:sz w:val="18"/>
      <w:szCs w:val="18"/>
      <w:u w:val="none"/>
    </w:rPr>
  </w:style>
  <w:style w:type="character" w:customStyle="1" w:styleId="82">
    <w:name w:val="font61"/>
    <w:basedOn w:val="32"/>
    <w:qFormat/>
    <w:uiPriority w:val="0"/>
    <w:rPr>
      <w:rFonts w:hint="eastAsia" w:ascii="宋体" w:hAnsi="宋体" w:eastAsia="宋体" w:cs="宋体"/>
      <w:color w:val="000000"/>
      <w:sz w:val="20"/>
      <w:szCs w:val="20"/>
      <w:u w:val="none"/>
    </w:rPr>
  </w:style>
  <w:style w:type="character" w:customStyle="1" w:styleId="83">
    <w:name w:val="font251"/>
    <w:basedOn w:val="32"/>
    <w:qFormat/>
    <w:uiPriority w:val="0"/>
    <w:rPr>
      <w:rFonts w:hint="eastAsia" w:ascii="宋体" w:hAnsi="宋体" w:eastAsia="宋体" w:cs="宋体"/>
      <w:color w:val="FF0000"/>
      <w:sz w:val="20"/>
      <w:szCs w:val="20"/>
      <w:u w:val="none"/>
    </w:rPr>
  </w:style>
  <w:style w:type="character" w:customStyle="1" w:styleId="84">
    <w:name w:val="font191"/>
    <w:basedOn w:val="32"/>
    <w:qFormat/>
    <w:uiPriority w:val="0"/>
    <w:rPr>
      <w:rFonts w:hint="eastAsia" w:ascii="宋体" w:hAnsi="宋体" w:eastAsia="宋体" w:cs="宋体"/>
      <w:b/>
      <w:bCs/>
      <w:color w:val="000000"/>
      <w:sz w:val="21"/>
      <w:szCs w:val="21"/>
      <w:u w:val="none"/>
    </w:rPr>
  </w:style>
  <w:style w:type="character" w:customStyle="1" w:styleId="85">
    <w:name w:val="font181"/>
    <w:basedOn w:val="32"/>
    <w:qFormat/>
    <w:uiPriority w:val="0"/>
    <w:rPr>
      <w:rFonts w:hint="eastAsia" w:ascii="宋体" w:hAnsi="宋体" w:eastAsia="宋体" w:cs="宋体"/>
      <w:color w:val="000000"/>
      <w:sz w:val="21"/>
      <w:szCs w:val="21"/>
      <w:u w:val="none"/>
    </w:rPr>
  </w:style>
  <w:style w:type="character" w:customStyle="1" w:styleId="86">
    <w:name w:val="font11"/>
    <w:basedOn w:val="32"/>
    <w:qFormat/>
    <w:uiPriority w:val="0"/>
    <w:rPr>
      <w:rFonts w:hint="eastAsia" w:ascii="宋体" w:hAnsi="宋体" w:eastAsia="宋体" w:cs="宋体"/>
      <w:b/>
      <w:bCs/>
      <w:color w:val="000000"/>
      <w:sz w:val="21"/>
      <w:szCs w:val="21"/>
      <w:u w:val="none"/>
    </w:rPr>
  </w:style>
  <w:style w:type="paragraph" w:customStyle="1" w:styleId="87">
    <w:name w:val="PlainText"/>
    <w:basedOn w:val="1"/>
    <w:next w:val="88"/>
    <w:qFormat/>
    <w:uiPriority w:val="0"/>
    <w:pPr>
      <w:textAlignment w:val="baseline"/>
    </w:pPr>
    <w:rPr>
      <w:rFonts w:ascii="宋体" w:hAnsi="Courier New"/>
      <w:kern w:val="0"/>
      <w:sz w:val="20"/>
      <w:szCs w:val="21"/>
    </w:rPr>
  </w:style>
  <w:style w:type="paragraph" w:customStyle="1" w:styleId="88">
    <w:name w:val="UserStyle_9"/>
    <w:next w:val="1"/>
    <w:qFormat/>
    <w:uiPriority w:val="0"/>
    <w:pPr>
      <w:textAlignment w:val="baseline"/>
    </w:pPr>
    <w:rPr>
      <w:rFonts w:ascii="Times New Roman" w:hAnsi="Times New Roman" w:eastAsia="宋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83</Pages>
  <Words>27546</Words>
  <Characters>30438</Characters>
  <Lines>362</Lines>
  <Paragraphs>102</Paragraphs>
  <TotalTime>32</TotalTime>
  <ScaleCrop>false</ScaleCrop>
  <LinksUpToDate>false</LinksUpToDate>
  <CharactersWithSpaces>31709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2020-10-16T09:42:00Z</dcterms:created>
  <dc:creator>唐冰</dc:creator>
  <cp:lastModifiedBy>Jx</cp:lastModifiedBy>
  <cp:lastPrinted>2024-12-02T02:55:00Z</cp:lastPrinted>
  <dcterms:modified xsi:type="dcterms:W3CDTF">2025-09-03T06:38:57Z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C755705195534DC5A7D2151E050C3C7D_13</vt:lpwstr>
  </property>
  <property fmtid="{D5CDD505-2E9C-101B-9397-08002B2CF9AE}" pid="4" name="KSOTemplateDocerSaveRecord">
    <vt:lpwstr>eyJoZGlkIjoiYTA2YzBmZGMzZDJlYzQ4YzQ4YmNkMjM5YzRhYzBkZDUiLCJ1c2VySWQiOiI0MjU0MzY0MjMifQ==</vt:lpwstr>
  </property>
</Properties>
</file>