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DB5A2">
      <w:pPr>
        <w:widowControl w:val="0"/>
        <w:spacing w:line="360" w:lineRule="auto"/>
        <w:ind w:left="3" w:leftChars="-95" w:right="-275" w:rightChars="-131" w:hanging="202" w:hangingChars="28"/>
        <w:jc w:val="center"/>
        <w:rPr>
          <w:rFonts w:ascii="宋体" w:hAnsi="宋体" w:eastAsia="宋体" w:cs="宋体"/>
          <w:b/>
          <w:bCs/>
          <w:color w:val="auto"/>
          <w:sz w:val="72"/>
          <w:szCs w:val="72"/>
          <w:highlight w:val="none"/>
          <w:lang w:eastAsia="zh-CN"/>
        </w:rPr>
      </w:pPr>
    </w:p>
    <w:p w14:paraId="05EA2F3B">
      <w:pPr>
        <w:widowControl w:val="0"/>
        <w:spacing w:line="360" w:lineRule="auto"/>
        <w:ind w:left="3" w:leftChars="-95" w:right="-275" w:rightChars="-131" w:hanging="202" w:hangingChars="28"/>
        <w:jc w:val="center"/>
        <w:rPr>
          <w:rFonts w:ascii="宋体" w:hAnsi="宋体" w:eastAsia="宋体" w:cs="宋体"/>
          <w:color w:val="auto"/>
          <w:sz w:val="72"/>
          <w:szCs w:val="72"/>
          <w:highlight w:val="none"/>
          <w:lang w:eastAsia="zh-CN"/>
        </w:rPr>
      </w:pPr>
      <w:r>
        <w:rPr>
          <w:rFonts w:hint="eastAsia" w:ascii="宋体" w:hAnsi="宋体" w:eastAsia="宋体" w:cs="宋体"/>
          <w:b/>
          <w:bCs/>
          <w:color w:val="auto"/>
          <w:sz w:val="72"/>
          <w:szCs w:val="72"/>
          <w:highlight w:val="none"/>
          <w:lang w:eastAsia="zh-CN"/>
        </w:rPr>
        <w:t>大华建设项目管理有限公司</w:t>
      </w:r>
    </w:p>
    <w:p w14:paraId="027C7E71">
      <w:pPr>
        <w:pStyle w:val="7"/>
        <w:widowControl w:val="0"/>
        <w:spacing w:line="360" w:lineRule="auto"/>
        <w:ind w:firstLine="420" w:firstLineChars="200"/>
        <w:rPr>
          <w:color w:val="auto"/>
          <w:highlight w:val="none"/>
          <w:lang w:eastAsia="zh-CN"/>
        </w:rPr>
      </w:pPr>
    </w:p>
    <w:p w14:paraId="6F3039BF">
      <w:pPr>
        <w:pStyle w:val="7"/>
        <w:widowControl w:val="0"/>
        <w:spacing w:line="360" w:lineRule="auto"/>
        <w:ind w:firstLine="420" w:firstLineChars="200"/>
        <w:rPr>
          <w:color w:val="auto"/>
          <w:highlight w:val="none"/>
          <w:lang w:eastAsia="zh-CN"/>
        </w:rPr>
      </w:pPr>
    </w:p>
    <w:p w14:paraId="61AC22F8">
      <w:pPr>
        <w:pStyle w:val="7"/>
        <w:widowControl w:val="0"/>
        <w:spacing w:line="360" w:lineRule="auto"/>
        <w:ind w:firstLine="420" w:firstLineChars="200"/>
        <w:rPr>
          <w:color w:val="auto"/>
          <w:highlight w:val="none"/>
          <w:lang w:eastAsia="zh-CN"/>
        </w:rPr>
      </w:pPr>
    </w:p>
    <w:p w14:paraId="1C37215D">
      <w:pPr>
        <w:pStyle w:val="7"/>
        <w:widowControl w:val="0"/>
        <w:spacing w:line="360" w:lineRule="auto"/>
        <w:rPr>
          <w:color w:val="auto"/>
          <w:highlight w:val="none"/>
          <w:lang w:eastAsia="zh-CN"/>
        </w:rPr>
      </w:pPr>
    </w:p>
    <w:p w14:paraId="5ED3332C">
      <w:pPr>
        <w:pStyle w:val="7"/>
        <w:widowControl w:val="0"/>
        <w:spacing w:line="360" w:lineRule="auto"/>
        <w:ind w:firstLine="420" w:firstLineChars="200"/>
        <w:rPr>
          <w:color w:val="auto"/>
          <w:highlight w:val="none"/>
          <w:lang w:eastAsia="zh-CN"/>
        </w:rPr>
      </w:pPr>
    </w:p>
    <w:p w14:paraId="3A4EDEB0">
      <w:pPr>
        <w:pStyle w:val="7"/>
        <w:widowControl w:val="0"/>
        <w:spacing w:line="360" w:lineRule="auto"/>
        <w:ind w:firstLine="420" w:firstLineChars="200"/>
        <w:rPr>
          <w:color w:val="auto"/>
          <w:highlight w:val="none"/>
          <w:lang w:eastAsia="zh-CN"/>
        </w:rPr>
      </w:pPr>
    </w:p>
    <w:p w14:paraId="69F5F6BC">
      <w:pPr>
        <w:widowControl w:val="0"/>
        <w:spacing w:line="360" w:lineRule="auto"/>
        <w:ind w:firstLine="1666" w:firstLineChars="200"/>
        <w:rPr>
          <w:rFonts w:ascii="宋体" w:hAnsi="宋体" w:eastAsia="宋体" w:cs="宋体"/>
          <w:color w:val="auto"/>
          <w:sz w:val="83"/>
          <w:szCs w:val="83"/>
          <w:highlight w:val="none"/>
          <w:lang w:eastAsia="zh-CN"/>
        </w:rPr>
      </w:pPr>
      <w:r>
        <w:rPr>
          <w:rFonts w:ascii="宋体" w:hAnsi="宋体" w:eastAsia="宋体" w:cs="宋体"/>
          <w:b/>
          <w:bCs/>
          <w:color w:val="auto"/>
          <w:sz w:val="83"/>
          <w:szCs w:val="83"/>
          <w:highlight w:val="none"/>
          <w:lang w:eastAsia="zh-CN"/>
        </w:rPr>
        <w:t>竞争性谈判文件</w:t>
      </w:r>
    </w:p>
    <w:p w14:paraId="0C936C9E">
      <w:pPr>
        <w:pStyle w:val="7"/>
        <w:widowControl w:val="0"/>
        <w:spacing w:line="360" w:lineRule="auto"/>
        <w:ind w:firstLine="420" w:firstLineChars="200"/>
        <w:rPr>
          <w:color w:val="auto"/>
          <w:highlight w:val="none"/>
          <w:lang w:eastAsia="zh-CN"/>
        </w:rPr>
      </w:pPr>
    </w:p>
    <w:p w14:paraId="29315571">
      <w:pPr>
        <w:widowControl w:val="0"/>
        <w:spacing w:line="360" w:lineRule="auto"/>
        <w:ind w:firstLine="1245" w:firstLineChars="400"/>
        <w:rPr>
          <w:rFonts w:ascii="宋体" w:hAnsi="宋体" w:eastAsia="宋体" w:cs="宋体"/>
          <w:b/>
          <w:bCs/>
          <w:color w:val="auto"/>
          <w:sz w:val="31"/>
          <w:szCs w:val="31"/>
          <w:highlight w:val="none"/>
          <w:lang w:eastAsia="zh-CN"/>
        </w:rPr>
      </w:pPr>
    </w:p>
    <w:p w14:paraId="749F571E">
      <w:pPr>
        <w:widowControl w:val="0"/>
        <w:spacing w:line="360" w:lineRule="auto"/>
        <w:ind w:firstLine="1245" w:firstLineChars="400"/>
        <w:rPr>
          <w:rFonts w:ascii="宋体" w:hAnsi="宋体" w:eastAsia="宋体" w:cs="宋体"/>
          <w:b/>
          <w:bCs/>
          <w:color w:val="auto"/>
          <w:sz w:val="31"/>
          <w:szCs w:val="31"/>
          <w:highlight w:val="none"/>
          <w:lang w:eastAsia="zh-CN"/>
        </w:rPr>
      </w:pPr>
      <w:r>
        <w:rPr>
          <w:rFonts w:ascii="宋体" w:hAnsi="宋体" w:eastAsia="宋体" w:cs="宋体"/>
          <w:b/>
          <w:bCs/>
          <w:color w:val="auto"/>
          <w:sz w:val="31"/>
          <w:szCs w:val="31"/>
          <w:highlight w:val="none"/>
          <w:lang w:eastAsia="zh-CN"/>
        </w:rPr>
        <w:t>项目名称</w:t>
      </w:r>
      <w:r>
        <w:rPr>
          <w:rFonts w:hint="eastAsia" w:ascii="宋体" w:hAnsi="宋体" w:eastAsia="宋体" w:cs="宋体"/>
          <w:color w:val="auto"/>
          <w:sz w:val="31"/>
          <w:szCs w:val="31"/>
          <w:highlight w:val="none"/>
          <w:lang w:eastAsia="zh-CN"/>
        </w:rPr>
        <w:t>：</w:t>
      </w:r>
      <w:r>
        <w:rPr>
          <w:rFonts w:hint="eastAsia" w:ascii="宋体" w:hAnsi="宋体" w:eastAsia="宋体" w:cs="宋体"/>
          <w:b/>
          <w:bCs/>
          <w:color w:val="auto"/>
          <w:sz w:val="31"/>
          <w:szCs w:val="31"/>
          <w:highlight w:val="none"/>
          <w:lang w:eastAsia="zh-CN"/>
        </w:rPr>
        <w:t>影像动力跑台一体化测量与训练系统采购</w:t>
      </w:r>
    </w:p>
    <w:p w14:paraId="084C8278">
      <w:pPr>
        <w:widowControl w:val="0"/>
        <w:spacing w:line="360" w:lineRule="auto"/>
        <w:ind w:firstLine="1232" w:firstLineChars="396"/>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项目编号</w:t>
      </w:r>
      <w:r>
        <w:rPr>
          <w:rFonts w:hint="eastAsia" w:ascii="宋体" w:hAnsi="宋体" w:eastAsia="宋体" w:cs="宋体"/>
          <w:b/>
          <w:bCs/>
          <w:color w:val="auto"/>
          <w:sz w:val="31"/>
          <w:szCs w:val="31"/>
          <w:highlight w:val="none"/>
          <w:lang w:eastAsia="zh-CN"/>
        </w:rPr>
        <w:t>：GXZC2025-J1-003119-DHGS</w:t>
      </w:r>
    </w:p>
    <w:p w14:paraId="330BCFDA">
      <w:pPr>
        <w:pStyle w:val="7"/>
        <w:widowControl w:val="0"/>
        <w:spacing w:line="360" w:lineRule="auto"/>
        <w:ind w:firstLine="420" w:firstLineChars="200"/>
        <w:rPr>
          <w:color w:val="auto"/>
          <w:highlight w:val="none"/>
          <w:lang w:eastAsia="zh-CN"/>
        </w:rPr>
      </w:pPr>
    </w:p>
    <w:p w14:paraId="0B093A93">
      <w:pPr>
        <w:widowControl w:val="0"/>
        <w:spacing w:line="360" w:lineRule="auto"/>
        <w:ind w:firstLine="622" w:firstLineChars="200"/>
        <w:rPr>
          <w:rFonts w:ascii="宋体" w:hAnsi="宋体" w:eastAsia="宋体" w:cs="宋体"/>
          <w:b/>
          <w:bCs/>
          <w:color w:val="auto"/>
          <w:sz w:val="31"/>
          <w:szCs w:val="31"/>
          <w:highlight w:val="none"/>
          <w:lang w:eastAsia="zh-CN"/>
        </w:rPr>
      </w:pPr>
    </w:p>
    <w:p w14:paraId="0048BFDB">
      <w:pPr>
        <w:widowControl w:val="0"/>
        <w:spacing w:line="360" w:lineRule="auto"/>
        <w:ind w:firstLine="622" w:firstLineChars="200"/>
        <w:rPr>
          <w:rFonts w:ascii="宋体" w:hAnsi="宋体" w:eastAsia="宋体" w:cs="宋体"/>
          <w:b/>
          <w:bCs/>
          <w:color w:val="auto"/>
          <w:sz w:val="31"/>
          <w:szCs w:val="31"/>
          <w:highlight w:val="none"/>
          <w:lang w:eastAsia="zh-CN"/>
        </w:rPr>
      </w:pPr>
    </w:p>
    <w:p w14:paraId="6D4EC36C">
      <w:pPr>
        <w:widowControl w:val="0"/>
        <w:spacing w:line="360" w:lineRule="auto"/>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采购代理机构：</w:t>
      </w:r>
      <w:r>
        <w:rPr>
          <w:rFonts w:hint="eastAsia" w:ascii="宋体" w:hAnsi="宋体" w:eastAsia="宋体" w:cs="宋体"/>
          <w:b/>
          <w:bCs/>
          <w:color w:val="auto"/>
          <w:sz w:val="31"/>
          <w:szCs w:val="31"/>
          <w:highlight w:val="none"/>
          <w:lang w:eastAsia="zh-CN"/>
        </w:rPr>
        <w:t>大华建设项目管理有限公司</w:t>
      </w:r>
    </w:p>
    <w:p w14:paraId="79302E51">
      <w:pPr>
        <w:widowControl w:val="0"/>
        <w:spacing w:line="360" w:lineRule="auto"/>
        <w:jc w:val="center"/>
        <w:rPr>
          <w:rFonts w:ascii="宋体" w:hAnsi="宋体" w:eastAsia="宋体" w:cs="宋体"/>
          <w:color w:val="auto"/>
          <w:sz w:val="31"/>
          <w:szCs w:val="31"/>
          <w:highlight w:val="none"/>
        </w:rPr>
      </w:pPr>
      <w:r>
        <w:rPr>
          <w:rFonts w:ascii="宋体" w:hAnsi="宋体" w:eastAsia="宋体" w:cs="宋体"/>
          <w:b/>
          <w:bCs/>
          <w:color w:val="auto"/>
          <w:sz w:val="31"/>
          <w:szCs w:val="31"/>
          <w:highlight w:val="none"/>
        </w:rPr>
        <w:t>2025</w:t>
      </w:r>
      <w:r>
        <w:rPr>
          <w:rFonts w:hint="eastAsia" w:ascii="宋体" w:hAnsi="宋体" w:eastAsia="宋体" w:cs="宋体"/>
          <w:b/>
          <w:bCs/>
          <w:color w:val="auto"/>
          <w:sz w:val="31"/>
          <w:szCs w:val="31"/>
          <w:highlight w:val="none"/>
          <w:lang w:val="en-US" w:eastAsia="zh-CN"/>
        </w:rPr>
        <w:t xml:space="preserve"> </w:t>
      </w:r>
      <w:r>
        <w:rPr>
          <w:rFonts w:ascii="宋体" w:hAnsi="宋体" w:eastAsia="宋体" w:cs="宋体"/>
          <w:b/>
          <w:bCs/>
          <w:color w:val="auto"/>
          <w:sz w:val="31"/>
          <w:szCs w:val="31"/>
          <w:highlight w:val="none"/>
        </w:rPr>
        <w:t>年</w:t>
      </w:r>
      <w:r>
        <w:rPr>
          <w:rFonts w:hint="eastAsia" w:ascii="宋体" w:hAnsi="宋体" w:eastAsia="宋体" w:cs="宋体"/>
          <w:b/>
          <w:bCs/>
          <w:color w:val="auto"/>
          <w:sz w:val="31"/>
          <w:szCs w:val="31"/>
          <w:highlight w:val="none"/>
          <w:lang w:val="en-US" w:eastAsia="zh-CN"/>
        </w:rPr>
        <w:t xml:space="preserve"> 10 </w:t>
      </w:r>
      <w:r>
        <w:rPr>
          <w:rFonts w:ascii="宋体" w:hAnsi="宋体" w:eastAsia="宋体" w:cs="宋体"/>
          <w:b/>
          <w:bCs/>
          <w:color w:val="auto"/>
          <w:sz w:val="31"/>
          <w:szCs w:val="31"/>
          <w:highlight w:val="none"/>
        </w:rPr>
        <w:t>月</w:t>
      </w:r>
      <w:r>
        <w:rPr>
          <w:rFonts w:hint="eastAsia" w:ascii="宋体" w:hAnsi="宋体" w:eastAsia="宋体" w:cs="宋体"/>
          <w:b/>
          <w:bCs/>
          <w:color w:val="auto"/>
          <w:sz w:val="31"/>
          <w:szCs w:val="31"/>
          <w:highlight w:val="none"/>
          <w:lang w:val="en-US" w:eastAsia="zh-CN"/>
        </w:rPr>
        <w:t xml:space="preserve"> 20 </w:t>
      </w:r>
      <w:r>
        <w:rPr>
          <w:rFonts w:ascii="宋体" w:hAnsi="宋体" w:eastAsia="宋体" w:cs="宋体"/>
          <w:b/>
          <w:bCs/>
          <w:color w:val="auto"/>
          <w:sz w:val="31"/>
          <w:szCs w:val="31"/>
          <w:highlight w:val="none"/>
        </w:rPr>
        <w:t>日</w:t>
      </w:r>
    </w:p>
    <w:p w14:paraId="1FD17DC7">
      <w:pPr>
        <w:widowControl w:val="0"/>
        <w:spacing w:line="360" w:lineRule="auto"/>
        <w:ind w:firstLine="620" w:firstLineChars="200"/>
        <w:rPr>
          <w:rFonts w:ascii="宋体" w:hAnsi="宋体" w:eastAsia="宋体" w:cs="宋体"/>
          <w:color w:val="auto"/>
          <w:sz w:val="31"/>
          <w:szCs w:val="31"/>
          <w:highlight w:val="none"/>
        </w:rPr>
        <w:sectPr>
          <w:pgSz w:w="11906" w:h="16839"/>
          <w:pgMar w:top="1417" w:right="1417" w:bottom="1417" w:left="1417" w:header="0" w:footer="0" w:gutter="0"/>
          <w:cols w:space="720" w:num="1"/>
        </w:sectPr>
      </w:pPr>
    </w:p>
    <w:sdt>
      <w:sdtPr>
        <w:rPr>
          <w:rFonts w:ascii="宋体" w:hAnsi="宋体" w:eastAsia="宋体"/>
          <w:color w:val="auto"/>
          <w:sz w:val="44"/>
          <w:szCs w:val="44"/>
          <w:highlight w:val="none"/>
        </w:rPr>
        <w:id w:val="147470290"/>
        <w15:color w:val="DBDBDB"/>
        <w:docPartObj>
          <w:docPartGallery w:val="Table of Contents"/>
          <w:docPartUnique/>
        </w:docPartObj>
      </w:sdtPr>
      <w:sdtEndPr>
        <w:rPr>
          <w:rFonts w:ascii="Calibri" w:hAnsi="Calibri" w:eastAsia="Calibri" w:cs="Calibri"/>
          <w:color w:val="auto"/>
          <w:sz w:val="21"/>
          <w:szCs w:val="31"/>
          <w:highlight w:val="none"/>
        </w:rPr>
      </w:sdtEndPr>
      <w:sdtContent>
        <w:p w14:paraId="42003F2D">
          <w:pPr>
            <w:widowControl w:val="0"/>
            <w:jc w:val="center"/>
            <w:rPr>
              <w:color w:val="auto"/>
              <w:sz w:val="44"/>
              <w:szCs w:val="44"/>
              <w:highlight w:val="none"/>
            </w:rPr>
          </w:pPr>
          <w:r>
            <w:rPr>
              <w:rFonts w:ascii="宋体" w:hAnsi="宋体" w:eastAsia="宋体"/>
              <w:color w:val="auto"/>
              <w:sz w:val="44"/>
              <w:szCs w:val="44"/>
              <w:highlight w:val="none"/>
            </w:rPr>
            <w:t>目</w:t>
          </w:r>
          <w:r>
            <w:rPr>
              <w:rFonts w:hint="eastAsia" w:ascii="宋体" w:hAnsi="宋体" w:eastAsia="宋体"/>
              <w:color w:val="auto"/>
              <w:sz w:val="44"/>
              <w:szCs w:val="44"/>
              <w:highlight w:val="none"/>
              <w:lang w:eastAsia="zh-CN"/>
            </w:rPr>
            <w:t xml:space="preserve">  </w:t>
          </w:r>
          <w:r>
            <w:rPr>
              <w:rFonts w:ascii="宋体" w:hAnsi="宋体" w:eastAsia="宋体"/>
              <w:color w:val="auto"/>
              <w:sz w:val="44"/>
              <w:szCs w:val="44"/>
              <w:highlight w:val="none"/>
            </w:rPr>
            <w:t>录</w:t>
          </w:r>
        </w:p>
        <w:p w14:paraId="7A479FA3">
          <w:pPr>
            <w:pStyle w:val="15"/>
            <w:widowControl w:val="0"/>
            <w:tabs>
              <w:tab w:val="right" w:leader="dot" w:pos="8807"/>
            </w:tabs>
            <w:rPr>
              <w:color w:val="auto"/>
              <w:sz w:val="30"/>
              <w:szCs w:val="30"/>
              <w:highlight w:val="none"/>
            </w:rPr>
          </w:pPr>
          <w:r>
            <w:rPr>
              <w:rFonts w:ascii="Calibri" w:hAnsi="Calibri" w:eastAsia="Calibri" w:cs="Calibri"/>
              <w:color w:val="auto"/>
              <w:sz w:val="30"/>
              <w:szCs w:val="30"/>
              <w:highlight w:val="none"/>
            </w:rPr>
            <w:fldChar w:fldCharType="begin"/>
          </w:r>
          <w:r>
            <w:rPr>
              <w:rFonts w:ascii="Calibri" w:hAnsi="Calibri" w:eastAsia="Calibri" w:cs="Calibri"/>
              <w:color w:val="auto"/>
              <w:sz w:val="30"/>
              <w:szCs w:val="30"/>
              <w:highlight w:val="none"/>
            </w:rPr>
            <w:instrText xml:space="preserve">TOC \o "1-1" \h \u </w:instrText>
          </w:r>
          <w:r>
            <w:rPr>
              <w:rFonts w:ascii="Calibri" w:hAnsi="Calibri" w:eastAsia="Calibri" w:cs="Calibri"/>
              <w:color w:val="auto"/>
              <w:sz w:val="30"/>
              <w:szCs w:val="30"/>
              <w:highlight w:val="none"/>
            </w:rPr>
            <w:fldChar w:fldCharType="separate"/>
          </w:r>
          <w:r>
            <w:rPr>
              <w:color w:val="auto"/>
              <w:highlight w:val="none"/>
            </w:rPr>
            <w:fldChar w:fldCharType="begin"/>
          </w:r>
          <w:r>
            <w:rPr>
              <w:color w:val="auto"/>
              <w:highlight w:val="none"/>
            </w:rPr>
            <w:instrText xml:space="preserve"> HYPERLINK \l "_Toc7047" </w:instrText>
          </w:r>
          <w:r>
            <w:rPr>
              <w:color w:val="auto"/>
              <w:highlight w:val="none"/>
            </w:rPr>
            <w:fldChar w:fldCharType="separate"/>
          </w:r>
          <w:r>
            <w:rPr>
              <w:rFonts w:ascii="宋体" w:hAnsi="宋体" w:eastAsia="宋体" w:cs="宋体"/>
              <w:bCs/>
              <w:color w:val="auto"/>
              <w:sz w:val="30"/>
              <w:szCs w:val="30"/>
              <w:highlight w:val="none"/>
            </w:rPr>
            <w:t>第一章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竞争性谈判公告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_Toc7047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color w:val="auto"/>
              <w:sz w:val="30"/>
              <w:szCs w:val="30"/>
              <w:highlight w:val="none"/>
            </w:rPr>
            <w:fldChar w:fldCharType="end"/>
          </w:r>
        </w:p>
        <w:p w14:paraId="7B39C05E">
          <w:pPr>
            <w:pStyle w:val="15"/>
            <w:widowControl w:val="0"/>
            <w:tabs>
              <w:tab w:val="right" w:leader="dot" w:pos="8807"/>
            </w:tabs>
            <w:rPr>
              <w:rFonts w:ascii="Calibri" w:hAnsi="Calibri" w:eastAsia="Calibri" w:cs="Calibri"/>
              <w:color w:val="auto"/>
              <w:sz w:val="30"/>
              <w:szCs w:val="30"/>
              <w:highlight w:val="none"/>
            </w:rPr>
          </w:pPr>
        </w:p>
        <w:p w14:paraId="5073A1F7">
          <w:pPr>
            <w:pStyle w:val="15"/>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"_Toc9984" </w:instrText>
          </w:r>
          <w:r>
            <w:rPr>
              <w:color w:val="auto"/>
              <w:highlight w:val="none"/>
            </w:rPr>
            <w:fldChar w:fldCharType="separate"/>
          </w:r>
          <w:r>
            <w:rPr>
              <w:rFonts w:ascii="宋体" w:hAnsi="宋体" w:eastAsia="宋体" w:cs="宋体"/>
              <w:bCs/>
              <w:color w:val="auto"/>
              <w:sz w:val="30"/>
              <w:szCs w:val="30"/>
              <w:highlight w:val="none"/>
            </w:rPr>
            <w:t>第二章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_Toc9984 \h </w:instrText>
          </w:r>
          <w:r>
            <w:rPr>
              <w:color w:val="auto"/>
              <w:sz w:val="30"/>
              <w:szCs w:val="30"/>
              <w:highlight w:val="none"/>
            </w:rPr>
            <w:fldChar w:fldCharType="separate"/>
          </w:r>
          <w:r>
            <w:rPr>
              <w:color w:val="auto"/>
              <w:sz w:val="30"/>
              <w:szCs w:val="30"/>
              <w:highlight w:val="none"/>
            </w:rPr>
            <w:t>4</w:t>
          </w:r>
          <w:r>
            <w:rPr>
              <w:color w:val="auto"/>
              <w:sz w:val="30"/>
              <w:szCs w:val="30"/>
              <w:highlight w:val="none"/>
            </w:rPr>
            <w:fldChar w:fldCharType="end"/>
          </w:r>
          <w:r>
            <w:rPr>
              <w:color w:val="auto"/>
              <w:sz w:val="30"/>
              <w:szCs w:val="30"/>
              <w:highlight w:val="none"/>
            </w:rPr>
            <w:fldChar w:fldCharType="end"/>
          </w:r>
        </w:p>
        <w:p w14:paraId="5A65C064">
          <w:pPr>
            <w:pStyle w:val="15"/>
            <w:widowControl w:val="0"/>
            <w:tabs>
              <w:tab w:val="right" w:leader="dot" w:pos="8807"/>
            </w:tabs>
            <w:rPr>
              <w:color w:val="auto"/>
              <w:sz w:val="30"/>
              <w:szCs w:val="30"/>
              <w:highlight w:val="none"/>
            </w:rPr>
          </w:pPr>
        </w:p>
        <w:p w14:paraId="2B2C3266">
          <w:pPr>
            <w:pStyle w:val="15"/>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"_Toc32758" </w:instrText>
          </w:r>
          <w:r>
            <w:rPr>
              <w:color w:val="auto"/>
              <w:highlight w:val="none"/>
            </w:rPr>
            <w:fldChar w:fldCharType="separate"/>
          </w:r>
          <w:r>
            <w:rPr>
              <w:rFonts w:ascii="宋体" w:hAnsi="宋体" w:eastAsia="宋体" w:cs="宋体"/>
              <w:bCs/>
              <w:color w:val="auto"/>
              <w:sz w:val="30"/>
              <w:szCs w:val="30"/>
              <w:highlight w:val="none"/>
            </w:rPr>
            <w:t>第三章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_Toc32758 \h </w:instrText>
          </w:r>
          <w:r>
            <w:rPr>
              <w:color w:val="auto"/>
              <w:sz w:val="30"/>
              <w:szCs w:val="30"/>
              <w:highlight w:val="none"/>
            </w:rPr>
            <w:fldChar w:fldCharType="separate"/>
          </w:r>
          <w:r>
            <w:rPr>
              <w:color w:val="auto"/>
              <w:sz w:val="30"/>
              <w:szCs w:val="30"/>
              <w:highlight w:val="none"/>
            </w:rPr>
            <w:t>28</w:t>
          </w:r>
          <w:r>
            <w:rPr>
              <w:color w:val="auto"/>
              <w:sz w:val="30"/>
              <w:szCs w:val="30"/>
              <w:highlight w:val="none"/>
            </w:rPr>
            <w:fldChar w:fldCharType="end"/>
          </w:r>
          <w:r>
            <w:rPr>
              <w:color w:val="auto"/>
              <w:sz w:val="30"/>
              <w:szCs w:val="30"/>
              <w:highlight w:val="none"/>
            </w:rPr>
            <w:fldChar w:fldCharType="end"/>
          </w:r>
        </w:p>
        <w:p w14:paraId="6F3D16E8">
          <w:pPr>
            <w:pStyle w:val="15"/>
            <w:widowControl w:val="0"/>
            <w:tabs>
              <w:tab w:val="right" w:leader="dot" w:pos="8807"/>
            </w:tabs>
            <w:rPr>
              <w:rFonts w:ascii="Calibri" w:hAnsi="Calibri" w:eastAsia="Calibri" w:cs="Calibri"/>
              <w:color w:val="auto"/>
              <w:sz w:val="30"/>
              <w:szCs w:val="30"/>
              <w:highlight w:val="none"/>
            </w:rPr>
          </w:pPr>
        </w:p>
        <w:p w14:paraId="54FA9BC8">
          <w:pPr>
            <w:pStyle w:val="15"/>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"_Toc25408" </w:instrText>
          </w:r>
          <w:r>
            <w:rPr>
              <w:color w:val="auto"/>
              <w:highlight w:val="none"/>
            </w:rPr>
            <w:fldChar w:fldCharType="separate"/>
          </w:r>
          <w:r>
            <w:rPr>
              <w:rFonts w:hint="eastAsia" w:ascii="宋体" w:hAnsi="宋体" w:eastAsia="宋体" w:cs="宋体"/>
              <w:bCs/>
              <w:color w:val="auto"/>
              <w:sz w:val="30"/>
              <w:szCs w:val="30"/>
              <w:highlight w:val="none"/>
            </w:rPr>
            <w:t xml:space="preserve">第四章 </w:t>
          </w:r>
          <w:r>
            <w:rPr>
              <w:rFonts w:ascii="宋体" w:hAnsi="宋体" w:eastAsia="宋体" w:cs="宋体"/>
              <w:bCs/>
              <w:color w:val="auto"/>
              <w:sz w:val="30"/>
              <w:szCs w:val="30"/>
              <w:highlight w:val="none"/>
            </w:rPr>
            <w:t>评审办法</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_Toc25408 \h </w:instrText>
          </w:r>
          <w:r>
            <w:rPr>
              <w:color w:val="auto"/>
              <w:sz w:val="30"/>
              <w:szCs w:val="30"/>
              <w:highlight w:val="none"/>
            </w:rPr>
            <w:fldChar w:fldCharType="separate"/>
          </w:r>
          <w:r>
            <w:rPr>
              <w:color w:val="auto"/>
              <w:sz w:val="30"/>
              <w:szCs w:val="30"/>
              <w:highlight w:val="none"/>
            </w:rPr>
            <w:t>35</w:t>
          </w:r>
          <w:r>
            <w:rPr>
              <w:color w:val="auto"/>
              <w:sz w:val="30"/>
              <w:szCs w:val="30"/>
              <w:highlight w:val="none"/>
            </w:rPr>
            <w:fldChar w:fldCharType="end"/>
          </w:r>
          <w:r>
            <w:rPr>
              <w:color w:val="auto"/>
              <w:sz w:val="30"/>
              <w:szCs w:val="30"/>
              <w:highlight w:val="none"/>
            </w:rPr>
            <w:fldChar w:fldCharType="end"/>
          </w:r>
        </w:p>
        <w:p w14:paraId="26ECF92E">
          <w:pPr>
            <w:pStyle w:val="15"/>
            <w:widowControl w:val="0"/>
            <w:tabs>
              <w:tab w:val="right" w:leader="dot" w:pos="8807"/>
            </w:tabs>
            <w:rPr>
              <w:rFonts w:ascii="Calibri" w:hAnsi="Calibri" w:eastAsia="Calibri" w:cs="Calibri"/>
              <w:color w:val="auto"/>
              <w:sz w:val="30"/>
              <w:szCs w:val="30"/>
              <w:highlight w:val="none"/>
            </w:rPr>
          </w:pPr>
        </w:p>
        <w:p w14:paraId="333C85EB">
          <w:pPr>
            <w:pStyle w:val="15"/>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"_Toc17335" </w:instrText>
          </w:r>
          <w:r>
            <w:rPr>
              <w:color w:val="auto"/>
              <w:highlight w:val="none"/>
            </w:rPr>
            <w:fldChar w:fldCharType="separate"/>
          </w:r>
          <w:r>
            <w:rPr>
              <w:rFonts w:ascii="宋体" w:hAnsi="宋体" w:eastAsia="宋体" w:cs="宋体"/>
              <w:bCs/>
              <w:color w:val="auto"/>
              <w:sz w:val="30"/>
              <w:szCs w:val="30"/>
              <w:highlight w:val="none"/>
            </w:rPr>
            <w:t>第五章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政府采购合同（合同主要条款及格式）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_Toc17335 \h </w:instrText>
          </w:r>
          <w:r>
            <w:rPr>
              <w:color w:val="auto"/>
              <w:sz w:val="30"/>
              <w:szCs w:val="30"/>
              <w:highlight w:val="none"/>
            </w:rPr>
            <w:fldChar w:fldCharType="separate"/>
          </w:r>
          <w:r>
            <w:rPr>
              <w:color w:val="auto"/>
              <w:sz w:val="30"/>
              <w:szCs w:val="30"/>
              <w:highlight w:val="none"/>
            </w:rPr>
            <w:t>38</w:t>
          </w:r>
          <w:r>
            <w:rPr>
              <w:color w:val="auto"/>
              <w:sz w:val="30"/>
              <w:szCs w:val="30"/>
              <w:highlight w:val="none"/>
            </w:rPr>
            <w:fldChar w:fldCharType="end"/>
          </w:r>
          <w:r>
            <w:rPr>
              <w:color w:val="auto"/>
              <w:sz w:val="30"/>
              <w:szCs w:val="30"/>
              <w:highlight w:val="none"/>
            </w:rPr>
            <w:fldChar w:fldCharType="end"/>
          </w:r>
        </w:p>
        <w:p w14:paraId="27260BC1">
          <w:pPr>
            <w:pStyle w:val="15"/>
            <w:widowControl w:val="0"/>
            <w:tabs>
              <w:tab w:val="right" w:leader="dot" w:pos="8807"/>
            </w:tabs>
            <w:rPr>
              <w:rFonts w:ascii="Calibri" w:hAnsi="Calibri" w:eastAsia="Calibri" w:cs="Calibri"/>
              <w:color w:val="auto"/>
              <w:sz w:val="30"/>
              <w:szCs w:val="30"/>
              <w:highlight w:val="none"/>
            </w:rPr>
          </w:pPr>
        </w:p>
        <w:p w14:paraId="6DE01315">
          <w:pPr>
            <w:pStyle w:val="15"/>
            <w:widowControl w:val="0"/>
            <w:tabs>
              <w:tab w:val="right" w:leader="dot" w:pos="8807"/>
            </w:tabs>
            <w:rPr>
              <w:color w:val="auto"/>
              <w:sz w:val="30"/>
              <w:szCs w:val="30"/>
              <w:highlight w:val="none"/>
            </w:rPr>
          </w:pPr>
          <w:r>
            <w:rPr>
              <w:color w:val="auto"/>
              <w:highlight w:val="none"/>
            </w:rPr>
            <w:fldChar w:fldCharType="begin"/>
          </w:r>
          <w:r>
            <w:rPr>
              <w:color w:val="auto"/>
              <w:highlight w:val="none"/>
            </w:rPr>
            <w:instrText xml:space="preserve"> HYPERLINK \l "_Toc20031" </w:instrText>
          </w:r>
          <w:r>
            <w:rPr>
              <w:color w:val="auto"/>
              <w:highlight w:val="none"/>
            </w:rPr>
            <w:fldChar w:fldCharType="separate"/>
          </w:r>
          <w:r>
            <w:rPr>
              <w:rFonts w:ascii="宋体" w:hAnsi="宋体" w:eastAsia="宋体" w:cs="宋体"/>
              <w:bCs/>
              <w:color w:val="auto"/>
              <w:sz w:val="30"/>
              <w:szCs w:val="30"/>
              <w:highlight w:val="none"/>
            </w:rPr>
            <w:t>第六章</w:t>
          </w:r>
          <w:r>
            <w:rPr>
              <w:rFonts w:ascii="宋体" w:hAnsi="宋体" w:eastAsia="宋体" w:cs="宋体"/>
              <w:color w:val="auto"/>
              <w:sz w:val="30"/>
              <w:szCs w:val="30"/>
              <w:highlight w:val="none"/>
            </w:rPr>
            <w:t xml:space="preserve"> </w:t>
          </w:r>
          <w:r>
            <w:rPr>
              <w:rFonts w:ascii="宋体" w:hAnsi="宋体" w:eastAsia="宋体" w:cs="宋体"/>
              <w:bCs/>
              <w:color w:val="auto"/>
              <w:sz w:val="30"/>
              <w:szCs w:val="30"/>
              <w:highlight w:val="none"/>
            </w:rPr>
            <w:t>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_Toc20031 \h </w:instrText>
          </w:r>
          <w:r>
            <w:rPr>
              <w:color w:val="auto"/>
              <w:sz w:val="30"/>
              <w:szCs w:val="30"/>
              <w:highlight w:val="none"/>
            </w:rPr>
            <w:fldChar w:fldCharType="separate"/>
          </w:r>
          <w:r>
            <w:rPr>
              <w:color w:val="auto"/>
              <w:sz w:val="30"/>
              <w:szCs w:val="30"/>
              <w:highlight w:val="none"/>
            </w:rPr>
            <w:t>44</w:t>
          </w:r>
          <w:r>
            <w:rPr>
              <w:color w:val="auto"/>
              <w:sz w:val="30"/>
              <w:szCs w:val="30"/>
              <w:highlight w:val="none"/>
            </w:rPr>
            <w:fldChar w:fldCharType="end"/>
          </w:r>
          <w:r>
            <w:rPr>
              <w:color w:val="auto"/>
              <w:sz w:val="30"/>
              <w:szCs w:val="30"/>
              <w:highlight w:val="none"/>
            </w:rPr>
            <w:fldChar w:fldCharType="end"/>
          </w:r>
        </w:p>
        <w:p w14:paraId="7FD9CAFC">
          <w:pPr>
            <w:pStyle w:val="15"/>
            <w:widowControl w:val="0"/>
            <w:tabs>
              <w:tab w:val="right" w:leader="dot" w:pos="8807"/>
            </w:tabs>
            <w:rPr>
              <w:color w:val="auto"/>
              <w:sz w:val="30"/>
              <w:szCs w:val="30"/>
              <w:highlight w:val="none"/>
            </w:rPr>
          </w:pPr>
        </w:p>
        <w:p w14:paraId="5077DBDC">
          <w:pPr>
            <w:widowControl w:val="0"/>
            <w:spacing w:line="360" w:lineRule="auto"/>
            <w:ind w:firstLine="600" w:firstLineChars="200"/>
            <w:rPr>
              <w:rFonts w:ascii="Calibri" w:hAnsi="Calibri" w:eastAsia="Calibri" w:cs="Calibri"/>
              <w:color w:val="auto"/>
              <w:szCs w:val="31"/>
              <w:highlight w:val="none"/>
            </w:rPr>
          </w:pPr>
          <w:r>
            <w:rPr>
              <w:rFonts w:ascii="Calibri" w:hAnsi="Calibri" w:eastAsia="Calibri" w:cs="Calibri"/>
              <w:color w:val="auto"/>
              <w:sz w:val="30"/>
              <w:szCs w:val="30"/>
              <w:highlight w:val="none"/>
            </w:rPr>
            <w:fldChar w:fldCharType="end"/>
          </w:r>
        </w:p>
      </w:sdtContent>
    </w:sdt>
    <w:p w14:paraId="4D647E15">
      <w:pPr>
        <w:widowControl w:val="0"/>
        <w:spacing w:line="360" w:lineRule="auto"/>
        <w:ind w:firstLine="420" w:firstLineChars="200"/>
        <w:rPr>
          <w:rFonts w:ascii="Calibri" w:hAnsi="Calibri" w:eastAsia="Calibri" w:cs="Calibri"/>
          <w:color w:val="auto"/>
          <w:szCs w:val="31"/>
          <w:highlight w:val="none"/>
        </w:rPr>
        <w:sectPr>
          <w:footerReference r:id="rId3" w:type="default"/>
          <w:pgSz w:w="11906" w:h="16839"/>
          <w:pgMar w:top="1417" w:right="1417" w:bottom="1417" w:left="1417" w:header="0" w:footer="1135" w:gutter="0"/>
          <w:cols w:space="720" w:num="1"/>
        </w:sectPr>
      </w:pPr>
    </w:p>
    <w:p w14:paraId="66288B75">
      <w:pPr>
        <w:widowControl w:val="0"/>
        <w:spacing w:line="360" w:lineRule="auto"/>
        <w:jc w:val="center"/>
        <w:outlineLvl w:val="0"/>
        <w:rPr>
          <w:rFonts w:ascii="宋体" w:hAnsi="宋体" w:eastAsia="宋体" w:cs="宋体"/>
          <w:color w:val="auto"/>
          <w:sz w:val="31"/>
          <w:szCs w:val="31"/>
          <w:highlight w:val="none"/>
        </w:rPr>
      </w:pPr>
      <w:bookmarkStart w:id="0" w:name="bookmark1"/>
      <w:bookmarkEnd w:id="0"/>
      <w:bookmarkStart w:id="1" w:name="bookmark2"/>
      <w:bookmarkEnd w:id="1"/>
      <w:bookmarkStart w:id="2" w:name="_Toc7047"/>
      <w:r>
        <w:rPr>
          <w:rFonts w:ascii="宋体" w:hAnsi="宋体" w:eastAsia="宋体" w:cs="宋体"/>
          <w:b/>
          <w:bCs/>
          <w:color w:val="auto"/>
          <w:sz w:val="31"/>
          <w:szCs w:val="31"/>
          <w:highlight w:val="none"/>
        </w:rPr>
        <w:t>第一章</w:t>
      </w:r>
      <w:r>
        <w:rPr>
          <w:rFonts w:ascii="宋体" w:hAnsi="宋体" w:eastAsia="宋体" w:cs="宋体"/>
          <w:color w:val="auto"/>
          <w:sz w:val="31"/>
          <w:szCs w:val="31"/>
          <w:highlight w:val="none"/>
        </w:rPr>
        <w:t xml:space="preserve"> </w:t>
      </w:r>
      <w:r>
        <w:rPr>
          <w:rFonts w:ascii="宋体" w:hAnsi="宋体" w:eastAsia="宋体" w:cs="宋体"/>
          <w:b/>
          <w:bCs/>
          <w:color w:val="auto"/>
          <w:sz w:val="31"/>
          <w:szCs w:val="31"/>
          <w:highlight w:val="none"/>
        </w:rPr>
        <w:t>竞争性谈判公告</w:t>
      </w:r>
      <w:bookmarkEnd w:id="2"/>
    </w:p>
    <w:p w14:paraId="2E718A46">
      <w:pPr>
        <w:widowControl w:val="0"/>
        <w:spacing w:line="360" w:lineRule="auto"/>
        <w:ind w:firstLine="420" w:firstLineChars="200"/>
        <w:rPr>
          <w:color w:val="auto"/>
          <w:highlight w:val="none"/>
        </w:rPr>
      </w:pPr>
    </w:p>
    <w:tbl>
      <w:tblPr>
        <w:tblStyle w:val="22"/>
        <w:tblW w:w="947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6782598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410" w:hRule="atLeast"/>
        </w:trPr>
        <w:tc>
          <w:tcPr>
            <w:tcW w:w="9471" w:type="dxa"/>
          </w:tcPr>
          <w:p w14:paraId="04B32FA4">
            <w:pPr>
              <w:pStyle w:val="23"/>
              <w:widowControl w:val="0"/>
              <w:spacing w:line="360" w:lineRule="auto"/>
              <w:ind w:firstLine="420" w:firstLineChars="200"/>
              <w:rPr>
                <w:color w:val="auto"/>
                <w:sz w:val="21"/>
                <w:szCs w:val="21"/>
                <w:highlight w:val="none"/>
                <w:lang w:eastAsia="zh-CN"/>
              </w:rPr>
            </w:pPr>
            <w:r>
              <w:rPr>
                <w:color w:val="auto"/>
                <w:sz w:val="21"/>
                <w:szCs w:val="21"/>
                <w:highlight w:val="none"/>
                <w:lang w:eastAsia="zh-CN"/>
              </w:rPr>
              <w:t>项目概况</w:t>
            </w:r>
          </w:p>
          <w:p w14:paraId="7A82A1B3">
            <w:pPr>
              <w:pStyle w:val="23"/>
              <w:widowControl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影像动力跑台一体化测量与训练系统采购</w:t>
            </w:r>
            <w:r>
              <w:rPr>
                <w:color w:val="auto"/>
                <w:sz w:val="21"/>
                <w:szCs w:val="21"/>
                <w:highlight w:val="none"/>
                <w:lang w:eastAsia="zh-CN"/>
              </w:rPr>
              <w:t>采购项目的潜在供应商应在广西政府采购云平台线上获取获取采购文件，并于2025年</w:t>
            </w:r>
            <w:r>
              <w:rPr>
                <w:rFonts w:hint="eastAsia"/>
                <w:color w:val="auto"/>
                <w:sz w:val="21"/>
                <w:szCs w:val="21"/>
                <w:highlight w:val="none"/>
                <w:lang w:val="en-US" w:eastAsia="zh-CN"/>
              </w:rPr>
              <w:t>10</w:t>
            </w:r>
            <w:r>
              <w:rPr>
                <w:color w:val="auto"/>
                <w:sz w:val="21"/>
                <w:szCs w:val="21"/>
                <w:highlight w:val="none"/>
                <w:lang w:eastAsia="zh-CN"/>
              </w:rPr>
              <w:t>月</w:t>
            </w:r>
            <w:r>
              <w:rPr>
                <w:rFonts w:hint="eastAsia"/>
                <w:color w:val="auto"/>
                <w:sz w:val="21"/>
                <w:szCs w:val="21"/>
                <w:highlight w:val="none"/>
                <w:lang w:val="en-US" w:eastAsia="zh-CN"/>
              </w:rPr>
              <w:t>24</w:t>
            </w:r>
            <w:r>
              <w:rPr>
                <w:color w:val="auto"/>
                <w:sz w:val="21"/>
                <w:szCs w:val="21"/>
                <w:highlight w:val="none"/>
                <w:lang w:eastAsia="zh-CN"/>
              </w:rPr>
              <w:t>日</w:t>
            </w:r>
            <w:r>
              <w:rPr>
                <w:rFonts w:hint="eastAsia"/>
                <w:color w:val="auto"/>
                <w:sz w:val="21"/>
                <w:szCs w:val="21"/>
                <w:highlight w:val="none"/>
                <w:lang w:val="en-US" w:eastAsia="zh-CN"/>
              </w:rPr>
              <w:t>09</w:t>
            </w:r>
            <w:r>
              <w:rPr>
                <w:color w:val="auto"/>
                <w:sz w:val="21"/>
                <w:szCs w:val="21"/>
                <w:highlight w:val="none"/>
                <w:lang w:eastAsia="zh-CN"/>
              </w:rPr>
              <w:t>:30（北京时间）前提交响应文件。</w:t>
            </w:r>
          </w:p>
        </w:tc>
      </w:tr>
    </w:tbl>
    <w:p w14:paraId="11204A15">
      <w:pPr>
        <w:pStyle w:val="7"/>
        <w:widowControl w:val="0"/>
        <w:spacing w:line="360" w:lineRule="auto"/>
        <w:ind w:firstLine="420" w:firstLineChars="200"/>
        <w:rPr>
          <w:color w:val="auto"/>
          <w:highlight w:val="none"/>
          <w:lang w:eastAsia="zh-CN"/>
        </w:rPr>
      </w:pPr>
    </w:p>
    <w:p w14:paraId="1072BF31">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一、项目基本情况</w:t>
      </w:r>
    </w:p>
    <w:p w14:paraId="0D669ECD">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项目编号：</w:t>
      </w:r>
      <w:r>
        <w:rPr>
          <w:rFonts w:hint="eastAsia" w:ascii="宋体" w:hAnsi="宋体" w:eastAsia="宋体" w:cs="宋体"/>
          <w:color w:val="auto"/>
          <w:highlight w:val="none"/>
          <w:lang w:eastAsia="zh-CN"/>
        </w:rPr>
        <w:t>GXZC2025-J1-003119-DHGS</w:t>
      </w:r>
    </w:p>
    <w:p w14:paraId="1E88AC8C">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项目名称：</w:t>
      </w:r>
      <w:r>
        <w:rPr>
          <w:rFonts w:hint="eastAsia" w:ascii="宋体" w:hAnsi="宋体" w:eastAsia="宋体" w:cs="宋体"/>
          <w:color w:val="auto"/>
          <w:highlight w:val="none"/>
          <w:lang w:eastAsia="zh-CN"/>
        </w:rPr>
        <w:t>影像动力跑台一体化测量与训练系统采购</w:t>
      </w:r>
    </w:p>
    <w:p w14:paraId="533A56BE">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采购方式：竞争性谈判</w:t>
      </w:r>
    </w:p>
    <w:p w14:paraId="3997B8CD">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预算总金额（元）：</w:t>
      </w:r>
      <w:r>
        <w:rPr>
          <w:rFonts w:hint="eastAsia" w:ascii="宋体" w:hAnsi="宋体" w:eastAsia="宋体" w:cs="宋体"/>
          <w:color w:val="auto"/>
          <w:highlight w:val="none"/>
          <w:lang w:eastAsia="zh-CN"/>
        </w:rPr>
        <w:t>2300000.00元</w:t>
      </w:r>
    </w:p>
    <w:p w14:paraId="3D15DD13">
      <w:pPr>
        <w:widowControl w:val="0"/>
        <w:spacing w:line="360" w:lineRule="auto"/>
        <w:rPr>
          <w:rFonts w:ascii="宋体" w:hAnsi="宋体" w:eastAsia="宋体" w:cs="宋体"/>
          <w:color w:val="auto"/>
          <w:highlight w:val="none"/>
          <w:lang w:eastAsia="zh-CN"/>
        </w:rPr>
      </w:pPr>
      <w:r>
        <w:rPr>
          <w:rFonts w:ascii="宋体" w:hAnsi="宋体" w:eastAsia="宋体" w:cs="宋体"/>
          <w:color w:val="auto"/>
          <w:highlight w:val="none"/>
          <w:lang w:eastAsia="zh-CN"/>
        </w:rPr>
        <w:t>采购需求：</w:t>
      </w:r>
    </w:p>
    <w:p w14:paraId="6AB6469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标项名称:</w:t>
      </w:r>
      <w:r>
        <w:rPr>
          <w:rFonts w:hint="eastAsia" w:ascii="宋体" w:hAnsi="宋体" w:eastAsia="宋体" w:cs="宋体"/>
          <w:color w:val="auto"/>
          <w:highlight w:val="none"/>
          <w:lang w:eastAsia="zh-CN"/>
        </w:rPr>
        <w:t>影像动力跑台一体化测量与训练系统采购</w:t>
      </w:r>
    </w:p>
    <w:p w14:paraId="5F6923E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数量:</w:t>
      </w:r>
      <w:r>
        <w:rPr>
          <w:rFonts w:hint="eastAsia" w:ascii="宋体" w:hAnsi="宋体" w:eastAsia="宋体" w:cs="宋体"/>
          <w:color w:val="auto"/>
          <w:highlight w:val="none"/>
          <w:lang w:eastAsia="zh-CN"/>
        </w:rPr>
        <w:t>1</w:t>
      </w:r>
    </w:p>
    <w:p w14:paraId="7FF53DA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预算金额（元）:</w:t>
      </w:r>
      <w:r>
        <w:rPr>
          <w:rFonts w:hint="eastAsia" w:ascii="宋体" w:hAnsi="宋体" w:eastAsia="宋体" w:cs="宋体"/>
          <w:color w:val="auto"/>
          <w:highlight w:val="none"/>
          <w:lang w:eastAsia="zh-CN"/>
        </w:rPr>
        <w:t>2300000.00元</w:t>
      </w:r>
    </w:p>
    <w:p w14:paraId="3264ADE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简要规格描述或项目基本概况介绍、用途：</w:t>
      </w:r>
      <w:r>
        <w:rPr>
          <w:rFonts w:hint="eastAsia" w:ascii="宋体" w:hAnsi="宋体" w:eastAsia="宋体" w:cs="宋体"/>
          <w:color w:val="auto"/>
          <w:highlight w:val="none"/>
          <w:lang w:eastAsia="zh-CN"/>
        </w:rPr>
        <w:t>站立分析模块扩展软件，用于站立时的负载分析。视觉刺激导向模块带有安装部件和WinFDM扩展软件的视频投影仪，其将模拟的步伐投影到跑台上进行训练。该设备还包括了用于步长，步宽和脚旋转的自适应控制的编辑器以及成功的训练报告</w:t>
      </w:r>
      <w:r>
        <w:rPr>
          <w:rFonts w:ascii="宋体" w:hAnsi="宋体" w:eastAsia="宋体" w:cs="宋体"/>
          <w:color w:val="auto"/>
          <w:highlight w:val="none"/>
          <w:lang w:eastAsia="zh-CN"/>
        </w:rPr>
        <w:t>，具体详见竞争性谈判文件。</w:t>
      </w:r>
    </w:p>
    <w:p w14:paraId="777F0E1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最高限价（如有）：</w:t>
      </w:r>
      <w:r>
        <w:rPr>
          <w:rFonts w:hint="eastAsia" w:ascii="宋体" w:hAnsi="宋体" w:eastAsia="宋体" w:cs="宋体"/>
          <w:color w:val="auto"/>
          <w:highlight w:val="none"/>
          <w:lang w:eastAsia="zh-CN"/>
        </w:rPr>
        <w:t>2300000.00元</w:t>
      </w:r>
    </w:p>
    <w:p w14:paraId="574DFD6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合同履约期限：</w:t>
      </w:r>
      <w:r>
        <w:rPr>
          <w:rFonts w:hint="eastAsia" w:ascii="宋体" w:hAnsi="宋体" w:eastAsia="宋体" w:cs="宋体"/>
          <w:color w:val="auto"/>
          <w:highlight w:val="none"/>
          <w:lang w:eastAsia="zh-CN"/>
        </w:rPr>
        <w:t>自签订合同之日起30天内交付；并全部安装调试合格完毕</w:t>
      </w:r>
      <w:r>
        <w:rPr>
          <w:rFonts w:ascii="宋体" w:hAnsi="宋体" w:eastAsia="宋体" w:cs="宋体"/>
          <w:color w:val="auto"/>
          <w:highlight w:val="none"/>
          <w:lang w:eastAsia="zh-CN"/>
        </w:rPr>
        <w:t>。</w:t>
      </w:r>
    </w:p>
    <w:p w14:paraId="36559B1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本项目（否）接受联合体投标 </w:t>
      </w:r>
    </w:p>
    <w:p w14:paraId="484D99F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备注：</w:t>
      </w:r>
      <w:r>
        <w:rPr>
          <w:rFonts w:hint="eastAsia" w:ascii="宋体" w:hAnsi="宋体" w:eastAsia="宋体" w:cs="宋体"/>
          <w:color w:val="auto"/>
          <w:highlight w:val="none"/>
          <w:lang w:eastAsia="zh-CN"/>
        </w:rPr>
        <w:t>/</w:t>
      </w:r>
    </w:p>
    <w:p w14:paraId="1D4BB1FC">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二、</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申请人的资格要求：</w:t>
      </w:r>
    </w:p>
    <w:p w14:paraId="4030576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1.满足《中华人民共和国政府采购法》第二十二条规定；</w:t>
      </w:r>
    </w:p>
    <w:p w14:paraId="7F39CA1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2.落实政府采购政策需满足的资格要求：</w:t>
      </w:r>
      <w:r>
        <w:rPr>
          <w:rFonts w:hint="eastAsia" w:ascii="宋体" w:hAnsi="宋体" w:cs="宋体"/>
          <w:bCs/>
          <w:color w:val="auto"/>
          <w:highlight w:val="none"/>
          <w:lang w:eastAsia="zh-CN"/>
        </w:rPr>
        <w:t>本项目非专门面向中小微企业采购。</w:t>
      </w:r>
    </w:p>
    <w:p w14:paraId="46437CE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3.本项目的特定资格要求：</w:t>
      </w:r>
      <w:r>
        <w:rPr>
          <w:rFonts w:hint="eastAsia" w:ascii="宋体" w:hAnsi="宋体" w:eastAsia="宋体" w:cs="宋体"/>
          <w:color w:val="auto"/>
          <w:highlight w:val="none"/>
          <w:lang w:eastAsia="zh-CN"/>
        </w:rPr>
        <w:t>供应商所投产品为进口设备的：代理商须出具制造商（经销商）针对本项目的授权书原件扫描件；提供经销商授权的代理商还须出具制造商给经销商的授权书原件扫描件</w:t>
      </w:r>
      <w:r>
        <w:rPr>
          <w:rFonts w:ascii="宋体" w:hAnsi="宋体" w:eastAsia="宋体" w:cs="宋体"/>
          <w:color w:val="auto"/>
          <w:highlight w:val="none"/>
          <w:lang w:eastAsia="zh-CN"/>
        </w:rPr>
        <w:t>。</w:t>
      </w:r>
    </w:p>
    <w:p w14:paraId="668CD0FB">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三、获取采购文件</w:t>
      </w:r>
    </w:p>
    <w:p w14:paraId="5E720A6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时间：</w:t>
      </w:r>
      <w:r>
        <w:rPr>
          <w:rFonts w:hint="eastAsia" w:ascii="宋体" w:hAnsi="宋体" w:cs="宋体"/>
          <w:bCs/>
          <w:color w:val="auto"/>
          <w:kern w:val="0"/>
          <w:szCs w:val="21"/>
          <w:highlight w:val="none"/>
        </w:rPr>
        <w:t>2025年</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w:t>
      </w:r>
      <w:r>
        <w:rPr>
          <w:rFonts w:ascii="宋体" w:hAnsi="宋体" w:eastAsia="宋体" w:cs="宋体"/>
          <w:color w:val="auto"/>
          <w:highlight w:val="none"/>
          <w:lang w:eastAsia="zh-CN"/>
        </w:rPr>
        <w:t>至 2025年</w:t>
      </w:r>
      <w:r>
        <w:rPr>
          <w:rFonts w:hint="eastAsia" w:ascii="宋体" w:hAnsi="宋体" w:eastAsia="宋体" w:cs="宋体"/>
          <w:color w:val="auto"/>
          <w:highlight w:val="none"/>
          <w:lang w:val="en-US" w:eastAsia="zh-CN"/>
        </w:rPr>
        <w:t>10</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24</w:t>
      </w:r>
      <w:r>
        <w:rPr>
          <w:rFonts w:ascii="宋体" w:hAnsi="宋体" w:eastAsia="宋体" w:cs="宋体"/>
          <w:color w:val="auto"/>
          <w:highlight w:val="none"/>
          <w:lang w:eastAsia="zh-CN"/>
        </w:rPr>
        <w:t>日，每天上午 00:00 至 12:00，下午 12:00 至 23:59（北京时间， 法定节假日除外）</w:t>
      </w:r>
    </w:p>
    <w:p w14:paraId="27220C2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地点（网址）：广西政府采购云平台线上获取</w:t>
      </w:r>
    </w:p>
    <w:p w14:paraId="0CF58B1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方式：供应商登录广西政府采购云平台 </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highlight w:val="none"/>
          <w:lang w:eastAsia="zh-CN"/>
        </w:rPr>
        <w:t>https://www.gcy.zfcg.gxzf.gov.cn/</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在线申请获取采购 文件（进入“项目采购 ”应用，在获取采购文件菜单中选择项目， 申请获取采购文件）</w:t>
      </w:r>
    </w:p>
    <w:p w14:paraId="5595C9B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售价（元）：0</w:t>
      </w:r>
    </w:p>
    <w:p w14:paraId="117D8921">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四、响应文件提交</w:t>
      </w:r>
    </w:p>
    <w:p w14:paraId="341C3D8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截止时间：2025年</w:t>
      </w:r>
      <w:r>
        <w:rPr>
          <w:rFonts w:hint="eastAsia" w:ascii="宋体" w:hAnsi="宋体" w:eastAsia="宋体" w:cs="宋体"/>
          <w:color w:val="auto"/>
          <w:highlight w:val="none"/>
          <w:lang w:val="en-US" w:eastAsia="zh-CN"/>
        </w:rPr>
        <w:t>10</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24</w:t>
      </w:r>
      <w:r>
        <w:rPr>
          <w:rFonts w:ascii="宋体" w:hAnsi="宋体" w:eastAsia="宋体" w:cs="宋体"/>
          <w:color w:val="auto"/>
          <w:highlight w:val="none"/>
          <w:lang w:eastAsia="zh-CN"/>
        </w:rPr>
        <w:t>日</w:t>
      </w:r>
      <w:r>
        <w:rPr>
          <w:rFonts w:hint="eastAsia" w:ascii="宋体" w:hAnsi="宋体" w:eastAsia="宋体" w:cs="宋体"/>
          <w:color w:val="auto"/>
          <w:highlight w:val="none"/>
          <w:lang w:val="en-US" w:eastAsia="zh-CN"/>
        </w:rPr>
        <w:t>09</w:t>
      </w:r>
      <w:r>
        <w:rPr>
          <w:rFonts w:ascii="宋体" w:hAnsi="宋体" w:eastAsia="宋体" w:cs="宋体"/>
          <w:color w:val="auto"/>
          <w:highlight w:val="none"/>
          <w:lang w:eastAsia="zh-CN"/>
        </w:rPr>
        <w:t>:30（北京时间）</w:t>
      </w:r>
    </w:p>
    <w:p w14:paraId="243A647D">
      <w:pPr>
        <w:widowControl w:val="0"/>
        <w:spacing w:line="360" w:lineRule="auto"/>
        <w:ind w:firstLine="420" w:firstLineChars="200"/>
        <w:rPr>
          <w:color w:val="auto"/>
          <w:highlight w:val="none"/>
          <w:lang w:eastAsia="zh-CN"/>
        </w:rPr>
      </w:pPr>
      <w:r>
        <w:rPr>
          <w:rFonts w:ascii="宋体" w:hAnsi="宋体" w:eastAsia="宋体" w:cs="宋体"/>
          <w:color w:val="auto"/>
          <w:highlight w:val="none"/>
          <w:lang w:eastAsia="zh-CN"/>
        </w:rPr>
        <w:t>地点（网址）：请登录广西政府采购云平台投标客户端投标</w:t>
      </w:r>
    </w:p>
    <w:p w14:paraId="75A87855">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五、响应文件开启</w:t>
      </w:r>
    </w:p>
    <w:p w14:paraId="41FD78C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开启时间：2025年</w:t>
      </w:r>
      <w:r>
        <w:rPr>
          <w:rFonts w:hint="eastAsia" w:ascii="宋体" w:hAnsi="宋体" w:eastAsia="宋体" w:cs="宋体"/>
          <w:color w:val="auto"/>
          <w:highlight w:val="none"/>
          <w:lang w:val="en-US" w:eastAsia="zh-CN"/>
        </w:rPr>
        <w:t>10</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24</w:t>
      </w:r>
      <w:r>
        <w:rPr>
          <w:rFonts w:ascii="宋体" w:hAnsi="宋体" w:eastAsia="宋体" w:cs="宋体"/>
          <w:color w:val="auto"/>
          <w:highlight w:val="none"/>
          <w:lang w:eastAsia="zh-CN"/>
        </w:rPr>
        <w:t>日</w:t>
      </w:r>
      <w:r>
        <w:rPr>
          <w:rFonts w:hint="eastAsia" w:ascii="宋体" w:hAnsi="宋体" w:eastAsia="宋体" w:cs="宋体"/>
          <w:b w:val="0"/>
          <w:bCs w:val="0"/>
          <w:color w:val="auto"/>
          <w:highlight w:val="none"/>
          <w:lang w:val="en-US" w:eastAsia="zh-CN"/>
        </w:rPr>
        <w:t>09</w:t>
      </w:r>
      <w:r>
        <w:rPr>
          <w:rFonts w:ascii="宋体" w:hAnsi="宋体" w:eastAsia="宋体" w:cs="宋体"/>
          <w:b w:val="0"/>
          <w:bCs w:val="0"/>
          <w:color w:val="auto"/>
          <w:highlight w:val="none"/>
          <w:lang w:eastAsia="zh-CN"/>
        </w:rPr>
        <w:t>:30</w:t>
      </w:r>
      <w:r>
        <w:rPr>
          <w:rFonts w:ascii="宋体" w:hAnsi="宋体" w:eastAsia="宋体" w:cs="宋体"/>
          <w:color w:val="auto"/>
          <w:highlight w:val="none"/>
          <w:lang w:eastAsia="zh-CN"/>
        </w:rPr>
        <w:t>（北京时间）</w:t>
      </w:r>
    </w:p>
    <w:p w14:paraId="3C6FEB0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地点：通过广西政府采购云平台在线解密开启</w:t>
      </w:r>
    </w:p>
    <w:p w14:paraId="0B7A3411">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六、公告期限</w:t>
      </w:r>
    </w:p>
    <w:p w14:paraId="75EC878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自本公告发布之日起</w:t>
      </w:r>
      <w:r>
        <w:rPr>
          <w:rFonts w:hint="eastAsia" w:ascii="宋体" w:hAnsi="宋体" w:eastAsia="宋体" w:cs="宋体"/>
          <w:color w:val="auto"/>
          <w:highlight w:val="none"/>
          <w:lang w:val="en-US" w:eastAsia="zh-CN"/>
        </w:rPr>
        <w:t>3</w:t>
      </w:r>
      <w:r>
        <w:rPr>
          <w:rFonts w:ascii="宋体" w:hAnsi="宋体" w:eastAsia="宋体" w:cs="宋体"/>
          <w:color w:val="auto"/>
          <w:highlight w:val="none"/>
          <w:lang w:eastAsia="zh-CN"/>
        </w:rPr>
        <w:t>个工作日。</w:t>
      </w:r>
    </w:p>
    <w:p w14:paraId="7F55B610">
      <w:pPr>
        <w:widowControl w:val="0"/>
        <w:spacing w:line="360" w:lineRule="auto"/>
        <w:rPr>
          <w:rFonts w:ascii="宋体" w:hAnsi="宋体" w:eastAsia="宋体" w:cs="宋体"/>
          <w:color w:val="auto"/>
          <w:highlight w:val="none"/>
        </w:rPr>
      </w:pPr>
      <w:r>
        <w:rPr>
          <w:rFonts w:ascii="宋体" w:hAnsi="宋体" w:eastAsia="宋体" w:cs="宋体"/>
          <w:b/>
          <w:bCs/>
          <w:color w:val="auto"/>
          <w:highlight w:val="none"/>
        </w:rPr>
        <w:t>七、其他补充事宜</w:t>
      </w:r>
    </w:p>
    <w:p w14:paraId="1787845F">
      <w:pPr>
        <w:widowControl w:val="0"/>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1.信息公告发布媒体：</w:t>
      </w:r>
      <w:r>
        <w:rPr>
          <w:rFonts w:hint="eastAsia" w:ascii="宋体" w:hAnsi="宋体" w:eastAsia="宋体" w:cs="宋体"/>
          <w:color w:val="auto"/>
          <w:highlight w:val="none"/>
        </w:rPr>
        <w:t>中国政府采购网（www.ccgp.gov.cn）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广西壮族自治区政府采购网（www.ccgp-guangxi.gov.cn）</w:t>
      </w:r>
      <w:r>
        <w:rPr>
          <w:rFonts w:ascii="宋体" w:hAnsi="宋体" w:eastAsia="宋体" w:cs="宋体"/>
          <w:color w:val="auto"/>
          <w:highlight w:val="none"/>
        </w:rPr>
        <w:t>。</w:t>
      </w:r>
    </w:p>
    <w:p w14:paraId="1201DF4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2.本项目需要落实的政府采购政策：</w:t>
      </w:r>
    </w:p>
    <w:p w14:paraId="7517138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（1）本项目非专门面向中小微企业采购，《政府采购促进中小企业发展管理办法》（财库[2020]46 号），本项目行业为：</w:t>
      </w:r>
      <w:r>
        <w:rPr>
          <w:rFonts w:hint="eastAsia" w:ascii="宋体" w:hAnsi="宋体" w:eastAsia="宋体" w:cs="宋体"/>
          <w:color w:val="auto"/>
          <w:highlight w:val="none"/>
          <w:lang w:eastAsia="zh-CN"/>
        </w:rPr>
        <w:t>工</w:t>
      </w:r>
      <w:r>
        <w:rPr>
          <w:rFonts w:ascii="宋体" w:hAnsi="宋体" w:eastAsia="宋体" w:cs="宋体"/>
          <w:color w:val="auto"/>
          <w:highlight w:val="none"/>
          <w:lang w:eastAsia="zh-CN"/>
        </w:rPr>
        <w:t>业。</w:t>
      </w:r>
    </w:p>
    <w:p w14:paraId="056287B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（2）《关于政府采购支持监狱企业发展有关问题的通知》（财库[2014]68 号）。</w:t>
      </w:r>
    </w:p>
    <w:p w14:paraId="53CE0C5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（3）《关于促进残疾人就业政府采购政策的通知》（财库[2017]141 号）。</w:t>
      </w:r>
    </w:p>
    <w:p w14:paraId="3CA3C48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（4）《关于调整优化节能产品、环境标志产品政府采购执行机制的通知》（财库〔2019〕9 号）。</w:t>
      </w:r>
    </w:p>
    <w:p w14:paraId="72662D8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 政府采购扶持不发达地区和少数民族地区。</w:t>
      </w:r>
    </w:p>
    <w:p w14:paraId="1887FE7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3.资格条件特别说明：</w:t>
      </w:r>
    </w:p>
    <w:p w14:paraId="5F05662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（1）单位负责人为同一人或者存在直接控股、管理关系的不同供应商，不得参加同一合同项下的政府 采购活动。除单一来源采购项目外，为采购项目提供整体设计、规范编制或者项目管理、监理、检测等服务的供应商，不得再参加该采购项目的其他采购活动。</w:t>
      </w:r>
    </w:p>
    <w:p w14:paraId="52526453">
      <w:pPr>
        <w:widowControl w:val="0"/>
        <w:spacing w:line="360" w:lineRule="auto"/>
        <w:ind w:firstLine="340" w:firstLineChars="200"/>
        <w:rPr>
          <w:rFonts w:ascii="宋体" w:hAnsi="宋体" w:eastAsia="宋体" w:cs="宋体"/>
          <w:color w:val="auto"/>
          <w:highlight w:val="none"/>
          <w:lang w:eastAsia="zh-CN"/>
        </w:rPr>
      </w:pPr>
      <w:r>
        <w:rPr>
          <w:rFonts w:ascii="宋体" w:hAnsi="宋体" w:eastAsia="宋体" w:cs="宋体"/>
          <w:color w:val="auto"/>
          <w:spacing w:val="-20"/>
          <w:highlight w:val="none"/>
          <w:lang w:eastAsia="zh-CN"/>
        </w:rPr>
        <w:t>（2）对在“信用中国”网站(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pacing w:val="-20"/>
          <w:highlight w:val="none"/>
          <w:lang w:eastAsia="zh-CN"/>
        </w:rPr>
        <w:t>www.creditchina.gov.cn</w:t>
      </w:r>
      <w:r>
        <w:rPr>
          <w:rFonts w:ascii="宋体" w:hAnsi="宋体" w:eastAsia="宋体" w:cs="宋体"/>
          <w:color w:val="auto"/>
          <w:spacing w:val="-20"/>
          <w:highlight w:val="none"/>
          <w:lang w:eastAsia="zh-CN"/>
        </w:rPr>
        <w:fldChar w:fldCharType="end"/>
      </w:r>
      <w:r>
        <w:rPr>
          <w:rFonts w:ascii="宋体" w:hAnsi="宋体" w:eastAsia="宋体" w:cs="宋体"/>
          <w:color w:val="auto"/>
          <w:spacing w:val="-20"/>
          <w:highlight w:val="none"/>
          <w:lang w:eastAsia="zh-CN"/>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pacing w:val="-20"/>
          <w:highlight w:val="none"/>
          <w:lang w:eastAsia="zh-CN"/>
        </w:rPr>
        <w:t>www.ccgp.gov.cn</w:t>
      </w:r>
      <w:r>
        <w:rPr>
          <w:rFonts w:ascii="宋体" w:hAnsi="宋体" w:eastAsia="宋体" w:cs="宋体"/>
          <w:color w:val="auto"/>
          <w:spacing w:val="-20"/>
          <w:highlight w:val="none"/>
          <w:lang w:eastAsia="zh-CN"/>
        </w:rPr>
        <w:fldChar w:fldCharType="end"/>
      </w:r>
      <w:r>
        <w:rPr>
          <w:rFonts w:ascii="宋体" w:hAnsi="宋体" w:eastAsia="宋体" w:cs="宋体"/>
          <w:color w:val="auto"/>
          <w:spacing w:val="-20"/>
          <w:highlight w:val="none"/>
          <w:lang w:eastAsia="zh-CN"/>
        </w:rPr>
        <w:t>)被列入 失信被执行人、重大税收违法案件当事人名单、政府采购严重违法失信行为记录名单及其他不符</w:t>
      </w:r>
      <w:r>
        <w:rPr>
          <w:rFonts w:ascii="宋体" w:hAnsi="宋体" w:eastAsia="宋体" w:cs="宋体"/>
          <w:color w:val="auto"/>
          <w:highlight w:val="none"/>
          <w:lang w:eastAsia="zh-CN"/>
        </w:rPr>
        <w:t>合《中 华人民共和国政府采购法》第二十二条规定条件的供应商，不得参与政府采购活动。</w:t>
      </w:r>
    </w:p>
    <w:p w14:paraId="7758C22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4.广西政府采购云平台电子竞标相关事宜：</w:t>
      </w:r>
    </w:p>
    <w:p w14:paraId="596418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 CA 证书申领和绑定（费用由供应商自行承担，办理流程详见广西 壮族自治区政府采购网—办事服务—下载专区，完成CA证书办理预计一周左右，建议供应商尽快办理</w:t>
      </w:r>
      <w:r>
        <w:rPr>
          <w:rFonts w:ascii="宋体" w:hAnsi="宋体" w:eastAsia="宋体" w:cs="宋体"/>
          <w:color w:val="auto"/>
          <w:w w:val="89"/>
          <w:highlight w:val="none"/>
          <w:lang w:eastAsia="zh-CN"/>
        </w:rPr>
        <w:t>）；</w:t>
      </w:r>
      <w:r>
        <w:rPr>
          <w:rFonts w:ascii="宋体" w:hAnsi="宋体" w:eastAsia="宋体" w:cs="宋体"/>
          <w:color w:val="auto"/>
          <w:highlight w:val="none"/>
          <w:lang w:eastAsia="zh-CN"/>
        </w:rPr>
        <w:t xml:space="preserve"> ③下载“广西壮族自治区全流程电子招投标项目管理系统--供应商客户端 ”（操作方法详见广西壮族自治区政府采购网—办事服务—下载专区，以下称“广西政府采购云平台电子投标客户端 ”）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 证书）。因供应商未做好相关准备工作等自身原因导致无法参加本项目电子竞标或竞标失败的，造成的一切后果，由供应商自行承担。</w:t>
      </w:r>
    </w:p>
    <w:p w14:paraId="79EEB5C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 电子竞标具体操作流程参考《政府采购项目电子交易管理操作指南-供应商》（详见桂林市政府 采购网—采购资讯—重要通知）；如遇平台技术问题详询 95763 或者 0771-3381253。</w:t>
      </w:r>
    </w:p>
    <w:p w14:paraId="06C2DEF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 电子响应文件的制作、加密、提交、解密等相关事宜详见第二章 “供应商须知 ”。</w:t>
      </w:r>
    </w:p>
    <w:p w14:paraId="4EE0378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5.供应商认为谈判文件使自己的合法权益受到损害的，应当于本项目公告期限届满之日起七个工作日 内以书面形式向采购代理机构提出质疑；供应商认为采购过程或成交结果使自己的合法权益受到损害 的，应当在各采购程序环节结束之日或成交公告期限届满之日起七个工作日内，以书面形式向采购代理机构提出质疑。否则，采购代理机构有权拒收。</w:t>
      </w:r>
    </w:p>
    <w:p w14:paraId="3C74B90A">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八、凡对本次招标提出询问，请按以下方式联系</w:t>
      </w:r>
    </w:p>
    <w:p w14:paraId="2251EDC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1.采购人信息</w:t>
      </w:r>
    </w:p>
    <w:p w14:paraId="5DAC4FC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名    称：</w:t>
      </w:r>
      <w:r>
        <w:rPr>
          <w:rFonts w:hint="eastAsia" w:ascii="宋体" w:hAnsi="宋体" w:eastAsia="宋体" w:cs="宋体"/>
          <w:color w:val="auto"/>
          <w:highlight w:val="none"/>
          <w:lang w:eastAsia="zh-CN"/>
        </w:rPr>
        <w:t>广西师范大学</w:t>
      </w:r>
    </w:p>
    <w:p w14:paraId="66FF913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地    址：</w:t>
      </w:r>
      <w:r>
        <w:rPr>
          <w:rFonts w:hint="eastAsia" w:ascii="宋体" w:hAnsi="宋体" w:eastAsia="宋体" w:cs="宋体"/>
          <w:color w:val="auto"/>
          <w:highlight w:val="none"/>
          <w:lang w:eastAsia="zh-CN"/>
        </w:rPr>
        <w:t>广西桂林市雁山区雁中路1号</w:t>
      </w:r>
    </w:p>
    <w:p w14:paraId="191CEBFD">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联系方式：程</w:t>
      </w:r>
      <w:r>
        <w:rPr>
          <w:rFonts w:hint="eastAsia" w:ascii="Times New Roman" w:hAnsi="Times New Roman"/>
          <w:color w:val="auto"/>
          <w:highlight w:val="none"/>
          <w:lang w:eastAsia="zh-CN"/>
        </w:rPr>
        <w:t>老师</w:t>
      </w:r>
      <w:r>
        <w:rPr>
          <w:rFonts w:hint="eastAsia" w:ascii="宋体" w:hAnsi="宋体" w:eastAsia="宋体" w:cs="宋体"/>
          <w:color w:val="auto"/>
          <w:highlight w:val="none"/>
          <w:lang w:eastAsia="zh-CN"/>
        </w:rPr>
        <w:t>，0773-3696563</w:t>
      </w:r>
    </w:p>
    <w:p w14:paraId="5E1CFBE4">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2.采购代理机构信息</w:t>
      </w:r>
    </w:p>
    <w:p w14:paraId="39CFA4EA">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名    称： 大华建设项目管理有限公司　</w:t>
      </w:r>
    </w:p>
    <w:p w14:paraId="084CF324">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地　　址： 桂林市秀峰区睦邻小苑5栋3单元　</w:t>
      </w:r>
    </w:p>
    <w:p w14:paraId="52AB36B3">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联系方式：0773-2888667</w:t>
      </w:r>
    </w:p>
    <w:p w14:paraId="624B9838">
      <w:pPr>
        <w:widowControl w:val="0"/>
        <w:spacing w:line="360" w:lineRule="auto"/>
        <w:ind w:firstLine="420" w:firstLineChars="200"/>
        <w:rPr>
          <w:rFonts w:ascii="宋体" w:hAnsi="宋体" w:eastAsia="宋体" w:cs="宋体"/>
          <w:color w:val="auto"/>
          <w:highlight w:val="none"/>
          <w:lang w:eastAsia="zh-CN"/>
        </w:rPr>
      </w:pPr>
      <w:bookmarkStart w:id="3" w:name="_Toc35393808"/>
      <w:bookmarkStart w:id="4" w:name="_Toc35393639"/>
      <w:bookmarkStart w:id="5" w:name="_Toc28359098"/>
      <w:bookmarkStart w:id="6" w:name="_Toc28359021"/>
      <w:r>
        <w:rPr>
          <w:rFonts w:hint="eastAsia" w:ascii="宋体" w:hAnsi="宋体" w:eastAsia="宋体" w:cs="宋体"/>
          <w:color w:val="auto"/>
          <w:highlight w:val="none"/>
          <w:lang w:eastAsia="zh-CN"/>
        </w:rPr>
        <w:t>3.项目联系方式</w:t>
      </w:r>
      <w:bookmarkEnd w:id="3"/>
      <w:bookmarkEnd w:id="4"/>
      <w:bookmarkEnd w:id="5"/>
      <w:bookmarkEnd w:id="6"/>
    </w:p>
    <w:p w14:paraId="408D3DBB">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项目联系人：周鑫君、毛慧敏、邓扬阳、李明</w:t>
      </w:r>
    </w:p>
    <w:p w14:paraId="37EACEEF">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电　话：0773-2888667</w:t>
      </w:r>
    </w:p>
    <w:p w14:paraId="0BD1F659">
      <w:pPr>
        <w:widowControl w:val="0"/>
        <w:spacing w:line="360" w:lineRule="auto"/>
        <w:ind w:firstLine="400" w:firstLineChars="200"/>
        <w:rPr>
          <w:rFonts w:ascii="宋体" w:hAnsi="宋体" w:eastAsia="宋体" w:cs="宋体"/>
          <w:color w:val="auto"/>
          <w:sz w:val="20"/>
          <w:szCs w:val="20"/>
          <w:highlight w:val="none"/>
          <w:lang w:eastAsia="zh-CN"/>
        </w:rPr>
        <w:sectPr>
          <w:footerReference r:id="rId4" w:type="default"/>
          <w:pgSz w:w="11906" w:h="16839"/>
          <w:pgMar w:top="1417" w:right="1417" w:bottom="1417" w:left="1417" w:header="0" w:footer="823" w:gutter="0"/>
          <w:pgNumType w:start="1"/>
          <w:cols w:space="720" w:num="1"/>
        </w:sectPr>
      </w:pPr>
    </w:p>
    <w:p w14:paraId="7F06A93B">
      <w:pPr>
        <w:widowControl w:val="0"/>
        <w:spacing w:line="360" w:lineRule="auto"/>
        <w:jc w:val="center"/>
        <w:outlineLvl w:val="0"/>
        <w:rPr>
          <w:rFonts w:ascii="宋体" w:hAnsi="宋体" w:eastAsia="宋体" w:cs="宋体"/>
          <w:color w:val="auto"/>
          <w:sz w:val="31"/>
          <w:szCs w:val="31"/>
          <w:highlight w:val="none"/>
          <w:lang w:eastAsia="zh-CN"/>
        </w:rPr>
      </w:pPr>
      <w:bookmarkStart w:id="7" w:name="bookmark3"/>
      <w:bookmarkEnd w:id="7"/>
      <w:bookmarkStart w:id="8" w:name="_Toc9984"/>
      <w:r>
        <w:rPr>
          <w:rFonts w:ascii="宋体" w:hAnsi="宋体" w:eastAsia="宋体" w:cs="宋体"/>
          <w:b/>
          <w:bCs/>
          <w:color w:val="auto"/>
          <w:sz w:val="31"/>
          <w:szCs w:val="31"/>
          <w:highlight w:val="none"/>
          <w:lang w:eastAsia="zh-CN"/>
        </w:rPr>
        <w:t>第二章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供应商须知</w:t>
      </w:r>
      <w:bookmarkEnd w:id="8"/>
    </w:p>
    <w:p w14:paraId="66D03297">
      <w:pPr>
        <w:widowControl w:val="0"/>
        <w:spacing w:line="360" w:lineRule="auto"/>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供</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应</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商</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须</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知</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前</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附</w:t>
      </w:r>
      <w:r>
        <w:rPr>
          <w:rFonts w:ascii="宋体" w:hAnsi="宋体" w:eastAsia="宋体" w:cs="宋体"/>
          <w:color w:val="auto"/>
          <w:sz w:val="24"/>
          <w:szCs w:val="24"/>
          <w:highlight w:val="none"/>
        </w:rPr>
        <w:t xml:space="preserve"> </w:t>
      </w:r>
      <w:r>
        <w:rPr>
          <w:rFonts w:ascii="宋体" w:hAnsi="宋体" w:eastAsia="宋体" w:cs="宋体"/>
          <w:b/>
          <w:bCs/>
          <w:color w:val="auto"/>
          <w:sz w:val="24"/>
          <w:szCs w:val="24"/>
          <w:highlight w:val="none"/>
        </w:rPr>
        <w:t>表</w:t>
      </w:r>
    </w:p>
    <w:p w14:paraId="6EA6B4BC">
      <w:pPr>
        <w:widowControl w:val="0"/>
        <w:spacing w:line="360" w:lineRule="auto"/>
        <w:ind w:firstLine="420" w:firstLineChars="200"/>
        <w:rPr>
          <w:color w:val="auto"/>
          <w:highlight w:val="none"/>
        </w:rPr>
      </w:pPr>
    </w:p>
    <w:tbl>
      <w:tblPr>
        <w:tblStyle w:val="22"/>
        <w:tblW w:w="9701"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5"/>
        <w:gridCol w:w="12"/>
        <w:gridCol w:w="873"/>
        <w:gridCol w:w="1663"/>
        <w:gridCol w:w="6588"/>
      </w:tblGrid>
      <w:tr w14:paraId="7D41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565" w:type="dxa"/>
            <w:vAlign w:val="center"/>
          </w:tcPr>
          <w:p w14:paraId="3FC21950">
            <w:pPr>
              <w:pStyle w:val="23"/>
              <w:widowControl w:val="0"/>
              <w:wordWrap w:val="0"/>
              <w:spacing w:line="360" w:lineRule="auto"/>
              <w:jc w:val="center"/>
              <w:rPr>
                <w:color w:val="auto"/>
                <w:sz w:val="21"/>
                <w:szCs w:val="21"/>
                <w:highlight w:val="none"/>
              </w:rPr>
            </w:pPr>
            <w:r>
              <w:rPr>
                <w:b/>
                <w:bCs/>
                <w:color w:val="auto"/>
                <w:sz w:val="21"/>
                <w:szCs w:val="21"/>
                <w:highlight w:val="none"/>
              </w:rPr>
              <w:t>序号</w:t>
            </w:r>
          </w:p>
        </w:tc>
        <w:tc>
          <w:tcPr>
            <w:tcW w:w="885" w:type="dxa"/>
            <w:gridSpan w:val="2"/>
            <w:vAlign w:val="center"/>
          </w:tcPr>
          <w:p w14:paraId="1DE6E88D">
            <w:pPr>
              <w:pStyle w:val="23"/>
              <w:widowControl w:val="0"/>
              <w:wordWrap w:val="0"/>
              <w:spacing w:line="360" w:lineRule="auto"/>
              <w:jc w:val="center"/>
              <w:rPr>
                <w:color w:val="auto"/>
                <w:sz w:val="21"/>
                <w:szCs w:val="21"/>
                <w:highlight w:val="none"/>
              </w:rPr>
            </w:pPr>
            <w:r>
              <w:rPr>
                <w:b/>
                <w:bCs/>
                <w:color w:val="auto"/>
                <w:sz w:val="21"/>
                <w:szCs w:val="21"/>
                <w:highlight w:val="none"/>
              </w:rPr>
              <w:t>条款号</w:t>
            </w:r>
          </w:p>
        </w:tc>
        <w:tc>
          <w:tcPr>
            <w:tcW w:w="1663" w:type="dxa"/>
            <w:vAlign w:val="center"/>
          </w:tcPr>
          <w:p w14:paraId="684E1E5D">
            <w:pPr>
              <w:pStyle w:val="23"/>
              <w:widowControl w:val="0"/>
              <w:wordWrap w:val="0"/>
              <w:spacing w:line="360" w:lineRule="auto"/>
              <w:jc w:val="center"/>
              <w:rPr>
                <w:color w:val="auto"/>
                <w:sz w:val="21"/>
                <w:szCs w:val="21"/>
                <w:highlight w:val="none"/>
              </w:rPr>
            </w:pPr>
            <w:r>
              <w:rPr>
                <w:b/>
                <w:bCs/>
                <w:color w:val="auto"/>
                <w:sz w:val="21"/>
                <w:szCs w:val="21"/>
                <w:highlight w:val="none"/>
              </w:rPr>
              <w:t>条款名称</w:t>
            </w:r>
          </w:p>
        </w:tc>
        <w:tc>
          <w:tcPr>
            <w:tcW w:w="6588" w:type="dxa"/>
            <w:vAlign w:val="center"/>
          </w:tcPr>
          <w:p w14:paraId="15453282">
            <w:pPr>
              <w:pStyle w:val="23"/>
              <w:widowControl w:val="0"/>
              <w:wordWrap w:val="0"/>
              <w:spacing w:line="360" w:lineRule="auto"/>
              <w:ind w:firstLine="422" w:firstLineChars="200"/>
              <w:jc w:val="center"/>
              <w:rPr>
                <w:color w:val="auto"/>
                <w:sz w:val="21"/>
                <w:szCs w:val="21"/>
                <w:highlight w:val="none"/>
              </w:rPr>
            </w:pPr>
            <w:r>
              <w:rPr>
                <w:b/>
                <w:bCs/>
                <w:color w:val="auto"/>
                <w:sz w:val="21"/>
                <w:szCs w:val="21"/>
                <w:highlight w:val="none"/>
              </w:rPr>
              <w:t>内容、要求</w:t>
            </w:r>
          </w:p>
        </w:tc>
      </w:tr>
      <w:tr w14:paraId="1C77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565" w:type="dxa"/>
            <w:vAlign w:val="center"/>
          </w:tcPr>
          <w:p w14:paraId="5B5F27E8">
            <w:pPr>
              <w:widowControl w:val="0"/>
              <w:wordWrap w:val="0"/>
              <w:spacing w:line="360" w:lineRule="auto"/>
              <w:ind w:firstLine="420" w:firstLineChars="200"/>
              <w:jc w:val="center"/>
              <w:rPr>
                <w:color w:val="auto"/>
                <w:highlight w:val="none"/>
              </w:rPr>
            </w:pPr>
          </w:p>
          <w:p w14:paraId="30F0693A">
            <w:pPr>
              <w:pStyle w:val="23"/>
              <w:widowControl w:val="0"/>
              <w:wordWrap w:val="0"/>
              <w:spacing w:line="360" w:lineRule="auto"/>
              <w:jc w:val="center"/>
              <w:rPr>
                <w:color w:val="auto"/>
                <w:sz w:val="21"/>
                <w:szCs w:val="21"/>
                <w:highlight w:val="none"/>
              </w:rPr>
            </w:pPr>
            <w:r>
              <w:rPr>
                <w:color w:val="auto"/>
                <w:sz w:val="21"/>
                <w:szCs w:val="21"/>
                <w:highlight w:val="none"/>
              </w:rPr>
              <w:t>1</w:t>
            </w:r>
          </w:p>
        </w:tc>
        <w:tc>
          <w:tcPr>
            <w:tcW w:w="885" w:type="dxa"/>
            <w:gridSpan w:val="2"/>
            <w:vAlign w:val="center"/>
          </w:tcPr>
          <w:p w14:paraId="66843203">
            <w:pPr>
              <w:widowControl w:val="0"/>
              <w:wordWrap w:val="0"/>
              <w:spacing w:line="360" w:lineRule="auto"/>
              <w:ind w:firstLine="420" w:firstLineChars="200"/>
              <w:jc w:val="center"/>
              <w:rPr>
                <w:color w:val="auto"/>
                <w:highlight w:val="none"/>
              </w:rPr>
            </w:pPr>
          </w:p>
          <w:p w14:paraId="43A2B918">
            <w:pPr>
              <w:pStyle w:val="23"/>
              <w:widowControl w:val="0"/>
              <w:wordWrap w:val="0"/>
              <w:spacing w:line="360" w:lineRule="auto"/>
              <w:jc w:val="center"/>
              <w:rPr>
                <w:color w:val="auto"/>
                <w:sz w:val="21"/>
                <w:szCs w:val="21"/>
                <w:highlight w:val="none"/>
              </w:rPr>
            </w:pPr>
            <w:r>
              <w:rPr>
                <w:color w:val="auto"/>
                <w:sz w:val="21"/>
                <w:szCs w:val="21"/>
                <w:highlight w:val="none"/>
              </w:rPr>
              <w:t>1.1</w:t>
            </w:r>
          </w:p>
        </w:tc>
        <w:tc>
          <w:tcPr>
            <w:tcW w:w="1663" w:type="dxa"/>
            <w:vAlign w:val="center"/>
          </w:tcPr>
          <w:p w14:paraId="232B8E85">
            <w:pPr>
              <w:pStyle w:val="23"/>
              <w:widowControl w:val="0"/>
              <w:wordWrap w:val="0"/>
              <w:spacing w:line="360" w:lineRule="auto"/>
              <w:jc w:val="center"/>
              <w:rPr>
                <w:color w:val="auto"/>
                <w:sz w:val="21"/>
                <w:szCs w:val="21"/>
                <w:highlight w:val="none"/>
              </w:rPr>
            </w:pPr>
            <w:r>
              <w:rPr>
                <w:color w:val="auto"/>
                <w:sz w:val="21"/>
                <w:szCs w:val="21"/>
                <w:highlight w:val="none"/>
              </w:rPr>
              <w:t>项目名称及项目编号</w:t>
            </w:r>
          </w:p>
        </w:tc>
        <w:tc>
          <w:tcPr>
            <w:tcW w:w="6588" w:type="dxa"/>
          </w:tcPr>
          <w:p w14:paraId="2AF5A323">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项目名称：</w:t>
            </w:r>
            <w:r>
              <w:rPr>
                <w:rFonts w:hint="eastAsia"/>
                <w:color w:val="auto"/>
                <w:sz w:val="21"/>
                <w:szCs w:val="21"/>
                <w:highlight w:val="none"/>
                <w:lang w:eastAsia="zh-CN"/>
              </w:rPr>
              <w:t>影像动力跑台一体化测量与训练系统采购</w:t>
            </w:r>
          </w:p>
          <w:p w14:paraId="2A0EE335">
            <w:pPr>
              <w:pStyle w:val="23"/>
              <w:widowControl w:val="0"/>
              <w:wordWrap w:val="0"/>
              <w:spacing w:line="360" w:lineRule="auto"/>
              <w:ind w:firstLine="420" w:firstLineChars="200"/>
              <w:rPr>
                <w:rFonts w:hint="eastAsia" w:eastAsia="宋体"/>
                <w:color w:val="auto"/>
                <w:sz w:val="21"/>
                <w:szCs w:val="21"/>
                <w:highlight w:val="none"/>
                <w:lang w:eastAsia="zh-CN"/>
              </w:rPr>
            </w:pPr>
            <w:r>
              <w:rPr>
                <w:color w:val="auto"/>
                <w:sz w:val="21"/>
                <w:szCs w:val="21"/>
                <w:highlight w:val="none"/>
              </w:rPr>
              <w:t>项目编号：</w:t>
            </w:r>
            <w:r>
              <w:rPr>
                <w:rFonts w:hint="eastAsia"/>
                <w:color w:val="auto"/>
                <w:sz w:val="21"/>
                <w:szCs w:val="21"/>
                <w:highlight w:val="none"/>
                <w:lang w:eastAsia="zh-CN"/>
              </w:rPr>
              <w:t>GXZC2025-J1-003119-DHGS</w:t>
            </w:r>
          </w:p>
        </w:tc>
      </w:tr>
      <w:tr w14:paraId="0A77F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9" w:hRule="atLeast"/>
        </w:trPr>
        <w:tc>
          <w:tcPr>
            <w:tcW w:w="565" w:type="dxa"/>
            <w:vAlign w:val="center"/>
          </w:tcPr>
          <w:p w14:paraId="317F09B2">
            <w:pPr>
              <w:widowControl w:val="0"/>
              <w:wordWrap w:val="0"/>
              <w:spacing w:line="360" w:lineRule="auto"/>
              <w:ind w:firstLine="420" w:firstLineChars="200"/>
              <w:jc w:val="center"/>
              <w:rPr>
                <w:color w:val="auto"/>
                <w:highlight w:val="none"/>
              </w:rPr>
            </w:pPr>
          </w:p>
          <w:p w14:paraId="53947C74">
            <w:pPr>
              <w:widowControl w:val="0"/>
              <w:wordWrap w:val="0"/>
              <w:spacing w:line="360" w:lineRule="auto"/>
              <w:ind w:firstLine="420" w:firstLineChars="200"/>
              <w:jc w:val="center"/>
              <w:rPr>
                <w:color w:val="auto"/>
                <w:highlight w:val="none"/>
              </w:rPr>
            </w:pPr>
          </w:p>
          <w:p w14:paraId="295916EE">
            <w:pPr>
              <w:widowControl w:val="0"/>
              <w:wordWrap w:val="0"/>
              <w:spacing w:line="360" w:lineRule="auto"/>
              <w:ind w:firstLine="420" w:firstLineChars="200"/>
              <w:jc w:val="center"/>
              <w:rPr>
                <w:color w:val="auto"/>
                <w:highlight w:val="none"/>
              </w:rPr>
            </w:pPr>
          </w:p>
          <w:p w14:paraId="07FB0D14">
            <w:pPr>
              <w:widowControl w:val="0"/>
              <w:wordWrap w:val="0"/>
              <w:spacing w:line="360" w:lineRule="auto"/>
              <w:ind w:firstLine="420" w:firstLineChars="200"/>
              <w:jc w:val="center"/>
              <w:rPr>
                <w:color w:val="auto"/>
                <w:highlight w:val="none"/>
              </w:rPr>
            </w:pPr>
          </w:p>
          <w:p w14:paraId="0D40CD9C">
            <w:pPr>
              <w:widowControl w:val="0"/>
              <w:wordWrap w:val="0"/>
              <w:spacing w:line="360" w:lineRule="auto"/>
              <w:ind w:firstLine="420" w:firstLineChars="200"/>
              <w:jc w:val="center"/>
              <w:rPr>
                <w:color w:val="auto"/>
                <w:highlight w:val="none"/>
              </w:rPr>
            </w:pPr>
          </w:p>
          <w:p w14:paraId="001C927A">
            <w:pPr>
              <w:widowControl w:val="0"/>
              <w:wordWrap w:val="0"/>
              <w:spacing w:line="360" w:lineRule="auto"/>
              <w:ind w:firstLine="420" w:firstLineChars="200"/>
              <w:jc w:val="center"/>
              <w:rPr>
                <w:color w:val="auto"/>
                <w:highlight w:val="none"/>
              </w:rPr>
            </w:pPr>
          </w:p>
          <w:p w14:paraId="41B8F988">
            <w:pPr>
              <w:widowControl w:val="0"/>
              <w:wordWrap w:val="0"/>
              <w:spacing w:line="360" w:lineRule="auto"/>
              <w:ind w:firstLine="420" w:firstLineChars="200"/>
              <w:jc w:val="center"/>
              <w:rPr>
                <w:color w:val="auto"/>
                <w:highlight w:val="none"/>
              </w:rPr>
            </w:pPr>
          </w:p>
          <w:p w14:paraId="6706592F">
            <w:pPr>
              <w:pStyle w:val="23"/>
              <w:widowControl w:val="0"/>
              <w:wordWrap w:val="0"/>
              <w:spacing w:line="360" w:lineRule="auto"/>
              <w:jc w:val="center"/>
              <w:rPr>
                <w:color w:val="auto"/>
                <w:sz w:val="21"/>
                <w:szCs w:val="21"/>
                <w:highlight w:val="none"/>
              </w:rPr>
            </w:pPr>
            <w:r>
              <w:rPr>
                <w:color w:val="auto"/>
                <w:sz w:val="21"/>
                <w:szCs w:val="21"/>
                <w:highlight w:val="none"/>
              </w:rPr>
              <w:t>2</w:t>
            </w:r>
          </w:p>
        </w:tc>
        <w:tc>
          <w:tcPr>
            <w:tcW w:w="885" w:type="dxa"/>
            <w:gridSpan w:val="2"/>
            <w:vAlign w:val="center"/>
          </w:tcPr>
          <w:p w14:paraId="45FCA71D">
            <w:pPr>
              <w:widowControl w:val="0"/>
              <w:wordWrap w:val="0"/>
              <w:spacing w:line="360" w:lineRule="auto"/>
              <w:ind w:firstLine="420" w:firstLineChars="200"/>
              <w:jc w:val="center"/>
              <w:rPr>
                <w:color w:val="auto"/>
                <w:highlight w:val="none"/>
              </w:rPr>
            </w:pPr>
          </w:p>
          <w:p w14:paraId="009F9BF6">
            <w:pPr>
              <w:widowControl w:val="0"/>
              <w:wordWrap w:val="0"/>
              <w:spacing w:line="360" w:lineRule="auto"/>
              <w:ind w:firstLine="420" w:firstLineChars="200"/>
              <w:jc w:val="center"/>
              <w:rPr>
                <w:color w:val="auto"/>
                <w:highlight w:val="none"/>
              </w:rPr>
            </w:pPr>
          </w:p>
          <w:p w14:paraId="45976EC8">
            <w:pPr>
              <w:widowControl w:val="0"/>
              <w:wordWrap w:val="0"/>
              <w:spacing w:line="360" w:lineRule="auto"/>
              <w:ind w:firstLine="420" w:firstLineChars="200"/>
              <w:jc w:val="center"/>
              <w:rPr>
                <w:color w:val="auto"/>
                <w:highlight w:val="none"/>
              </w:rPr>
            </w:pPr>
          </w:p>
          <w:p w14:paraId="2D329A88">
            <w:pPr>
              <w:widowControl w:val="0"/>
              <w:wordWrap w:val="0"/>
              <w:spacing w:line="360" w:lineRule="auto"/>
              <w:ind w:firstLine="420" w:firstLineChars="200"/>
              <w:jc w:val="center"/>
              <w:rPr>
                <w:color w:val="auto"/>
                <w:highlight w:val="none"/>
              </w:rPr>
            </w:pPr>
          </w:p>
          <w:p w14:paraId="23550251">
            <w:pPr>
              <w:widowControl w:val="0"/>
              <w:wordWrap w:val="0"/>
              <w:spacing w:line="360" w:lineRule="auto"/>
              <w:ind w:firstLine="420" w:firstLineChars="200"/>
              <w:jc w:val="center"/>
              <w:rPr>
                <w:color w:val="auto"/>
                <w:highlight w:val="none"/>
              </w:rPr>
            </w:pPr>
          </w:p>
          <w:p w14:paraId="47260107">
            <w:pPr>
              <w:widowControl w:val="0"/>
              <w:wordWrap w:val="0"/>
              <w:spacing w:line="360" w:lineRule="auto"/>
              <w:ind w:firstLine="420" w:firstLineChars="200"/>
              <w:jc w:val="center"/>
              <w:rPr>
                <w:color w:val="auto"/>
                <w:highlight w:val="none"/>
              </w:rPr>
            </w:pPr>
          </w:p>
          <w:p w14:paraId="50332A92">
            <w:pPr>
              <w:widowControl w:val="0"/>
              <w:wordWrap w:val="0"/>
              <w:spacing w:line="360" w:lineRule="auto"/>
              <w:ind w:firstLine="420" w:firstLineChars="200"/>
              <w:jc w:val="center"/>
              <w:rPr>
                <w:color w:val="auto"/>
                <w:highlight w:val="none"/>
              </w:rPr>
            </w:pPr>
          </w:p>
          <w:p w14:paraId="667C0E01">
            <w:pPr>
              <w:pStyle w:val="23"/>
              <w:widowControl w:val="0"/>
              <w:wordWrap w:val="0"/>
              <w:spacing w:line="360" w:lineRule="auto"/>
              <w:jc w:val="center"/>
              <w:rPr>
                <w:color w:val="auto"/>
                <w:sz w:val="21"/>
                <w:szCs w:val="21"/>
                <w:highlight w:val="none"/>
              </w:rPr>
            </w:pPr>
            <w:r>
              <w:rPr>
                <w:color w:val="auto"/>
                <w:sz w:val="21"/>
                <w:szCs w:val="21"/>
                <w:highlight w:val="none"/>
              </w:rPr>
              <w:t>3</w:t>
            </w:r>
          </w:p>
        </w:tc>
        <w:tc>
          <w:tcPr>
            <w:tcW w:w="1663" w:type="dxa"/>
            <w:vAlign w:val="center"/>
          </w:tcPr>
          <w:p w14:paraId="72D0BF81">
            <w:pPr>
              <w:widowControl w:val="0"/>
              <w:wordWrap w:val="0"/>
              <w:spacing w:line="360" w:lineRule="auto"/>
              <w:ind w:firstLine="420" w:firstLineChars="200"/>
              <w:jc w:val="center"/>
              <w:rPr>
                <w:color w:val="auto"/>
                <w:highlight w:val="none"/>
              </w:rPr>
            </w:pPr>
          </w:p>
          <w:p w14:paraId="664582A6">
            <w:pPr>
              <w:widowControl w:val="0"/>
              <w:wordWrap w:val="0"/>
              <w:spacing w:line="360" w:lineRule="auto"/>
              <w:ind w:firstLine="420" w:firstLineChars="200"/>
              <w:jc w:val="center"/>
              <w:rPr>
                <w:color w:val="auto"/>
                <w:highlight w:val="none"/>
              </w:rPr>
            </w:pPr>
          </w:p>
          <w:p w14:paraId="41BE2312">
            <w:pPr>
              <w:widowControl w:val="0"/>
              <w:wordWrap w:val="0"/>
              <w:spacing w:line="360" w:lineRule="auto"/>
              <w:ind w:firstLine="420" w:firstLineChars="200"/>
              <w:jc w:val="center"/>
              <w:rPr>
                <w:color w:val="auto"/>
                <w:highlight w:val="none"/>
              </w:rPr>
            </w:pPr>
          </w:p>
          <w:p w14:paraId="31ACB1DF">
            <w:pPr>
              <w:widowControl w:val="0"/>
              <w:wordWrap w:val="0"/>
              <w:spacing w:line="360" w:lineRule="auto"/>
              <w:ind w:firstLine="420" w:firstLineChars="200"/>
              <w:jc w:val="center"/>
              <w:rPr>
                <w:color w:val="auto"/>
                <w:highlight w:val="none"/>
              </w:rPr>
            </w:pPr>
          </w:p>
          <w:p w14:paraId="74F05983">
            <w:pPr>
              <w:widowControl w:val="0"/>
              <w:wordWrap w:val="0"/>
              <w:spacing w:line="360" w:lineRule="auto"/>
              <w:ind w:firstLine="420" w:firstLineChars="200"/>
              <w:jc w:val="center"/>
              <w:rPr>
                <w:color w:val="auto"/>
                <w:highlight w:val="none"/>
              </w:rPr>
            </w:pPr>
          </w:p>
          <w:p w14:paraId="1B41957A">
            <w:pPr>
              <w:widowControl w:val="0"/>
              <w:wordWrap w:val="0"/>
              <w:spacing w:line="360" w:lineRule="auto"/>
              <w:ind w:firstLine="420" w:firstLineChars="200"/>
              <w:jc w:val="center"/>
              <w:rPr>
                <w:color w:val="auto"/>
                <w:highlight w:val="none"/>
              </w:rPr>
            </w:pPr>
          </w:p>
          <w:p w14:paraId="5DFE62EE">
            <w:pPr>
              <w:widowControl w:val="0"/>
              <w:wordWrap w:val="0"/>
              <w:spacing w:line="360" w:lineRule="auto"/>
              <w:ind w:firstLine="420" w:firstLineChars="200"/>
              <w:jc w:val="center"/>
              <w:rPr>
                <w:color w:val="auto"/>
                <w:highlight w:val="none"/>
              </w:rPr>
            </w:pPr>
          </w:p>
          <w:p w14:paraId="22400892">
            <w:pPr>
              <w:pStyle w:val="23"/>
              <w:widowControl w:val="0"/>
              <w:wordWrap w:val="0"/>
              <w:spacing w:line="360" w:lineRule="auto"/>
              <w:jc w:val="center"/>
              <w:rPr>
                <w:color w:val="auto"/>
                <w:sz w:val="21"/>
                <w:szCs w:val="21"/>
                <w:highlight w:val="none"/>
              </w:rPr>
            </w:pPr>
            <w:r>
              <w:rPr>
                <w:color w:val="auto"/>
                <w:sz w:val="21"/>
                <w:szCs w:val="21"/>
                <w:highlight w:val="none"/>
              </w:rPr>
              <w:t>供应商资格</w:t>
            </w:r>
          </w:p>
        </w:tc>
        <w:tc>
          <w:tcPr>
            <w:tcW w:w="6588" w:type="dxa"/>
          </w:tcPr>
          <w:p w14:paraId="3EA3BD3F">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3.1 满足《中华人民共和国政府采购法》第二十二条规定。</w:t>
            </w:r>
          </w:p>
          <w:p w14:paraId="24A34664">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3.2 落实政府采购政策需满足的资格要求：</w:t>
            </w:r>
            <w:r>
              <w:rPr>
                <w:rFonts w:hint="eastAsia"/>
                <w:bCs/>
                <w:color w:val="auto"/>
                <w:szCs w:val="21"/>
                <w:highlight w:val="none"/>
                <w:lang w:eastAsia="zh-CN"/>
              </w:rPr>
              <w:t>本项目非专门面向中小微企业采购。</w:t>
            </w:r>
          </w:p>
          <w:p w14:paraId="27686894">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3.3 本项目的特定资格要求：</w:t>
            </w:r>
            <w:r>
              <w:rPr>
                <w:rFonts w:hint="eastAsia"/>
                <w:color w:val="auto"/>
                <w:sz w:val="21"/>
                <w:szCs w:val="21"/>
                <w:highlight w:val="none"/>
                <w:lang w:eastAsia="zh-CN"/>
              </w:rPr>
              <w:t>供应商所投产品为进口设备的：代理商须出具制造商（经销商）针对本项目的授权书原件扫描件；提供经销商授权的代理商还须出具制造商给经销商的授权书原件扫描件</w:t>
            </w:r>
            <w:r>
              <w:rPr>
                <w:color w:val="auto"/>
                <w:sz w:val="21"/>
                <w:szCs w:val="21"/>
                <w:highlight w:val="none"/>
                <w:lang w:eastAsia="zh-CN"/>
              </w:rPr>
              <w:t>。</w:t>
            </w:r>
          </w:p>
          <w:p w14:paraId="42A38B38">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3.4 资格条件特别说明：</w:t>
            </w:r>
          </w:p>
          <w:p w14:paraId="05596576">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（1）单位负责人为同一人或者存在直接控股、管理关系的不同供应商，不得参加同一合同项下的政府采购活动。除单一来源采购项目外，为采购项目提供整体设计、规范编制或者项目管理、监理、检测等服务 的供应商，不得再参加该采购项目的其他采购活动。</w:t>
            </w:r>
          </w:p>
          <w:p w14:paraId="3325873E">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1"/>
                <w:szCs w:val="21"/>
                <w:highlight w:val="none"/>
                <w:lang w:eastAsia="zh-CN"/>
              </w:rPr>
              <w:t>www.creditchina.gov.cn</w:t>
            </w:r>
            <w:r>
              <w:rPr>
                <w:color w:val="auto"/>
                <w:sz w:val="21"/>
                <w:szCs w:val="21"/>
                <w:highlight w:val="none"/>
                <w:lang w:eastAsia="zh-CN"/>
              </w:rPr>
              <w:fldChar w:fldCharType="end"/>
            </w:r>
            <w:r>
              <w:rPr>
                <w:color w:val="auto"/>
                <w:sz w:val="21"/>
                <w:szCs w:val="21"/>
                <w:highlight w:val="none"/>
                <w:lang w:eastAsia="zh-CN"/>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1"/>
                <w:szCs w:val="21"/>
                <w:highlight w:val="none"/>
                <w:lang w:eastAsia="zh-CN"/>
              </w:rPr>
              <w:t>www.ccgp.gov.cn</w:t>
            </w:r>
            <w:r>
              <w:rPr>
                <w:color w:val="auto"/>
                <w:sz w:val="21"/>
                <w:szCs w:val="21"/>
                <w:highlight w:val="none"/>
                <w:lang w:eastAsia="zh-CN"/>
              </w:rPr>
              <w:fldChar w:fldCharType="end"/>
            </w:r>
            <w:r>
              <w:rPr>
                <w:color w:val="auto"/>
                <w:sz w:val="21"/>
                <w:szCs w:val="21"/>
                <w:highlight w:val="none"/>
                <w:lang w:eastAsia="zh-CN"/>
              </w:rPr>
              <w:t>)被列入失信被执行人、重大税收违法案件当事人名单、政府采购严重违法失信行为记录名单及其他不符合《中华 人民共和国政府采购法》第二十二条规定条件的供应商，不得参与政府采购活动。</w:t>
            </w:r>
          </w:p>
        </w:tc>
      </w:tr>
      <w:tr w14:paraId="110B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565" w:type="dxa"/>
            <w:vAlign w:val="center"/>
          </w:tcPr>
          <w:p w14:paraId="05BC9F90">
            <w:pPr>
              <w:widowControl w:val="0"/>
              <w:wordWrap w:val="0"/>
              <w:spacing w:line="360" w:lineRule="auto"/>
              <w:ind w:firstLine="420" w:firstLineChars="200"/>
              <w:jc w:val="center"/>
              <w:rPr>
                <w:color w:val="auto"/>
                <w:highlight w:val="none"/>
                <w:lang w:eastAsia="zh-CN"/>
              </w:rPr>
            </w:pPr>
          </w:p>
          <w:p w14:paraId="609398BE">
            <w:pPr>
              <w:widowControl w:val="0"/>
              <w:wordWrap w:val="0"/>
              <w:spacing w:line="360" w:lineRule="auto"/>
              <w:ind w:firstLine="420" w:firstLineChars="200"/>
              <w:jc w:val="center"/>
              <w:rPr>
                <w:color w:val="auto"/>
                <w:highlight w:val="none"/>
                <w:lang w:eastAsia="zh-CN"/>
              </w:rPr>
            </w:pPr>
          </w:p>
          <w:p w14:paraId="36833E1E">
            <w:pPr>
              <w:widowControl w:val="0"/>
              <w:wordWrap w:val="0"/>
              <w:spacing w:line="360" w:lineRule="auto"/>
              <w:ind w:firstLine="420" w:firstLineChars="200"/>
              <w:jc w:val="center"/>
              <w:rPr>
                <w:color w:val="auto"/>
                <w:highlight w:val="none"/>
                <w:lang w:eastAsia="zh-CN"/>
              </w:rPr>
            </w:pPr>
          </w:p>
          <w:p w14:paraId="36DB15D0">
            <w:pPr>
              <w:widowControl w:val="0"/>
              <w:wordWrap w:val="0"/>
              <w:spacing w:line="360" w:lineRule="auto"/>
              <w:ind w:firstLine="420" w:firstLineChars="200"/>
              <w:jc w:val="center"/>
              <w:rPr>
                <w:color w:val="auto"/>
                <w:highlight w:val="none"/>
                <w:lang w:eastAsia="zh-CN"/>
              </w:rPr>
            </w:pPr>
          </w:p>
          <w:p w14:paraId="0DA42579">
            <w:pPr>
              <w:widowControl w:val="0"/>
              <w:wordWrap w:val="0"/>
              <w:spacing w:line="360" w:lineRule="auto"/>
              <w:ind w:firstLine="420" w:firstLineChars="200"/>
              <w:jc w:val="center"/>
              <w:rPr>
                <w:color w:val="auto"/>
                <w:highlight w:val="none"/>
                <w:lang w:eastAsia="zh-CN"/>
              </w:rPr>
            </w:pPr>
          </w:p>
          <w:p w14:paraId="764B382E">
            <w:pPr>
              <w:widowControl w:val="0"/>
              <w:wordWrap w:val="0"/>
              <w:spacing w:line="360" w:lineRule="auto"/>
              <w:ind w:firstLine="420" w:firstLineChars="200"/>
              <w:jc w:val="center"/>
              <w:rPr>
                <w:color w:val="auto"/>
                <w:highlight w:val="none"/>
                <w:lang w:eastAsia="zh-CN"/>
              </w:rPr>
            </w:pPr>
          </w:p>
          <w:p w14:paraId="4F0A4E84">
            <w:pPr>
              <w:widowControl w:val="0"/>
              <w:wordWrap w:val="0"/>
              <w:spacing w:line="360" w:lineRule="auto"/>
              <w:ind w:firstLine="420" w:firstLineChars="200"/>
              <w:jc w:val="center"/>
              <w:rPr>
                <w:color w:val="auto"/>
                <w:highlight w:val="none"/>
                <w:lang w:eastAsia="zh-CN"/>
              </w:rPr>
            </w:pPr>
          </w:p>
          <w:p w14:paraId="52CEF13C">
            <w:pPr>
              <w:widowControl w:val="0"/>
              <w:wordWrap w:val="0"/>
              <w:spacing w:line="360" w:lineRule="auto"/>
              <w:ind w:firstLine="420" w:firstLineChars="200"/>
              <w:jc w:val="center"/>
              <w:rPr>
                <w:color w:val="auto"/>
                <w:highlight w:val="none"/>
                <w:lang w:eastAsia="zh-CN"/>
              </w:rPr>
            </w:pPr>
          </w:p>
          <w:p w14:paraId="215E8F9B">
            <w:pPr>
              <w:widowControl w:val="0"/>
              <w:wordWrap w:val="0"/>
              <w:spacing w:line="360" w:lineRule="auto"/>
              <w:ind w:firstLine="420" w:firstLineChars="200"/>
              <w:jc w:val="center"/>
              <w:rPr>
                <w:color w:val="auto"/>
                <w:highlight w:val="none"/>
                <w:lang w:eastAsia="zh-CN"/>
              </w:rPr>
            </w:pPr>
          </w:p>
          <w:p w14:paraId="243B2BC9">
            <w:pPr>
              <w:widowControl w:val="0"/>
              <w:wordWrap w:val="0"/>
              <w:spacing w:line="360" w:lineRule="auto"/>
              <w:ind w:firstLine="420" w:firstLineChars="200"/>
              <w:jc w:val="center"/>
              <w:rPr>
                <w:color w:val="auto"/>
                <w:highlight w:val="none"/>
                <w:lang w:eastAsia="zh-CN"/>
              </w:rPr>
            </w:pPr>
          </w:p>
          <w:p w14:paraId="530C8183">
            <w:pPr>
              <w:pStyle w:val="23"/>
              <w:widowControl w:val="0"/>
              <w:wordWrap w:val="0"/>
              <w:spacing w:line="360" w:lineRule="auto"/>
              <w:jc w:val="center"/>
              <w:rPr>
                <w:color w:val="auto"/>
                <w:sz w:val="21"/>
                <w:szCs w:val="21"/>
                <w:highlight w:val="none"/>
              </w:rPr>
            </w:pPr>
            <w:r>
              <w:rPr>
                <w:color w:val="auto"/>
                <w:sz w:val="21"/>
                <w:szCs w:val="21"/>
                <w:highlight w:val="none"/>
              </w:rPr>
              <w:t>3</w:t>
            </w:r>
          </w:p>
        </w:tc>
        <w:tc>
          <w:tcPr>
            <w:tcW w:w="885" w:type="dxa"/>
            <w:gridSpan w:val="2"/>
            <w:vAlign w:val="center"/>
          </w:tcPr>
          <w:p w14:paraId="19328645">
            <w:pPr>
              <w:widowControl w:val="0"/>
              <w:wordWrap w:val="0"/>
              <w:spacing w:line="360" w:lineRule="auto"/>
              <w:ind w:firstLine="420" w:firstLineChars="200"/>
              <w:jc w:val="center"/>
              <w:rPr>
                <w:color w:val="auto"/>
                <w:highlight w:val="none"/>
              </w:rPr>
            </w:pPr>
          </w:p>
          <w:p w14:paraId="45C01162">
            <w:pPr>
              <w:widowControl w:val="0"/>
              <w:wordWrap w:val="0"/>
              <w:spacing w:line="360" w:lineRule="auto"/>
              <w:ind w:firstLine="420" w:firstLineChars="200"/>
              <w:jc w:val="center"/>
              <w:rPr>
                <w:color w:val="auto"/>
                <w:highlight w:val="none"/>
              </w:rPr>
            </w:pPr>
          </w:p>
          <w:p w14:paraId="787628EA">
            <w:pPr>
              <w:widowControl w:val="0"/>
              <w:wordWrap w:val="0"/>
              <w:spacing w:line="360" w:lineRule="auto"/>
              <w:ind w:firstLine="420" w:firstLineChars="200"/>
              <w:jc w:val="center"/>
              <w:rPr>
                <w:color w:val="auto"/>
                <w:highlight w:val="none"/>
              </w:rPr>
            </w:pPr>
          </w:p>
          <w:p w14:paraId="0340897B">
            <w:pPr>
              <w:widowControl w:val="0"/>
              <w:wordWrap w:val="0"/>
              <w:spacing w:line="360" w:lineRule="auto"/>
              <w:ind w:firstLine="420" w:firstLineChars="200"/>
              <w:jc w:val="center"/>
              <w:rPr>
                <w:color w:val="auto"/>
                <w:highlight w:val="none"/>
              </w:rPr>
            </w:pPr>
          </w:p>
          <w:p w14:paraId="303777BF">
            <w:pPr>
              <w:widowControl w:val="0"/>
              <w:wordWrap w:val="0"/>
              <w:spacing w:line="360" w:lineRule="auto"/>
              <w:ind w:firstLine="420" w:firstLineChars="200"/>
              <w:jc w:val="center"/>
              <w:rPr>
                <w:color w:val="auto"/>
                <w:highlight w:val="none"/>
              </w:rPr>
            </w:pPr>
          </w:p>
          <w:p w14:paraId="2C998ECD">
            <w:pPr>
              <w:widowControl w:val="0"/>
              <w:wordWrap w:val="0"/>
              <w:spacing w:line="360" w:lineRule="auto"/>
              <w:ind w:firstLine="420" w:firstLineChars="200"/>
              <w:jc w:val="center"/>
              <w:rPr>
                <w:color w:val="auto"/>
                <w:highlight w:val="none"/>
              </w:rPr>
            </w:pPr>
          </w:p>
          <w:p w14:paraId="288D9D10">
            <w:pPr>
              <w:widowControl w:val="0"/>
              <w:wordWrap w:val="0"/>
              <w:spacing w:line="360" w:lineRule="auto"/>
              <w:ind w:firstLine="420" w:firstLineChars="200"/>
              <w:jc w:val="center"/>
              <w:rPr>
                <w:color w:val="auto"/>
                <w:highlight w:val="none"/>
              </w:rPr>
            </w:pPr>
          </w:p>
          <w:p w14:paraId="34094D38">
            <w:pPr>
              <w:widowControl w:val="0"/>
              <w:wordWrap w:val="0"/>
              <w:spacing w:line="360" w:lineRule="auto"/>
              <w:ind w:firstLine="420" w:firstLineChars="200"/>
              <w:jc w:val="center"/>
              <w:rPr>
                <w:color w:val="auto"/>
                <w:highlight w:val="none"/>
              </w:rPr>
            </w:pPr>
          </w:p>
          <w:p w14:paraId="7283A204">
            <w:pPr>
              <w:widowControl w:val="0"/>
              <w:wordWrap w:val="0"/>
              <w:spacing w:line="360" w:lineRule="auto"/>
              <w:ind w:firstLine="420" w:firstLineChars="200"/>
              <w:jc w:val="center"/>
              <w:rPr>
                <w:color w:val="auto"/>
                <w:highlight w:val="none"/>
              </w:rPr>
            </w:pPr>
          </w:p>
          <w:p w14:paraId="66940906">
            <w:pPr>
              <w:widowControl w:val="0"/>
              <w:wordWrap w:val="0"/>
              <w:spacing w:line="360" w:lineRule="auto"/>
              <w:ind w:firstLine="420" w:firstLineChars="200"/>
              <w:jc w:val="center"/>
              <w:rPr>
                <w:color w:val="auto"/>
                <w:highlight w:val="none"/>
              </w:rPr>
            </w:pPr>
          </w:p>
          <w:p w14:paraId="5351DF46">
            <w:pPr>
              <w:pStyle w:val="23"/>
              <w:widowControl w:val="0"/>
              <w:wordWrap w:val="0"/>
              <w:spacing w:line="360" w:lineRule="auto"/>
              <w:jc w:val="center"/>
              <w:rPr>
                <w:color w:val="auto"/>
                <w:sz w:val="21"/>
                <w:szCs w:val="21"/>
                <w:highlight w:val="none"/>
              </w:rPr>
            </w:pPr>
            <w:r>
              <w:rPr>
                <w:color w:val="auto"/>
                <w:sz w:val="21"/>
                <w:szCs w:val="21"/>
                <w:highlight w:val="none"/>
              </w:rPr>
              <w:t>4</w:t>
            </w:r>
          </w:p>
        </w:tc>
        <w:tc>
          <w:tcPr>
            <w:tcW w:w="1663" w:type="dxa"/>
            <w:vAlign w:val="center"/>
          </w:tcPr>
          <w:p w14:paraId="2A6CCEA1">
            <w:pPr>
              <w:widowControl w:val="0"/>
              <w:wordWrap w:val="0"/>
              <w:spacing w:line="360" w:lineRule="auto"/>
              <w:ind w:firstLine="420" w:firstLineChars="200"/>
              <w:jc w:val="center"/>
              <w:rPr>
                <w:color w:val="auto"/>
                <w:highlight w:val="none"/>
                <w:lang w:eastAsia="zh-CN"/>
              </w:rPr>
            </w:pPr>
          </w:p>
          <w:p w14:paraId="32B0454C">
            <w:pPr>
              <w:widowControl w:val="0"/>
              <w:wordWrap w:val="0"/>
              <w:spacing w:line="360" w:lineRule="auto"/>
              <w:ind w:firstLine="420" w:firstLineChars="200"/>
              <w:jc w:val="center"/>
              <w:rPr>
                <w:color w:val="auto"/>
                <w:highlight w:val="none"/>
                <w:lang w:eastAsia="zh-CN"/>
              </w:rPr>
            </w:pPr>
          </w:p>
          <w:p w14:paraId="48F8018F">
            <w:pPr>
              <w:widowControl w:val="0"/>
              <w:wordWrap w:val="0"/>
              <w:spacing w:line="360" w:lineRule="auto"/>
              <w:ind w:firstLine="420" w:firstLineChars="200"/>
              <w:jc w:val="center"/>
              <w:rPr>
                <w:color w:val="auto"/>
                <w:highlight w:val="none"/>
                <w:lang w:eastAsia="zh-CN"/>
              </w:rPr>
            </w:pPr>
          </w:p>
          <w:p w14:paraId="46040D2A">
            <w:pPr>
              <w:widowControl w:val="0"/>
              <w:wordWrap w:val="0"/>
              <w:spacing w:line="360" w:lineRule="auto"/>
              <w:ind w:firstLine="420" w:firstLineChars="200"/>
              <w:jc w:val="center"/>
              <w:rPr>
                <w:color w:val="auto"/>
                <w:highlight w:val="none"/>
                <w:lang w:eastAsia="zh-CN"/>
              </w:rPr>
            </w:pPr>
          </w:p>
          <w:p w14:paraId="142E11D1">
            <w:pPr>
              <w:widowControl w:val="0"/>
              <w:wordWrap w:val="0"/>
              <w:spacing w:line="360" w:lineRule="auto"/>
              <w:ind w:firstLine="420" w:firstLineChars="200"/>
              <w:jc w:val="center"/>
              <w:rPr>
                <w:color w:val="auto"/>
                <w:highlight w:val="none"/>
                <w:lang w:eastAsia="zh-CN"/>
              </w:rPr>
            </w:pPr>
          </w:p>
          <w:p w14:paraId="5D60880C">
            <w:pPr>
              <w:widowControl w:val="0"/>
              <w:wordWrap w:val="0"/>
              <w:spacing w:line="360" w:lineRule="auto"/>
              <w:ind w:firstLine="420" w:firstLineChars="200"/>
              <w:jc w:val="center"/>
              <w:rPr>
                <w:color w:val="auto"/>
                <w:highlight w:val="none"/>
                <w:lang w:eastAsia="zh-CN"/>
              </w:rPr>
            </w:pPr>
          </w:p>
          <w:p w14:paraId="4FE8A74D">
            <w:pPr>
              <w:widowControl w:val="0"/>
              <w:wordWrap w:val="0"/>
              <w:spacing w:line="360" w:lineRule="auto"/>
              <w:ind w:firstLine="420" w:firstLineChars="200"/>
              <w:jc w:val="center"/>
              <w:rPr>
                <w:color w:val="auto"/>
                <w:highlight w:val="none"/>
                <w:lang w:eastAsia="zh-CN"/>
              </w:rPr>
            </w:pPr>
          </w:p>
          <w:p w14:paraId="1C07B5D1">
            <w:pPr>
              <w:widowControl w:val="0"/>
              <w:wordWrap w:val="0"/>
              <w:spacing w:line="360" w:lineRule="auto"/>
              <w:ind w:firstLine="420" w:firstLineChars="200"/>
              <w:jc w:val="center"/>
              <w:rPr>
                <w:color w:val="auto"/>
                <w:highlight w:val="none"/>
                <w:lang w:eastAsia="zh-CN"/>
              </w:rPr>
            </w:pPr>
          </w:p>
          <w:p w14:paraId="1720D419">
            <w:pPr>
              <w:widowControl w:val="0"/>
              <w:wordWrap w:val="0"/>
              <w:spacing w:line="360" w:lineRule="auto"/>
              <w:ind w:firstLine="420" w:firstLineChars="200"/>
              <w:jc w:val="center"/>
              <w:rPr>
                <w:color w:val="auto"/>
                <w:highlight w:val="none"/>
                <w:lang w:eastAsia="zh-CN"/>
              </w:rPr>
            </w:pPr>
          </w:p>
          <w:p w14:paraId="2582D65C">
            <w:pPr>
              <w:pStyle w:val="23"/>
              <w:widowControl w:val="0"/>
              <w:wordWrap w:val="0"/>
              <w:spacing w:line="360" w:lineRule="auto"/>
              <w:jc w:val="center"/>
              <w:rPr>
                <w:color w:val="auto"/>
                <w:sz w:val="21"/>
                <w:szCs w:val="21"/>
                <w:highlight w:val="none"/>
                <w:lang w:eastAsia="zh-CN"/>
              </w:rPr>
            </w:pPr>
            <w:r>
              <w:rPr>
                <w:color w:val="auto"/>
                <w:sz w:val="21"/>
                <w:szCs w:val="21"/>
                <w:highlight w:val="none"/>
                <w:lang w:eastAsia="zh-CN"/>
              </w:rPr>
              <w:t>参与电子竞标的准备工作</w:t>
            </w:r>
          </w:p>
        </w:tc>
        <w:tc>
          <w:tcPr>
            <w:tcW w:w="6588" w:type="dxa"/>
          </w:tcPr>
          <w:p w14:paraId="7DE6E75C">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4.1 本项目实行全流程电子化采购，供应商通过广西政府采购云平台与电子竞标，并应做好以下相关准备工作：①在广西政府采购云平台  注册成为正式供应商（操作方法详见广西壮族自治区政府采购网—办事服务—办事指南）；②完成 CA 证书申领和绑定（费用由供应商自行承担，办理流程详见广西壮族自治区政府采购网—办事服务—下载专区，完成 CA 证书办理预计一周左右，建议供应商尽快办理）；③下载  “广西壮族自治区全流程电子招投标项目管理系统--供应商客户端 ”（操作方法详见广西壮族自治区政府采购网—办事服务—下载专区，以下称“广西政府采购云平台电子投标客户端 ”）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广西政府采购云平台CA 证书）。因供应商未做好相关准备工作等自身原因导致无法参加本项目电子竞标或竞标失败的，造成的一切后果， 由供应商自行承担。</w:t>
            </w:r>
          </w:p>
          <w:p w14:paraId="3AE34951">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4.2 电子竞标具体操作流程参考《政府采购项目电子交易管理操作指南供应商》（详见桂林市政府采购网—采购资讯—重要通知）；如遇平台技术问题详询 95763 或者 0771-3381253。</w:t>
            </w:r>
          </w:p>
          <w:p w14:paraId="20A7D2EE">
            <w:pPr>
              <w:pStyle w:val="23"/>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4.3 不论谈判结果如何，供应商均应自行承担所有与谈判有关的全部费用。</w:t>
            </w:r>
          </w:p>
        </w:tc>
      </w:tr>
      <w:tr w14:paraId="3188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2" w:hRule="atLeast"/>
        </w:trPr>
        <w:tc>
          <w:tcPr>
            <w:tcW w:w="565" w:type="dxa"/>
            <w:vAlign w:val="center"/>
          </w:tcPr>
          <w:p w14:paraId="78A9D4B6">
            <w:pPr>
              <w:widowControl w:val="0"/>
              <w:wordWrap w:val="0"/>
              <w:spacing w:line="360" w:lineRule="auto"/>
              <w:ind w:firstLine="420" w:firstLineChars="200"/>
              <w:jc w:val="center"/>
              <w:rPr>
                <w:color w:val="auto"/>
                <w:highlight w:val="none"/>
                <w:lang w:eastAsia="zh-CN"/>
              </w:rPr>
            </w:pPr>
          </w:p>
          <w:p w14:paraId="78DCFD65">
            <w:pPr>
              <w:widowControl w:val="0"/>
              <w:wordWrap w:val="0"/>
              <w:spacing w:line="360" w:lineRule="auto"/>
              <w:ind w:firstLine="420" w:firstLineChars="200"/>
              <w:jc w:val="center"/>
              <w:rPr>
                <w:color w:val="auto"/>
                <w:highlight w:val="none"/>
                <w:lang w:eastAsia="zh-CN"/>
              </w:rPr>
            </w:pPr>
          </w:p>
          <w:p w14:paraId="4B01F098">
            <w:pPr>
              <w:widowControl w:val="0"/>
              <w:wordWrap w:val="0"/>
              <w:spacing w:line="360" w:lineRule="auto"/>
              <w:ind w:firstLine="420" w:firstLineChars="200"/>
              <w:jc w:val="center"/>
              <w:rPr>
                <w:color w:val="auto"/>
                <w:highlight w:val="none"/>
                <w:lang w:eastAsia="zh-CN"/>
              </w:rPr>
            </w:pPr>
          </w:p>
          <w:p w14:paraId="4CA06A39">
            <w:pPr>
              <w:widowControl w:val="0"/>
              <w:wordWrap w:val="0"/>
              <w:spacing w:line="360" w:lineRule="auto"/>
              <w:ind w:firstLine="420" w:firstLineChars="200"/>
              <w:jc w:val="center"/>
              <w:rPr>
                <w:color w:val="auto"/>
                <w:highlight w:val="none"/>
                <w:lang w:eastAsia="zh-CN"/>
              </w:rPr>
            </w:pPr>
          </w:p>
          <w:p w14:paraId="7E210D49">
            <w:pPr>
              <w:widowControl w:val="0"/>
              <w:wordWrap w:val="0"/>
              <w:spacing w:line="360" w:lineRule="auto"/>
              <w:ind w:firstLine="420" w:firstLineChars="200"/>
              <w:jc w:val="center"/>
              <w:rPr>
                <w:color w:val="auto"/>
                <w:highlight w:val="none"/>
                <w:lang w:eastAsia="zh-CN"/>
              </w:rPr>
            </w:pPr>
          </w:p>
          <w:p w14:paraId="6CC751A4">
            <w:pPr>
              <w:pStyle w:val="23"/>
              <w:widowControl w:val="0"/>
              <w:wordWrap w:val="0"/>
              <w:spacing w:line="360" w:lineRule="auto"/>
              <w:jc w:val="center"/>
              <w:rPr>
                <w:color w:val="auto"/>
                <w:sz w:val="21"/>
                <w:szCs w:val="21"/>
                <w:highlight w:val="none"/>
              </w:rPr>
            </w:pPr>
            <w:r>
              <w:rPr>
                <w:color w:val="auto"/>
                <w:sz w:val="21"/>
                <w:szCs w:val="21"/>
                <w:highlight w:val="none"/>
              </w:rPr>
              <w:t>4</w:t>
            </w:r>
          </w:p>
        </w:tc>
        <w:tc>
          <w:tcPr>
            <w:tcW w:w="885" w:type="dxa"/>
            <w:gridSpan w:val="2"/>
            <w:vAlign w:val="center"/>
          </w:tcPr>
          <w:p w14:paraId="16AA9184">
            <w:pPr>
              <w:widowControl w:val="0"/>
              <w:wordWrap w:val="0"/>
              <w:spacing w:line="360" w:lineRule="auto"/>
              <w:ind w:firstLine="420" w:firstLineChars="200"/>
              <w:jc w:val="center"/>
              <w:rPr>
                <w:color w:val="auto"/>
                <w:highlight w:val="none"/>
              </w:rPr>
            </w:pPr>
          </w:p>
          <w:p w14:paraId="1C7FE751">
            <w:pPr>
              <w:widowControl w:val="0"/>
              <w:wordWrap w:val="0"/>
              <w:spacing w:line="360" w:lineRule="auto"/>
              <w:ind w:firstLine="420" w:firstLineChars="200"/>
              <w:jc w:val="center"/>
              <w:rPr>
                <w:color w:val="auto"/>
                <w:highlight w:val="none"/>
              </w:rPr>
            </w:pPr>
          </w:p>
          <w:p w14:paraId="02404167">
            <w:pPr>
              <w:widowControl w:val="0"/>
              <w:wordWrap w:val="0"/>
              <w:spacing w:line="360" w:lineRule="auto"/>
              <w:ind w:firstLine="420" w:firstLineChars="200"/>
              <w:jc w:val="center"/>
              <w:rPr>
                <w:color w:val="auto"/>
                <w:highlight w:val="none"/>
              </w:rPr>
            </w:pPr>
          </w:p>
          <w:p w14:paraId="7683A790">
            <w:pPr>
              <w:widowControl w:val="0"/>
              <w:wordWrap w:val="0"/>
              <w:spacing w:line="360" w:lineRule="auto"/>
              <w:ind w:firstLine="420" w:firstLineChars="200"/>
              <w:jc w:val="center"/>
              <w:rPr>
                <w:color w:val="auto"/>
                <w:highlight w:val="none"/>
              </w:rPr>
            </w:pPr>
          </w:p>
          <w:p w14:paraId="1C4CA756">
            <w:pPr>
              <w:widowControl w:val="0"/>
              <w:wordWrap w:val="0"/>
              <w:spacing w:line="360" w:lineRule="auto"/>
              <w:ind w:firstLine="420" w:firstLineChars="200"/>
              <w:jc w:val="center"/>
              <w:rPr>
                <w:color w:val="auto"/>
                <w:highlight w:val="none"/>
              </w:rPr>
            </w:pPr>
          </w:p>
          <w:p w14:paraId="47B15FFF">
            <w:pPr>
              <w:pStyle w:val="23"/>
              <w:widowControl w:val="0"/>
              <w:wordWrap w:val="0"/>
              <w:spacing w:line="360" w:lineRule="auto"/>
              <w:jc w:val="center"/>
              <w:rPr>
                <w:color w:val="auto"/>
                <w:sz w:val="21"/>
                <w:szCs w:val="21"/>
                <w:highlight w:val="none"/>
              </w:rPr>
            </w:pPr>
            <w:r>
              <w:rPr>
                <w:color w:val="auto"/>
                <w:sz w:val="21"/>
                <w:szCs w:val="21"/>
                <w:highlight w:val="none"/>
              </w:rPr>
              <w:t>13</w:t>
            </w:r>
          </w:p>
        </w:tc>
        <w:tc>
          <w:tcPr>
            <w:tcW w:w="1663" w:type="dxa"/>
            <w:vAlign w:val="center"/>
          </w:tcPr>
          <w:p w14:paraId="42A1B2A8">
            <w:pPr>
              <w:widowControl w:val="0"/>
              <w:wordWrap w:val="0"/>
              <w:spacing w:line="360" w:lineRule="auto"/>
              <w:ind w:firstLine="420" w:firstLineChars="200"/>
              <w:jc w:val="center"/>
              <w:rPr>
                <w:color w:val="auto"/>
                <w:highlight w:val="none"/>
                <w:lang w:eastAsia="zh-CN"/>
              </w:rPr>
            </w:pPr>
          </w:p>
          <w:p w14:paraId="2A200C3E">
            <w:pPr>
              <w:widowControl w:val="0"/>
              <w:wordWrap w:val="0"/>
              <w:spacing w:line="360" w:lineRule="auto"/>
              <w:ind w:firstLine="420" w:firstLineChars="200"/>
              <w:jc w:val="center"/>
              <w:rPr>
                <w:color w:val="auto"/>
                <w:highlight w:val="none"/>
                <w:lang w:eastAsia="zh-CN"/>
              </w:rPr>
            </w:pPr>
          </w:p>
          <w:p w14:paraId="5E5E1874">
            <w:pPr>
              <w:widowControl w:val="0"/>
              <w:wordWrap w:val="0"/>
              <w:spacing w:line="360" w:lineRule="auto"/>
              <w:ind w:firstLine="420" w:firstLineChars="200"/>
              <w:jc w:val="center"/>
              <w:rPr>
                <w:color w:val="auto"/>
                <w:highlight w:val="none"/>
                <w:lang w:eastAsia="zh-CN"/>
              </w:rPr>
            </w:pPr>
          </w:p>
          <w:p w14:paraId="554AC306">
            <w:pPr>
              <w:widowControl w:val="0"/>
              <w:wordWrap w:val="0"/>
              <w:spacing w:line="360" w:lineRule="auto"/>
              <w:ind w:firstLine="420" w:firstLineChars="200"/>
              <w:jc w:val="center"/>
              <w:rPr>
                <w:color w:val="auto"/>
                <w:highlight w:val="none"/>
                <w:lang w:eastAsia="zh-CN"/>
              </w:rPr>
            </w:pPr>
          </w:p>
          <w:p w14:paraId="00EBCC71">
            <w:pPr>
              <w:widowControl w:val="0"/>
              <w:wordWrap w:val="0"/>
              <w:spacing w:line="360" w:lineRule="auto"/>
              <w:ind w:firstLine="420" w:firstLineChars="200"/>
              <w:jc w:val="center"/>
              <w:rPr>
                <w:color w:val="auto"/>
                <w:highlight w:val="none"/>
                <w:lang w:eastAsia="zh-CN"/>
              </w:rPr>
            </w:pPr>
          </w:p>
          <w:p w14:paraId="2DE937FC">
            <w:pPr>
              <w:pStyle w:val="23"/>
              <w:widowControl w:val="0"/>
              <w:wordWrap w:val="0"/>
              <w:spacing w:line="360" w:lineRule="auto"/>
              <w:jc w:val="center"/>
              <w:rPr>
                <w:color w:val="auto"/>
                <w:sz w:val="21"/>
                <w:szCs w:val="21"/>
                <w:highlight w:val="none"/>
                <w:lang w:eastAsia="zh-CN"/>
              </w:rPr>
            </w:pPr>
            <w:r>
              <w:rPr>
                <w:color w:val="auto"/>
                <w:sz w:val="21"/>
                <w:szCs w:val="21"/>
                <w:highlight w:val="none"/>
                <w:lang w:eastAsia="zh-CN"/>
              </w:rPr>
              <w:t>谈判报价及采购预算金额</w:t>
            </w:r>
          </w:p>
        </w:tc>
        <w:tc>
          <w:tcPr>
            <w:tcW w:w="6588" w:type="dxa"/>
          </w:tcPr>
          <w:p w14:paraId="07351A92">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13.1 供应商必须就“采购需求 ”中的所有内容作完整唯一报价，响应文件只允许有一个报价，有选择的或有条件的报价将不予接受。</w:t>
            </w:r>
          </w:p>
          <w:p w14:paraId="3069750F">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13.2 采购预算金额（人民币）：</w:t>
            </w:r>
            <w:r>
              <w:rPr>
                <w:rFonts w:hint="eastAsia"/>
                <w:b/>
                <w:bCs/>
                <w:color w:val="auto"/>
                <w:sz w:val="21"/>
                <w:szCs w:val="21"/>
                <w:highlight w:val="none"/>
                <w:lang w:eastAsia="zh-CN"/>
              </w:rPr>
              <w:t>贰佰叁拾万元整</w:t>
            </w:r>
            <w:r>
              <w:rPr>
                <w:color w:val="auto"/>
                <w:sz w:val="21"/>
                <w:szCs w:val="21"/>
                <w:highlight w:val="none"/>
                <w:lang w:eastAsia="zh-CN"/>
              </w:rPr>
              <w:t xml:space="preserve"> </w:t>
            </w:r>
            <w:r>
              <w:rPr>
                <w:b/>
                <w:bCs/>
                <w:color w:val="auto"/>
                <w:sz w:val="21"/>
                <w:szCs w:val="21"/>
                <w:highlight w:val="none"/>
                <w:lang w:eastAsia="zh-CN"/>
              </w:rPr>
              <w:t>(¥</w:t>
            </w:r>
            <w:r>
              <w:rPr>
                <w:rFonts w:hint="eastAsia"/>
                <w:b/>
                <w:bCs/>
                <w:color w:val="auto"/>
                <w:sz w:val="21"/>
                <w:szCs w:val="21"/>
                <w:highlight w:val="none"/>
                <w:lang w:eastAsia="zh-CN"/>
              </w:rPr>
              <w:t>2300000.00元</w:t>
            </w:r>
            <w:r>
              <w:rPr>
                <w:b/>
                <w:bCs/>
                <w:color w:val="auto"/>
                <w:sz w:val="21"/>
                <w:szCs w:val="21"/>
                <w:highlight w:val="none"/>
                <w:lang w:eastAsia="zh-CN"/>
              </w:rPr>
              <w:t>）</w:t>
            </w:r>
            <w:r>
              <w:rPr>
                <w:color w:val="auto"/>
                <w:sz w:val="21"/>
                <w:szCs w:val="21"/>
                <w:highlight w:val="none"/>
                <w:lang w:eastAsia="zh-CN"/>
              </w:rPr>
              <w:t>。 报价超采购预算金额的，响应文件作无效处理。</w:t>
            </w:r>
          </w:p>
          <w:p w14:paraId="33D9850D">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13.3 供应商谈判报价应包括本次采购范围内货物价款、货物随配标准附件、包装、运输、装卸、保险、税金、货到位以及安装、安装所需辅材、调试、检验、售后服务、培训、保修、运维、验收及其他所有成本费用的总和，供应商应综合考虑在报价中。</w:t>
            </w:r>
          </w:p>
          <w:p w14:paraId="7C7CD79E">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13.4 未书面退出谈判的供应商必须在规定时间内登录广西政府采购云平台在线提交最后报价，其最后报价不得超出采购预算；谈判过程中谈判文件未作实质性变动的，</w:t>
            </w:r>
            <w:r>
              <w:rPr>
                <w:b/>
                <w:bCs/>
                <w:color w:val="auto"/>
                <w:sz w:val="21"/>
                <w:szCs w:val="21"/>
                <w:highlight w:val="none"/>
                <w:lang w:eastAsia="zh-CN"/>
              </w:rPr>
              <w:t>最后报价不得超过首次报价。</w:t>
            </w:r>
          </w:p>
        </w:tc>
      </w:tr>
      <w:tr w14:paraId="1D39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65" w:type="dxa"/>
            <w:vAlign w:val="center"/>
          </w:tcPr>
          <w:p w14:paraId="6BACCCD6">
            <w:pPr>
              <w:pStyle w:val="23"/>
              <w:widowControl w:val="0"/>
              <w:wordWrap w:val="0"/>
              <w:spacing w:line="360" w:lineRule="auto"/>
              <w:jc w:val="center"/>
              <w:rPr>
                <w:color w:val="auto"/>
                <w:sz w:val="21"/>
                <w:szCs w:val="21"/>
                <w:highlight w:val="none"/>
              </w:rPr>
            </w:pPr>
            <w:r>
              <w:rPr>
                <w:color w:val="auto"/>
                <w:sz w:val="21"/>
                <w:szCs w:val="21"/>
                <w:highlight w:val="none"/>
              </w:rPr>
              <w:t>5</w:t>
            </w:r>
          </w:p>
        </w:tc>
        <w:tc>
          <w:tcPr>
            <w:tcW w:w="885" w:type="dxa"/>
            <w:gridSpan w:val="2"/>
            <w:vAlign w:val="center"/>
          </w:tcPr>
          <w:p w14:paraId="26B0396B">
            <w:pPr>
              <w:pStyle w:val="23"/>
              <w:widowControl w:val="0"/>
              <w:wordWrap w:val="0"/>
              <w:spacing w:line="360" w:lineRule="auto"/>
              <w:jc w:val="center"/>
              <w:rPr>
                <w:color w:val="auto"/>
                <w:sz w:val="21"/>
                <w:szCs w:val="21"/>
                <w:highlight w:val="none"/>
              </w:rPr>
            </w:pPr>
            <w:r>
              <w:rPr>
                <w:color w:val="auto"/>
                <w:sz w:val="21"/>
                <w:szCs w:val="21"/>
                <w:highlight w:val="none"/>
              </w:rPr>
              <w:t>14.1</w:t>
            </w:r>
          </w:p>
        </w:tc>
        <w:tc>
          <w:tcPr>
            <w:tcW w:w="1663" w:type="dxa"/>
            <w:vAlign w:val="center"/>
          </w:tcPr>
          <w:p w14:paraId="1608B6F2">
            <w:pPr>
              <w:pStyle w:val="23"/>
              <w:widowControl w:val="0"/>
              <w:wordWrap w:val="0"/>
              <w:spacing w:line="360" w:lineRule="auto"/>
              <w:jc w:val="center"/>
              <w:rPr>
                <w:color w:val="auto"/>
                <w:sz w:val="21"/>
                <w:szCs w:val="21"/>
                <w:highlight w:val="none"/>
              </w:rPr>
            </w:pPr>
            <w:r>
              <w:rPr>
                <w:color w:val="auto"/>
                <w:sz w:val="21"/>
                <w:szCs w:val="21"/>
                <w:highlight w:val="none"/>
              </w:rPr>
              <w:t>响应文件有效期</w:t>
            </w:r>
          </w:p>
        </w:tc>
        <w:tc>
          <w:tcPr>
            <w:tcW w:w="6588" w:type="dxa"/>
            <w:vAlign w:val="center"/>
          </w:tcPr>
          <w:p w14:paraId="682F9707">
            <w:pPr>
              <w:pStyle w:val="23"/>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自响应文件提交截止时间之日起 90 天，有效期不足的响应文件将被拒绝。</w:t>
            </w:r>
          </w:p>
        </w:tc>
      </w:tr>
      <w:tr w14:paraId="6319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65" w:type="dxa"/>
            <w:vAlign w:val="center"/>
          </w:tcPr>
          <w:p w14:paraId="6CF1A30C">
            <w:pPr>
              <w:widowControl w:val="0"/>
              <w:wordWrap w:val="0"/>
              <w:spacing w:line="360" w:lineRule="auto"/>
              <w:ind w:firstLine="420" w:firstLineChars="200"/>
              <w:jc w:val="center"/>
              <w:rPr>
                <w:color w:val="auto"/>
                <w:highlight w:val="none"/>
                <w:lang w:eastAsia="zh-CN"/>
              </w:rPr>
            </w:pPr>
          </w:p>
          <w:p w14:paraId="32C517BF">
            <w:pPr>
              <w:widowControl w:val="0"/>
              <w:wordWrap w:val="0"/>
              <w:spacing w:line="360" w:lineRule="auto"/>
              <w:ind w:firstLine="420" w:firstLineChars="200"/>
              <w:jc w:val="center"/>
              <w:rPr>
                <w:color w:val="auto"/>
                <w:highlight w:val="none"/>
                <w:lang w:eastAsia="zh-CN"/>
              </w:rPr>
            </w:pPr>
          </w:p>
          <w:p w14:paraId="6D4445FD">
            <w:pPr>
              <w:widowControl w:val="0"/>
              <w:wordWrap w:val="0"/>
              <w:spacing w:line="360" w:lineRule="auto"/>
              <w:ind w:firstLine="420" w:firstLineChars="200"/>
              <w:jc w:val="center"/>
              <w:rPr>
                <w:color w:val="auto"/>
                <w:highlight w:val="none"/>
                <w:lang w:eastAsia="zh-CN"/>
              </w:rPr>
            </w:pPr>
          </w:p>
          <w:p w14:paraId="0000810F">
            <w:pPr>
              <w:widowControl w:val="0"/>
              <w:wordWrap w:val="0"/>
              <w:spacing w:line="360" w:lineRule="auto"/>
              <w:ind w:firstLine="420" w:firstLineChars="200"/>
              <w:jc w:val="center"/>
              <w:rPr>
                <w:color w:val="auto"/>
                <w:highlight w:val="none"/>
                <w:lang w:eastAsia="zh-CN"/>
              </w:rPr>
            </w:pPr>
          </w:p>
          <w:p w14:paraId="29058B1A">
            <w:pPr>
              <w:widowControl w:val="0"/>
              <w:wordWrap w:val="0"/>
              <w:spacing w:line="360" w:lineRule="auto"/>
              <w:ind w:firstLine="420" w:firstLineChars="200"/>
              <w:jc w:val="center"/>
              <w:rPr>
                <w:color w:val="auto"/>
                <w:highlight w:val="none"/>
                <w:lang w:eastAsia="zh-CN"/>
              </w:rPr>
            </w:pPr>
          </w:p>
          <w:p w14:paraId="54CB3765">
            <w:pPr>
              <w:widowControl w:val="0"/>
              <w:wordWrap w:val="0"/>
              <w:spacing w:line="360" w:lineRule="auto"/>
              <w:ind w:firstLine="420" w:firstLineChars="200"/>
              <w:jc w:val="center"/>
              <w:rPr>
                <w:color w:val="auto"/>
                <w:highlight w:val="none"/>
                <w:lang w:eastAsia="zh-CN"/>
              </w:rPr>
            </w:pPr>
          </w:p>
          <w:p w14:paraId="17C54B13">
            <w:pPr>
              <w:widowControl w:val="0"/>
              <w:wordWrap w:val="0"/>
              <w:spacing w:line="360" w:lineRule="auto"/>
              <w:ind w:firstLine="420" w:firstLineChars="200"/>
              <w:jc w:val="center"/>
              <w:rPr>
                <w:color w:val="auto"/>
                <w:highlight w:val="none"/>
                <w:lang w:eastAsia="zh-CN"/>
              </w:rPr>
            </w:pPr>
          </w:p>
          <w:p w14:paraId="1221EEEA">
            <w:pPr>
              <w:widowControl w:val="0"/>
              <w:wordWrap w:val="0"/>
              <w:spacing w:line="360" w:lineRule="auto"/>
              <w:ind w:firstLine="420" w:firstLineChars="200"/>
              <w:jc w:val="center"/>
              <w:rPr>
                <w:color w:val="auto"/>
                <w:highlight w:val="none"/>
                <w:lang w:eastAsia="zh-CN"/>
              </w:rPr>
            </w:pPr>
          </w:p>
          <w:p w14:paraId="2843C9D8">
            <w:pPr>
              <w:pStyle w:val="23"/>
              <w:widowControl w:val="0"/>
              <w:wordWrap w:val="0"/>
              <w:spacing w:line="360" w:lineRule="auto"/>
              <w:jc w:val="center"/>
              <w:rPr>
                <w:color w:val="auto"/>
                <w:sz w:val="21"/>
                <w:szCs w:val="21"/>
                <w:highlight w:val="none"/>
              </w:rPr>
            </w:pPr>
            <w:r>
              <w:rPr>
                <w:color w:val="auto"/>
                <w:sz w:val="21"/>
                <w:szCs w:val="21"/>
                <w:highlight w:val="none"/>
              </w:rPr>
              <w:t>6</w:t>
            </w:r>
          </w:p>
        </w:tc>
        <w:tc>
          <w:tcPr>
            <w:tcW w:w="885" w:type="dxa"/>
            <w:gridSpan w:val="2"/>
            <w:vAlign w:val="center"/>
          </w:tcPr>
          <w:p w14:paraId="786C8A3D">
            <w:pPr>
              <w:widowControl w:val="0"/>
              <w:wordWrap w:val="0"/>
              <w:spacing w:line="360" w:lineRule="auto"/>
              <w:ind w:firstLine="420" w:firstLineChars="200"/>
              <w:jc w:val="center"/>
              <w:rPr>
                <w:color w:val="auto"/>
                <w:highlight w:val="none"/>
              </w:rPr>
            </w:pPr>
          </w:p>
          <w:p w14:paraId="4C661D78">
            <w:pPr>
              <w:widowControl w:val="0"/>
              <w:wordWrap w:val="0"/>
              <w:spacing w:line="360" w:lineRule="auto"/>
              <w:ind w:firstLine="420" w:firstLineChars="200"/>
              <w:jc w:val="center"/>
              <w:rPr>
                <w:color w:val="auto"/>
                <w:highlight w:val="none"/>
              </w:rPr>
            </w:pPr>
          </w:p>
          <w:p w14:paraId="0B16216D">
            <w:pPr>
              <w:widowControl w:val="0"/>
              <w:wordWrap w:val="0"/>
              <w:spacing w:line="360" w:lineRule="auto"/>
              <w:ind w:firstLine="420" w:firstLineChars="200"/>
              <w:jc w:val="center"/>
              <w:rPr>
                <w:color w:val="auto"/>
                <w:highlight w:val="none"/>
              </w:rPr>
            </w:pPr>
          </w:p>
          <w:p w14:paraId="30733EE3">
            <w:pPr>
              <w:widowControl w:val="0"/>
              <w:wordWrap w:val="0"/>
              <w:spacing w:line="360" w:lineRule="auto"/>
              <w:ind w:firstLine="420" w:firstLineChars="200"/>
              <w:jc w:val="center"/>
              <w:rPr>
                <w:color w:val="auto"/>
                <w:highlight w:val="none"/>
              </w:rPr>
            </w:pPr>
          </w:p>
          <w:p w14:paraId="725D2850">
            <w:pPr>
              <w:widowControl w:val="0"/>
              <w:wordWrap w:val="0"/>
              <w:spacing w:line="360" w:lineRule="auto"/>
              <w:ind w:firstLine="420" w:firstLineChars="200"/>
              <w:jc w:val="center"/>
              <w:rPr>
                <w:color w:val="auto"/>
                <w:highlight w:val="none"/>
              </w:rPr>
            </w:pPr>
          </w:p>
          <w:p w14:paraId="246E098C">
            <w:pPr>
              <w:widowControl w:val="0"/>
              <w:wordWrap w:val="0"/>
              <w:spacing w:line="360" w:lineRule="auto"/>
              <w:ind w:firstLine="420" w:firstLineChars="200"/>
              <w:jc w:val="center"/>
              <w:rPr>
                <w:color w:val="auto"/>
                <w:highlight w:val="none"/>
              </w:rPr>
            </w:pPr>
          </w:p>
          <w:p w14:paraId="368068FD">
            <w:pPr>
              <w:widowControl w:val="0"/>
              <w:wordWrap w:val="0"/>
              <w:spacing w:line="360" w:lineRule="auto"/>
              <w:ind w:firstLine="420" w:firstLineChars="200"/>
              <w:jc w:val="center"/>
              <w:rPr>
                <w:color w:val="auto"/>
                <w:highlight w:val="none"/>
              </w:rPr>
            </w:pPr>
          </w:p>
          <w:p w14:paraId="59517721">
            <w:pPr>
              <w:widowControl w:val="0"/>
              <w:wordWrap w:val="0"/>
              <w:spacing w:line="360" w:lineRule="auto"/>
              <w:ind w:firstLine="420" w:firstLineChars="200"/>
              <w:jc w:val="center"/>
              <w:rPr>
                <w:color w:val="auto"/>
                <w:highlight w:val="none"/>
              </w:rPr>
            </w:pPr>
          </w:p>
          <w:p w14:paraId="058877B8">
            <w:pPr>
              <w:pStyle w:val="23"/>
              <w:widowControl w:val="0"/>
              <w:wordWrap w:val="0"/>
              <w:spacing w:line="360" w:lineRule="auto"/>
              <w:jc w:val="center"/>
              <w:rPr>
                <w:color w:val="auto"/>
                <w:sz w:val="21"/>
                <w:szCs w:val="21"/>
                <w:highlight w:val="none"/>
              </w:rPr>
            </w:pPr>
            <w:r>
              <w:rPr>
                <w:color w:val="auto"/>
                <w:sz w:val="21"/>
                <w:szCs w:val="21"/>
                <w:highlight w:val="none"/>
              </w:rPr>
              <w:t>15</w:t>
            </w:r>
          </w:p>
        </w:tc>
        <w:tc>
          <w:tcPr>
            <w:tcW w:w="1663" w:type="dxa"/>
            <w:vAlign w:val="center"/>
          </w:tcPr>
          <w:p w14:paraId="5033038C">
            <w:pPr>
              <w:widowControl w:val="0"/>
              <w:wordWrap w:val="0"/>
              <w:spacing w:line="360" w:lineRule="auto"/>
              <w:ind w:firstLine="420" w:firstLineChars="200"/>
              <w:jc w:val="center"/>
              <w:rPr>
                <w:color w:val="auto"/>
                <w:highlight w:val="none"/>
                <w:lang w:eastAsia="zh-CN"/>
              </w:rPr>
            </w:pPr>
          </w:p>
          <w:p w14:paraId="2B6016FA">
            <w:pPr>
              <w:widowControl w:val="0"/>
              <w:wordWrap w:val="0"/>
              <w:spacing w:line="360" w:lineRule="auto"/>
              <w:ind w:firstLine="420" w:firstLineChars="200"/>
              <w:jc w:val="center"/>
              <w:rPr>
                <w:color w:val="auto"/>
                <w:highlight w:val="none"/>
                <w:lang w:eastAsia="zh-CN"/>
              </w:rPr>
            </w:pPr>
          </w:p>
          <w:p w14:paraId="5AF33F93">
            <w:pPr>
              <w:widowControl w:val="0"/>
              <w:wordWrap w:val="0"/>
              <w:spacing w:line="360" w:lineRule="auto"/>
              <w:ind w:firstLine="420" w:firstLineChars="200"/>
              <w:jc w:val="center"/>
              <w:rPr>
                <w:color w:val="auto"/>
                <w:highlight w:val="none"/>
                <w:lang w:eastAsia="zh-CN"/>
              </w:rPr>
            </w:pPr>
          </w:p>
          <w:p w14:paraId="62447323">
            <w:pPr>
              <w:widowControl w:val="0"/>
              <w:wordWrap w:val="0"/>
              <w:spacing w:line="360" w:lineRule="auto"/>
              <w:ind w:firstLine="420" w:firstLineChars="200"/>
              <w:jc w:val="center"/>
              <w:rPr>
                <w:color w:val="auto"/>
                <w:highlight w:val="none"/>
                <w:lang w:eastAsia="zh-CN"/>
              </w:rPr>
            </w:pPr>
          </w:p>
          <w:p w14:paraId="4C4C4F61">
            <w:pPr>
              <w:widowControl w:val="0"/>
              <w:wordWrap w:val="0"/>
              <w:spacing w:line="360" w:lineRule="auto"/>
              <w:ind w:firstLine="420" w:firstLineChars="200"/>
              <w:jc w:val="center"/>
              <w:rPr>
                <w:color w:val="auto"/>
                <w:highlight w:val="none"/>
                <w:lang w:eastAsia="zh-CN"/>
              </w:rPr>
            </w:pPr>
          </w:p>
          <w:p w14:paraId="0BD0E568">
            <w:pPr>
              <w:widowControl w:val="0"/>
              <w:wordWrap w:val="0"/>
              <w:spacing w:line="360" w:lineRule="auto"/>
              <w:ind w:firstLine="420" w:firstLineChars="200"/>
              <w:jc w:val="center"/>
              <w:rPr>
                <w:color w:val="auto"/>
                <w:highlight w:val="none"/>
                <w:lang w:eastAsia="zh-CN"/>
              </w:rPr>
            </w:pPr>
          </w:p>
          <w:p w14:paraId="375CAE10">
            <w:pPr>
              <w:widowControl w:val="0"/>
              <w:wordWrap w:val="0"/>
              <w:spacing w:line="360" w:lineRule="auto"/>
              <w:ind w:firstLine="420" w:firstLineChars="200"/>
              <w:jc w:val="center"/>
              <w:rPr>
                <w:color w:val="auto"/>
                <w:highlight w:val="none"/>
                <w:lang w:eastAsia="zh-CN"/>
              </w:rPr>
            </w:pPr>
          </w:p>
          <w:p w14:paraId="298E84A1">
            <w:pPr>
              <w:widowControl w:val="0"/>
              <w:wordWrap w:val="0"/>
              <w:spacing w:line="360" w:lineRule="auto"/>
              <w:ind w:firstLine="420" w:firstLineChars="200"/>
              <w:jc w:val="center"/>
              <w:rPr>
                <w:color w:val="auto"/>
                <w:highlight w:val="none"/>
                <w:lang w:eastAsia="zh-CN"/>
              </w:rPr>
            </w:pPr>
          </w:p>
          <w:p w14:paraId="0B12FC55">
            <w:pPr>
              <w:pStyle w:val="23"/>
              <w:widowControl w:val="0"/>
              <w:wordWrap w:val="0"/>
              <w:spacing w:line="360" w:lineRule="auto"/>
              <w:jc w:val="center"/>
              <w:rPr>
                <w:color w:val="auto"/>
                <w:sz w:val="21"/>
                <w:szCs w:val="21"/>
                <w:highlight w:val="none"/>
                <w:lang w:eastAsia="zh-CN"/>
              </w:rPr>
            </w:pPr>
            <w:r>
              <w:rPr>
                <w:color w:val="auto"/>
                <w:sz w:val="21"/>
                <w:szCs w:val="21"/>
                <w:highlight w:val="none"/>
                <w:lang w:eastAsia="zh-CN"/>
              </w:rPr>
              <w:t>电子响应文件的制作、加密</w:t>
            </w:r>
          </w:p>
        </w:tc>
        <w:tc>
          <w:tcPr>
            <w:tcW w:w="6588" w:type="dxa"/>
          </w:tcPr>
          <w:p w14:paraId="7B2A9290">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15.1 供应商制作电子响应文件前，应登陆广西政府采购云平台进行“申请获取采购文件 ”操作，否则，有可能导致无法在线编制响应文件并参与竞标，其不利后果由供应商自行承担。</w:t>
            </w:r>
          </w:p>
          <w:p w14:paraId="2D875B84">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15.2 供应商下载或获取竞争性谈判文件后，登录“广西政府采购云平台电子投标客户端 ”，按照本谈判文件规定的响应文件格式、顺序以及广西政府采购云平台的要求，通过“广西政府采购云平台电子投标客户端 ”编制电子响应文件。</w:t>
            </w:r>
          </w:p>
          <w:p w14:paraId="7FE58B42">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15.3 供应商应按“广西政府采购云平台电子投标客户端 ”载明的“标书关联 ”功能进行电子响应文件的关联定位， 以便谈判小组在评审时 点击相应评审项可直接定位到该评审内容；如供应商的电子响应文件 未能关联定位相应内容，或者关联定位的内容与该评审项不符，导致谈判小组无法查询并做出对供应商不利的评审，相关后果由供应商自行承担。</w:t>
            </w:r>
          </w:p>
          <w:p w14:paraId="7EECBAB0">
            <w:pPr>
              <w:pStyle w:val="23"/>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15.4 电子响应文件不得涂改，若有修改错漏处，须由法定代表人（负责人、 自然人）或授权委托代理人通过“广西政府采购云平台电子投标客户端 ”采用广西政府采购云平台个人 CA 证书签章，没有办理广西 政府采购云平台个人 CA 证书签章的，在响应文件中响应位置手写签字 后扫描或者拍照做成 PDF 的格式上传。因响应文件字迹潦草、表达不清、 内容不完整、编排混乱导致响应文件被误读、漏读，或者在按竞争性谈判文件规定的部位查找不到相关内容的，其不利后果由供应商自行承担。</w:t>
            </w:r>
          </w:p>
          <w:p w14:paraId="69AE67AB">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15.5 供应商编制、生成电子响应文件后应当加密响应文件。供应商未按规定编制并加密的响应文件，广西政府采购云平台将予以拒收。</w:t>
            </w:r>
          </w:p>
        </w:tc>
      </w:tr>
      <w:tr w14:paraId="2CDB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6" w:hRule="atLeast"/>
        </w:trPr>
        <w:tc>
          <w:tcPr>
            <w:tcW w:w="565" w:type="dxa"/>
            <w:vAlign w:val="center"/>
          </w:tcPr>
          <w:p w14:paraId="7DF84D8F">
            <w:pPr>
              <w:widowControl w:val="0"/>
              <w:wordWrap w:val="0"/>
              <w:spacing w:line="360" w:lineRule="auto"/>
              <w:ind w:firstLine="420" w:firstLineChars="200"/>
              <w:jc w:val="center"/>
              <w:rPr>
                <w:color w:val="auto"/>
                <w:highlight w:val="none"/>
                <w:lang w:eastAsia="zh-CN"/>
              </w:rPr>
            </w:pPr>
          </w:p>
          <w:p w14:paraId="21D5B555">
            <w:pPr>
              <w:widowControl w:val="0"/>
              <w:wordWrap w:val="0"/>
              <w:spacing w:line="360" w:lineRule="auto"/>
              <w:ind w:firstLine="420" w:firstLineChars="200"/>
              <w:jc w:val="center"/>
              <w:rPr>
                <w:color w:val="auto"/>
                <w:highlight w:val="none"/>
                <w:lang w:eastAsia="zh-CN"/>
              </w:rPr>
            </w:pPr>
          </w:p>
          <w:p w14:paraId="405DD333">
            <w:pPr>
              <w:widowControl w:val="0"/>
              <w:wordWrap w:val="0"/>
              <w:spacing w:line="360" w:lineRule="auto"/>
              <w:ind w:firstLine="420" w:firstLineChars="200"/>
              <w:jc w:val="center"/>
              <w:rPr>
                <w:color w:val="auto"/>
                <w:highlight w:val="none"/>
                <w:lang w:eastAsia="zh-CN"/>
              </w:rPr>
            </w:pPr>
          </w:p>
          <w:p w14:paraId="08369933">
            <w:pPr>
              <w:widowControl w:val="0"/>
              <w:wordWrap w:val="0"/>
              <w:spacing w:line="360" w:lineRule="auto"/>
              <w:ind w:firstLine="420" w:firstLineChars="200"/>
              <w:jc w:val="center"/>
              <w:rPr>
                <w:color w:val="auto"/>
                <w:highlight w:val="none"/>
                <w:lang w:eastAsia="zh-CN"/>
              </w:rPr>
            </w:pPr>
          </w:p>
          <w:p w14:paraId="6CD4A43A">
            <w:pPr>
              <w:widowControl w:val="0"/>
              <w:wordWrap w:val="0"/>
              <w:spacing w:line="360" w:lineRule="auto"/>
              <w:ind w:firstLine="420" w:firstLineChars="200"/>
              <w:jc w:val="center"/>
              <w:rPr>
                <w:color w:val="auto"/>
                <w:highlight w:val="none"/>
                <w:lang w:eastAsia="zh-CN"/>
              </w:rPr>
            </w:pPr>
          </w:p>
          <w:p w14:paraId="3FC14DF3">
            <w:pPr>
              <w:pStyle w:val="23"/>
              <w:widowControl w:val="0"/>
              <w:wordWrap w:val="0"/>
              <w:spacing w:line="360" w:lineRule="auto"/>
              <w:jc w:val="center"/>
              <w:rPr>
                <w:color w:val="auto"/>
                <w:sz w:val="21"/>
                <w:szCs w:val="21"/>
                <w:highlight w:val="none"/>
              </w:rPr>
            </w:pPr>
            <w:r>
              <w:rPr>
                <w:color w:val="auto"/>
                <w:sz w:val="21"/>
                <w:szCs w:val="21"/>
                <w:highlight w:val="none"/>
              </w:rPr>
              <w:t>7</w:t>
            </w:r>
          </w:p>
        </w:tc>
        <w:tc>
          <w:tcPr>
            <w:tcW w:w="885" w:type="dxa"/>
            <w:gridSpan w:val="2"/>
            <w:vAlign w:val="center"/>
          </w:tcPr>
          <w:p w14:paraId="6E3790D3">
            <w:pPr>
              <w:widowControl w:val="0"/>
              <w:wordWrap w:val="0"/>
              <w:spacing w:line="360" w:lineRule="auto"/>
              <w:ind w:firstLine="420" w:firstLineChars="200"/>
              <w:jc w:val="center"/>
              <w:rPr>
                <w:color w:val="auto"/>
                <w:highlight w:val="none"/>
              </w:rPr>
            </w:pPr>
          </w:p>
          <w:p w14:paraId="552D48FC">
            <w:pPr>
              <w:widowControl w:val="0"/>
              <w:wordWrap w:val="0"/>
              <w:spacing w:line="360" w:lineRule="auto"/>
              <w:ind w:firstLine="420" w:firstLineChars="200"/>
              <w:jc w:val="center"/>
              <w:rPr>
                <w:color w:val="auto"/>
                <w:highlight w:val="none"/>
              </w:rPr>
            </w:pPr>
          </w:p>
          <w:p w14:paraId="13E266CD">
            <w:pPr>
              <w:widowControl w:val="0"/>
              <w:wordWrap w:val="0"/>
              <w:spacing w:line="360" w:lineRule="auto"/>
              <w:ind w:firstLine="420" w:firstLineChars="200"/>
              <w:jc w:val="center"/>
              <w:rPr>
                <w:color w:val="auto"/>
                <w:highlight w:val="none"/>
              </w:rPr>
            </w:pPr>
          </w:p>
          <w:p w14:paraId="4DCD72C1">
            <w:pPr>
              <w:widowControl w:val="0"/>
              <w:wordWrap w:val="0"/>
              <w:spacing w:line="360" w:lineRule="auto"/>
              <w:ind w:firstLine="420" w:firstLineChars="200"/>
              <w:jc w:val="center"/>
              <w:rPr>
                <w:color w:val="auto"/>
                <w:highlight w:val="none"/>
              </w:rPr>
            </w:pPr>
          </w:p>
          <w:p w14:paraId="0A24ED8B">
            <w:pPr>
              <w:widowControl w:val="0"/>
              <w:wordWrap w:val="0"/>
              <w:spacing w:line="360" w:lineRule="auto"/>
              <w:ind w:firstLine="420" w:firstLineChars="200"/>
              <w:jc w:val="center"/>
              <w:rPr>
                <w:color w:val="auto"/>
                <w:highlight w:val="none"/>
              </w:rPr>
            </w:pPr>
          </w:p>
          <w:p w14:paraId="05F2E664">
            <w:pPr>
              <w:pStyle w:val="23"/>
              <w:widowControl w:val="0"/>
              <w:wordWrap w:val="0"/>
              <w:spacing w:line="360" w:lineRule="auto"/>
              <w:jc w:val="center"/>
              <w:rPr>
                <w:color w:val="auto"/>
                <w:sz w:val="21"/>
                <w:szCs w:val="21"/>
                <w:highlight w:val="none"/>
              </w:rPr>
            </w:pPr>
            <w:r>
              <w:rPr>
                <w:color w:val="auto"/>
                <w:sz w:val="21"/>
                <w:szCs w:val="21"/>
                <w:highlight w:val="none"/>
              </w:rPr>
              <w:t>15.6</w:t>
            </w:r>
          </w:p>
        </w:tc>
        <w:tc>
          <w:tcPr>
            <w:tcW w:w="1663" w:type="dxa"/>
            <w:vAlign w:val="center"/>
          </w:tcPr>
          <w:p w14:paraId="2A2DA70A">
            <w:pPr>
              <w:widowControl w:val="0"/>
              <w:wordWrap w:val="0"/>
              <w:spacing w:line="360" w:lineRule="auto"/>
              <w:ind w:firstLine="420" w:firstLineChars="200"/>
              <w:jc w:val="center"/>
              <w:rPr>
                <w:color w:val="auto"/>
                <w:highlight w:val="none"/>
              </w:rPr>
            </w:pPr>
          </w:p>
          <w:p w14:paraId="050008EC">
            <w:pPr>
              <w:widowControl w:val="0"/>
              <w:wordWrap w:val="0"/>
              <w:spacing w:line="360" w:lineRule="auto"/>
              <w:ind w:firstLine="420" w:firstLineChars="200"/>
              <w:jc w:val="center"/>
              <w:rPr>
                <w:color w:val="auto"/>
                <w:highlight w:val="none"/>
              </w:rPr>
            </w:pPr>
          </w:p>
          <w:p w14:paraId="1297E0A3">
            <w:pPr>
              <w:widowControl w:val="0"/>
              <w:wordWrap w:val="0"/>
              <w:spacing w:line="360" w:lineRule="auto"/>
              <w:ind w:firstLine="420" w:firstLineChars="200"/>
              <w:jc w:val="center"/>
              <w:rPr>
                <w:color w:val="auto"/>
                <w:highlight w:val="none"/>
              </w:rPr>
            </w:pPr>
          </w:p>
          <w:p w14:paraId="19E9E46F">
            <w:pPr>
              <w:widowControl w:val="0"/>
              <w:wordWrap w:val="0"/>
              <w:spacing w:line="360" w:lineRule="auto"/>
              <w:ind w:firstLine="420" w:firstLineChars="200"/>
              <w:jc w:val="center"/>
              <w:rPr>
                <w:color w:val="auto"/>
                <w:highlight w:val="none"/>
              </w:rPr>
            </w:pPr>
          </w:p>
          <w:p w14:paraId="7FDBE4DA">
            <w:pPr>
              <w:widowControl w:val="0"/>
              <w:wordWrap w:val="0"/>
              <w:spacing w:line="360" w:lineRule="auto"/>
              <w:ind w:firstLine="420" w:firstLineChars="200"/>
              <w:jc w:val="center"/>
              <w:rPr>
                <w:color w:val="auto"/>
                <w:highlight w:val="none"/>
              </w:rPr>
            </w:pPr>
          </w:p>
          <w:p w14:paraId="0D991851">
            <w:pPr>
              <w:pStyle w:val="23"/>
              <w:widowControl w:val="0"/>
              <w:wordWrap w:val="0"/>
              <w:spacing w:line="360" w:lineRule="auto"/>
              <w:jc w:val="center"/>
              <w:rPr>
                <w:color w:val="auto"/>
                <w:sz w:val="21"/>
                <w:szCs w:val="21"/>
                <w:highlight w:val="none"/>
              </w:rPr>
            </w:pPr>
            <w:r>
              <w:rPr>
                <w:color w:val="auto"/>
                <w:sz w:val="21"/>
                <w:szCs w:val="21"/>
                <w:highlight w:val="none"/>
              </w:rPr>
              <w:t>供应商公章及签字</w:t>
            </w:r>
          </w:p>
        </w:tc>
        <w:tc>
          <w:tcPr>
            <w:tcW w:w="6588" w:type="dxa"/>
          </w:tcPr>
          <w:p w14:paraId="204EB813">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15.6.1 本竞争性谈判文件中描述供应商的“公章 ”是指供应商通过指定电子化政府采购平台办理数字证书（CA 认证证书）获得的以法定主体行为名称制作的电子印章。</w:t>
            </w:r>
          </w:p>
          <w:p w14:paraId="39513451">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15.6.2 本竞争性谈判文件中要求供应商对其电子响应文件的相关内容加盖公章的，均指采用CA 证书签章。</w:t>
            </w:r>
          </w:p>
          <w:p w14:paraId="0F10BB49">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15.6.3 本谈判文件中描述供应商的“签字 ”是指供应商通过指定电子化政府采购平台办理数字证书（CA 认证证书）获得的以供应商法定表人（自负责人、 自然人）或者委托代理人姓名制作的个人电子印章或手写签字。没有办理个人 CA 证书的，可以为手写签字的形式。</w:t>
            </w:r>
          </w:p>
        </w:tc>
      </w:tr>
      <w:tr w14:paraId="043C6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0" w:hRule="atLeast"/>
        </w:trPr>
        <w:tc>
          <w:tcPr>
            <w:tcW w:w="565" w:type="dxa"/>
            <w:vAlign w:val="center"/>
          </w:tcPr>
          <w:p w14:paraId="128CE4A9">
            <w:pPr>
              <w:widowControl w:val="0"/>
              <w:wordWrap w:val="0"/>
              <w:spacing w:line="360" w:lineRule="auto"/>
              <w:ind w:firstLine="420" w:firstLineChars="200"/>
              <w:jc w:val="center"/>
              <w:rPr>
                <w:color w:val="auto"/>
                <w:highlight w:val="none"/>
                <w:lang w:eastAsia="zh-CN"/>
              </w:rPr>
            </w:pPr>
          </w:p>
          <w:p w14:paraId="31BEB42A">
            <w:pPr>
              <w:widowControl w:val="0"/>
              <w:wordWrap w:val="0"/>
              <w:spacing w:line="360" w:lineRule="auto"/>
              <w:ind w:firstLine="420" w:firstLineChars="200"/>
              <w:jc w:val="center"/>
              <w:rPr>
                <w:color w:val="auto"/>
                <w:highlight w:val="none"/>
                <w:lang w:eastAsia="zh-CN"/>
              </w:rPr>
            </w:pPr>
          </w:p>
          <w:p w14:paraId="5679971B">
            <w:pPr>
              <w:widowControl w:val="0"/>
              <w:wordWrap w:val="0"/>
              <w:spacing w:line="360" w:lineRule="auto"/>
              <w:ind w:firstLine="420" w:firstLineChars="200"/>
              <w:jc w:val="center"/>
              <w:rPr>
                <w:color w:val="auto"/>
                <w:highlight w:val="none"/>
                <w:lang w:eastAsia="zh-CN"/>
              </w:rPr>
            </w:pPr>
          </w:p>
          <w:p w14:paraId="1632DEBD">
            <w:pPr>
              <w:widowControl w:val="0"/>
              <w:wordWrap w:val="0"/>
              <w:spacing w:line="360" w:lineRule="auto"/>
              <w:ind w:firstLine="420" w:firstLineChars="200"/>
              <w:jc w:val="center"/>
              <w:rPr>
                <w:color w:val="auto"/>
                <w:highlight w:val="none"/>
                <w:lang w:eastAsia="zh-CN"/>
              </w:rPr>
            </w:pPr>
          </w:p>
          <w:p w14:paraId="4B43742E">
            <w:pPr>
              <w:widowControl w:val="0"/>
              <w:wordWrap w:val="0"/>
              <w:spacing w:line="360" w:lineRule="auto"/>
              <w:ind w:firstLine="420" w:firstLineChars="200"/>
              <w:jc w:val="center"/>
              <w:rPr>
                <w:color w:val="auto"/>
                <w:highlight w:val="none"/>
                <w:lang w:eastAsia="zh-CN"/>
              </w:rPr>
            </w:pPr>
          </w:p>
          <w:p w14:paraId="30594131">
            <w:pPr>
              <w:widowControl w:val="0"/>
              <w:wordWrap w:val="0"/>
              <w:spacing w:line="360" w:lineRule="auto"/>
              <w:ind w:firstLine="420" w:firstLineChars="200"/>
              <w:jc w:val="center"/>
              <w:rPr>
                <w:color w:val="auto"/>
                <w:highlight w:val="none"/>
                <w:lang w:eastAsia="zh-CN"/>
              </w:rPr>
            </w:pPr>
          </w:p>
          <w:p w14:paraId="1C1CB162">
            <w:pPr>
              <w:pStyle w:val="23"/>
              <w:widowControl w:val="0"/>
              <w:wordWrap w:val="0"/>
              <w:spacing w:line="360" w:lineRule="auto"/>
              <w:jc w:val="center"/>
              <w:rPr>
                <w:color w:val="auto"/>
                <w:sz w:val="21"/>
                <w:szCs w:val="21"/>
                <w:highlight w:val="none"/>
              </w:rPr>
            </w:pPr>
            <w:r>
              <w:rPr>
                <w:color w:val="auto"/>
                <w:sz w:val="21"/>
                <w:szCs w:val="21"/>
                <w:highlight w:val="none"/>
              </w:rPr>
              <w:t>8</w:t>
            </w:r>
          </w:p>
        </w:tc>
        <w:tc>
          <w:tcPr>
            <w:tcW w:w="885" w:type="dxa"/>
            <w:gridSpan w:val="2"/>
            <w:vAlign w:val="center"/>
          </w:tcPr>
          <w:p w14:paraId="598BFBB7">
            <w:pPr>
              <w:widowControl w:val="0"/>
              <w:wordWrap w:val="0"/>
              <w:spacing w:line="360" w:lineRule="auto"/>
              <w:ind w:firstLine="420" w:firstLineChars="200"/>
              <w:jc w:val="center"/>
              <w:rPr>
                <w:color w:val="auto"/>
                <w:highlight w:val="none"/>
              </w:rPr>
            </w:pPr>
          </w:p>
          <w:p w14:paraId="06791286">
            <w:pPr>
              <w:widowControl w:val="0"/>
              <w:wordWrap w:val="0"/>
              <w:spacing w:line="360" w:lineRule="auto"/>
              <w:ind w:firstLine="420" w:firstLineChars="200"/>
              <w:jc w:val="center"/>
              <w:rPr>
                <w:color w:val="auto"/>
                <w:highlight w:val="none"/>
              </w:rPr>
            </w:pPr>
          </w:p>
          <w:p w14:paraId="5978396E">
            <w:pPr>
              <w:widowControl w:val="0"/>
              <w:wordWrap w:val="0"/>
              <w:spacing w:line="360" w:lineRule="auto"/>
              <w:ind w:firstLine="420" w:firstLineChars="200"/>
              <w:jc w:val="center"/>
              <w:rPr>
                <w:color w:val="auto"/>
                <w:highlight w:val="none"/>
              </w:rPr>
            </w:pPr>
          </w:p>
          <w:p w14:paraId="55AA7D47">
            <w:pPr>
              <w:widowControl w:val="0"/>
              <w:wordWrap w:val="0"/>
              <w:spacing w:line="360" w:lineRule="auto"/>
              <w:ind w:firstLine="420" w:firstLineChars="200"/>
              <w:jc w:val="center"/>
              <w:rPr>
                <w:color w:val="auto"/>
                <w:highlight w:val="none"/>
              </w:rPr>
            </w:pPr>
          </w:p>
          <w:p w14:paraId="4031DB91">
            <w:pPr>
              <w:widowControl w:val="0"/>
              <w:wordWrap w:val="0"/>
              <w:spacing w:line="360" w:lineRule="auto"/>
              <w:ind w:firstLine="420" w:firstLineChars="200"/>
              <w:jc w:val="center"/>
              <w:rPr>
                <w:color w:val="auto"/>
                <w:highlight w:val="none"/>
              </w:rPr>
            </w:pPr>
          </w:p>
          <w:p w14:paraId="5CFC7A41">
            <w:pPr>
              <w:widowControl w:val="0"/>
              <w:wordWrap w:val="0"/>
              <w:spacing w:line="360" w:lineRule="auto"/>
              <w:ind w:firstLine="420" w:firstLineChars="200"/>
              <w:jc w:val="center"/>
              <w:rPr>
                <w:color w:val="auto"/>
                <w:highlight w:val="none"/>
              </w:rPr>
            </w:pPr>
          </w:p>
          <w:p w14:paraId="51E0EB2C">
            <w:pPr>
              <w:pStyle w:val="23"/>
              <w:widowControl w:val="0"/>
              <w:wordWrap w:val="0"/>
              <w:spacing w:line="360" w:lineRule="auto"/>
              <w:jc w:val="center"/>
              <w:rPr>
                <w:color w:val="auto"/>
                <w:sz w:val="21"/>
                <w:szCs w:val="21"/>
                <w:highlight w:val="none"/>
              </w:rPr>
            </w:pPr>
            <w:r>
              <w:rPr>
                <w:color w:val="auto"/>
                <w:sz w:val="21"/>
                <w:szCs w:val="21"/>
                <w:highlight w:val="none"/>
              </w:rPr>
              <w:t>16</w:t>
            </w:r>
          </w:p>
        </w:tc>
        <w:tc>
          <w:tcPr>
            <w:tcW w:w="1663" w:type="dxa"/>
            <w:vAlign w:val="center"/>
          </w:tcPr>
          <w:p w14:paraId="5734A937">
            <w:pPr>
              <w:widowControl w:val="0"/>
              <w:wordWrap w:val="0"/>
              <w:spacing w:line="360" w:lineRule="auto"/>
              <w:ind w:firstLine="420" w:firstLineChars="200"/>
              <w:jc w:val="center"/>
              <w:rPr>
                <w:color w:val="auto"/>
                <w:highlight w:val="none"/>
                <w:lang w:eastAsia="zh-CN"/>
              </w:rPr>
            </w:pPr>
          </w:p>
          <w:p w14:paraId="54D3A695">
            <w:pPr>
              <w:widowControl w:val="0"/>
              <w:wordWrap w:val="0"/>
              <w:spacing w:line="360" w:lineRule="auto"/>
              <w:ind w:firstLine="420" w:firstLineChars="200"/>
              <w:jc w:val="center"/>
              <w:rPr>
                <w:color w:val="auto"/>
                <w:highlight w:val="none"/>
                <w:lang w:eastAsia="zh-CN"/>
              </w:rPr>
            </w:pPr>
          </w:p>
          <w:p w14:paraId="281FBA38">
            <w:pPr>
              <w:widowControl w:val="0"/>
              <w:wordWrap w:val="0"/>
              <w:spacing w:line="360" w:lineRule="auto"/>
              <w:ind w:firstLine="420" w:firstLineChars="200"/>
              <w:jc w:val="center"/>
              <w:rPr>
                <w:color w:val="auto"/>
                <w:highlight w:val="none"/>
                <w:lang w:eastAsia="zh-CN"/>
              </w:rPr>
            </w:pPr>
          </w:p>
          <w:p w14:paraId="7C975D94">
            <w:pPr>
              <w:widowControl w:val="0"/>
              <w:wordWrap w:val="0"/>
              <w:spacing w:line="360" w:lineRule="auto"/>
              <w:ind w:firstLine="420" w:firstLineChars="200"/>
              <w:jc w:val="center"/>
              <w:rPr>
                <w:color w:val="auto"/>
                <w:highlight w:val="none"/>
                <w:lang w:eastAsia="zh-CN"/>
              </w:rPr>
            </w:pPr>
          </w:p>
          <w:p w14:paraId="2D80F708">
            <w:pPr>
              <w:widowControl w:val="0"/>
              <w:wordWrap w:val="0"/>
              <w:spacing w:line="360" w:lineRule="auto"/>
              <w:ind w:firstLine="420" w:firstLineChars="200"/>
              <w:jc w:val="center"/>
              <w:rPr>
                <w:color w:val="auto"/>
                <w:highlight w:val="none"/>
                <w:lang w:eastAsia="zh-CN"/>
              </w:rPr>
            </w:pPr>
          </w:p>
          <w:p w14:paraId="2670BD79">
            <w:pPr>
              <w:widowControl w:val="0"/>
              <w:wordWrap w:val="0"/>
              <w:spacing w:line="360" w:lineRule="auto"/>
              <w:ind w:firstLine="420" w:firstLineChars="200"/>
              <w:jc w:val="center"/>
              <w:rPr>
                <w:color w:val="auto"/>
                <w:highlight w:val="none"/>
                <w:lang w:eastAsia="zh-CN"/>
              </w:rPr>
            </w:pPr>
          </w:p>
          <w:p w14:paraId="5B8E3DEC">
            <w:pPr>
              <w:pStyle w:val="23"/>
              <w:widowControl w:val="0"/>
              <w:wordWrap w:val="0"/>
              <w:spacing w:line="360" w:lineRule="auto"/>
              <w:jc w:val="center"/>
              <w:rPr>
                <w:color w:val="auto"/>
                <w:sz w:val="21"/>
                <w:szCs w:val="21"/>
                <w:highlight w:val="none"/>
                <w:lang w:eastAsia="zh-CN"/>
              </w:rPr>
            </w:pPr>
            <w:r>
              <w:rPr>
                <w:color w:val="auto"/>
                <w:sz w:val="21"/>
                <w:szCs w:val="21"/>
                <w:highlight w:val="none"/>
                <w:lang w:eastAsia="zh-CN"/>
              </w:rPr>
              <w:t>首次响应文件的提交、撤回、修改</w:t>
            </w:r>
          </w:p>
        </w:tc>
        <w:tc>
          <w:tcPr>
            <w:tcW w:w="6588" w:type="dxa"/>
          </w:tcPr>
          <w:p w14:paraId="29B27C72">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16.1 响应文件的提交截止时间：2025年</w:t>
            </w:r>
            <w:r>
              <w:rPr>
                <w:rFonts w:hint="eastAsia"/>
                <w:color w:val="auto"/>
                <w:sz w:val="21"/>
                <w:szCs w:val="21"/>
                <w:highlight w:val="none"/>
                <w:lang w:val="en-US" w:eastAsia="zh-CN"/>
              </w:rPr>
              <w:t>10</w:t>
            </w:r>
            <w:r>
              <w:rPr>
                <w:color w:val="auto"/>
                <w:sz w:val="21"/>
                <w:szCs w:val="21"/>
                <w:highlight w:val="none"/>
                <w:lang w:eastAsia="zh-CN"/>
              </w:rPr>
              <w:t>月</w:t>
            </w:r>
            <w:r>
              <w:rPr>
                <w:rFonts w:hint="eastAsia"/>
                <w:color w:val="auto"/>
                <w:sz w:val="21"/>
                <w:szCs w:val="21"/>
                <w:highlight w:val="none"/>
                <w:lang w:val="en-US" w:eastAsia="zh-CN"/>
              </w:rPr>
              <w:t>24</w:t>
            </w:r>
            <w:r>
              <w:rPr>
                <w:color w:val="auto"/>
                <w:sz w:val="21"/>
                <w:szCs w:val="21"/>
                <w:highlight w:val="none"/>
                <w:lang w:eastAsia="zh-CN"/>
              </w:rPr>
              <w:t>日</w:t>
            </w:r>
            <w:r>
              <w:rPr>
                <w:rFonts w:hint="eastAsia"/>
                <w:color w:val="auto"/>
                <w:sz w:val="21"/>
                <w:szCs w:val="21"/>
                <w:highlight w:val="none"/>
                <w:lang w:eastAsia="zh-CN"/>
              </w:rPr>
              <w:t>上</w:t>
            </w:r>
            <w:r>
              <w:rPr>
                <w:color w:val="auto"/>
                <w:sz w:val="21"/>
                <w:szCs w:val="21"/>
                <w:highlight w:val="none"/>
                <w:lang w:eastAsia="zh-CN"/>
              </w:rPr>
              <w:t>午</w:t>
            </w:r>
            <w:r>
              <w:rPr>
                <w:rFonts w:hint="eastAsia"/>
                <w:color w:val="auto"/>
                <w:sz w:val="21"/>
                <w:szCs w:val="21"/>
                <w:highlight w:val="none"/>
                <w:lang w:val="en-US" w:eastAsia="zh-CN"/>
              </w:rPr>
              <w:t>09</w:t>
            </w:r>
            <w:r>
              <w:rPr>
                <w:color w:val="auto"/>
                <w:sz w:val="21"/>
                <w:szCs w:val="21"/>
                <w:highlight w:val="none"/>
                <w:lang w:eastAsia="zh-CN"/>
              </w:rPr>
              <w:t>时30分（北京时间）</w:t>
            </w:r>
          </w:p>
          <w:p w14:paraId="5DA6E0D0">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16.2 地点：通过广西政府采购云平台在线提交。</w:t>
            </w:r>
          </w:p>
          <w:p w14:paraId="3C9D75E5">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16.3 供应商应当在响应文件提交截止时间前，将生成的电子响应文件上传提交至广西政府采购云平台。响应文件提交截止时间前可以补充、修改或撤回电子响应文件，补充、修改电子响应文件的，应当先行撤 回原文件，补充、修改后重新传输提交。在响应文件提交截止时间后的响应文件有效期内，供应商不得撤回其响应文件。响应文件提交截止时间前未成功将电子响应文件上传广西政府采购云平台的，视为未 提交响应文件。</w:t>
            </w:r>
          </w:p>
          <w:p w14:paraId="7A76BB6F">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16.4 除竞争性谈判文件另有规定外，供应商所提交的响应文件不予退还。</w:t>
            </w:r>
          </w:p>
        </w:tc>
      </w:tr>
      <w:tr w14:paraId="39EC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565" w:type="dxa"/>
            <w:vAlign w:val="center"/>
          </w:tcPr>
          <w:p w14:paraId="7106A63C">
            <w:pPr>
              <w:widowControl w:val="0"/>
              <w:wordWrap w:val="0"/>
              <w:spacing w:line="360" w:lineRule="auto"/>
              <w:ind w:firstLine="420" w:firstLineChars="200"/>
              <w:jc w:val="center"/>
              <w:rPr>
                <w:color w:val="auto"/>
                <w:highlight w:val="none"/>
                <w:lang w:eastAsia="zh-CN"/>
              </w:rPr>
            </w:pPr>
          </w:p>
          <w:p w14:paraId="316DCE80">
            <w:pPr>
              <w:widowControl w:val="0"/>
              <w:wordWrap w:val="0"/>
              <w:spacing w:line="360" w:lineRule="auto"/>
              <w:ind w:firstLine="420" w:firstLineChars="200"/>
              <w:jc w:val="center"/>
              <w:rPr>
                <w:color w:val="auto"/>
                <w:highlight w:val="none"/>
                <w:lang w:eastAsia="zh-CN"/>
              </w:rPr>
            </w:pPr>
          </w:p>
          <w:p w14:paraId="7B3C3EE9">
            <w:pPr>
              <w:widowControl w:val="0"/>
              <w:wordWrap w:val="0"/>
              <w:spacing w:line="360" w:lineRule="auto"/>
              <w:ind w:firstLine="420" w:firstLineChars="200"/>
              <w:jc w:val="center"/>
              <w:rPr>
                <w:color w:val="auto"/>
                <w:highlight w:val="none"/>
                <w:lang w:eastAsia="zh-CN"/>
              </w:rPr>
            </w:pPr>
          </w:p>
          <w:p w14:paraId="72E6DDE3">
            <w:pPr>
              <w:pStyle w:val="23"/>
              <w:widowControl w:val="0"/>
              <w:wordWrap w:val="0"/>
              <w:spacing w:line="360" w:lineRule="auto"/>
              <w:jc w:val="center"/>
              <w:rPr>
                <w:color w:val="auto"/>
                <w:sz w:val="21"/>
                <w:szCs w:val="21"/>
                <w:highlight w:val="none"/>
              </w:rPr>
            </w:pPr>
            <w:r>
              <w:rPr>
                <w:color w:val="auto"/>
                <w:sz w:val="21"/>
                <w:szCs w:val="21"/>
                <w:highlight w:val="none"/>
              </w:rPr>
              <w:t>9</w:t>
            </w:r>
          </w:p>
        </w:tc>
        <w:tc>
          <w:tcPr>
            <w:tcW w:w="885" w:type="dxa"/>
            <w:gridSpan w:val="2"/>
            <w:vAlign w:val="center"/>
          </w:tcPr>
          <w:p w14:paraId="0061AE34">
            <w:pPr>
              <w:widowControl w:val="0"/>
              <w:wordWrap w:val="0"/>
              <w:spacing w:line="360" w:lineRule="auto"/>
              <w:ind w:firstLine="420" w:firstLineChars="200"/>
              <w:jc w:val="center"/>
              <w:rPr>
                <w:color w:val="auto"/>
                <w:highlight w:val="none"/>
              </w:rPr>
            </w:pPr>
          </w:p>
          <w:p w14:paraId="785FC1C6">
            <w:pPr>
              <w:widowControl w:val="0"/>
              <w:wordWrap w:val="0"/>
              <w:spacing w:line="360" w:lineRule="auto"/>
              <w:ind w:firstLine="420" w:firstLineChars="200"/>
              <w:jc w:val="center"/>
              <w:rPr>
                <w:color w:val="auto"/>
                <w:highlight w:val="none"/>
              </w:rPr>
            </w:pPr>
          </w:p>
          <w:p w14:paraId="26819171">
            <w:pPr>
              <w:widowControl w:val="0"/>
              <w:wordWrap w:val="0"/>
              <w:spacing w:line="360" w:lineRule="auto"/>
              <w:ind w:firstLine="420" w:firstLineChars="200"/>
              <w:jc w:val="center"/>
              <w:rPr>
                <w:color w:val="auto"/>
                <w:highlight w:val="none"/>
              </w:rPr>
            </w:pPr>
          </w:p>
          <w:p w14:paraId="7A1C2A92">
            <w:pPr>
              <w:pStyle w:val="23"/>
              <w:widowControl w:val="0"/>
              <w:wordWrap w:val="0"/>
              <w:spacing w:line="360" w:lineRule="auto"/>
              <w:jc w:val="center"/>
              <w:rPr>
                <w:color w:val="auto"/>
                <w:sz w:val="21"/>
                <w:szCs w:val="21"/>
                <w:highlight w:val="none"/>
              </w:rPr>
            </w:pPr>
            <w:r>
              <w:rPr>
                <w:color w:val="auto"/>
                <w:sz w:val="21"/>
                <w:szCs w:val="21"/>
                <w:highlight w:val="none"/>
              </w:rPr>
              <w:t>17</w:t>
            </w:r>
          </w:p>
        </w:tc>
        <w:tc>
          <w:tcPr>
            <w:tcW w:w="1663" w:type="dxa"/>
            <w:vAlign w:val="center"/>
          </w:tcPr>
          <w:p w14:paraId="714DAF93">
            <w:pPr>
              <w:widowControl w:val="0"/>
              <w:wordWrap w:val="0"/>
              <w:spacing w:line="360" w:lineRule="auto"/>
              <w:ind w:firstLine="420" w:firstLineChars="200"/>
              <w:jc w:val="center"/>
              <w:rPr>
                <w:color w:val="auto"/>
                <w:highlight w:val="none"/>
              </w:rPr>
            </w:pPr>
          </w:p>
          <w:p w14:paraId="4F8AF408">
            <w:pPr>
              <w:widowControl w:val="0"/>
              <w:wordWrap w:val="0"/>
              <w:spacing w:line="360" w:lineRule="auto"/>
              <w:ind w:firstLine="420" w:firstLineChars="200"/>
              <w:jc w:val="center"/>
              <w:rPr>
                <w:color w:val="auto"/>
                <w:highlight w:val="none"/>
              </w:rPr>
            </w:pPr>
          </w:p>
          <w:p w14:paraId="5DF8B1C0">
            <w:pPr>
              <w:pStyle w:val="23"/>
              <w:widowControl w:val="0"/>
              <w:wordWrap w:val="0"/>
              <w:spacing w:line="360" w:lineRule="auto"/>
              <w:jc w:val="center"/>
              <w:rPr>
                <w:color w:val="auto"/>
                <w:sz w:val="21"/>
                <w:szCs w:val="21"/>
                <w:highlight w:val="none"/>
              </w:rPr>
            </w:pPr>
          </w:p>
          <w:p w14:paraId="090350A8">
            <w:pPr>
              <w:pStyle w:val="23"/>
              <w:widowControl w:val="0"/>
              <w:wordWrap w:val="0"/>
              <w:spacing w:line="360" w:lineRule="auto"/>
              <w:jc w:val="center"/>
              <w:rPr>
                <w:color w:val="auto"/>
                <w:sz w:val="21"/>
                <w:szCs w:val="21"/>
                <w:highlight w:val="none"/>
              </w:rPr>
            </w:pPr>
            <w:r>
              <w:rPr>
                <w:color w:val="auto"/>
                <w:sz w:val="21"/>
                <w:szCs w:val="21"/>
                <w:highlight w:val="none"/>
              </w:rPr>
              <w:t>响应文件的解密</w:t>
            </w:r>
          </w:p>
        </w:tc>
        <w:tc>
          <w:tcPr>
            <w:tcW w:w="6588" w:type="dxa"/>
          </w:tcPr>
          <w:p w14:paraId="37EB1D40">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响应文件提交截止时间后，采购代理机构开启解密响应文件操作，广西政府采购云平台向各供应商发出电子加密响应文件解密通知，由供应商在系统发出解密通知后 30 分钟内自行使用加密时的CA 通过“项 目采购-开标评标 ”功能对响应文件进行解密。若供应商在上述规定的 时间内无法解密或解密失败的，可以在响应文件解密截止时间后 30 分钟内向采购代理机构现场提交电子备份响应文件【现场提交电子响应文件地址：</w:t>
            </w:r>
            <w:r>
              <w:rPr>
                <w:rFonts w:hint="eastAsia"/>
                <w:color w:val="auto"/>
                <w:sz w:val="21"/>
                <w:szCs w:val="21"/>
                <w:highlight w:val="none"/>
                <w:lang w:eastAsia="zh-CN"/>
              </w:rPr>
              <w:t>大华建设项目管理有限公司开标厅</w:t>
            </w:r>
            <w:r>
              <w:rPr>
                <w:color w:val="auto"/>
                <w:sz w:val="21"/>
                <w:szCs w:val="21"/>
                <w:highlight w:val="none"/>
                <w:lang w:eastAsia="zh-CN"/>
              </w:rPr>
              <w:t>（</w:t>
            </w:r>
            <w:r>
              <w:rPr>
                <w:rFonts w:hint="eastAsia"/>
                <w:color w:val="auto"/>
                <w:sz w:val="21"/>
                <w:szCs w:val="21"/>
                <w:highlight w:val="none"/>
                <w:lang w:eastAsia="zh-CN"/>
              </w:rPr>
              <w:t>桂林市秀峰区睦邻小苑5栋3单元</w:t>
            </w:r>
            <w:r>
              <w:rPr>
                <w:color w:val="auto"/>
                <w:sz w:val="21"/>
                <w:szCs w:val="21"/>
                <w:highlight w:val="none"/>
                <w:lang w:eastAsia="zh-CN"/>
              </w:rPr>
              <w:t>）】，或以电子邮件的形式提交电子备份响应文件（以通知时所告知的电子邮箱地址为准）；供应商未在上述规定的时间、地点（电子邮箱）提交的电子备份响应文件，采购代理机构不予接收或承认。采购代理机构收到电子备份响应文件后按“政府采购云平台 ”操作规范上传至“政府采购云平台 ”， 电子备份响应文件上传成功后，供应商原上传的“ 电子加密响应文件 ” 自动失效。若供应商在规定时间内无法解密或解密失败且未在规定的时 间内提供电子备份响应文件的（包含提供的电子备份响应文件无效或 无法解密的情况），视为供应商放弃谈判。</w:t>
            </w:r>
          </w:p>
        </w:tc>
      </w:tr>
      <w:tr w14:paraId="7EDB7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565" w:type="dxa"/>
            <w:vAlign w:val="center"/>
          </w:tcPr>
          <w:p w14:paraId="641BD4E7">
            <w:pPr>
              <w:widowControl w:val="0"/>
              <w:wordWrap w:val="0"/>
              <w:spacing w:line="360" w:lineRule="auto"/>
              <w:ind w:firstLine="420" w:firstLineChars="200"/>
              <w:jc w:val="center"/>
              <w:rPr>
                <w:color w:val="auto"/>
                <w:highlight w:val="none"/>
                <w:lang w:eastAsia="zh-CN"/>
              </w:rPr>
            </w:pPr>
          </w:p>
          <w:p w14:paraId="663AB86C">
            <w:pPr>
              <w:pStyle w:val="23"/>
              <w:widowControl w:val="0"/>
              <w:wordWrap w:val="0"/>
              <w:spacing w:line="360" w:lineRule="auto"/>
              <w:jc w:val="center"/>
              <w:rPr>
                <w:color w:val="auto"/>
                <w:sz w:val="21"/>
                <w:szCs w:val="21"/>
                <w:highlight w:val="none"/>
              </w:rPr>
            </w:pPr>
            <w:r>
              <w:rPr>
                <w:color w:val="auto"/>
                <w:sz w:val="21"/>
                <w:szCs w:val="21"/>
                <w:highlight w:val="none"/>
              </w:rPr>
              <w:t>10</w:t>
            </w:r>
          </w:p>
        </w:tc>
        <w:tc>
          <w:tcPr>
            <w:tcW w:w="885" w:type="dxa"/>
            <w:gridSpan w:val="2"/>
            <w:vAlign w:val="center"/>
          </w:tcPr>
          <w:p w14:paraId="1C328FEE">
            <w:pPr>
              <w:widowControl w:val="0"/>
              <w:wordWrap w:val="0"/>
              <w:spacing w:line="360" w:lineRule="auto"/>
              <w:ind w:firstLine="420" w:firstLineChars="200"/>
              <w:jc w:val="center"/>
              <w:rPr>
                <w:color w:val="auto"/>
                <w:highlight w:val="none"/>
              </w:rPr>
            </w:pPr>
          </w:p>
          <w:p w14:paraId="74A3D8DF">
            <w:pPr>
              <w:pStyle w:val="23"/>
              <w:widowControl w:val="0"/>
              <w:wordWrap w:val="0"/>
              <w:spacing w:line="360" w:lineRule="auto"/>
              <w:jc w:val="center"/>
              <w:rPr>
                <w:color w:val="auto"/>
                <w:sz w:val="21"/>
                <w:szCs w:val="21"/>
                <w:highlight w:val="none"/>
              </w:rPr>
            </w:pPr>
            <w:r>
              <w:rPr>
                <w:color w:val="auto"/>
                <w:sz w:val="21"/>
                <w:szCs w:val="21"/>
                <w:highlight w:val="none"/>
              </w:rPr>
              <w:t>18.1</w:t>
            </w:r>
          </w:p>
        </w:tc>
        <w:tc>
          <w:tcPr>
            <w:tcW w:w="1663" w:type="dxa"/>
            <w:vAlign w:val="center"/>
          </w:tcPr>
          <w:p w14:paraId="1FC637D9">
            <w:pPr>
              <w:widowControl w:val="0"/>
              <w:wordWrap w:val="0"/>
              <w:spacing w:line="360" w:lineRule="auto"/>
              <w:ind w:firstLine="420" w:firstLineChars="200"/>
              <w:jc w:val="center"/>
              <w:rPr>
                <w:color w:val="auto"/>
                <w:highlight w:val="none"/>
              </w:rPr>
            </w:pPr>
          </w:p>
          <w:p w14:paraId="0B2274E5">
            <w:pPr>
              <w:pStyle w:val="23"/>
              <w:widowControl w:val="0"/>
              <w:wordWrap w:val="0"/>
              <w:spacing w:line="360" w:lineRule="auto"/>
              <w:jc w:val="center"/>
              <w:rPr>
                <w:color w:val="auto"/>
                <w:sz w:val="21"/>
                <w:szCs w:val="21"/>
                <w:highlight w:val="none"/>
              </w:rPr>
            </w:pPr>
            <w:r>
              <w:rPr>
                <w:color w:val="auto"/>
                <w:sz w:val="21"/>
                <w:szCs w:val="21"/>
                <w:highlight w:val="none"/>
              </w:rPr>
              <w:t>谈判小组组成</w:t>
            </w:r>
          </w:p>
        </w:tc>
        <w:tc>
          <w:tcPr>
            <w:tcW w:w="6588" w:type="dxa"/>
          </w:tcPr>
          <w:p w14:paraId="4999F982">
            <w:pPr>
              <w:pStyle w:val="23"/>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谈判及评审组织工作由采购代理机构负责，具体谈判、评审工作由依法组建的谈判小组负责，本项目的谈判小组由有关方面的评审专家组成，谈判小组的构成：3 人。</w:t>
            </w:r>
          </w:p>
        </w:tc>
      </w:tr>
      <w:tr w14:paraId="2001E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7" w:hRule="atLeast"/>
        </w:trPr>
        <w:tc>
          <w:tcPr>
            <w:tcW w:w="565" w:type="dxa"/>
            <w:vAlign w:val="center"/>
          </w:tcPr>
          <w:p w14:paraId="6BF48DB2">
            <w:pPr>
              <w:widowControl w:val="0"/>
              <w:wordWrap w:val="0"/>
              <w:spacing w:line="360" w:lineRule="auto"/>
              <w:ind w:firstLine="420" w:firstLineChars="200"/>
              <w:jc w:val="center"/>
              <w:rPr>
                <w:color w:val="auto"/>
                <w:highlight w:val="none"/>
                <w:lang w:eastAsia="zh-CN"/>
              </w:rPr>
            </w:pPr>
          </w:p>
          <w:p w14:paraId="7F5DD4CB">
            <w:pPr>
              <w:widowControl w:val="0"/>
              <w:wordWrap w:val="0"/>
              <w:spacing w:line="360" w:lineRule="auto"/>
              <w:ind w:firstLine="420" w:firstLineChars="200"/>
              <w:jc w:val="center"/>
              <w:rPr>
                <w:color w:val="auto"/>
                <w:highlight w:val="none"/>
                <w:lang w:eastAsia="zh-CN"/>
              </w:rPr>
            </w:pPr>
          </w:p>
          <w:p w14:paraId="5170B759">
            <w:pPr>
              <w:widowControl w:val="0"/>
              <w:wordWrap w:val="0"/>
              <w:spacing w:line="360" w:lineRule="auto"/>
              <w:ind w:firstLine="420" w:firstLineChars="200"/>
              <w:jc w:val="center"/>
              <w:rPr>
                <w:color w:val="auto"/>
                <w:highlight w:val="none"/>
                <w:lang w:eastAsia="zh-CN"/>
              </w:rPr>
            </w:pPr>
          </w:p>
          <w:p w14:paraId="51A11362">
            <w:pPr>
              <w:widowControl w:val="0"/>
              <w:wordWrap w:val="0"/>
              <w:spacing w:line="360" w:lineRule="auto"/>
              <w:ind w:firstLine="420" w:firstLineChars="200"/>
              <w:jc w:val="center"/>
              <w:rPr>
                <w:color w:val="auto"/>
                <w:highlight w:val="none"/>
                <w:lang w:eastAsia="zh-CN"/>
              </w:rPr>
            </w:pPr>
          </w:p>
          <w:p w14:paraId="2124A459">
            <w:pPr>
              <w:widowControl w:val="0"/>
              <w:wordWrap w:val="0"/>
              <w:spacing w:line="360" w:lineRule="auto"/>
              <w:ind w:firstLine="420" w:firstLineChars="200"/>
              <w:jc w:val="center"/>
              <w:rPr>
                <w:color w:val="auto"/>
                <w:highlight w:val="none"/>
                <w:lang w:eastAsia="zh-CN"/>
              </w:rPr>
            </w:pPr>
          </w:p>
          <w:p w14:paraId="1B1F0519">
            <w:pPr>
              <w:widowControl w:val="0"/>
              <w:wordWrap w:val="0"/>
              <w:spacing w:line="360" w:lineRule="auto"/>
              <w:ind w:firstLine="420" w:firstLineChars="200"/>
              <w:jc w:val="center"/>
              <w:rPr>
                <w:color w:val="auto"/>
                <w:highlight w:val="none"/>
                <w:lang w:eastAsia="zh-CN"/>
              </w:rPr>
            </w:pPr>
          </w:p>
          <w:p w14:paraId="02DD1A2D">
            <w:pPr>
              <w:pStyle w:val="23"/>
              <w:widowControl w:val="0"/>
              <w:wordWrap w:val="0"/>
              <w:spacing w:line="360" w:lineRule="auto"/>
              <w:jc w:val="center"/>
              <w:rPr>
                <w:color w:val="auto"/>
                <w:sz w:val="21"/>
                <w:szCs w:val="21"/>
                <w:highlight w:val="none"/>
              </w:rPr>
            </w:pPr>
            <w:r>
              <w:rPr>
                <w:color w:val="auto"/>
                <w:sz w:val="21"/>
                <w:szCs w:val="21"/>
                <w:highlight w:val="none"/>
              </w:rPr>
              <w:t>11</w:t>
            </w:r>
          </w:p>
        </w:tc>
        <w:tc>
          <w:tcPr>
            <w:tcW w:w="885" w:type="dxa"/>
            <w:gridSpan w:val="2"/>
            <w:vAlign w:val="center"/>
          </w:tcPr>
          <w:p w14:paraId="03F72131">
            <w:pPr>
              <w:widowControl w:val="0"/>
              <w:wordWrap w:val="0"/>
              <w:spacing w:line="360" w:lineRule="auto"/>
              <w:ind w:firstLine="420" w:firstLineChars="200"/>
              <w:jc w:val="center"/>
              <w:rPr>
                <w:color w:val="auto"/>
                <w:highlight w:val="none"/>
              </w:rPr>
            </w:pPr>
          </w:p>
          <w:p w14:paraId="282709FD">
            <w:pPr>
              <w:widowControl w:val="0"/>
              <w:wordWrap w:val="0"/>
              <w:spacing w:line="360" w:lineRule="auto"/>
              <w:ind w:firstLine="420" w:firstLineChars="200"/>
              <w:jc w:val="center"/>
              <w:rPr>
                <w:color w:val="auto"/>
                <w:highlight w:val="none"/>
              </w:rPr>
            </w:pPr>
          </w:p>
          <w:p w14:paraId="6D17A080">
            <w:pPr>
              <w:widowControl w:val="0"/>
              <w:wordWrap w:val="0"/>
              <w:spacing w:line="360" w:lineRule="auto"/>
              <w:ind w:firstLine="420" w:firstLineChars="200"/>
              <w:jc w:val="center"/>
              <w:rPr>
                <w:color w:val="auto"/>
                <w:highlight w:val="none"/>
              </w:rPr>
            </w:pPr>
          </w:p>
          <w:p w14:paraId="58F9D7C2">
            <w:pPr>
              <w:widowControl w:val="0"/>
              <w:wordWrap w:val="0"/>
              <w:spacing w:line="360" w:lineRule="auto"/>
              <w:ind w:firstLine="420" w:firstLineChars="200"/>
              <w:jc w:val="center"/>
              <w:rPr>
                <w:color w:val="auto"/>
                <w:highlight w:val="none"/>
              </w:rPr>
            </w:pPr>
          </w:p>
          <w:p w14:paraId="7819FBB8">
            <w:pPr>
              <w:widowControl w:val="0"/>
              <w:wordWrap w:val="0"/>
              <w:spacing w:line="360" w:lineRule="auto"/>
              <w:ind w:firstLine="420" w:firstLineChars="200"/>
              <w:jc w:val="center"/>
              <w:rPr>
                <w:color w:val="auto"/>
                <w:highlight w:val="none"/>
              </w:rPr>
            </w:pPr>
          </w:p>
          <w:p w14:paraId="1AEAFE1F">
            <w:pPr>
              <w:widowControl w:val="0"/>
              <w:wordWrap w:val="0"/>
              <w:spacing w:line="360" w:lineRule="auto"/>
              <w:ind w:firstLine="420" w:firstLineChars="200"/>
              <w:jc w:val="center"/>
              <w:rPr>
                <w:color w:val="auto"/>
                <w:highlight w:val="none"/>
              </w:rPr>
            </w:pPr>
          </w:p>
          <w:p w14:paraId="272282B7">
            <w:pPr>
              <w:pStyle w:val="23"/>
              <w:widowControl w:val="0"/>
              <w:wordWrap w:val="0"/>
              <w:spacing w:line="360" w:lineRule="auto"/>
              <w:jc w:val="center"/>
              <w:rPr>
                <w:color w:val="auto"/>
                <w:sz w:val="21"/>
                <w:szCs w:val="21"/>
                <w:highlight w:val="none"/>
              </w:rPr>
            </w:pPr>
            <w:r>
              <w:rPr>
                <w:color w:val="auto"/>
                <w:sz w:val="21"/>
                <w:szCs w:val="21"/>
                <w:highlight w:val="none"/>
              </w:rPr>
              <w:t>18.2</w:t>
            </w:r>
          </w:p>
        </w:tc>
        <w:tc>
          <w:tcPr>
            <w:tcW w:w="1663" w:type="dxa"/>
            <w:vAlign w:val="center"/>
          </w:tcPr>
          <w:p w14:paraId="36297D96">
            <w:pPr>
              <w:widowControl w:val="0"/>
              <w:wordWrap w:val="0"/>
              <w:spacing w:line="360" w:lineRule="auto"/>
              <w:ind w:firstLine="420" w:firstLineChars="200"/>
              <w:jc w:val="center"/>
              <w:rPr>
                <w:color w:val="auto"/>
                <w:highlight w:val="none"/>
                <w:lang w:eastAsia="zh-CN"/>
              </w:rPr>
            </w:pPr>
          </w:p>
          <w:p w14:paraId="4375629C">
            <w:pPr>
              <w:widowControl w:val="0"/>
              <w:wordWrap w:val="0"/>
              <w:spacing w:line="360" w:lineRule="auto"/>
              <w:ind w:firstLine="420" w:firstLineChars="200"/>
              <w:jc w:val="center"/>
              <w:rPr>
                <w:color w:val="auto"/>
                <w:highlight w:val="none"/>
                <w:lang w:eastAsia="zh-CN"/>
              </w:rPr>
            </w:pPr>
          </w:p>
          <w:p w14:paraId="70F99C0E">
            <w:pPr>
              <w:widowControl w:val="0"/>
              <w:wordWrap w:val="0"/>
              <w:spacing w:line="360" w:lineRule="auto"/>
              <w:ind w:firstLine="420" w:firstLineChars="200"/>
              <w:jc w:val="center"/>
              <w:rPr>
                <w:color w:val="auto"/>
                <w:highlight w:val="none"/>
                <w:lang w:eastAsia="zh-CN"/>
              </w:rPr>
            </w:pPr>
          </w:p>
          <w:p w14:paraId="0FB8E4D8">
            <w:pPr>
              <w:widowControl w:val="0"/>
              <w:wordWrap w:val="0"/>
              <w:spacing w:line="360" w:lineRule="auto"/>
              <w:ind w:firstLine="420" w:firstLineChars="200"/>
              <w:jc w:val="center"/>
              <w:rPr>
                <w:color w:val="auto"/>
                <w:highlight w:val="none"/>
                <w:lang w:eastAsia="zh-CN"/>
              </w:rPr>
            </w:pPr>
          </w:p>
          <w:p w14:paraId="4814AD20">
            <w:pPr>
              <w:widowControl w:val="0"/>
              <w:wordWrap w:val="0"/>
              <w:spacing w:line="360" w:lineRule="auto"/>
              <w:ind w:firstLine="420" w:firstLineChars="200"/>
              <w:jc w:val="center"/>
              <w:rPr>
                <w:color w:val="auto"/>
                <w:highlight w:val="none"/>
                <w:lang w:eastAsia="zh-CN"/>
              </w:rPr>
            </w:pPr>
          </w:p>
          <w:p w14:paraId="171DD95E">
            <w:pPr>
              <w:widowControl w:val="0"/>
              <w:wordWrap w:val="0"/>
              <w:spacing w:line="360" w:lineRule="auto"/>
              <w:ind w:firstLine="420" w:firstLineChars="200"/>
              <w:jc w:val="center"/>
              <w:rPr>
                <w:color w:val="auto"/>
                <w:highlight w:val="none"/>
                <w:lang w:eastAsia="zh-CN"/>
              </w:rPr>
            </w:pPr>
          </w:p>
          <w:p w14:paraId="622591EA">
            <w:pPr>
              <w:pStyle w:val="23"/>
              <w:widowControl w:val="0"/>
              <w:wordWrap w:val="0"/>
              <w:spacing w:line="360" w:lineRule="auto"/>
              <w:jc w:val="center"/>
              <w:rPr>
                <w:color w:val="auto"/>
                <w:sz w:val="21"/>
                <w:szCs w:val="21"/>
                <w:highlight w:val="none"/>
                <w:lang w:eastAsia="zh-CN"/>
              </w:rPr>
            </w:pPr>
            <w:r>
              <w:rPr>
                <w:color w:val="auto"/>
                <w:sz w:val="21"/>
                <w:szCs w:val="21"/>
                <w:highlight w:val="none"/>
                <w:lang w:eastAsia="zh-CN"/>
              </w:rPr>
              <w:t>谈判时间、地点、人员</w:t>
            </w:r>
          </w:p>
        </w:tc>
        <w:tc>
          <w:tcPr>
            <w:tcW w:w="6588" w:type="dxa"/>
          </w:tcPr>
          <w:p w14:paraId="36BC5234">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18.2.1 谈判时间：首次响应文件提交截止时间后。</w:t>
            </w:r>
          </w:p>
          <w:p w14:paraId="3546598A">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18.2.2 谈判地点：供应商代表在响应文件提交当天实时登陆登录广西政府采购云平台，按谈判小组要求在线等候参与谈判及提交最后报价。因供应商未保持实时在线，导致谈判小组无法及时与其取得联系，从而造成供应商未按规定参与谈判或报价的，其不利后果由供应商自行承担。</w:t>
            </w:r>
          </w:p>
          <w:p w14:paraId="69EE0886">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18.2.3 谈判参加人员：供应商法定代表人(负责人、 自然人)或相应的委托代理人参加谈判。请供应商实时登陆登录广西政府采购云平台等候在线谈判。</w:t>
            </w:r>
          </w:p>
          <w:p w14:paraId="79EED3BC">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18.2.4 首次响应文件提交截止时间后，登录广西政府采购云平台在线解密开启。</w:t>
            </w:r>
          </w:p>
        </w:tc>
      </w:tr>
      <w:tr w14:paraId="59B04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5" w:type="dxa"/>
            <w:vAlign w:val="center"/>
          </w:tcPr>
          <w:p w14:paraId="10511E78">
            <w:pPr>
              <w:pStyle w:val="23"/>
              <w:widowControl w:val="0"/>
              <w:wordWrap w:val="0"/>
              <w:spacing w:line="360" w:lineRule="auto"/>
              <w:jc w:val="center"/>
              <w:rPr>
                <w:color w:val="auto"/>
                <w:sz w:val="21"/>
                <w:szCs w:val="21"/>
                <w:highlight w:val="none"/>
              </w:rPr>
            </w:pPr>
            <w:r>
              <w:rPr>
                <w:color w:val="auto"/>
                <w:sz w:val="21"/>
                <w:szCs w:val="21"/>
                <w:highlight w:val="none"/>
              </w:rPr>
              <w:t>12</w:t>
            </w:r>
          </w:p>
        </w:tc>
        <w:tc>
          <w:tcPr>
            <w:tcW w:w="885" w:type="dxa"/>
            <w:gridSpan w:val="2"/>
            <w:vAlign w:val="center"/>
          </w:tcPr>
          <w:p w14:paraId="31FA372B">
            <w:pPr>
              <w:pStyle w:val="23"/>
              <w:widowControl w:val="0"/>
              <w:wordWrap w:val="0"/>
              <w:spacing w:line="360" w:lineRule="auto"/>
              <w:jc w:val="center"/>
              <w:rPr>
                <w:color w:val="auto"/>
                <w:sz w:val="21"/>
                <w:szCs w:val="21"/>
                <w:highlight w:val="none"/>
              </w:rPr>
            </w:pPr>
            <w:r>
              <w:rPr>
                <w:color w:val="auto"/>
                <w:sz w:val="21"/>
                <w:szCs w:val="21"/>
                <w:highlight w:val="none"/>
              </w:rPr>
              <w:t>19.2</w:t>
            </w:r>
          </w:p>
        </w:tc>
        <w:tc>
          <w:tcPr>
            <w:tcW w:w="1663" w:type="dxa"/>
            <w:vAlign w:val="center"/>
          </w:tcPr>
          <w:p w14:paraId="24D6D358">
            <w:pPr>
              <w:pStyle w:val="23"/>
              <w:widowControl w:val="0"/>
              <w:wordWrap w:val="0"/>
              <w:spacing w:line="360" w:lineRule="auto"/>
              <w:ind w:firstLine="420" w:firstLineChars="200"/>
              <w:jc w:val="center"/>
              <w:rPr>
                <w:color w:val="auto"/>
                <w:sz w:val="21"/>
                <w:szCs w:val="21"/>
                <w:highlight w:val="none"/>
              </w:rPr>
            </w:pPr>
            <w:r>
              <w:rPr>
                <w:color w:val="auto"/>
                <w:sz w:val="21"/>
                <w:szCs w:val="21"/>
                <w:highlight w:val="none"/>
              </w:rPr>
              <w:t>评审办法</w:t>
            </w:r>
          </w:p>
        </w:tc>
        <w:tc>
          <w:tcPr>
            <w:tcW w:w="6588" w:type="dxa"/>
          </w:tcPr>
          <w:p w14:paraId="6AAE13E5">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具体详见第四章“评审办法 ”。</w:t>
            </w:r>
          </w:p>
        </w:tc>
      </w:tr>
      <w:tr w14:paraId="2B49C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65" w:type="dxa"/>
            <w:vAlign w:val="center"/>
          </w:tcPr>
          <w:p w14:paraId="3F757F05">
            <w:pPr>
              <w:widowControl w:val="0"/>
              <w:wordWrap w:val="0"/>
              <w:spacing w:line="360" w:lineRule="auto"/>
              <w:ind w:firstLine="420" w:firstLineChars="200"/>
              <w:jc w:val="center"/>
              <w:rPr>
                <w:color w:val="auto"/>
                <w:highlight w:val="none"/>
                <w:lang w:eastAsia="zh-CN"/>
              </w:rPr>
            </w:pPr>
          </w:p>
          <w:p w14:paraId="2AF2C064">
            <w:pPr>
              <w:widowControl w:val="0"/>
              <w:wordWrap w:val="0"/>
              <w:spacing w:line="360" w:lineRule="auto"/>
              <w:ind w:firstLine="420" w:firstLineChars="200"/>
              <w:jc w:val="center"/>
              <w:rPr>
                <w:color w:val="auto"/>
                <w:highlight w:val="none"/>
                <w:lang w:eastAsia="zh-CN"/>
              </w:rPr>
            </w:pPr>
          </w:p>
          <w:p w14:paraId="4A32D552">
            <w:pPr>
              <w:widowControl w:val="0"/>
              <w:wordWrap w:val="0"/>
              <w:spacing w:line="360" w:lineRule="auto"/>
              <w:ind w:firstLine="420" w:firstLineChars="200"/>
              <w:jc w:val="center"/>
              <w:rPr>
                <w:color w:val="auto"/>
                <w:highlight w:val="none"/>
                <w:lang w:eastAsia="zh-CN"/>
              </w:rPr>
            </w:pPr>
          </w:p>
          <w:p w14:paraId="5C3E4C2A">
            <w:pPr>
              <w:widowControl w:val="0"/>
              <w:wordWrap w:val="0"/>
              <w:spacing w:line="360" w:lineRule="auto"/>
              <w:ind w:firstLine="420" w:firstLineChars="200"/>
              <w:jc w:val="center"/>
              <w:rPr>
                <w:color w:val="auto"/>
                <w:highlight w:val="none"/>
                <w:lang w:eastAsia="zh-CN"/>
              </w:rPr>
            </w:pPr>
          </w:p>
          <w:p w14:paraId="1ED57504">
            <w:pPr>
              <w:pStyle w:val="23"/>
              <w:widowControl w:val="0"/>
              <w:wordWrap w:val="0"/>
              <w:spacing w:line="360" w:lineRule="auto"/>
              <w:jc w:val="center"/>
              <w:rPr>
                <w:color w:val="auto"/>
                <w:sz w:val="21"/>
                <w:szCs w:val="21"/>
                <w:highlight w:val="none"/>
              </w:rPr>
            </w:pPr>
            <w:r>
              <w:rPr>
                <w:color w:val="auto"/>
                <w:sz w:val="21"/>
                <w:szCs w:val="21"/>
                <w:highlight w:val="none"/>
              </w:rPr>
              <w:t>13</w:t>
            </w:r>
          </w:p>
        </w:tc>
        <w:tc>
          <w:tcPr>
            <w:tcW w:w="885" w:type="dxa"/>
            <w:gridSpan w:val="2"/>
            <w:vAlign w:val="center"/>
          </w:tcPr>
          <w:p w14:paraId="455080BD">
            <w:pPr>
              <w:widowControl w:val="0"/>
              <w:wordWrap w:val="0"/>
              <w:spacing w:line="360" w:lineRule="auto"/>
              <w:ind w:firstLine="420" w:firstLineChars="200"/>
              <w:jc w:val="center"/>
              <w:rPr>
                <w:color w:val="auto"/>
                <w:highlight w:val="none"/>
              </w:rPr>
            </w:pPr>
          </w:p>
          <w:p w14:paraId="3EF0ACC6">
            <w:pPr>
              <w:widowControl w:val="0"/>
              <w:wordWrap w:val="0"/>
              <w:spacing w:line="360" w:lineRule="auto"/>
              <w:ind w:firstLine="420" w:firstLineChars="200"/>
              <w:jc w:val="center"/>
              <w:rPr>
                <w:color w:val="auto"/>
                <w:highlight w:val="none"/>
              </w:rPr>
            </w:pPr>
          </w:p>
          <w:p w14:paraId="6CD729F2">
            <w:pPr>
              <w:widowControl w:val="0"/>
              <w:wordWrap w:val="0"/>
              <w:spacing w:line="360" w:lineRule="auto"/>
              <w:ind w:firstLine="420" w:firstLineChars="200"/>
              <w:jc w:val="center"/>
              <w:rPr>
                <w:color w:val="auto"/>
                <w:highlight w:val="none"/>
              </w:rPr>
            </w:pPr>
          </w:p>
          <w:p w14:paraId="622C4655">
            <w:pPr>
              <w:widowControl w:val="0"/>
              <w:wordWrap w:val="0"/>
              <w:spacing w:line="360" w:lineRule="auto"/>
              <w:ind w:firstLine="420" w:firstLineChars="200"/>
              <w:jc w:val="center"/>
              <w:rPr>
                <w:color w:val="auto"/>
                <w:highlight w:val="none"/>
              </w:rPr>
            </w:pPr>
          </w:p>
          <w:p w14:paraId="29C607B8">
            <w:pPr>
              <w:pStyle w:val="23"/>
              <w:widowControl w:val="0"/>
              <w:wordWrap w:val="0"/>
              <w:spacing w:line="360" w:lineRule="auto"/>
              <w:jc w:val="center"/>
              <w:rPr>
                <w:color w:val="auto"/>
                <w:sz w:val="21"/>
                <w:szCs w:val="21"/>
                <w:highlight w:val="none"/>
              </w:rPr>
            </w:pPr>
            <w:r>
              <w:rPr>
                <w:color w:val="auto"/>
                <w:sz w:val="21"/>
                <w:szCs w:val="21"/>
                <w:highlight w:val="none"/>
              </w:rPr>
              <w:t>26</w:t>
            </w:r>
          </w:p>
        </w:tc>
        <w:tc>
          <w:tcPr>
            <w:tcW w:w="1663" w:type="dxa"/>
            <w:vAlign w:val="center"/>
          </w:tcPr>
          <w:p w14:paraId="7DC589AC">
            <w:pPr>
              <w:widowControl w:val="0"/>
              <w:wordWrap w:val="0"/>
              <w:spacing w:line="360" w:lineRule="auto"/>
              <w:ind w:firstLine="420" w:firstLineChars="200"/>
              <w:jc w:val="center"/>
              <w:rPr>
                <w:color w:val="auto"/>
                <w:highlight w:val="none"/>
              </w:rPr>
            </w:pPr>
          </w:p>
          <w:p w14:paraId="3938291C">
            <w:pPr>
              <w:widowControl w:val="0"/>
              <w:wordWrap w:val="0"/>
              <w:spacing w:line="360" w:lineRule="auto"/>
              <w:ind w:firstLine="420" w:firstLineChars="200"/>
              <w:jc w:val="center"/>
              <w:rPr>
                <w:color w:val="auto"/>
                <w:highlight w:val="none"/>
              </w:rPr>
            </w:pPr>
          </w:p>
          <w:p w14:paraId="3B3A9FAE">
            <w:pPr>
              <w:widowControl w:val="0"/>
              <w:wordWrap w:val="0"/>
              <w:spacing w:line="360" w:lineRule="auto"/>
              <w:ind w:firstLine="420" w:firstLineChars="200"/>
              <w:jc w:val="center"/>
              <w:rPr>
                <w:color w:val="auto"/>
                <w:highlight w:val="none"/>
              </w:rPr>
            </w:pPr>
          </w:p>
          <w:p w14:paraId="7AF5A961">
            <w:pPr>
              <w:widowControl w:val="0"/>
              <w:wordWrap w:val="0"/>
              <w:spacing w:line="360" w:lineRule="auto"/>
              <w:ind w:firstLine="420" w:firstLineChars="200"/>
              <w:jc w:val="center"/>
              <w:rPr>
                <w:color w:val="auto"/>
                <w:highlight w:val="none"/>
              </w:rPr>
            </w:pPr>
          </w:p>
          <w:p w14:paraId="1A40B1A1">
            <w:pPr>
              <w:pStyle w:val="23"/>
              <w:widowControl w:val="0"/>
              <w:wordWrap w:val="0"/>
              <w:spacing w:line="360" w:lineRule="auto"/>
              <w:ind w:firstLine="420" w:firstLineChars="200"/>
              <w:jc w:val="center"/>
              <w:rPr>
                <w:color w:val="auto"/>
                <w:sz w:val="21"/>
                <w:szCs w:val="21"/>
                <w:highlight w:val="none"/>
              </w:rPr>
            </w:pPr>
            <w:r>
              <w:rPr>
                <w:color w:val="auto"/>
                <w:sz w:val="21"/>
                <w:szCs w:val="21"/>
                <w:highlight w:val="none"/>
              </w:rPr>
              <w:t>信用查询</w:t>
            </w:r>
          </w:p>
        </w:tc>
        <w:tc>
          <w:tcPr>
            <w:tcW w:w="6588" w:type="dxa"/>
          </w:tcPr>
          <w:p w14:paraId="6B0FA2AE">
            <w:pPr>
              <w:pStyle w:val="23"/>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根据《关于做好政府采购有关信用主体标识码登记及在政府采购活动中查询使用信用记录有关问题的通知》（桂财采〔2016〕37）， 由采 购代理机构对第一成交候选人进行信用查询：</w:t>
            </w:r>
          </w:p>
          <w:p w14:paraId="5120B823">
            <w:pPr>
              <w:pStyle w:val="23"/>
              <w:widowControl w:val="0"/>
              <w:wordWrap w:val="0"/>
              <w:spacing w:line="360" w:lineRule="auto"/>
              <w:ind w:firstLine="420" w:firstLineChars="200"/>
              <w:rPr>
                <w:color w:val="auto"/>
                <w:sz w:val="21"/>
                <w:szCs w:val="21"/>
                <w:highlight w:val="none"/>
              </w:rPr>
            </w:pPr>
            <w:r>
              <w:rPr>
                <w:color w:val="auto"/>
                <w:sz w:val="21"/>
                <w:szCs w:val="21"/>
                <w:highlight w:val="none"/>
              </w:rPr>
              <w:t>（1）查询渠道：“信用中国”网站(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1"/>
                <w:szCs w:val="21"/>
                <w:highlight w:val="none"/>
              </w:rPr>
              <w:t>www.creditchina.gov.cn</w:t>
            </w:r>
            <w:r>
              <w:rPr>
                <w:color w:val="auto"/>
                <w:sz w:val="21"/>
                <w:szCs w:val="21"/>
                <w:highlight w:val="none"/>
              </w:rPr>
              <w:fldChar w:fldCharType="end"/>
            </w:r>
            <w:r>
              <w:rPr>
                <w:color w:val="auto"/>
                <w:sz w:val="21"/>
                <w:szCs w:val="21"/>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1"/>
                <w:szCs w:val="21"/>
                <w:highlight w:val="none"/>
              </w:rPr>
              <w:t>www.ccgp.gov.cn</w:t>
            </w:r>
            <w:r>
              <w:rPr>
                <w:color w:val="auto"/>
                <w:sz w:val="21"/>
                <w:szCs w:val="21"/>
                <w:highlight w:val="none"/>
              </w:rPr>
              <w:fldChar w:fldCharType="end"/>
            </w:r>
            <w:r>
              <w:rPr>
                <w:color w:val="auto"/>
                <w:sz w:val="21"/>
                <w:szCs w:val="21"/>
                <w:highlight w:val="none"/>
              </w:rPr>
              <w:t>)等；</w:t>
            </w:r>
          </w:p>
          <w:p w14:paraId="63D30B83">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（2）查询截止时间：成交通知书发出前；</w:t>
            </w:r>
          </w:p>
          <w:p w14:paraId="0CB0E8A2">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（3）信用信息查询记录和证据留存方式：在查询网站中直接打印查询记录，打印材料作为采购活动资料保存；</w:t>
            </w:r>
          </w:p>
          <w:p w14:paraId="06100AF5">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 4 ） 信用信息使用规则：对在“信用中国”网站(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z w:val="21"/>
                <w:szCs w:val="21"/>
                <w:highlight w:val="none"/>
                <w:lang w:eastAsia="zh-CN"/>
              </w:rPr>
              <w:t>www.creditchina.gov.cn</w:t>
            </w:r>
            <w:r>
              <w:rPr>
                <w:color w:val="auto"/>
                <w:sz w:val="21"/>
                <w:szCs w:val="21"/>
                <w:highlight w:val="none"/>
                <w:lang w:eastAsia="zh-CN"/>
              </w:rPr>
              <w:fldChar w:fldCharType="end"/>
            </w:r>
            <w:r>
              <w:rPr>
                <w:color w:val="auto"/>
                <w:sz w:val="21"/>
                <w:szCs w:val="21"/>
                <w:highlight w:val="none"/>
                <w:lang w:eastAsia="zh-CN"/>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sz w:val="21"/>
                <w:szCs w:val="21"/>
                <w:highlight w:val="none"/>
                <w:lang w:eastAsia="zh-CN"/>
              </w:rPr>
              <w:t>www.ccgp.gov.cn</w:t>
            </w:r>
            <w:r>
              <w:rPr>
                <w:color w:val="auto"/>
                <w:sz w:val="21"/>
                <w:szCs w:val="21"/>
                <w:highlight w:val="none"/>
                <w:lang w:eastAsia="zh-CN"/>
              </w:rPr>
              <w:fldChar w:fldCharType="end"/>
            </w:r>
            <w:r>
              <w:rPr>
                <w:color w:val="auto"/>
                <w:sz w:val="21"/>
                <w:szCs w:val="21"/>
                <w:highlight w:val="none"/>
                <w:lang w:eastAsia="zh-CN"/>
              </w:rPr>
              <w:t>)等渠 道列入失信被执行人、重大税收违法案件当事人名单、政府采购严重 违法失信行为记录名单及其他不符合《中华人民共和国政府采购法》 第二十二条规定条件的供应商，取消其成交候选人资格。</w:t>
            </w:r>
          </w:p>
        </w:tc>
      </w:tr>
      <w:tr w14:paraId="745B5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8" w:hRule="atLeast"/>
        </w:trPr>
        <w:tc>
          <w:tcPr>
            <w:tcW w:w="577" w:type="dxa"/>
            <w:gridSpan w:val="2"/>
            <w:vAlign w:val="center"/>
          </w:tcPr>
          <w:p w14:paraId="70BF2741">
            <w:pPr>
              <w:widowControl w:val="0"/>
              <w:wordWrap w:val="0"/>
              <w:spacing w:line="360" w:lineRule="auto"/>
              <w:ind w:firstLine="420" w:firstLineChars="200"/>
              <w:jc w:val="center"/>
              <w:rPr>
                <w:color w:val="auto"/>
                <w:highlight w:val="none"/>
                <w:lang w:eastAsia="zh-CN"/>
              </w:rPr>
            </w:pPr>
          </w:p>
          <w:p w14:paraId="594F30B5">
            <w:pPr>
              <w:widowControl w:val="0"/>
              <w:wordWrap w:val="0"/>
              <w:spacing w:line="360" w:lineRule="auto"/>
              <w:ind w:firstLine="420" w:firstLineChars="200"/>
              <w:jc w:val="center"/>
              <w:rPr>
                <w:color w:val="auto"/>
                <w:highlight w:val="none"/>
                <w:lang w:eastAsia="zh-CN"/>
              </w:rPr>
            </w:pPr>
          </w:p>
          <w:p w14:paraId="15B7743B">
            <w:pPr>
              <w:widowControl w:val="0"/>
              <w:wordWrap w:val="0"/>
              <w:spacing w:line="360" w:lineRule="auto"/>
              <w:ind w:firstLine="420" w:firstLineChars="200"/>
              <w:jc w:val="center"/>
              <w:rPr>
                <w:color w:val="auto"/>
                <w:highlight w:val="none"/>
                <w:lang w:eastAsia="zh-CN"/>
              </w:rPr>
            </w:pPr>
          </w:p>
          <w:p w14:paraId="6963B58E">
            <w:pPr>
              <w:widowControl w:val="0"/>
              <w:wordWrap w:val="0"/>
              <w:spacing w:line="360" w:lineRule="auto"/>
              <w:ind w:firstLine="420" w:firstLineChars="200"/>
              <w:jc w:val="center"/>
              <w:rPr>
                <w:color w:val="auto"/>
                <w:highlight w:val="none"/>
                <w:lang w:eastAsia="zh-CN"/>
              </w:rPr>
            </w:pPr>
          </w:p>
          <w:p w14:paraId="03A9ACFA">
            <w:pPr>
              <w:pStyle w:val="23"/>
              <w:widowControl w:val="0"/>
              <w:wordWrap w:val="0"/>
              <w:spacing w:line="360" w:lineRule="auto"/>
              <w:jc w:val="center"/>
              <w:rPr>
                <w:color w:val="auto"/>
                <w:sz w:val="21"/>
                <w:szCs w:val="21"/>
                <w:highlight w:val="none"/>
              </w:rPr>
            </w:pPr>
            <w:r>
              <w:rPr>
                <w:color w:val="auto"/>
                <w:sz w:val="21"/>
                <w:szCs w:val="21"/>
                <w:highlight w:val="none"/>
              </w:rPr>
              <w:t>14</w:t>
            </w:r>
          </w:p>
        </w:tc>
        <w:tc>
          <w:tcPr>
            <w:tcW w:w="873" w:type="dxa"/>
            <w:vAlign w:val="center"/>
          </w:tcPr>
          <w:p w14:paraId="08C44076">
            <w:pPr>
              <w:widowControl w:val="0"/>
              <w:wordWrap w:val="0"/>
              <w:spacing w:line="360" w:lineRule="auto"/>
              <w:ind w:firstLine="420" w:firstLineChars="200"/>
              <w:jc w:val="center"/>
              <w:rPr>
                <w:color w:val="auto"/>
                <w:highlight w:val="none"/>
              </w:rPr>
            </w:pPr>
          </w:p>
          <w:p w14:paraId="4CBA10F5">
            <w:pPr>
              <w:widowControl w:val="0"/>
              <w:wordWrap w:val="0"/>
              <w:spacing w:line="360" w:lineRule="auto"/>
              <w:ind w:firstLine="420" w:firstLineChars="200"/>
              <w:jc w:val="center"/>
              <w:rPr>
                <w:color w:val="auto"/>
                <w:highlight w:val="none"/>
              </w:rPr>
            </w:pPr>
          </w:p>
          <w:p w14:paraId="724B5206">
            <w:pPr>
              <w:widowControl w:val="0"/>
              <w:wordWrap w:val="0"/>
              <w:spacing w:line="360" w:lineRule="auto"/>
              <w:ind w:firstLine="420" w:firstLineChars="200"/>
              <w:jc w:val="center"/>
              <w:rPr>
                <w:color w:val="auto"/>
                <w:highlight w:val="none"/>
              </w:rPr>
            </w:pPr>
          </w:p>
          <w:p w14:paraId="7CCFCA74">
            <w:pPr>
              <w:widowControl w:val="0"/>
              <w:wordWrap w:val="0"/>
              <w:spacing w:line="360" w:lineRule="auto"/>
              <w:ind w:firstLine="420" w:firstLineChars="200"/>
              <w:jc w:val="center"/>
              <w:rPr>
                <w:color w:val="auto"/>
                <w:highlight w:val="none"/>
              </w:rPr>
            </w:pPr>
          </w:p>
          <w:p w14:paraId="28264331">
            <w:pPr>
              <w:pStyle w:val="23"/>
              <w:widowControl w:val="0"/>
              <w:wordWrap w:val="0"/>
              <w:spacing w:line="360" w:lineRule="auto"/>
              <w:jc w:val="center"/>
              <w:rPr>
                <w:color w:val="auto"/>
                <w:sz w:val="21"/>
                <w:szCs w:val="21"/>
                <w:highlight w:val="none"/>
              </w:rPr>
            </w:pPr>
            <w:r>
              <w:rPr>
                <w:color w:val="auto"/>
                <w:sz w:val="21"/>
                <w:szCs w:val="21"/>
                <w:highlight w:val="none"/>
              </w:rPr>
              <w:t>27</w:t>
            </w:r>
          </w:p>
        </w:tc>
        <w:tc>
          <w:tcPr>
            <w:tcW w:w="1663" w:type="dxa"/>
            <w:vAlign w:val="center"/>
          </w:tcPr>
          <w:p w14:paraId="2DE8A74B">
            <w:pPr>
              <w:widowControl w:val="0"/>
              <w:wordWrap w:val="0"/>
              <w:spacing w:line="360" w:lineRule="auto"/>
              <w:ind w:firstLine="420" w:firstLineChars="200"/>
              <w:jc w:val="center"/>
              <w:rPr>
                <w:color w:val="auto"/>
                <w:highlight w:val="none"/>
                <w:lang w:eastAsia="zh-CN"/>
              </w:rPr>
            </w:pPr>
          </w:p>
          <w:p w14:paraId="4B2904CF">
            <w:pPr>
              <w:widowControl w:val="0"/>
              <w:wordWrap w:val="0"/>
              <w:spacing w:line="360" w:lineRule="auto"/>
              <w:ind w:firstLine="420" w:firstLineChars="200"/>
              <w:jc w:val="center"/>
              <w:rPr>
                <w:color w:val="auto"/>
                <w:highlight w:val="none"/>
                <w:lang w:eastAsia="zh-CN"/>
              </w:rPr>
            </w:pPr>
          </w:p>
          <w:p w14:paraId="4D837CDB">
            <w:pPr>
              <w:widowControl w:val="0"/>
              <w:wordWrap w:val="0"/>
              <w:spacing w:line="360" w:lineRule="auto"/>
              <w:ind w:firstLine="420" w:firstLineChars="200"/>
              <w:jc w:val="center"/>
              <w:rPr>
                <w:color w:val="auto"/>
                <w:highlight w:val="none"/>
                <w:lang w:eastAsia="zh-CN"/>
              </w:rPr>
            </w:pPr>
          </w:p>
          <w:p w14:paraId="5A5DAF80">
            <w:pPr>
              <w:widowControl w:val="0"/>
              <w:wordWrap w:val="0"/>
              <w:spacing w:line="360" w:lineRule="auto"/>
              <w:ind w:firstLine="420" w:firstLineChars="200"/>
              <w:jc w:val="center"/>
              <w:rPr>
                <w:color w:val="auto"/>
                <w:highlight w:val="none"/>
                <w:lang w:eastAsia="zh-CN"/>
              </w:rPr>
            </w:pPr>
          </w:p>
          <w:p w14:paraId="14F0F49A">
            <w:pPr>
              <w:pStyle w:val="23"/>
              <w:widowControl w:val="0"/>
              <w:wordWrap w:val="0"/>
              <w:spacing w:line="360" w:lineRule="auto"/>
              <w:jc w:val="center"/>
              <w:rPr>
                <w:color w:val="auto"/>
                <w:sz w:val="21"/>
                <w:szCs w:val="21"/>
                <w:highlight w:val="none"/>
                <w:lang w:eastAsia="zh-CN"/>
              </w:rPr>
            </w:pPr>
            <w:r>
              <w:rPr>
                <w:color w:val="auto"/>
                <w:sz w:val="21"/>
                <w:szCs w:val="21"/>
                <w:highlight w:val="none"/>
                <w:lang w:eastAsia="zh-CN"/>
              </w:rPr>
              <w:t>成交公告及成交通知书</w:t>
            </w:r>
          </w:p>
        </w:tc>
        <w:tc>
          <w:tcPr>
            <w:tcW w:w="6588" w:type="dxa"/>
          </w:tcPr>
          <w:p w14:paraId="77C0B509">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27.1 采购代理机构于评审结束后两个工作日内将评审报告送交采购人，采购人应当自收到评审报告五个工作日内在评审报告推荐的成交候选供应商中按顺序确定成交供应商，采购代理机构在成交供应商确 定之日起两个工作日内发出成交通知书，并在指定媒体上公告成交信 息。</w:t>
            </w:r>
          </w:p>
          <w:p w14:paraId="29E985B1">
            <w:pPr>
              <w:pStyle w:val="23"/>
              <w:widowControl w:val="0"/>
              <w:wordWrap w:val="0"/>
              <w:spacing w:line="360" w:lineRule="auto"/>
              <w:ind w:firstLine="420" w:firstLineChars="200"/>
              <w:rPr>
                <w:color w:val="auto"/>
                <w:sz w:val="21"/>
                <w:szCs w:val="21"/>
                <w:highlight w:val="none"/>
                <w:lang w:eastAsia="zh-CN"/>
              </w:rPr>
            </w:pPr>
            <w:r>
              <w:rPr>
                <w:color w:val="auto"/>
                <w:sz w:val="21"/>
                <w:szCs w:val="21"/>
                <w:highlight w:val="none"/>
                <w:lang w:eastAsia="zh-CN"/>
              </w:rPr>
              <w:t>27.3 在发布成交公告的同时，采购代理机构向成交供应商发出成交通知书。成交供应商应自接到通知之日起七个工作日内，办理成交通知书领取手续。</w:t>
            </w:r>
          </w:p>
        </w:tc>
      </w:tr>
      <w:tr w14:paraId="6F71F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577" w:type="dxa"/>
            <w:gridSpan w:val="2"/>
            <w:vAlign w:val="center"/>
          </w:tcPr>
          <w:p w14:paraId="5E2AD46C">
            <w:pPr>
              <w:widowControl w:val="0"/>
              <w:wordWrap w:val="0"/>
              <w:spacing w:line="360" w:lineRule="auto"/>
              <w:ind w:firstLine="420" w:firstLineChars="200"/>
              <w:jc w:val="center"/>
              <w:rPr>
                <w:color w:val="auto"/>
                <w:highlight w:val="none"/>
                <w:lang w:eastAsia="zh-CN"/>
              </w:rPr>
            </w:pPr>
          </w:p>
          <w:p w14:paraId="6C9AB439">
            <w:pPr>
              <w:pStyle w:val="23"/>
              <w:widowControl w:val="0"/>
              <w:wordWrap w:val="0"/>
              <w:spacing w:line="360" w:lineRule="auto"/>
              <w:jc w:val="center"/>
              <w:rPr>
                <w:color w:val="auto"/>
                <w:sz w:val="21"/>
                <w:szCs w:val="21"/>
                <w:highlight w:val="none"/>
              </w:rPr>
            </w:pPr>
            <w:r>
              <w:rPr>
                <w:color w:val="auto"/>
                <w:sz w:val="21"/>
                <w:szCs w:val="21"/>
                <w:highlight w:val="none"/>
              </w:rPr>
              <w:t>15</w:t>
            </w:r>
          </w:p>
        </w:tc>
        <w:tc>
          <w:tcPr>
            <w:tcW w:w="873" w:type="dxa"/>
            <w:vAlign w:val="center"/>
          </w:tcPr>
          <w:p w14:paraId="3D1BF51F">
            <w:pPr>
              <w:widowControl w:val="0"/>
              <w:wordWrap w:val="0"/>
              <w:spacing w:line="360" w:lineRule="auto"/>
              <w:ind w:firstLine="420" w:firstLineChars="200"/>
              <w:jc w:val="center"/>
              <w:rPr>
                <w:color w:val="auto"/>
                <w:highlight w:val="none"/>
              </w:rPr>
            </w:pPr>
          </w:p>
          <w:p w14:paraId="05C379A8">
            <w:pPr>
              <w:pStyle w:val="23"/>
              <w:widowControl w:val="0"/>
              <w:wordWrap w:val="0"/>
              <w:spacing w:line="360" w:lineRule="auto"/>
              <w:jc w:val="center"/>
              <w:rPr>
                <w:color w:val="auto"/>
                <w:sz w:val="21"/>
                <w:szCs w:val="21"/>
                <w:highlight w:val="none"/>
              </w:rPr>
            </w:pPr>
            <w:r>
              <w:rPr>
                <w:color w:val="auto"/>
                <w:sz w:val="21"/>
                <w:szCs w:val="21"/>
                <w:highlight w:val="none"/>
              </w:rPr>
              <w:t>28</w:t>
            </w:r>
          </w:p>
        </w:tc>
        <w:tc>
          <w:tcPr>
            <w:tcW w:w="1663" w:type="dxa"/>
            <w:vAlign w:val="center"/>
          </w:tcPr>
          <w:p w14:paraId="0D2AD350">
            <w:pPr>
              <w:widowControl w:val="0"/>
              <w:wordWrap w:val="0"/>
              <w:spacing w:line="360" w:lineRule="auto"/>
              <w:ind w:firstLine="420" w:firstLineChars="200"/>
              <w:jc w:val="center"/>
              <w:rPr>
                <w:color w:val="auto"/>
                <w:highlight w:val="none"/>
              </w:rPr>
            </w:pPr>
          </w:p>
          <w:p w14:paraId="7075ABE6">
            <w:pPr>
              <w:pStyle w:val="23"/>
              <w:widowControl w:val="0"/>
              <w:wordWrap w:val="0"/>
              <w:spacing w:line="360" w:lineRule="auto"/>
              <w:jc w:val="center"/>
              <w:rPr>
                <w:color w:val="auto"/>
                <w:sz w:val="21"/>
                <w:szCs w:val="21"/>
                <w:highlight w:val="none"/>
              </w:rPr>
            </w:pPr>
            <w:r>
              <w:rPr>
                <w:color w:val="auto"/>
                <w:sz w:val="21"/>
                <w:szCs w:val="21"/>
                <w:highlight w:val="none"/>
              </w:rPr>
              <w:t>履约保证金</w:t>
            </w:r>
          </w:p>
        </w:tc>
        <w:tc>
          <w:tcPr>
            <w:tcW w:w="6588" w:type="dxa"/>
          </w:tcPr>
          <w:p w14:paraId="7A254BFA">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 xml:space="preserve">28.1 </w:t>
            </w:r>
            <w:bookmarkStart w:id="9" w:name="OLE_LINK1"/>
            <w:r>
              <w:rPr>
                <w:rFonts w:hint="eastAsia"/>
                <w:color w:val="auto"/>
                <w:sz w:val="21"/>
                <w:szCs w:val="21"/>
                <w:highlight w:val="none"/>
                <w:lang w:eastAsia="zh-CN"/>
              </w:rPr>
              <w:t>履约保证金金额：合同金额的3%</w:t>
            </w:r>
            <w:bookmarkEnd w:id="9"/>
          </w:p>
          <w:p w14:paraId="4676B2B6">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28.2 履约保证金缴纳形式：供应商可以选择电汇、转账、支票、汇票、本票、保函等形式缴纳或提交；采用保函形式缴纳的，甲方在保证期限届满后及时对收取的保证金进行核实和结算。</w:t>
            </w:r>
          </w:p>
          <w:p w14:paraId="5F0431D3">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保证金缴纳的账号信息：</w:t>
            </w:r>
          </w:p>
          <w:p w14:paraId="6E34759C">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开户名称：广西师范大学</w:t>
            </w:r>
          </w:p>
          <w:p w14:paraId="0022008E">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开户银行：中国工商银行股份有限公司桂林市高新科技支行</w:t>
            </w:r>
          </w:p>
          <w:p w14:paraId="2AB14BA5">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账    号：2103215109264004618</w:t>
            </w:r>
          </w:p>
          <w:p w14:paraId="2E8532ED">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履约保证金退还方式及时间、条件、不予退还的情形：履约保证金待履行完合同约定的权利义务事项后【乙方承诺保质期（免费保修、维护、升级期）满】且不存在争议的，由乙方向履约保证金收取单位提供《采购项目履约保证金退付意见书》，履约保证金收取单位在收到合格材料后30个工作日内办理退还手续（不计利息）。乙方发生违约事项的，甲方将违约金在履约保证金中相应扣除，履约保证金余额无息返还乙方。</w:t>
            </w:r>
          </w:p>
          <w:p w14:paraId="6D1DD53C">
            <w:pPr>
              <w:pStyle w:val="23"/>
              <w:widowControl w:val="0"/>
              <w:wordWrap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28.3 履约保证金采用保函形式缴纳的，采购人在保证期限届满后及时对收取的保证金进行核实和结算。</w:t>
            </w:r>
          </w:p>
        </w:tc>
      </w:tr>
      <w:tr w14:paraId="2B04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77" w:type="dxa"/>
            <w:gridSpan w:val="2"/>
            <w:vAlign w:val="center"/>
          </w:tcPr>
          <w:p w14:paraId="432D3B1C">
            <w:pPr>
              <w:pStyle w:val="23"/>
              <w:widowControl w:val="0"/>
              <w:wordWrap w:val="0"/>
              <w:spacing w:line="360" w:lineRule="auto"/>
              <w:jc w:val="center"/>
              <w:rPr>
                <w:color w:val="auto"/>
                <w:sz w:val="21"/>
                <w:szCs w:val="21"/>
                <w:highlight w:val="none"/>
              </w:rPr>
            </w:pPr>
            <w:r>
              <w:rPr>
                <w:color w:val="auto"/>
                <w:sz w:val="21"/>
                <w:szCs w:val="21"/>
                <w:highlight w:val="none"/>
              </w:rPr>
              <w:t>16</w:t>
            </w:r>
          </w:p>
        </w:tc>
        <w:tc>
          <w:tcPr>
            <w:tcW w:w="873" w:type="dxa"/>
            <w:vAlign w:val="center"/>
          </w:tcPr>
          <w:p w14:paraId="5D173300">
            <w:pPr>
              <w:pStyle w:val="23"/>
              <w:widowControl w:val="0"/>
              <w:wordWrap w:val="0"/>
              <w:spacing w:line="360" w:lineRule="auto"/>
              <w:jc w:val="center"/>
              <w:rPr>
                <w:color w:val="auto"/>
                <w:sz w:val="21"/>
                <w:szCs w:val="21"/>
                <w:highlight w:val="none"/>
              </w:rPr>
            </w:pPr>
            <w:r>
              <w:rPr>
                <w:color w:val="auto"/>
                <w:sz w:val="21"/>
                <w:szCs w:val="21"/>
                <w:highlight w:val="none"/>
              </w:rPr>
              <w:t>29.1</w:t>
            </w:r>
          </w:p>
        </w:tc>
        <w:tc>
          <w:tcPr>
            <w:tcW w:w="1663" w:type="dxa"/>
            <w:vAlign w:val="center"/>
          </w:tcPr>
          <w:p w14:paraId="2223A154">
            <w:pPr>
              <w:pStyle w:val="23"/>
              <w:widowControl w:val="0"/>
              <w:wordWrap w:val="0"/>
              <w:spacing w:line="360" w:lineRule="auto"/>
              <w:jc w:val="center"/>
              <w:rPr>
                <w:color w:val="auto"/>
                <w:sz w:val="21"/>
                <w:szCs w:val="21"/>
                <w:highlight w:val="none"/>
              </w:rPr>
            </w:pPr>
            <w:r>
              <w:rPr>
                <w:color w:val="auto"/>
                <w:sz w:val="21"/>
                <w:szCs w:val="21"/>
                <w:highlight w:val="none"/>
              </w:rPr>
              <w:t>签订合同时间</w:t>
            </w:r>
          </w:p>
        </w:tc>
        <w:tc>
          <w:tcPr>
            <w:tcW w:w="6588" w:type="dxa"/>
          </w:tcPr>
          <w:p w14:paraId="2322CE1B">
            <w:pPr>
              <w:pStyle w:val="23"/>
              <w:widowControl w:val="0"/>
              <w:wordWrap w:val="0"/>
              <w:spacing w:line="360" w:lineRule="auto"/>
              <w:rPr>
                <w:color w:val="auto"/>
                <w:sz w:val="21"/>
                <w:szCs w:val="21"/>
                <w:highlight w:val="none"/>
                <w:lang w:eastAsia="zh-CN"/>
              </w:rPr>
            </w:pPr>
            <w:r>
              <w:rPr>
                <w:color w:val="auto"/>
                <w:sz w:val="21"/>
                <w:szCs w:val="21"/>
                <w:highlight w:val="none"/>
                <w:lang w:eastAsia="zh-CN"/>
              </w:rPr>
              <w:t>成交通知书发出之日起 8 个工作日内。成交供应商领取成交通知书后，应按规定与采购人签订合同。</w:t>
            </w:r>
          </w:p>
        </w:tc>
      </w:tr>
      <w:tr w14:paraId="1F02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7" w:type="dxa"/>
            <w:gridSpan w:val="2"/>
            <w:vAlign w:val="center"/>
          </w:tcPr>
          <w:p w14:paraId="7D34BCC0">
            <w:pPr>
              <w:widowControl w:val="0"/>
              <w:wordWrap w:val="0"/>
              <w:spacing w:line="360" w:lineRule="auto"/>
              <w:ind w:firstLine="420" w:firstLineChars="200"/>
              <w:jc w:val="center"/>
              <w:rPr>
                <w:color w:val="auto"/>
                <w:highlight w:val="none"/>
                <w:lang w:eastAsia="zh-CN"/>
              </w:rPr>
            </w:pPr>
          </w:p>
          <w:p w14:paraId="47EE8793">
            <w:pPr>
              <w:widowControl w:val="0"/>
              <w:wordWrap w:val="0"/>
              <w:spacing w:line="360" w:lineRule="auto"/>
              <w:ind w:firstLine="420" w:firstLineChars="200"/>
              <w:jc w:val="center"/>
              <w:rPr>
                <w:color w:val="auto"/>
                <w:highlight w:val="none"/>
                <w:lang w:eastAsia="zh-CN"/>
              </w:rPr>
            </w:pPr>
          </w:p>
          <w:p w14:paraId="3B921D11">
            <w:pPr>
              <w:pStyle w:val="23"/>
              <w:widowControl w:val="0"/>
              <w:wordWrap w:val="0"/>
              <w:spacing w:line="360" w:lineRule="auto"/>
              <w:jc w:val="center"/>
              <w:rPr>
                <w:color w:val="auto"/>
                <w:sz w:val="21"/>
                <w:szCs w:val="21"/>
                <w:highlight w:val="none"/>
              </w:rPr>
            </w:pPr>
            <w:r>
              <w:rPr>
                <w:color w:val="auto"/>
                <w:sz w:val="21"/>
                <w:szCs w:val="21"/>
                <w:highlight w:val="none"/>
              </w:rPr>
              <w:t>17</w:t>
            </w:r>
          </w:p>
        </w:tc>
        <w:tc>
          <w:tcPr>
            <w:tcW w:w="873" w:type="dxa"/>
            <w:vAlign w:val="center"/>
          </w:tcPr>
          <w:p w14:paraId="49AE4B42">
            <w:pPr>
              <w:widowControl w:val="0"/>
              <w:wordWrap w:val="0"/>
              <w:spacing w:line="360" w:lineRule="auto"/>
              <w:ind w:firstLine="420" w:firstLineChars="200"/>
              <w:jc w:val="center"/>
              <w:rPr>
                <w:color w:val="auto"/>
                <w:highlight w:val="none"/>
              </w:rPr>
            </w:pPr>
          </w:p>
          <w:p w14:paraId="03A7C98E">
            <w:pPr>
              <w:widowControl w:val="0"/>
              <w:wordWrap w:val="0"/>
              <w:spacing w:line="360" w:lineRule="auto"/>
              <w:ind w:firstLine="420" w:firstLineChars="200"/>
              <w:jc w:val="center"/>
              <w:rPr>
                <w:color w:val="auto"/>
                <w:highlight w:val="none"/>
              </w:rPr>
            </w:pPr>
          </w:p>
          <w:p w14:paraId="35F81ECB">
            <w:pPr>
              <w:pStyle w:val="23"/>
              <w:widowControl w:val="0"/>
              <w:wordWrap w:val="0"/>
              <w:spacing w:line="360" w:lineRule="auto"/>
              <w:jc w:val="center"/>
              <w:rPr>
                <w:color w:val="auto"/>
                <w:sz w:val="21"/>
                <w:szCs w:val="21"/>
                <w:highlight w:val="none"/>
              </w:rPr>
            </w:pPr>
            <w:r>
              <w:rPr>
                <w:color w:val="auto"/>
                <w:sz w:val="21"/>
                <w:szCs w:val="21"/>
                <w:highlight w:val="none"/>
              </w:rPr>
              <w:t>29.3</w:t>
            </w:r>
          </w:p>
        </w:tc>
        <w:tc>
          <w:tcPr>
            <w:tcW w:w="1663" w:type="dxa"/>
            <w:vAlign w:val="center"/>
          </w:tcPr>
          <w:p w14:paraId="7D49B8BC">
            <w:pPr>
              <w:widowControl w:val="0"/>
              <w:wordWrap w:val="0"/>
              <w:spacing w:line="360" w:lineRule="auto"/>
              <w:ind w:firstLine="420" w:firstLineChars="200"/>
              <w:jc w:val="center"/>
              <w:rPr>
                <w:color w:val="auto"/>
                <w:highlight w:val="none"/>
              </w:rPr>
            </w:pPr>
          </w:p>
          <w:p w14:paraId="702CEA7E">
            <w:pPr>
              <w:widowControl w:val="0"/>
              <w:wordWrap w:val="0"/>
              <w:spacing w:line="360" w:lineRule="auto"/>
              <w:ind w:firstLine="420" w:firstLineChars="200"/>
              <w:jc w:val="center"/>
              <w:rPr>
                <w:color w:val="auto"/>
                <w:highlight w:val="none"/>
              </w:rPr>
            </w:pPr>
          </w:p>
          <w:p w14:paraId="1D1057D1">
            <w:pPr>
              <w:pStyle w:val="23"/>
              <w:widowControl w:val="0"/>
              <w:wordWrap w:val="0"/>
              <w:spacing w:line="360" w:lineRule="auto"/>
              <w:jc w:val="center"/>
              <w:rPr>
                <w:color w:val="auto"/>
                <w:sz w:val="21"/>
                <w:szCs w:val="21"/>
                <w:highlight w:val="none"/>
              </w:rPr>
            </w:pPr>
            <w:r>
              <w:rPr>
                <w:color w:val="auto"/>
                <w:sz w:val="21"/>
                <w:szCs w:val="21"/>
                <w:highlight w:val="none"/>
              </w:rPr>
              <w:t>合同备案存档</w:t>
            </w:r>
          </w:p>
        </w:tc>
        <w:tc>
          <w:tcPr>
            <w:tcW w:w="6588" w:type="dxa"/>
          </w:tcPr>
          <w:p w14:paraId="482525B4">
            <w:pPr>
              <w:pStyle w:val="23"/>
              <w:widowControl w:val="0"/>
              <w:wordWrap w:val="0"/>
              <w:spacing w:line="360" w:lineRule="auto"/>
              <w:ind w:firstLine="420" w:firstLineChars="200"/>
              <w:jc w:val="both"/>
              <w:rPr>
                <w:color w:val="auto"/>
                <w:sz w:val="21"/>
                <w:szCs w:val="21"/>
                <w:highlight w:val="none"/>
                <w:lang w:eastAsia="zh-CN"/>
              </w:rPr>
            </w:pPr>
            <w:r>
              <w:rPr>
                <w:rFonts w:hint="eastAsia"/>
                <w:color w:val="auto"/>
                <w:sz w:val="21"/>
                <w:szCs w:val="21"/>
                <w:highlight w:val="none"/>
                <w:lang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大华建设项目管理有限公司存档。</w:t>
            </w:r>
          </w:p>
        </w:tc>
      </w:tr>
      <w:tr w14:paraId="46509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4" w:hRule="atLeast"/>
        </w:trPr>
        <w:tc>
          <w:tcPr>
            <w:tcW w:w="577" w:type="dxa"/>
            <w:gridSpan w:val="2"/>
            <w:vAlign w:val="center"/>
          </w:tcPr>
          <w:p w14:paraId="4D458425">
            <w:pPr>
              <w:widowControl w:val="0"/>
              <w:wordWrap w:val="0"/>
              <w:spacing w:line="360" w:lineRule="auto"/>
              <w:ind w:firstLine="420" w:firstLineChars="200"/>
              <w:jc w:val="center"/>
              <w:rPr>
                <w:color w:val="auto"/>
                <w:highlight w:val="none"/>
                <w:lang w:eastAsia="zh-CN"/>
              </w:rPr>
            </w:pPr>
          </w:p>
          <w:p w14:paraId="26DA17E4">
            <w:pPr>
              <w:widowControl w:val="0"/>
              <w:wordWrap w:val="0"/>
              <w:spacing w:line="360" w:lineRule="auto"/>
              <w:ind w:firstLine="420" w:firstLineChars="200"/>
              <w:jc w:val="center"/>
              <w:rPr>
                <w:color w:val="auto"/>
                <w:highlight w:val="none"/>
                <w:lang w:eastAsia="zh-CN"/>
              </w:rPr>
            </w:pPr>
          </w:p>
          <w:p w14:paraId="482ECD90">
            <w:pPr>
              <w:pStyle w:val="23"/>
              <w:widowControl w:val="0"/>
              <w:wordWrap w:val="0"/>
              <w:spacing w:line="360" w:lineRule="auto"/>
              <w:jc w:val="center"/>
              <w:rPr>
                <w:color w:val="auto"/>
                <w:sz w:val="21"/>
                <w:szCs w:val="21"/>
                <w:highlight w:val="none"/>
              </w:rPr>
            </w:pPr>
            <w:r>
              <w:rPr>
                <w:color w:val="auto"/>
                <w:sz w:val="21"/>
                <w:szCs w:val="21"/>
                <w:highlight w:val="none"/>
              </w:rPr>
              <w:t>18</w:t>
            </w:r>
          </w:p>
        </w:tc>
        <w:tc>
          <w:tcPr>
            <w:tcW w:w="873" w:type="dxa"/>
            <w:vAlign w:val="center"/>
          </w:tcPr>
          <w:p w14:paraId="6DDC4680">
            <w:pPr>
              <w:widowControl w:val="0"/>
              <w:wordWrap w:val="0"/>
              <w:spacing w:line="360" w:lineRule="auto"/>
              <w:ind w:firstLine="420" w:firstLineChars="200"/>
              <w:jc w:val="center"/>
              <w:rPr>
                <w:color w:val="auto"/>
                <w:highlight w:val="none"/>
              </w:rPr>
            </w:pPr>
          </w:p>
          <w:p w14:paraId="4D264786">
            <w:pPr>
              <w:widowControl w:val="0"/>
              <w:wordWrap w:val="0"/>
              <w:spacing w:line="360" w:lineRule="auto"/>
              <w:ind w:firstLine="420" w:firstLineChars="200"/>
              <w:jc w:val="center"/>
              <w:rPr>
                <w:color w:val="auto"/>
                <w:highlight w:val="none"/>
              </w:rPr>
            </w:pPr>
          </w:p>
          <w:p w14:paraId="66E3D65C">
            <w:pPr>
              <w:pStyle w:val="23"/>
              <w:widowControl w:val="0"/>
              <w:wordWrap w:val="0"/>
              <w:spacing w:line="360" w:lineRule="auto"/>
              <w:jc w:val="center"/>
              <w:rPr>
                <w:color w:val="auto"/>
                <w:sz w:val="21"/>
                <w:szCs w:val="21"/>
                <w:highlight w:val="none"/>
              </w:rPr>
            </w:pPr>
            <w:r>
              <w:rPr>
                <w:color w:val="auto"/>
                <w:sz w:val="21"/>
                <w:szCs w:val="21"/>
                <w:highlight w:val="none"/>
              </w:rPr>
              <w:t>30.1</w:t>
            </w:r>
          </w:p>
        </w:tc>
        <w:tc>
          <w:tcPr>
            <w:tcW w:w="1663" w:type="dxa"/>
            <w:vAlign w:val="center"/>
          </w:tcPr>
          <w:p w14:paraId="70A62FD4">
            <w:pPr>
              <w:widowControl w:val="0"/>
              <w:wordWrap w:val="0"/>
              <w:spacing w:line="360" w:lineRule="auto"/>
              <w:ind w:firstLine="420" w:firstLineChars="200"/>
              <w:jc w:val="center"/>
              <w:rPr>
                <w:color w:val="auto"/>
                <w:highlight w:val="none"/>
              </w:rPr>
            </w:pPr>
          </w:p>
          <w:p w14:paraId="788E3FA2">
            <w:pPr>
              <w:widowControl w:val="0"/>
              <w:wordWrap w:val="0"/>
              <w:spacing w:line="360" w:lineRule="auto"/>
              <w:ind w:firstLine="420" w:firstLineChars="200"/>
              <w:jc w:val="center"/>
              <w:rPr>
                <w:color w:val="auto"/>
                <w:highlight w:val="none"/>
              </w:rPr>
            </w:pPr>
          </w:p>
          <w:p w14:paraId="3EB41E7C">
            <w:pPr>
              <w:pStyle w:val="23"/>
              <w:widowControl w:val="0"/>
              <w:wordWrap w:val="0"/>
              <w:spacing w:line="360" w:lineRule="auto"/>
              <w:jc w:val="center"/>
              <w:rPr>
                <w:color w:val="auto"/>
                <w:sz w:val="21"/>
                <w:szCs w:val="21"/>
                <w:highlight w:val="none"/>
              </w:rPr>
            </w:pPr>
            <w:r>
              <w:rPr>
                <w:color w:val="auto"/>
                <w:sz w:val="21"/>
                <w:szCs w:val="21"/>
                <w:highlight w:val="none"/>
              </w:rPr>
              <w:t>采购代理服务费</w:t>
            </w:r>
          </w:p>
        </w:tc>
        <w:tc>
          <w:tcPr>
            <w:tcW w:w="6588" w:type="dxa"/>
          </w:tcPr>
          <w:p w14:paraId="40013D97">
            <w:pPr>
              <w:pStyle w:val="23"/>
              <w:widowControl w:val="0"/>
              <w:wordWrap w:val="0"/>
              <w:spacing w:line="360" w:lineRule="auto"/>
              <w:ind w:firstLine="420" w:firstLineChars="200"/>
              <w:jc w:val="both"/>
              <w:rPr>
                <w:color w:val="auto"/>
                <w:sz w:val="21"/>
                <w:szCs w:val="21"/>
                <w:highlight w:val="none"/>
                <w:lang w:eastAsia="zh-CN"/>
              </w:rPr>
            </w:pPr>
            <w:r>
              <w:rPr>
                <w:rFonts w:ascii="Times New Roman" w:hAnsi="Times New Roman"/>
                <w:color w:val="auto"/>
                <w:sz w:val="21"/>
                <w:szCs w:val="21"/>
                <w:highlight w:val="none"/>
                <w:lang w:eastAsia="zh-CN"/>
              </w:rPr>
              <w:t>成交供应商领取成交通知书前，向大华建设项目管理有限公司一次性付清采购代理服务费。本项目的采购代理服务收费标准按“发改价格〔2015〕299号”《国家发展改革委关于进一步放开建设项目专业服务价格的通知》规定以费率1.5%为基数，不再按差额定率累进法计算，下浮60%向成交供应商收取</w:t>
            </w:r>
            <w:r>
              <w:rPr>
                <w:rFonts w:hint="eastAsia" w:ascii="Times New Roman" w:hAnsi="Times New Roman"/>
                <w:color w:val="auto"/>
                <w:sz w:val="21"/>
                <w:szCs w:val="21"/>
                <w:highlight w:val="none"/>
                <w:lang w:eastAsia="zh-CN"/>
              </w:rPr>
              <w:t>采购代理服务费</w:t>
            </w:r>
            <w:r>
              <w:rPr>
                <w:rFonts w:ascii="Times New Roman" w:hAnsi="Times New Roman"/>
                <w:color w:val="auto"/>
                <w:sz w:val="21"/>
                <w:szCs w:val="21"/>
                <w:highlight w:val="none"/>
                <w:lang w:eastAsia="zh-CN"/>
              </w:rPr>
              <w:t>，由成交供应商向采购代理机构一次性付</w:t>
            </w:r>
            <w:r>
              <w:rPr>
                <w:rFonts w:hint="eastAsia" w:ascii="Times New Roman" w:hAnsi="Times New Roman"/>
                <w:color w:val="auto"/>
                <w:sz w:val="21"/>
                <w:szCs w:val="21"/>
                <w:highlight w:val="none"/>
                <w:lang w:eastAsia="zh-CN"/>
              </w:rPr>
              <w:t>清</w:t>
            </w:r>
            <w:r>
              <w:rPr>
                <w:rFonts w:ascii="Times New Roman" w:hAnsi="Times New Roman"/>
                <w:color w:val="auto"/>
                <w:sz w:val="21"/>
                <w:szCs w:val="21"/>
                <w:highlight w:val="none"/>
                <w:lang w:eastAsia="zh-CN"/>
              </w:rPr>
              <w:t>（否则，该不利后果由成交供应商承担）。</w:t>
            </w:r>
          </w:p>
        </w:tc>
      </w:tr>
      <w:tr w14:paraId="404C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77" w:type="dxa"/>
            <w:gridSpan w:val="2"/>
            <w:vAlign w:val="center"/>
          </w:tcPr>
          <w:p w14:paraId="172F3802">
            <w:pPr>
              <w:widowControl w:val="0"/>
              <w:wordWrap w:val="0"/>
              <w:spacing w:line="360" w:lineRule="auto"/>
              <w:ind w:firstLine="420" w:firstLineChars="200"/>
              <w:jc w:val="center"/>
              <w:rPr>
                <w:color w:val="auto"/>
                <w:highlight w:val="none"/>
                <w:lang w:eastAsia="zh-CN"/>
              </w:rPr>
            </w:pPr>
          </w:p>
          <w:p w14:paraId="7ED5084C">
            <w:pPr>
              <w:pStyle w:val="23"/>
              <w:widowControl w:val="0"/>
              <w:wordWrap w:val="0"/>
              <w:spacing w:line="360" w:lineRule="auto"/>
              <w:jc w:val="center"/>
              <w:rPr>
                <w:color w:val="auto"/>
                <w:sz w:val="21"/>
                <w:szCs w:val="21"/>
                <w:highlight w:val="none"/>
              </w:rPr>
            </w:pPr>
            <w:r>
              <w:rPr>
                <w:color w:val="auto"/>
                <w:sz w:val="21"/>
                <w:szCs w:val="21"/>
                <w:highlight w:val="none"/>
              </w:rPr>
              <w:t>19</w:t>
            </w:r>
          </w:p>
        </w:tc>
        <w:tc>
          <w:tcPr>
            <w:tcW w:w="873" w:type="dxa"/>
            <w:vAlign w:val="center"/>
          </w:tcPr>
          <w:p w14:paraId="777E0FE8">
            <w:pPr>
              <w:widowControl w:val="0"/>
              <w:wordWrap w:val="0"/>
              <w:spacing w:line="360" w:lineRule="auto"/>
              <w:ind w:firstLine="420" w:firstLineChars="200"/>
              <w:jc w:val="center"/>
              <w:rPr>
                <w:color w:val="auto"/>
                <w:highlight w:val="none"/>
              </w:rPr>
            </w:pPr>
          </w:p>
          <w:p w14:paraId="60CD8745">
            <w:pPr>
              <w:pStyle w:val="23"/>
              <w:widowControl w:val="0"/>
              <w:wordWrap w:val="0"/>
              <w:spacing w:line="360" w:lineRule="auto"/>
              <w:jc w:val="center"/>
              <w:rPr>
                <w:color w:val="auto"/>
                <w:sz w:val="21"/>
                <w:szCs w:val="21"/>
                <w:highlight w:val="none"/>
              </w:rPr>
            </w:pPr>
            <w:r>
              <w:rPr>
                <w:color w:val="auto"/>
                <w:sz w:val="21"/>
                <w:szCs w:val="21"/>
                <w:highlight w:val="none"/>
              </w:rPr>
              <w:t>32</w:t>
            </w:r>
          </w:p>
        </w:tc>
        <w:tc>
          <w:tcPr>
            <w:tcW w:w="1663" w:type="dxa"/>
            <w:vAlign w:val="center"/>
          </w:tcPr>
          <w:p w14:paraId="359CA4C2">
            <w:pPr>
              <w:widowControl w:val="0"/>
              <w:wordWrap w:val="0"/>
              <w:spacing w:line="360" w:lineRule="auto"/>
              <w:ind w:firstLine="420" w:firstLineChars="200"/>
              <w:jc w:val="center"/>
              <w:rPr>
                <w:color w:val="auto"/>
                <w:highlight w:val="none"/>
              </w:rPr>
            </w:pPr>
          </w:p>
          <w:p w14:paraId="12C5F2B7">
            <w:pPr>
              <w:pStyle w:val="23"/>
              <w:widowControl w:val="0"/>
              <w:wordWrap w:val="0"/>
              <w:spacing w:line="360" w:lineRule="auto"/>
              <w:jc w:val="center"/>
              <w:rPr>
                <w:color w:val="auto"/>
                <w:sz w:val="21"/>
                <w:szCs w:val="21"/>
                <w:highlight w:val="none"/>
              </w:rPr>
            </w:pPr>
            <w:r>
              <w:rPr>
                <w:color w:val="auto"/>
                <w:sz w:val="21"/>
                <w:szCs w:val="21"/>
                <w:highlight w:val="none"/>
              </w:rPr>
              <w:t>解释权</w:t>
            </w:r>
          </w:p>
        </w:tc>
        <w:tc>
          <w:tcPr>
            <w:tcW w:w="6588" w:type="dxa"/>
          </w:tcPr>
          <w:p w14:paraId="5EEBB45B">
            <w:pPr>
              <w:pStyle w:val="23"/>
              <w:widowControl w:val="0"/>
              <w:wordWrap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本竞争性谈判文件是根据《中华人民共和国政府采购法》、《中华人民共和国政府采购法实施条例》、《政府采购非招标采购方式管理办法》和政府采购管理有关规定编制，本竞争性谈判文件的解释权属于 采购代理机构。</w:t>
            </w:r>
          </w:p>
        </w:tc>
      </w:tr>
      <w:tr w14:paraId="5A0DD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577" w:type="dxa"/>
            <w:gridSpan w:val="2"/>
            <w:vAlign w:val="center"/>
          </w:tcPr>
          <w:p w14:paraId="30F684B7">
            <w:pPr>
              <w:pStyle w:val="23"/>
              <w:widowControl w:val="0"/>
              <w:wordWrap w:val="0"/>
              <w:spacing w:line="360" w:lineRule="auto"/>
              <w:jc w:val="center"/>
              <w:rPr>
                <w:color w:val="auto"/>
                <w:sz w:val="21"/>
                <w:szCs w:val="21"/>
                <w:highlight w:val="none"/>
              </w:rPr>
            </w:pPr>
            <w:r>
              <w:rPr>
                <w:color w:val="auto"/>
                <w:sz w:val="21"/>
                <w:szCs w:val="21"/>
                <w:highlight w:val="none"/>
              </w:rPr>
              <w:t>20</w:t>
            </w:r>
          </w:p>
        </w:tc>
        <w:tc>
          <w:tcPr>
            <w:tcW w:w="873" w:type="dxa"/>
            <w:vAlign w:val="center"/>
          </w:tcPr>
          <w:p w14:paraId="75642ED6">
            <w:pPr>
              <w:pStyle w:val="23"/>
              <w:widowControl w:val="0"/>
              <w:wordWrap w:val="0"/>
              <w:spacing w:line="360" w:lineRule="auto"/>
              <w:jc w:val="center"/>
              <w:rPr>
                <w:color w:val="auto"/>
                <w:sz w:val="21"/>
                <w:szCs w:val="21"/>
                <w:highlight w:val="none"/>
              </w:rPr>
            </w:pPr>
            <w:r>
              <w:rPr>
                <w:color w:val="auto"/>
                <w:sz w:val="21"/>
                <w:szCs w:val="21"/>
                <w:highlight w:val="none"/>
              </w:rPr>
              <w:t>34</w:t>
            </w:r>
          </w:p>
        </w:tc>
        <w:tc>
          <w:tcPr>
            <w:tcW w:w="1663" w:type="dxa"/>
            <w:vAlign w:val="center"/>
          </w:tcPr>
          <w:p w14:paraId="6437B391">
            <w:pPr>
              <w:pStyle w:val="23"/>
              <w:widowControl w:val="0"/>
              <w:wordWrap w:val="0"/>
              <w:spacing w:line="360" w:lineRule="auto"/>
              <w:jc w:val="center"/>
              <w:rPr>
                <w:color w:val="auto"/>
                <w:sz w:val="21"/>
                <w:szCs w:val="21"/>
                <w:highlight w:val="none"/>
              </w:rPr>
            </w:pPr>
            <w:r>
              <w:rPr>
                <w:color w:val="auto"/>
                <w:sz w:val="21"/>
                <w:szCs w:val="21"/>
                <w:highlight w:val="none"/>
              </w:rPr>
              <w:t>监督管理机构</w:t>
            </w:r>
          </w:p>
        </w:tc>
        <w:tc>
          <w:tcPr>
            <w:tcW w:w="6588" w:type="dxa"/>
          </w:tcPr>
          <w:p w14:paraId="414DFE38">
            <w:pPr>
              <w:pStyle w:val="23"/>
              <w:widowControl w:val="0"/>
              <w:wordWrap w:val="0"/>
              <w:spacing w:line="360" w:lineRule="auto"/>
              <w:jc w:val="both"/>
              <w:rPr>
                <w:color w:val="auto"/>
                <w:sz w:val="21"/>
                <w:szCs w:val="21"/>
                <w:highlight w:val="none"/>
                <w:lang w:eastAsia="zh-CN"/>
              </w:rPr>
            </w:pPr>
            <w:r>
              <w:rPr>
                <w:rFonts w:hint="eastAsia"/>
                <w:color w:val="auto"/>
                <w:sz w:val="21"/>
                <w:szCs w:val="21"/>
                <w:highlight w:val="none"/>
                <w:lang w:eastAsia="zh-CN"/>
              </w:rPr>
              <w:t>广西壮族自治区财政厅   0771-5331544</w:t>
            </w:r>
          </w:p>
        </w:tc>
      </w:tr>
    </w:tbl>
    <w:p w14:paraId="1C4765A4">
      <w:pPr>
        <w:pStyle w:val="7"/>
        <w:widowControl w:val="0"/>
        <w:spacing w:line="360" w:lineRule="auto"/>
        <w:ind w:firstLine="420" w:firstLineChars="200"/>
        <w:rPr>
          <w:color w:val="auto"/>
          <w:highlight w:val="none"/>
          <w:lang w:eastAsia="zh-CN"/>
        </w:rPr>
      </w:pPr>
    </w:p>
    <w:p w14:paraId="5B754932">
      <w:pPr>
        <w:widowControl w:val="0"/>
        <w:spacing w:line="360" w:lineRule="auto"/>
        <w:ind w:firstLine="420" w:firstLineChars="200"/>
        <w:rPr>
          <w:color w:val="auto"/>
          <w:highlight w:val="none"/>
          <w:lang w:eastAsia="zh-CN"/>
        </w:rPr>
        <w:sectPr>
          <w:footerReference r:id="rId5" w:type="default"/>
          <w:pgSz w:w="11906" w:h="16839"/>
          <w:pgMar w:top="1417" w:right="1417" w:bottom="1417" w:left="1417" w:header="0" w:footer="823" w:gutter="0"/>
          <w:cols w:space="720" w:num="1"/>
        </w:sectPr>
      </w:pPr>
    </w:p>
    <w:p w14:paraId="6F4B160D">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一、总则</w:t>
      </w:r>
    </w:p>
    <w:p w14:paraId="5D4E6060">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1.适应范围</w:t>
      </w:r>
    </w:p>
    <w:p w14:paraId="7FFED4E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1.1 项目名称及项目编号：</w:t>
      </w:r>
    </w:p>
    <w:p w14:paraId="0B56B08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项目名称：</w:t>
      </w:r>
      <w:r>
        <w:rPr>
          <w:rFonts w:hint="eastAsia" w:ascii="宋体" w:hAnsi="宋体" w:eastAsia="宋体" w:cs="宋体"/>
          <w:color w:val="auto"/>
          <w:highlight w:val="none"/>
          <w:lang w:eastAsia="zh-CN"/>
        </w:rPr>
        <w:t>影像动力跑台一体化测量与训练系统采购</w:t>
      </w:r>
    </w:p>
    <w:p w14:paraId="643B3D2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项目编号：</w:t>
      </w:r>
      <w:r>
        <w:rPr>
          <w:rFonts w:hint="eastAsia" w:ascii="宋体" w:hAnsi="宋体" w:eastAsia="宋体" w:cs="宋体"/>
          <w:color w:val="auto"/>
          <w:highlight w:val="none"/>
          <w:lang w:eastAsia="zh-CN"/>
        </w:rPr>
        <w:t>GXZC2025-J1-003119-DHGS</w:t>
      </w:r>
    </w:p>
    <w:p w14:paraId="6BD7336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1.2 本竞争性谈判文件（以下简称谈判文件）适用于本谈判项目的谈判、评审、合同履约、验收、 付款等行为（法律、法规另有规定的，从其规定）。</w:t>
      </w:r>
    </w:p>
    <w:p w14:paraId="7EF05237">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2.定义</w:t>
      </w:r>
    </w:p>
    <w:p w14:paraId="2B929B1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2.1“供应商 ”：是指符合本次采购项目的供应商资格并提交响应文件、参加谈判的供应商。如果 该供应商在本次谈判中成交，即成为“成交供应商 ”。</w:t>
      </w:r>
    </w:p>
    <w:p w14:paraId="0FCC98A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2.2“服务 ”：系指按谈判文件规定，供应商须承担的安装、调试、技术协助、校准、培训、技术 指导以及其他类似的义务。</w:t>
      </w:r>
    </w:p>
    <w:p w14:paraId="3987FE3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2.3 “项目 ”：系指供应商按谈判文件规定向采购人提供的服务。</w:t>
      </w:r>
    </w:p>
    <w:p w14:paraId="7CD7514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2.4 “书面形式 ”：包括信函、传真、电报等。</w:t>
      </w:r>
    </w:p>
    <w:p w14:paraId="5B7A8D97">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2.5“响应文件</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”：本项目实行全流程电子化采购，供应商通过广西政府采购云平台参与电子竞标。</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响应文件特指供应商按本谈判文件规定提交的电子响应文件（包括因特殊情况无法解密或解密失败提</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交的电子备份响应文件）。</w:t>
      </w:r>
    </w:p>
    <w:p w14:paraId="6B2736AB">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2.6</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实质性要求：谈判文件“采购需求</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”中所有条款以及谈判文件要求“必须提供</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”的条款均属于实质性要求，必须满足。</w:t>
      </w:r>
    </w:p>
    <w:p w14:paraId="7606DC19">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3.供应商资格</w:t>
      </w:r>
    </w:p>
    <w:p w14:paraId="7C739E2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3.1 满足《中华人民共和国政府采购法》第二十二条规定。</w:t>
      </w:r>
    </w:p>
    <w:p w14:paraId="1049AC0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3.2 落实政府采购政策需满足的资格要求：</w:t>
      </w:r>
      <w:r>
        <w:rPr>
          <w:rFonts w:hint="eastAsia" w:ascii="宋体" w:hAnsi="宋体" w:cs="宋体"/>
          <w:bCs/>
          <w:color w:val="auto"/>
          <w:highlight w:val="none"/>
          <w:lang w:eastAsia="zh-CN"/>
        </w:rPr>
        <w:t>本项目非专门面向中小微企业采购。</w:t>
      </w:r>
    </w:p>
    <w:p w14:paraId="78765A6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3.3 本项目的特定资格要求：</w:t>
      </w:r>
      <w:r>
        <w:rPr>
          <w:rFonts w:hint="eastAsia"/>
          <w:color w:val="auto"/>
          <w:sz w:val="21"/>
          <w:szCs w:val="21"/>
          <w:highlight w:val="none"/>
          <w:lang w:eastAsia="zh-CN"/>
        </w:rPr>
        <w:t>供应商所投产品为进口设备的：代理商须出具制造商（经销商）针对本项目的授权书原件扫描件；提供经销商授权的代理商还须出具制造商给经销商的授权书原件扫描件</w:t>
      </w:r>
      <w:r>
        <w:rPr>
          <w:rFonts w:ascii="宋体" w:hAnsi="宋体" w:eastAsia="宋体" w:cs="宋体"/>
          <w:color w:val="auto"/>
          <w:highlight w:val="none"/>
          <w:lang w:eastAsia="zh-CN"/>
        </w:rPr>
        <w:t>。</w:t>
      </w:r>
    </w:p>
    <w:p w14:paraId="18BBDF6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3.4 资格条件特别说明：</w:t>
      </w:r>
    </w:p>
    <w:p w14:paraId="1CC0E68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（1）单位负责人为同一人或者存在直接控股、管理关系的不同供应商，不得参加同一合同项下的政府采购活动。除单一来源采购项目外，为采购项目提供整体设计、规范编制或者项目管理、监理、 检测等服务的供应商，不得再参加该采购项目的其他采购活动。</w:t>
      </w:r>
    </w:p>
    <w:p w14:paraId="11585635">
      <w:pPr>
        <w:widowControl w:val="0"/>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（2）对在“信用中国”网站(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highlight w:val="none"/>
        </w:rPr>
        <w:t>www.creditchina.gov.cn</w:t>
      </w:r>
      <w:r>
        <w:rPr>
          <w:rFonts w:ascii="宋体" w:hAnsi="宋体" w:eastAsia="宋体" w:cs="宋体"/>
          <w:color w:val="auto"/>
          <w:highlight w:val="none"/>
        </w:rPr>
        <w:fldChar w:fldCharType="end"/>
      </w:r>
      <w:r>
        <w:rPr>
          <w:rFonts w:ascii="宋体" w:hAnsi="宋体" w:eastAsia="宋体" w:cs="宋体"/>
          <w:color w:val="auto"/>
          <w:highlight w:val="none"/>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highlight w:val="none"/>
        </w:rPr>
        <w:t>www.ccgp.gov.cn</w:t>
      </w:r>
      <w:r>
        <w:rPr>
          <w:rFonts w:ascii="宋体" w:hAnsi="宋体" w:eastAsia="宋体" w:cs="宋体"/>
          <w:color w:val="auto"/>
          <w:highlight w:val="none"/>
        </w:rPr>
        <w:fldChar w:fldCharType="end"/>
      </w:r>
      <w:r>
        <w:rPr>
          <w:rFonts w:ascii="宋体" w:hAnsi="宋体" w:eastAsia="宋体" w:cs="宋体"/>
          <w:color w:val="auto"/>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6202A5">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4.参与电子竞标的准备工作</w:t>
      </w:r>
    </w:p>
    <w:p w14:paraId="61864E2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4.1 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 CA 证书申领和绑定（费用由供应商自行承担，办理流程详见广 西壮族自治区政府采购网—办事服务—下载专区，完成 CA 证书办理预计一周左右，建议供应商尽快办 理）；③下载“广西壮族自治区全流程电子招投标项目管理系统--供应商客户端 ”（操作方法详见广 西壮族自治区政府采购网—办事服务—下载专区， 以下称“广西政府采购云平台电子投标客户端 ”） 并安装成功，供应商应当在响应文件提交截止时间前在广西政府采购云平台完成的身份认证，确保能 够对相关数据电文进行加密和使用电子签章；④自备计算机和网络设备并确保能接入互联网（费用由 供应商自行承担，设备确保可进行视频通话和读取广西政府采购云平台CA 证书）。因供应商未做好相 关准备工作等自身原因导致无法参加本项目电子竞标或竞标失败的，造成的一切后果， 由供应商自行 承担。</w:t>
      </w:r>
    </w:p>
    <w:p w14:paraId="5C129F8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4.2 电子竞标具体操作流程参考《政府采购项目电子交易管理操作指南-供应商》（详见桂林市政 府采购网—采购资讯—重要通知）；如遇平台技术问题详询 95763 或者 0771-3381253。</w:t>
      </w:r>
    </w:p>
    <w:p w14:paraId="0ED2DA2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4.3 不论谈判结果如何，供应商均应自行承担所有与谈判有关的全部费用。</w:t>
      </w:r>
    </w:p>
    <w:p w14:paraId="63F75F59">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5.联合体要求：</w:t>
      </w:r>
    </w:p>
    <w:p w14:paraId="7A35AD8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本项目不接受联合体参与谈判。</w:t>
      </w:r>
    </w:p>
    <w:p w14:paraId="752C9C34">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6.质疑和投诉</w:t>
      </w:r>
    </w:p>
    <w:p w14:paraId="5910FCF0">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6.1 供应商认为谈判文件使自己的合法权益受到损害的，应当于本项目公告期限届满之日起七个工作日内， 以书面形式向采购代理机构提出质疑；供应商认为采购过程或成交结果使自己的合法权益受 到损害的，应当在各采购程序环节结束之日或成交公告期限届满之日起七个工作日内， 以书面形式向 采购代理机构提出质疑</w:t>
      </w:r>
      <w:r>
        <w:rPr>
          <w:rFonts w:ascii="宋体" w:hAnsi="宋体" w:eastAsia="宋体" w:cs="宋体"/>
          <w:b/>
          <w:bCs/>
          <w:color w:val="auto"/>
          <w:highlight w:val="none"/>
          <w:lang w:eastAsia="zh-CN"/>
        </w:rPr>
        <w:t>（</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“质疑函</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”格式见附表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1）</w:t>
      </w:r>
      <w:r>
        <w:rPr>
          <w:rFonts w:ascii="宋体" w:hAnsi="宋体" w:eastAsia="宋体" w:cs="宋体"/>
          <w:color w:val="auto"/>
          <w:highlight w:val="none"/>
          <w:lang w:eastAsia="zh-CN"/>
        </w:rPr>
        <w:t xml:space="preserve"> 。否则，采购代理机构有权拒收。</w:t>
      </w:r>
    </w:p>
    <w:p w14:paraId="3484459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采购代理机构应认真做好质疑处理工作，对于质疑供应商在法定质疑期内提出的质疑函，应当在收到质疑函后 7 个工作日内作出答复，并以书面形式通知质疑供应商和其他有关供应商。</w:t>
      </w:r>
    </w:p>
    <w:p w14:paraId="0B26120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供应商在法定质疑期内应一次性提出与项目相关的质疑，供应商在提出与项目相关的质疑前应当做好全面且详细的工作，代理机构不再受理供应商针对同一采购程序环节的再次质疑。</w:t>
      </w:r>
    </w:p>
    <w:p w14:paraId="52DDA60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6.2 供应商对采购代理机构的质疑答复不满意或者采购代理机构未在规定的时间内作出答复的， 可以在答复期满后十五个工作日内向</w:t>
      </w:r>
      <w:r>
        <w:rPr>
          <w:rFonts w:hint="eastAsia"/>
          <w:color w:val="auto"/>
          <w:sz w:val="21"/>
          <w:szCs w:val="21"/>
          <w:highlight w:val="none"/>
          <w:lang w:eastAsia="zh-CN"/>
        </w:rPr>
        <w:t>广西壮族自治区财政厅</w:t>
      </w:r>
      <w:r>
        <w:rPr>
          <w:rFonts w:ascii="宋体" w:hAnsi="宋体" w:eastAsia="宋体" w:cs="宋体"/>
          <w:color w:val="auto"/>
          <w:highlight w:val="none"/>
          <w:lang w:eastAsia="zh-CN"/>
        </w:rPr>
        <w:t>投诉</w:t>
      </w:r>
      <w:r>
        <w:rPr>
          <w:rFonts w:ascii="宋体" w:hAnsi="宋体" w:eastAsia="宋体" w:cs="宋体"/>
          <w:b/>
          <w:bCs/>
          <w:color w:val="auto"/>
          <w:highlight w:val="none"/>
          <w:lang w:eastAsia="zh-CN"/>
        </w:rPr>
        <w:t>（</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“投诉书</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”格式见附表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2）</w:t>
      </w:r>
      <w:r>
        <w:rPr>
          <w:rFonts w:ascii="宋体" w:hAnsi="宋体" w:eastAsia="宋体" w:cs="宋体"/>
          <w:color w:val="auto"/>
          <w:highlight w:val="none"/>
          <w:lang w:eastAsia="zh-CN"/>
        </w:rPr>
        <w:t>。</w:t>
      </w:r>
    </w:p>
    <w:p w14:paraId="25A4571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6.3 质疑、投诉应当采用书面形式，质疑书、投诉书实行实名制，均应明确阐述谈判文件、谈判过程或成交结果中使自己合法权益受到损害的实质性内容，并提供必要的证明材料。</w:t>
      </w:r>
    </w:p>
    <w:p w14:paraId="7115A72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供应商提出质疑应当提交质疑函和必要的证明材料，针对同一采购程序环节的质疑必须在法定质疑期内一次性提出。质疑函应当包括下列内容：</w:t>
      </w:r>
    </w:p>
    <w:p w14:paraId="01FFCA8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（1）供应商的姓名或者名称、地址、邮编、联系人及联系电话；</w:t>
      </w:r>
    </w:p>
    <w:p w14:paraId="38E9642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（2）质疑项目的名称、编号；</w:t>
      </w:r>
    </w:p>
    <w:p w14:paraId="0C107A7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（3）具体、明确的质疑事项和与质疑事项相关的请求；</w:t>
      </w:r>
    </w:p>
    <w:p w14:paraId="14FE542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（4）事实依据；</w:t>
      </w:r>
    </w:p>
    <w:p w14:paraId="46B462B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（5）必要的法律依据；</w:t>
      </w:r>
    </w:p>
    <w:p w14:paraId="11DF5CA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（6）提出质疑的日期。</w:t>
      </w:r>
    </w:p>
    <w:p w14:paraId="7AB1B26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供应商为自然人的，应当由本人签字；供应商为法人或者其他组织的，应当由法定代表人、主要 负责人，或者其授权代表签字或者盖章，并加盖公章。</w:t>
      </w:r>
    </w:p>
    <w:p w14:paraId="590392D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接收质疑函方式： 以书面形式</w:t>
      </w:r>
    </w:p>
    <w:p w14:paraId="3FC93BC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质疑联系部门及联系方式：</w:t>
      </w:r>
      <w:r>
        <w:rPr>
          <w:rFonts w:hint="eastAsia" w:ascii="宋体" w:hAnsi="宋体" w:eastAsia="宋体" w:cs="宋体"/>
          <w:color w:val="auto"/>
          <w:highlight w:val="none"/>
          <w:lang w:eastAsia="zh-CN"/>
        </w:rPr>
        <w:t>大华建设项目管理有限公司</w:t>
      </w:r>
      <w:r>
        <w:rPr>
          <w:rFonts w:ascii="宋体" w:hAnsi="宋体" w:eastAsia="宋体" w:cs="宋体"/>
          <w:color w:val="auto"/>
          <w:highlight w:val="none"/>
          <w:lang w:eastAsia="zh-CN"/>
        </w:rPr>
        <w:t>，联系电话：</w:t>
      </w:r>
      <w:r>
        <w:rPr>
          <w:rFonts w:hint="eastAsia" w:ascii="宋体" w:hAnsi="宋体" w:eastAsia="宋体" w:cs="宋体"/>
          <w:color w:val="auto"/>
          <w:highlight w:val="none"/>
          <w:lang w:eastAsia="zh-CN"/>
        </w:rPr>
        <w:t>0773-2888667</w:t>
      </w:r>
      <w:r>
        <w:rPr>
          <w:rFonts w:ascii="宋体" w:hAnsi="宋体" w:eastAsia="宋体" w:cs="宋体"/>
          <w:color w:val="auto"/>
          <w:highlight w:val="none"/>
          <w:lang w:eastAsia="zh-CN"/>
        </w:rPr>
        <w:t>。通讯地址：</w:t>
      </w:r>
      <w:r>
        <w:rPr>
          <w:rFonts w:hint="eastAsia" w:ascii="宋体" w:hAnsi="宋体" w:eastAsia="宋体" w:cs="宋体"/>
          <w:color w:val="auto"/>
          <w:highlight w:val="none"/>
          <w:lang w:eastAsia="zh-CN"/>
        </w:rPr>
        <w:t>桂林市秀峰区睦邻小苑5栋3单元</w:t>
      </w:r>
      <w:r>
        <w:rPr>
          <w:rFonts w:ascii="宋体" w:hAnsi="宋体" w:eastAsia="宋体" w:cs="宋体"/>
          <w:color w:val="auto"/>
          <w:highlight w:val="none"/>
          <w:lang w:eastAsia="zh-CN"/>
        </w:rPr>
        <w:t>。</w:t>
      </w:r>
    </w:p>
    <w:p w14:paraId="043BDD33">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7.转包与分包</w:t>
      </w:r>
    </w:p>
    <w:p w14:paraId="5219121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7.1 本项目不允许转包。</w:t>
      </w:r>
    </w:p>
    <w:p w14:paraId="4D78BC2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7.2 本项目不可以分包。</w:t>
      </w:r>
    </w:p>
    <w:p w14:paraId="718E0C8E">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8.</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特别说明</w:t>
      </w:r>
    </w:p>
    <w:p w14:paraId="72AB2F5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8.1 提供相同品牌产品的不同供应商参加同一合同项下谈判的，以其中通过资格审查、符合性审查且最后报价最低的参加评审，最后报价相同的， 由采购人自主选择确定一个参加评审的供应商；非单一产品采购项目中，多家供应商提供的核心产品品牌相同的，视为提供相同品牌产品。</w:t>
      </w:r>
    </w:p>
    <w:p w14:paraId="2878E9F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8.2 关联供应商不得参加同一合同项下政府采购活动，否则响应文件将被视为无效：</w:t>
      </w:r>
    </w:p>
    <w:p w14:paraId="504B593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（1）单位负责人为同一人或者存在直接控股、管理关系的不同供应商，不得参加同一合同项下的政府采购活动。</w:t>
      </w:r>
    </w:p>
    <w:p w14:paraId="458A907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（2）为本采购项目提供整体设计、规范编制或者项目管理、监理、检测等服务的供应商，不得再参加本次采购活动。</w:t>
      </w:r>
    </w:p>
    <w:p w14:paraId="2D67F05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（3）生产厂商授权给供应商后自己不得参加同一合同项下的政府采购活动；生产厂商对同一品牌同一型号的货物，仅能委托一个代理商参加谈判。</w:t>
      </w:r>
    </w:p>
    <w:p w14:paraId="196B770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8.3 供应商必须仔细阅读招标文件的所有内容，按照谈判文件的要求提交响应文件，并对所提供的 全部资料的真实性承担法律责任。</w:t>
      </w:r>
    </w:p>
    <w:p w14:paraId="408BD3C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9.4 供应商在采购活动中提供任何虚假材料，其响应无效，并报监管部门查处；成交后发现的，成交供应商须依照《中华人民共和国消费者权益保护法》规定赔偿采购人，且民事赔偿并不免除违法供 应商的行政与刑事责任。</w:t>
      </w:r>
    </w:p>
    <w:p w14:paraId="47557F11">
      <w:pPr>
        <w:pStyle w:val="7"/>
        <w:widowControl w:val="0"/>
        <w:spacing w:line="360" w:lineRule="auto"/>
        <w:ind w:firstLine="420" w:firstLineChars="200"/>
        <w:rPr>
          <w:color w:val="auto"/>
          <w:highlight w:val="none"/>
          <w:lang w:eastAsia="zh-CN"/>
        </w:rPr>
      </w:pPr>
    </w:p>
    <w:p w14:paraId="16CF82B2">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二、谈判文件</w:t>
      </w:r>
    </w:p>
    <w:p w14:paraId="095EE3D4">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9.谈判文件的构成</w:t>
      </w:r>
    </w:p>
    <w:p w14:paraId="5DE2BBF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（1）竞争性谈判公告；</w:t>
      </w:r>
    </w:p>
    <w:p w14:paraId="41B8B1A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（2）供应商须知；</w:t>
      </w:r>
    </w:p>
    <w:p w14:paraId="7F38435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（3）采购需求；</w:t>
      </w:r>
    </w:p>
    <w:p w14:paraId="77B62FF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（4）评审办法；</w:t>
      </w:r>
    </w:p>
    <w:p w14:paraId="234A686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（5）政府采购合同（合同主要条款及格式）；</w:t>
      </w:r>
    </w:p>
    <w:p w14:paraId="4FA706E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（6）响应文件（格式）。</w:t>
      </w:r>
    </w:p>
    <w:p w14:paraId="463234B2">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10.谈判文件的澄清与修改</w:t>
      </w:r>
    </w:p>
    <w:p w14:paraId="756590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10.1 提交首次响应文件截止之日前，采购代理机构可以对已发出的谈判文件进行必要澄清或者修改，澄清或者修改的内容可能影响响应文件编制的，采购代理机构应当在提交首次响应文件提交截止时间三个工作日前在本项目竞争性谈判公告发布的同一媒体上发布更正公告，不足三个工作日的，应当顺延首次响应文件提交截止时间。</w:t>
      </w:r>
    </w:p>
    <w:p w14:paraId="10F3414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10.2 供应商应实时关注本项目信息公告发布媒体相关网站了解澄清、修改等与项目有关的内容，如因供应商未及时登录本项目信息公告发布媒体相关网站了解澄清、修改等与项目有关的内容，从而导致响应文件无效的， 由供应商自行承担责任。</w:t>
      </w:r>
    </w:p>
    <w:p w14:paraId="079AC1C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10.3 澄清或者修改的内容为谈判文件的组成部分。当澄清或者修改通知就同一内容的表述不一致时， 以最后发出的书面文件为准。</w:t>
      </w:r>
    </w:p>
    <w:p w14:paraId="491C0F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10.4 谈判文件的澄清或者修改都应该通过本项目采购代理机构以法定形式发布，采购人非通过本 机构，不得擅自澄清、答复、修改或补充谈判文件。</w:t>
      </w:r>
    </w:p>
    <w:p w14:paraId="02AEB77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10.5 采购代理机构可以视采购具体情况，延长响应文件提交截止时间和谈判时间，并在本项目竞 争性谈判公告发布的同一媒体上发布变更公告。</w:t>
      </w:r>
    </w:p>
    <w:p w14:paraId="15733C7B">
      <w:pPr>
        <w:pStyle w:val="7"/>
        <w:widowControl w:val="0"/>
        <w:spacing w:line="360" w:lineRule="auto"/>
        <w:ind w:firstLine="420" w:firstLineChars="200"/>
        <w:rPr>
          <w:color w:val="auto"/>
          <w:highlight w:val="none"/>
          <w:lang w:eastAsia="zh-CN"/>
        </w:rPr>
      </w:pPr>
    </w:p>
    <w:p w14:paraId="7C554EF9">
      <w:pPr>
        <w:pStyle w:val="7"/>
        <w:widowControl w:val="0"/>
        <w:spacing w:line="360" w:lineRule="auto"/>
        <w:ind w:firstLine="420" w:firstLineChars="200"/>
        <w:rPr>
          <w:color w:val="auto"/>
          <w:highlight w:val="none"/>
          <w:lang w:eastAsia="zh-CN"/>
        </w:rPr>
      </w:pPr>
    </w:p>
    <w:p w14:paraId="461E4153">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三、响应文件的编制</w:t>
      </w:r>
    </w:p>
    <w:p w14:paraId="3545A62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11.响应文件（以下简称响应文件）的组成及要求</w:t>
      </w:r>
    </w:p>
    <w:p w14:paraId="24ACC16E">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响应文件组成【格式见第六章“响应文件（格式）</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w:t>
      </w:r>
    </w:p>
    <w:p w14:paraId="2CB760E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11.1.1</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资格性响应证明材料：</w:t>
      </w:r>
    </w:p>
    <w:p w14:paraId="5ADF3AD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（1）供应商相应的法定代表人(负责人、 自然人)身份证正反两面复印件</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609155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）供应商的授权委托书原件、委托代理人身份证正反面复印件</w:t>
      </w:r>
      <w:r>
        <w:rPr>
          <w:rFonts w:hint="eastAsia" w:ascii="宋体" w:hAnsi="宋体" w:eastAsia="宋体" w:cs="宋体"/>
          <w:b w:val="0"/>
          <w:bCs w:val="0"/>
          <w:color w:val="auto"/>
          <w:highlight w:val="none"/>
          <w:lang w:eastAsia="zh-CN"/>
        </w:rPr>
        <w:t>（委托代理时必须提供）</w:t>
      </w:r>
      <w:r>
        <w:rPr>
          <w:rFonts w:ascii="宋体" w:hAnsi="宋体" w:eastAsia="宋体" w:cs="宋体"/>
          <w:color w:val="auto"/>
          <w:highlight w:val="none"/>
          <w:lang w:eastAsia="zh-CN"/>
        </w:rPr>
        <w:t>；</w:t>
      </w:r>
    </w:p>
    <w:p w14:paraId="5C649D0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）供应商的法人或者其他组织营业执照等证明文件复印件</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自然人除外）；</w:t>
      </w:r>
    </w:p>
    <w:p w14:paraId="62954DB6">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”或“营业执照；供应商为事业单位，应提供有效的“事业单位法人证书</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”；供应商为非企业专业服务机构的，应提供执业许可证等证明文件；供应商为个体工商户，应提供有效的“个体工商户营业执照</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”。③如供应商为企业法人的分支机构的，除应提供营业执照复印件外，还应提供其所属的总公司授权其参加政府采购活动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的授权文件或授权其独立开展经营业务活动的证明材料复印件。</w:t>
      </w:r>
    </w:p>
    <w:p w14:paraId="58314E7F">
      <w:pPr>
        <w:widowControl w:val="0"/>
        <w:spacing w:line="360" w:lineRule="auto"/>
        <w:ind w:firstLine="420" w:firstLineChars="200"/>
        <w:jc w:val="both"/>
        <w:rPr>
          <w:rFonts w:ascii="宋体" w:hAnsi="宋体" w:eastAsia="宋体" w:cs="宋体"/>
          <w:b/>
          <w:bCs/>
          <w:color w:val="auto"/>
          <w:highlight w:val="none"/>
          <w:lang w:eastAsia="zh-CN"/>
        </w:rPr>
      </w:pPr>
      <w:r>
        <w:rPr>
          <w:rFonts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）供应商 202</w:t>
      </w: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 xml:space="preserve"> 年的财务状况报告</w:t>
      </w:r>
      <w:r>
        <w:rPr>
          <w:rFonts w:hint="eastAsia" w:ascii="宋体" w:hAnsi="宋体" w:eastAsia="宋体" w:cs="宋体"/>
          <w:b w:val="0"/>
          <w:bCs w:val="0"/>
          <w:color w:val="auto"/>
          <w:highlight w:val="none"/>
          <w:lang w:eastAsia="zh-CN"/>
        </w:rPr>
        <w:t>复印件</w:t>
      </w:r>
      <w:r>
        <w:rPr>
          <w:rFonts w:ascii="宋体" w:hAnsi="宋体" w:eastAsia="宋体" w:cs="宋体"/>
          <w:b w:val="0"/>
          <w:bCs w:val="0"/>
          <w:color w:val="auto"/>
          <w:highlight w:val="none"/>
          <w:lang w:eastAsia="zh-CN"/>
        </w:rPr>
        <w:t>（可以是财务报表或</w:t>
      </w:r>
      <w:r>
        <w:rPr>
          <w:rFonts w:hint="eastAsia" w:ascii="宋体" w:hAnsi="宋体" w:eastAsia="宋体" w:cs="宋体"/>
          <w:b w:val="0"/>
          <w:bCs w:val="0"/>
          <w:color w:val="auto"/>
          <w:highlight w:val="none"/>
          <w:lang w:eastAsia="zh-CN"/>
        </w:rPr>
        <w:t>2025年以来</w:t>
      </w:r>
      <w:r>
        <w:rPr>
          <w:rFonts w:ascii="宋体" w:hAnsi="宋体" w:eastAsia="宋体" w:cs="宋体"/>
          <w:b w:val="0"/>
          <w:bCs w:val="0"/>
          <w:color w:val="auto"/>
          <w:highlight w:val="none"/>
          <w:lang w:eastAsia="zh-CN"/>
        </w:rPr>
        <w:t>银行出具的资信证明等）复印件</w:t>
      </w:r>
      <w:r>
        <w:rPr>
          <w:rFonts w:ascii="宋体" w:hAnsi="宋体" w:eastAsia="宋体" w:cs="宋体"/>
          <w:b/>
          <w:bCs/>
          <w:color w:val="auto"/>
          <w:highlight w:val="none"/>
          <w:lang w:eastAsia="zh-CN"/>
        </w:rPr>
        <w:t>（必须提供）；</w:t>
      </w:r>
    </w:p>
    <w:p w14:paraId="7D983A01">
      <w:pPr>
        <w:widowControl w:val="0"/>
        <w:spacing w:line="360" w:lineRule="auto"/>
        <w:ind w:firstLine="420" w:firstLineChars="200"/>
        <w:rPr>
          <w:rFonts w:ascii="宋体" w:hAnsi="宋体" w:eastAsia="宋体" w:cs="宋体"/>
          <w:b/>
          <w:bCs/>
          <w:color w:val="auto"/>
          <w:highlight w:val="none"/>
          <w:lang w:eastAsia="zh-CN"/>
        </w:rPr>
      </w:pPr>
      <w:r>
        <w:rPr>
          <w:rFonts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eastAsia="zh-CN"/>
        </w:rPr>
        <w:t>5</w:t>
      </w:r>
      <w:r>
        <w:rPr>
          <w:rFonts w:ascii="宋体" w:hAnsi="宋体" w:eastAsia="宋体" w:cs="宋体"/>
          <w:b w:val="0"/>
          <w:bCs w:val="0"/>
          <w:color w:val="auto"/>
          <w:highlight w:val="none"/>
          <w:lang w:eastAsia="zh-CN"/>
        </w:rPr>
        <w:t>）供应商 2024 年以来任意一个月依法缴纳税收的相关材料复印件</w:t>
      </w:r>
      <w:r>
        <w:rPr>
          <w:rFonts w:ascii="宋体" w:hAnsi="宋体" w:eastAsia="宋体" w:cs="宋体"/>
          <w:b/>
          <w:bCs/>
          <w:color w:val="auto"/>
          <w:highlight w:val="none"/>
          <w:lang w:eastAsia="zh-CN"/>
        </w:rPr>
        <w:t>（必须提供）；</w:t>
      </w:r>
    </w:p>
    <w:p w14:paraId="0E0384D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6</w:t>
      </w:r>
      <w:r>
        <w:rPr>
          <w:rFonts w:ascii="宋体" w:hAnsi="宋体" w:eastAsia="宋体" w:cs="宋体"/>
          <w:color w:val="auto"/>
          <w:highlight w:val="none"/>
          <w:lang w:eastAsia="zh-CN"/>
        </w:rPr>
        <w:t>）供应商参加政府采购活动前 3 年内在经营活动中没有重大违法记录及有关信用信息的书面声 明</w:t>
      </w:r>
      <w:r>
        <w:rPr>
          <w:rFonts w:ascii="宋体" w:hAnsi="宋体" w:eastAsia="宋体" w:cs="宋体"/>
          <w:b/>
          <w:bCs/>
          <w:color w:val="auto"/>
          <w:highlight w:val="none"/>
          <w:lang w:eastAsia="zh-CN"/>
        </w:rPr>
        <w:t>（必须提供）；</w:t>
      </w:r>
    </w:p>
    <w:p w14:paraId="0C11F97C">
      <w:pPr>
        <w:widowControl w:val="0"/>
        <w:spacing w:line="360" w:lineRule="auto"/>
        <w:ind w:firstLine="420" w:firstLineChars="200"/>
        <w:rPr>
          <w:rFonts w:hint="eastAsia"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7</w:t>
      </w:r>
      <w:r>
        <w:rPr>
          <w:rFonts w:ascii="宋体" w:hAnsi="宋体" w:eastAsia="宋体" w:cs="宋体"/>
          <w:color w:val="auto"/>
          <w:highlight w:val="none"/>
          <w:lang w:eastAsia="zh-CN"/>
        </w:rPr>
        <w:t>）供应商参加本项目无围标串标行为的承诺函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236E930A">
      <w:pPr>
        <w:widowControl w:val="0"/>
        <w:spacing w:line="360" w:lineRule="auto"/>
        <w:ind w:firstLine="420" w:firstLineChars="200"/>
        <w:rPr>
          <w:rFonts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ascii="宋体" w:hAnsi="宋体" w:eastAsia="宋体" w:cs="宋体"/>
          <w:color w:val="auto"/>
          <w:highlight w:val="none"/>
          <w:lang w:eastAsia="zh-CN"/>
        </w:rPr>
        <w:t>本项目的特定资格要求：</w:t>
      </w:r>
      <w:r>
        <w:rPr>
          <w:rFonts w:hint="eastAsia" w:ascii="宋体" w:hAnsi="宋体" w:eastAsia="宋体" w:cs="宋体"/>
          <w:color w:val="auto"/>
          <w:highlight w:val="none"/>
          <w:lang w:eastAsia="zh-CN"/>
        </w:rPr>
        <w:t>供应商所投产品为进口设备的：代理商须出具制造商（经销商）针对本项目的授权书原件扫描件；提供经销商授权的代理商还须出具制造商给经销商的授权书原件扫描件</w:t>
      </w:r>
      <w:r>
        <w:rPr>
          <w:rFonts w:ascii="宋体" w:hAnsi="宋体" w:eastAsia="宋体" w:cs="宋体"/>
          <w:b/>
          <w:bCs/>
          <w:color w:val="auto"/>
          <w:highlight w:val="none"/>
          <w:lang w:eastAsia="zh-CN"/>
        </w:rPr>
        <w:t>（</w:t>
      </w:r>
      <w:r>
        <w:rPr>
          <w:rFonts w:hint="eastAsia" w:ascii="宋体" w:hAnsi="宋体" w:eastAsia="宋体" w:cs="宋体"/>
          <w:b/>
          <w:bCs/>
          <w:color w:val="auto"/>
          <w:highlight w:val="none"/>
          <w:lang w:eastAsia="zh-CN"/>
        </w:rPr>
        <w:t>供应商所投产品为进口设备的</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2C989109">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11.1.2</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符合性响应证明材料：</w:t>
      </w:r>
    </w:p>
    <w:p w14:paraId="2985B37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（1）响应函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38283858">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谈判报价表</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47DF5B1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）技术响应表</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4E64A31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4</w:t>
      </w:r>
      <w:r>
        <w:rPr>
          <w:rFonts w:ascii="宋体" w:hAnsi="宋体" w:eastAsia="宋体" w:cs="宋体"/>
          <w:color w:val="auto"/>
          <w:highlight w:val="none"/>
          <w:lang w:eastAsia="zh-CN"/>
        </w:rPr>
        <w:t>）商务响应表</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335557A7">
      <w:pPr>
        <w:widowControl w:val="0"/>
        <w:spacing w:line="360" w:lineRule="auto"/>
        <w:ind w:firstLine="420" w:firstLineChars="200"/>
        <w:rPr>
          <w:rFonts w:hint="eastAsia" w:ascii="宋体" w:hAnsi="宋体" w:eastAsia="宋体" w:cs="宋体"/>
          <w:b/>
          <w:bCs/>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eastAsia="zh-CN"/>
        </w:rPr>
        <w:t>5</w:t>
      </w:r>
      <w:r>
        <w:rPr>
          <w:rFonts w:ascii="宋体" w:hAnsi="宋体" w:eastAsia="宋体" w:cs="宋体"/>
          <w:color w:val="auto"/>
          <w:highlight w:val="none"/>
          <w:lang w:eastAsia="zh-CN"/>
        </w:rPr>
        <w:t>）售后服务承诺书</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5A7C05D1">
      <w:pPr>
        <w:widowControl w:val="0"/>
        <w:spacing w:line="360" w:lineRule="auto"/>
        <w:ind w:firstLine="420" w:firstLineChars="200"/>
        <w:rPr>
          <w:rFonts w:ascii="宋体" w:hAnsi="宋体" w:eastAsia="宋体" w:cs="宋体"/>
          <w:color w:val="auto"/>
          <w:highlight w:val="none"/>
          <w:lang w:eastAsia="zh-CN"/>
        </w:rPr>
      </w:pPr>
      <w:r>
        <w:rPr>
          <w:rFonts w:hint="eastAsia" w:ascii="宋体" w:hAnsi="宋体" w:eastAsia="宋体" w:cs="宋体"/>
          <w:b w:val="0"/>
          <w:bCs w:val="0"/>
          <w:color w:val="auto"/>
          <w:highlight w:val="none"/>
          <w:lang w:val="en-US" w:eastAsia="zh-CN"/>
        </w:rPr>
        <w:t>（6）</w:t>
      </w:r>
      <w:r>
        <w:rPr>
          <w:rFonts w:ascii="宋体" w:hAnsi="宋体" w:eastAsia="宋体" w:cs="宋体"/>
          <w:color w:val="auto"/>
          <w:sz w:val="20"/>
          <w:szCs w:val="20"/>
          <w:highlight w:val="none"/>
          <w:lang w:eastAsia="zh-CN"/>
        </w:rPr>
        <w:t>“采购需求 ”需提供的有效证明文件</w:t>
      </w:r>
      <w:r>
        <w:rPr>
          <w:rFonts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eastAsia="zh-CN"/>
        </w:rPr>
        <w:t>按采购需求要求提供</w:t>
      </w:r>
      <w:r>
        <w:rPr>
          <w:rFonts w:ascii="宋体" w:hAnsi="宋体" w:eastAsia="宋体" w:cs="宋体"/>
          <w:b/>
          <w:bCs/>
          <w:color w:val="auto"/>
          <w:sz w:val="20"/>
          <w:szCs w:val="20"/>
          <w:highlight w:val="none"/>
          <w:lang w:eastAsia="zh-CN"/>
        </w:rPr>
        <w:t>）</w:t>
      </w:r>
      <w:r>
        <w:rPr>
          <w:rFonts w:ascii="宋体" w:hAnsi="宋体" w:eastAsia="宋体" w:cs="宋体"/>
          <w:color w:val="auto"/>
          <w:highlight w:val="none"/>
          <w:lang w:eastAsia="zh-CN"/>
        </w:rPr>
        <w:t>。</w:t>
      </w:r>
    </w:p>
    <w:p w14:paraId="1DEB86D4">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11.1.3</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其它有效证明材料：</w:t>
      </w:r>
    </w:p>
    <w:p w14:paraId="0CB6EA0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（1）增值售后服务方案</w:t>
      </w:r>
      <w:r>
        <w:rPr>
          <w:rFonts w:ascii="宋体" w:hAnsi="宋体" w:eastAsia="宋体" w:cs="宋体"/>
          <w:b w:val="0"/>
          <w:bCs w:val="0"/>
          <w:color w:val="auto"/>
          <w:highlight w:val="none"/>
          <w:lang w:eastAsia="zh-CN"/>
        </w:rPr>
        <w:t>（包括但不限于：①故障出现解决方案；②免费技术培训方案；③免费保 修期外维修方案；④其它优惠方案等）</w:t>
      </w:r>
      <w:r>
        <w:rPr>
          <w:rFonts w:ascii="宋体" w:hAnsi="宋体" w:eastAsia="宋体" w:cs="宋体"/>
          <w:color w:val="auto"/>
          <w:highlight w:val="none"/>
          <w:lang w:eastAsia="zh-CN"/>
        </w:rPr>
        <w:t>（如有，请提供）；</w:t>
      </w:r>
    </w:p>
    <w:p w14:paraId="45B02CA2">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（2）</w:t>
      </w:r>
      <w:r>
        <w:rPr>
          <w:rFonts w:hint="eastAsia" w:ascii="宋体" w:hAnsi="宋体" w:eastAsia="宋体" w:cs="宋体"/>
          <w:color w:val="auto"/>
          <w:highlight w:val="none"/>
          <w:lang w:eastAsia="zh-CN"/>
        </w:rPr>
        <w:t>竞标供应商为生产厂家的，供应商的生产制造设备清单及专业技术能力说明</w:t>
      </w:r>
      <w:r>
        <w:rPr>
          <w:rFonts w:ascii="宋体" w:hAnsi="宋体" w:eastAsia="宋体" w:cs="宋体"/>
          <w:b/>
          <w:bCs/>
          <w:color w:val="auto"/>
          <w:highlight w:val="none"/>
          <w:lang w:eastAsia="zh-CN"/>
        </w:rPr>
        <w:t>（如有，请提供</w:t>
      </w:r>
      <w:r>
        <w:rPr>
          <w:rFonts w:ascii="宋体" w:hAnsi="宋体" w:eastAsia="宋体" w:cs="宋体"/>
          <w:b/>
          <w:bCs/>
          <w:color w:val="auto"/>
          <w:w w:val="90"/>
          <w:highlight w:val="none"/>
          <w:lang w:eastAsia="zh-CN"/>
        </w:rPr>
        <w:t>）</w:t>
      </w:r>
      <w:r>
        <w:rPr>
          <w:rFonts w:ascii="宋体" w:hAnsi="宋体" w:eastAsia="宋体" w:cs="宋体"/>
          <w:color w:val="auto"/>
          <w:w w:val="90"/>
          <w:highlight w:val="none"/>
          <w:lang w:eastAsia="zh-CN"/>
        </w:rPr>
        <w:t>；</w:t>
      </w:r>
    </w:p>
    <w:p w14:paraId="5AE1E430">
      <w:pPr>
        <w:widowControl w:val="0"/>
        <w:spacing w:line="360" w:lineRule="auto"/>
        <w:ind w:firstLine="420" w:firstLineChars="200"/>
        <w:rPr>
          <w:rFonts w:ascii="宋体" w:hAnsi="宋体" w:eastAsia="宋体" w:cs="宋体"/>
          <w:b w:val="0"/>
          <w:bCs w:val="0"/>
          <w:color w:val="auto"/>
          <w:highlight w:val="none"/>
          <w:lang w:eastAsia="zh-CN"/>
        </w:rPr>
      </w:pPr>
      <w:r>
        <w:rPr>
          <w:rFonts w:ascii="宋体" w:hAnsi="宋体" w:eastAsia="宋体" w:cs="宋体"/>
          <w:b w:val="0"/>
          <w:bCs w:val="0"/>
          <w:color w:val="auto"/>
          <w:highlight w:val="none"/>
          <w:lang w:eastAsia="zh-CN"/>
        </w:rPr>
        <w:t>（3）节能、环保方面的证书复印件（若采购货物含有政府强制采购的节能产品时，</w:t>
      </w:r>
      <w:r>
        <w:rPr>
          <w:rFonts w:hint="eastAsia" w:ascii="宋体" w:hAnsi="宋体" w:eastAsia="宋体" w:cs="宋体"/>
          <w:b w:val="0"/>
          <w:bCs w:val="0"/>
          <w:color w:val="auto"/>
          <w:highlight w:val="none"/>
          <w:lang w:eastAsia="zh-CN"/>
        </w:rPr>
        <w:t>竞标</w:t>
      </w:r>
      <w:r>
        <w:rPr>
          <w:rFonts w:ascii="宋体" w:hAnsi="宋体" w:eastAsia="宋体" w:cs="宋体"/>
          <w:b w:val="0"/>
          <w:bCs w:val="0"/>
          <w:color w:val="auto"/>
          <w:highlight w:val="none"/>
          <w:lang w:eastAsia="zh-CN"/>
        </w:rPr>
        <w:t>供应商必须提供所投产品国家确定的认证机构出具的、处于有效期之内的节能产品认证证书复印件并加盖投供应商公章）；</w:t>
      </w:r>
    </w:p>
    <w:p w14:paraId="64DF136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w:t>
      </w:r>
      <w:r>
        <w:rPr>
          <w:rFonts w:hint="eastAsia" w:ascii="宋体" w:hAnsi="宋体" w:eastAsia="宋体" w:cs="宋体"/>
          <w:color w:val="auto"/>
          <w:highlight w:val="none"/>
          <w:lang w:eastAsia="zh-CN"/>
        </w:rPr>
        <w:t>竞标</w:t>
      </w:r>
      <w:r>
        <w:rPr>
          <w:rFonts w:ascii="宋体" w:hAnsi="宋体" w:eastAsia="宋体" w:cs="宋体"/>
          <w:color w:val="auto"/>
          <w:highlight w:val="none"/>
          <w:lang w:eastAsia="zh-CN"/>
        </w:rPr>
        <w:t>供应商具有同类产品的销售业绩的相关证明材料（无不良记录，以中标、成交通知书或签订的销售合同为准，并能清晰反映所销售的货物名称、种类、金额）</w:t>
      </w:r>
      <w:r>
        <w:rPr>
          <w:rFonts w:ascii="宋体" w:hAnsi="宋体" w:eastAsia="宋体" w:cs="宋体"/>
          <w:b/>
          <w:bCs/>
          <w:color w:val="auto"/>
          <w:highlight w:val="none"/>
          <w:lang w:eastAsia="zh-CN"/>
        </w:rPr>
        <w:t>（如有，请提供）</w:t>
      </w:r>
      <w:r>
        <w:rPr>
          <w:rFonts w:ascii="宋体" w:hAnsi="宋体" w:eastAsia="宋体" w:cs="宋体"/>
          <w:color w:val="auto"/>
          <w:highlight w:val="none"/>
          <w:lang w:eastAsia="zh-CN"/>
        </w:rPr>
        <w:t>；</w:t>
      </w:r>
    </w:p>
    <w:p w14:paraId="6D47004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eastAsia="zh-CN"/>
        </w:rPr>
        <w:t>5</w:t>
      </w:r>
      <w:r>
        <w:rPr>
          <w:rFonts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eastAsia="zh-CN"/>
        </w:rPr>
        <w:t>竞标</w:t>
      </w:r>
      <w:r>
        <w:rPr>
          <w:rFonts w:ascii="宋体" w:hAnsi="宋体" w:eastAsia="宋体" w:cs="宋体"/>
          <w:b w:val="0"/>
          <w:bCs w:val="0"/>
          <w:color w:val="auto"/>
          <w:highlight w:val="none"/>
          <w:lang w:eastAsia="zh-CN"/>
        </w:rPr>
        <w:t>供应商相关获奖证书、认证证书等复印件</w:t>
      </w:r>
      <w:r>
        <w:rPr>
          <w:rFonts w:ascii="宋体" w:hAnsi="宋体" w:eastAsia="宋体" w:cs="宋体"/>
          <w:b/>
          <w:bCs/>
          <w:color w:val="auto"/>
          <w:highlight w:val="none"/>
          <w:lang w:eastAsia="zh-CN"/>
        </w:rPr>
        <w:t>（如有，请提供）；</w:t>
      </w:r>
    </w:p>
    <w:p w14:paraId="6E31521C">
      <w:pPr>
        <w:widowControl w:val="0"/>
        <w:spacing w:line="360" w:lineRule="auto"/>
        <w:ind w:firstLine="420" w:firstLineChars="200"/>
        <w:rPr>
          <w:rFonts w:ascii="宋体" w:hAnsi="宋体" w:eastAsia="宋体" w:cs="宋体"/>
          <w:color w:val="auto"/>
          <w:highlight w:val="none"/>
        </w:rPr>
      </w:pPr>
      <w:r>
        <w:rPr>
          <w:rFonts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6</w:t>
      </w:r>
      <w:r>
        <w:rPr>
          <w:rFonts w:ascii="宋体" w:hAnsi="宋体" w:eastAsia="宋体" w:cs="宋体"/>
          <w:b w:val="0"/>
          <w:bCs w:val="0"/>
          <w:color w:val="auto"/>
          <w:highlight w:val="none"/>
          <w:lang w:eastAsia="zh-CN"/>
        </w:rPr>
        <w:t>）中小企业声明函【如供应商提供的货物由小型、微型企业（中小微型企业划分标准按照《国 家统计局关于印发《统计上大中小微型企业划分办法〔2017〕》的通知》 （国统字〔2017〕213 号）执行）制造的，供应商应如实声明并对出具声明函的真实性负责。成交结果将同时公告该企业《中小企业声明函》，接受社会监督。</w:t>
      </w:r>
      <w:r>
        <w:rPr>
          <w:rFonts w:ascii="宋体" w:hAnsi="宋体" w:eastAsia="宋体" w:cs="宋体"/>
          <w:b w:val="0"/>
          <w:bCs w:val="0"/>
          <w:color w:val="auto"/>
          <w:highlight w:val="none"/>
        </w:rPr>
        <w:t>】</w:t>
      </w:r>
      <w:r>
        <w:rPr>
          <w:rFonts w:ascii="宋体" w:hAnsi="宋体" w:eastAsia="宋体" w:cs="宋体"/>
          <w:b/>
          <w:bCs/>
          <w:color w:val="auto"/>
          <w:highlight w:val="none"/>
        </w:rPr>
        <w:t>（格式见附件，如有，请提供）；</w:t>
      </w:r>
    </w:p>
    <w:p w14:paraId="74A513F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ascii="宋体" w:hAnsi="宋体" w:eastAsia="宋体" w:cs="宋体"/>
          <w:color w:val="auto"/>
          <w:highlight w:val="none"/>
          <w:lang w:eastAsia="zh-CN"/>
        </w:rPr>
        <w:t>）属于监狱企业的，应当提供由省级以上监狱管理局、戒毒管理局(含新疆生产建设兵团)出具 的属于监狱企业的证明文件</w:t>
      </w:r>
      <w:r>
        <w:rPr>
          <w:rFonts w:ascii="宋体" w:hAnsi="宋体" w:eastAsia="宋体" w:cs="宋体"/>
          <w:b/>
          <w:bCs/>
          <w:color w:val="auto"/>
          <w:highlight w:val="none"/>
          <w:lang w:eastAsia="zh-CN"/>
        </w:rPr>
        <w:t>（如有，请提供）</w:t>
      </w:r>
      <w:r>
        <w:rPr>
          <w:rFonts w:ascii="宋体" w:hAnsi="宋体" w:eastAsia="宋体" w:cs="宋体"/>
          <w:color w:val="auto"/>
          <w:highlight w:val="none"/>
          <w:lang w:eastAsia="zh-CN"/>
        </w:rPr>
        <w:t>；</w:t>
      </w:r>
    </w:p>
    <w:p w14:paraId="7EDB588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val="en-US" w:eastAsia="zh-CN"/>
        </w:rPr>
        <w:t>8</w:t>
      </w:r>
      <w:r>
        <w:rPr>
          <w:rFonts w:ascii="宋体" w:hAnsi="宋体" w:eastAsia="宋体" w:cs="宋体"/>
          <w:color w:val="auto"/>
          <w:highlight w:val="none"/>
          <w:lang w:eastAsia="zh-CN"/>
        </w:rPr>
        <w:t>）符合条件的残疾人福利性单位在参加政府采购活动时，提供《残疾人福利性单位声明函》， 并对声明的真实性负责</w:t>
      </w:r>
      <w:r>
        <w:rPr>
          <w:rFonts w:ascii="宋体" w:hAnsi="宋体" w:eastAsia="宋体" w:cs="宋体"/>
          <w:b/>
          <w:bCs/>
          <w:color w:val="auto"/>
          <w:highlight w:val="none"/>
          <w:lang w:eastAsia="zh-CN"/>
        </w:rPr>
        <w:t>（如有，请提供）</w:t>
      </w:r>
      <w:r>
        <w:rPr>
          <w:rFonts w:ascii="宋体" w:hAnsi="宋体" w:eastAsia="宋体" w:cs="宋体"/>
          <w:color w:val="auto"/>
          <w:highlight w:val="none"/>
          <w:lang w:eastAsia="zh-CN"/>
        </w:rPr>
        <w:t>；</w:t>
      </w:r>
    </w:p>
    <w:p w14:paraId="5C28A96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r>
        <w:rPr>
          <w:rFonts w:hint="eastAsia" w:ascii="宋体" w:hAnsi="宋体" w:eastAsia="宋体" w:cs="宋体"/>
          <w:color w:val="auto"/>
          <w:highlight w:val="none"/>
          <w:lang w:val="en-US" w:eastAsia="zh-CN"/>
        </w:rPr>
        <w:t>9</w:t>
      </w:r>
      <w:r>
        <w:rPr>
          <w:rFonts w:ascii="宋体" w:hAnsi="宋体" w:eastAsia="宋体" w:cs="宋体"/>
          <w:color w:val="auto"/>
          <w:highlight w:val="none"/>
          <w:lang w:eastAsia="zh-CN"/>
        </w:rPr>
        <w:t>）供应商可结合本项目</w:t>
      </w:r>
      <w:r>
        <w:rPr>
          <w:rFonts w:ascii="宋体" w:hAnsi="宋体" w:eastAsia="宋体" w:cs="宋体"/>
          <w:color w:val="auto"/>
          <w:spacing w:val="-20"/>
          <w:highlight w:val="none"/>
          <w:lang w:eastAsia="zh-CN"/>
        </w:rPr>
        <w:t>的评审办法视自身情况自行提交相关证明</w:t>
      </w:r>
      <w:r>
        <w:rPr>
          <w:rFonts w:ascii="宋体" w:hAnsi="宋体" w:eastAsia="宋体" w:cs="宋体"/>
          <w:color w:val="auto"/>
          <w:highlight w:val="none"/>
          <w:lang w:eastAsia="zh-CN"/>
        </w:rPr>
        <w:t>材料</w:t>
      </w:r>
      <w:r>
        <w:rPr>
          <w:rFonts w:ascii="宋体" w:hAnsi="宋体" w:eastAsia="宋体" w:cs="宋体"/>
          <w:b/>
          <w:bCs/>
          <w:color w:val="auto"/>
          <w:highlight w:val="none"/>
          <w:lang w:eastAsia="zh-CN"/>
        </w:rPr>
        <w:t>（如有，请提供）</w:t>
      </w:r>
      <w:r>
        <w:rPr>
          <w:rFonts w:ascii="宋体" w:hAnsi="宋体" w:eastAsia="宋体" w:cs="宋体"/>
          <w:color w:val="auto"/>
          <w:highlight w:val="none"/>
          <w:lang w:eastAsia="zh-CN"/>
        </w:rPr>
        <w:t>。</w:t>
      </w:r>
    </w:p>
    <w:p w14:paraId="6BC02E66">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供应商提供的以上相关证明材料必须真实有效，属于“必须提供</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”的文件应加盖供应商</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证书签章，否则响应无效；其中“必须提供</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”的文件“响应文件（格式）</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”中有要求法定代表人(负责人、自然人)或相应的授权委托代理人在规定位置签字的，可使用法定代表人(负责人、自然人)或相应的授权委托代理人个人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证书签章，没有办理广西政府采购云平台个人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证书签章的可在响应文件中涉及到签字的位置手写签字后扫描或者拍照做成</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PDF</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的格式上传，无个人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证书签章及手写签字的，响</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应文件按无效处理。</w:t>
      </w:r>
    </w:p>
    <w:p w14:paraId="0A75C58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11.2 供应商应按竞争性谈判文件第六章“响应文件（格式） ”编制响应文件。</w:t>
      </w:r>
    </w:p>
    <w:p w14:paraId="2F6F122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12.响应文件的语言及计量</w:t>
      </w:r>
    </w:p>
    <w:p w14:paraId="419C586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12.1 响应文件以及供应商与采购代理机构就有关响应事宜的所有来往函电，均必须以中文汉语书 写。供应商提交的支持文件和印刷的文献可以使用别的语言，但其相应内容必须附有中文翻译文本， 在解释响应文件时以中文翻译文本为主。</w:t>
      </w:r>
    </w:p>
    <w:p w14:paraId="3B7F16A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12.2 响应计量单位，谈判文件已有明确规定的，使用谈判文件规定的计量单位；谈判文件没有规 定的，必须采用中华人民共和国法定计量单位（货币单位：人民币元），否则视同未响应。</w:t>
      </w:r>
    </w:p>
    <w:p w14:paraId="41F62088">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13.谈判报价及采购预算金额</w:t>
      </w:r>
    </w:p>
    <w:p w14:paraId="1DE0A91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13.1 供应商必须就“采购需求 ”中的所有内容作完整唯一报价，响应文件只允许有一个报价，有 选择的或有条件的报价将不予接受。</w:t>
      </w:r>
    </w:p>
    <w:p w14:paraId="2083A1B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13.2 采购预算金额（人民币）：</w:t>
      </w:r>
      <w:r>
        <w:rPr>
          <w:rFonts w:ascii="宋体" w:hAnsi="宋体" w:eastAsia="宋体" w:cs="宋体"/>
          <w:b/>
          <w:bCs/>
          <w:color w:val="auto"/>
          <w:highlight w:val="none"/>
          <w:lang w:eastAsia="zh-CN"/>
        </w:rPr>
        <w:t>¥</w:t>
      </w:r>
      <w:r>
        <w:rPr>
          <w:rFonts w:hint="eastAsia" w:ascii="宋体" w:hAnsi="宋体" w:eastAsia="宋体" w:cs="宋体"/>
          <w:b/>
          <w:bCs/>
          <w:color w:val="auto"/>
          <w:highlight w:val="none"/>
          <w:lang w:eastAsia="zh-CN"/>
        </w:rPr>
        <w:t>2300000.00元</w:t>
      </w:r>
      <w:r>
        <w:rPr>
          <w:rFonts w:ascii="宋体" w:hAnsi="宋体" w:eastAsia="宋体" w:cs="宋体"/>
          <w:color w:val="auto"/>
          <w:highlight w:val="none"/>
          <w:lang w:eastAsia="zh-CN"/>
        </w:rPr>
        <w:t xml:space="preserve"> 。报价超采购预算金额的， 响应文件作无效处理。</w:t>
      </w:r>
    </w:p>
    <w:p w14:paraId="40696A0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13.3 供应商谈判报价应包括本次采购范围内货物价款、货物随配标准附件、包装、运输、装卸、 保险、税金、货到位以及安装、安装所需辅材、调试、检验、售后服务、培训、保修、运维、验收及 其他所有成本费用的总和，供应商应综合考虑在报价中。</w:t>
      </w:r>
    </w:p>
    <w:p w14:paraId="2F6893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13.4 未书面退出谈判的供应商必须在规定时间内登录广西政府采购云平台在线提交最后报价，其 最后报价不得超出采购预算；谈判过程中谈判文件未作实质性变动的，</w:t>
      </w:r>
      <w:r>
        <w:rPr>
          <w:rFonts w:ascii="宋体" w:hAnsi="宋体" w:eastAsia="宋体" w:cs="宋体"/>
          <w:b/>
          <w:bCs/>
          <w:color w:val="auto"/>
          <w:highlight w:val="none"/>
          <w:lang w:eastAsia="zh-CN"/>
        </w:rPr>
        <w:t>最后报价不得超过首次报价。</w:t>
      </w:r>
    </w:p>
    <w:p w14:paraId="1661B415">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14.响应文件有效期</w:t>
      </w:r>
    </w:p>
    <w:p w14:paraId="181F93D5">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14.1 响应文件有效期： 自响应文件提交截止时间之日起 90 天，有效期不足的响应文件将被拒绝。</w:t>
      </w:r>
    </w:p>
    <w:p w14:paraId="176B3C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14.2 出现特殊情况下，需要延长响应文件有效期的，采购代理机构以书面形式通知供应商延长响 应文件有效期。供应商同意延长的，不能修改响应文件。供应商拒绝延长的，其响应无效。</w:t>
      </w:r>
    </w:p>
    <w:p w14:paraId="5CD21E5C">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15.电子响应文件的制作、加密要求</w:t>
      </w:r>
    </w:p>
    <w:p w14:paraId="1FB0E0B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15.1 供应商制作电子响应文件前，应登陆广西政府采购云平台进行“ 申请获取采购文件 ”操作， 否则，有可能导致无法在线编制响应文件并参与竞标，其不利后果由供应商自行承担。</w:t>
      </w:r>
    </w:p>
    <w:p w14:paraId="0F4964E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15.2 供应商下载或获取竞争性谈判文件后，登录“广西政府采购云平台电子投标客户端 ”，按照本谈判文件规定的响应文件格式、顺序以及广西政府采购云平台的要求，通过“广西政府采购云平台电子投标客户端 ”编制电子响应文件。</w:t>
      </w:r>
    </w:p>
    <w:p w14:paraId="496A9AC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15.3 供应商应按“广西政府采购云平台电子投标客户端 ”载明的“标书关联 ”功能进行电子响应文件的关联定位，以便谈判小组在评审时点击相应评审项可直接定位到该评审内容；如供应商的电子响应文件未能关联定位相应内容，或者关联定位的内容与该评审项不符，导致谈判小组无法查询并做出对供应商不利的评审，相关后果由供应商自行承担。</w:t>
      </w:r>
    </w:p>
    <w:p w14:paraId="320550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15.4 电子响应文件不得涂改，若有修改错漏处，须由法定代表人（负责人、 自然人）或授权委托 代理人通过“广西政府采购云平台电子投标客户端 ”采用广西政府采购云平台个人 CA 证书签章，没有办理广西政府采购云平台个人 CA 证书签章的，在响应文件中响应位置手写签字后扫描或者拍照做成PDF的格式上传。因响应文件字迹潦草、表达不清、内容不完整、编排混乱导致响应文件被误读、漏读，或者在按竞争性谈判文件规定的部位查找不到相关内容的，其不利后果由供应商自行承担。</w:t>
      </w:r>
    </w:p>
    <w:p w14:paraId="1136CDE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15.5 供应商编制、生成电子响应文件后应当加密响应文件。供应商未按规定编制并加密的响应文件，广西政府采购云平台将予以拒收。</w:t>
      </w:r>
    </w:p>
    <w:p w14:paraId="57476B7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15.6 </w:t>
      </w:r>
      <w:r>
        <w:rPr>
          <w:rFonts w:ascii="宋体" w:hAnsi="宋体" w:eastAsia="宋体" w:cs="宋体"/>
          <w:b/>
          <w:bCs/>
          <w:color w:val="auto"/>
          <w:highlight w:val="none"/>
          <w:lang w:eastAsia="zh-CN"/>
        </w:rPr>
        <w:t>供应商公章及签字</w:t>
      </w:r>
    </w:p>
    <w:p w14:paraId="71D0C2E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15.6.1 本竞争性谈判文件中描述供应商的“公章 ”是指供应商通过指定电子化政府采购平台办理数字证书（CA 认证证书）获得的以法定主体行为名称制作的电子印章。</w:t>
      </w:r>
    </w:p>
    <w:p w14:paraId="4E9F20F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15.6.2 本竞争性谈判文件中要求供应商对其电子响应文件的相关内容加盖公章的，均指采用 CA 证书签章。</w:t>
      </w:r>
    </w:p>
    <w:p w14:paraId="2F235151">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15.6.3 本谈判文件中描述供应商的“签字 ”是指供应商通过指定电子化政府采购平台办理数字证书（CA 认证证书）获得的以供应商法定代表人（自负责人、 自然人）或者委托代理人姓名制作的个人电子印章或手写签字。没有办理个人 CA 证书的，可以为手写签字的形式。</w:t>
      </w:r>
    </w:p>
    <w:p w14:paraId="684279E6">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16.首次响应文件的提交、撤回、修改</w:t>
      </w:r>
    </w:p>
    <w:p w14:paraId="4EF011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16.1 响应文件的提交截止时间：2025年</w:t>
      </w:r>
      <w:r>
        <w:rPr>
          <w:rFonts w:hint="eastAsia" w:ascii="宋体" w:hAnsi="宋体" w:eastAsia="宋体" w:cs="宋体"/>
          <w:color w:val="auto"/>
          <w:highlight w:val="none"/>
          <w:lang w:val="en-US" w:eastAsia="zh-CN"/>
        </w:rPr>
        <w:t>10</w:t>
      </w:r>
      <w:r>
        <w:rPr>
          <w:rFonts w:ascii="宋体" w:hAnsi="宋体" w:eastAsia="宋体" w:cs="宋体"/>
          <w:color w:val="auto"/>
          <w:highlight w:val="none"/>
          <w:lang w:eastAsia="zh-CN"/>
        </w:rPr>
        <w:t>月</w:t>
      </w:r>
      <w:r>
        <w:rPr>
          <w:rFonts w:hint="eastAsia" w:ascii="宋体" w:hAnsi="宋体" w:eastAsia="宋体" w:cs="宋体"/>
          <w:color w:val="auto"/>
          <w:highlight w:val="none"/>
          <w:lang w:val="en-US" w:eastAsia="zh-CN"/>
        </w:rPr>
        <w:t>24</w:t>
      </w:r>
      <w:r>
        <w:rPr>
          <w:rFonts w:ascii="宋体" w:hAnsi="宋体" w:eastAsia="宋体" w:cs="宋体"/>
          <w:color w:val="auto"/>
          <w:highlight w:val="none"/>
          <w:lang w:eastAsia="zh-CN"/>
        </w:rPr>
        <w:t>日</w:t>
      </w:r>
      <w:r>
        <w:rPr>
          <w:rFonts w:hint="eastAsia" w:ascii="宋体" w:hAnsi="宋体" w:eastAsia="宋体" w:cs="宋体"/>
          <w:color w:val="auto"/>
          <w:highlight w:val="none"/>
          <w:lang w:eastAsia="zh-CN"/>
        </w:rPr>
        <w:t>上</w:t>
      </w:r>
      <w:r>
        <w:rPr>
          <w:rFonts w:ascii="宋体" w:hAnsi="宋体" w:eastAsia="宋体" w:cs="宋体"/>
          <w:color w:val="auto"/>
          <w:highlight w:val="none"/>
          <w:lang w:eastAsia="zh-CN"/>
        </w:rPr>
        <w:t>午</w:t>
      </w:r>
      <w:r>
        <w:rPr>
          <w:rFonts w:hint="eastAsia" w:ascii="宋体" w:hAnsi="宋体" w:eastAsia="宋体" w:cs="宋体"/>
          <w:color w:val="auto"/>
          <w:highlight w:val="none"/>
          <w:lang w:val="en-US" w:eastAsia="zh-CN"/>
        </w:rPr>
        <w:t>09</w:t>
      </w:r>
      <w:r>
        <w:rPr>
          <w:rFonts w:ascii="宋体" w:hAnsi="宋体" w:eastAsia="宋体" w:cs="宋体"/>
          <w:color w:val="auto"/>
          <w:highlight w:val="none"/>
          <w:lang w:eastAsia="zh-CN"/>
        </w:rPr>
        <w:t>时30分（北京时间）</w:t>
      </w:r>
    </w:p>
    <w:p w14:paraId="2ED3739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16.2 地点：通过广西政府采购云平台在线提交。</w:t>
      </w:r>
    </w:p>
    <w:p w14:paraId="3B1C1C2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16.3 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广西政府采购云平台的，视为未提交响应文件。</w:t>
      </w:r>
    </w:p>
    <w:p w14:paraId="2FD0E74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16.4 除竞争性谈判文件另有规定外，供应商所提交的响应文件不予退还。</w:t>
      </w:r>
    </w:p>
    <w:p w14:paraId="5F6B440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17.响应文件的解密</w:t>
      </w:r>
    </w:p>
    <w:p w14:paraId="664E3156">
      <w:pPr>
        <w:widowControl w:val="0"/>
        <w:spacing w:line="360" w:lineRule="auto"/>
        <w:ind w:firstLine="420" w:firstLineChars="200"/>
        <w:jc w:val="both"/>
        <w:rPr>
          <w:color w:val="auto"/>
          <w:highlight w:val="none"/>
          <w:lang w:eastAsia="zh-CN"/>
        </w:rPr>
      </w:pPr>
      <w:r>
        <w:rPr>
          <w:rFonts w:ascii="宋体" w:hAnsi="宋体" w:eastAsia="宋体" w:cs="宋体"/>
          <w:color w:val="auto"/>
          <w:highlight w:val="none"/>
          <w:lang w:eastAsia="zh-CN"/>
        </w:rPr>
        <w:t>响应文件提交截止时间后，采购代理机构开启解密响应文件操作，广西政府采购云平台向各供应商发出电子加密响应文件解密通知， 由供应商在系统发出解密通知后 30 分钟内自行使用加密时的 CA 通过“项目采购-开标评标 ”功能对响应文件进行解密。若供应商在上述规定的时间内无法解密或解密 失败的，可以在响应文件解密截止时间后 30 分钟内向采购代理机构现场提交电子备份响应文件【现场 提交电子响应文件地址：</w:t>
      </w:r>
      <w:r>
        <w:rPr>
          <w:rFonts w:hint="eastAsia" w:ascii="宋体" w:hAnsi="宋体" w:eastAsia="宋体" w:cs="宋体"/>
          <w:color w:val="auto"/>
          <w:highlight w:val="none"/>
          <w:lang w:eastAsia="zh-CN"/>
        </w:rPr>
        <w:t>大华建设项目管理有限公司开标厅（桂林市秀峰区睦邻小苑5栋3单元）</w:t>
      </w:r>
      <w:r>
        <w:rPr>
          <w:rFonts w:ascii="宋体" w:hAnsi="宋体" w:eastAsia="宋体" w:cs="宋体"/>
          <w:color w:val="auto"/>
          <w:highlight w:val="none"/>
          <w:lang w:eastAsia="zh-CN"/>
        </w:rPr>
        <w:t>】，或以电子邮件的形式提交电子备份响应文件（以通知时所告知的电子邮箱 地址为准）；供应商未在上述规定的时间、地点（电子邮箱）提交的电子备份响应文件，采购代理机 构不予接收或承认。采购代理机构收到电子备份响应文件后按“政府采购云平台 ”操作规范上传至“政府采购云平台 ”，电子备份响应文件上传成功后，供应商原上传的“电子加密响应文件 ”自动失效。若供应商在规定时间内无法解密或解密失败且未在规定的时间内提供电子备份响应文件的（包含提供的电子备份响应文件无效或无法解密的情况），视为供应商放弃谈判。</w:t>
      </w:r>
    </w:p>
    <w:p w14:paraId="4674B788">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四、竞争性谈判（简称谈判）与评审</w:t>
      </w:r>
    </w:p>
    <w:p w14:paraId="34AE4FD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18.谈判小组组成及谈判时间、地点、人员</w:t>
      </w:r>
    </w:p>
    <w:p w14:paraId="4B65015B">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18.1</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谈判小组组成：</w:t>
      </w:r>
    </w:p>
    <w:p w14:paraId="46F35CC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谈判及评审组织工作由采购代理机构负责，具体谈判、评审工作由依法组建的谈判小组负责，本项目的谈判小组由有关方面的评审专家组成，谈判小组的构成：3 人。</w:t>
      </w:r>
    </w:p>
    <w:p w14:paraId="2241C410">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18.2</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谈判时间、地点、人员：</w:t>
      </w:r>
    </w:p>
    <w:p w14:paraId="4967EE5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18.2.1 谈判时间：首次响应文件提交截止时间后。</w:t>
      </w:r>
    </w:p>
    <w:p w14:paraId="6590E65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18.2.2 谈判地点：供应商代表在响应文件提交当天实时登陆登录广西政府采购云平台，按谈判小 组要求在线等候参与谈判及提交最后报价。因供应商未保持实时在线，导致谈判小组无法及时与其取得联系，从而造成供应商未按规定参与谈判或报价的，其不利后果由供应商自行承担。</w:t>
      </w:r>
    </w:p>
    <w:p w14:paraId="00647E3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18.2.3 谈判参加人员：供应商法定代表人(负责人、 自然人)或相应的委托代理人参加谈判。请供应商实时登陆登录广西政府采购云平台等候在线谈判。</w:t>
      </w:r>
    </w:p>
    <w:p w14:paraId="6E44980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18.2.4 首次响应文件提交截止时间后，登录广西政府采购云平台在线解密开启。</w:t>
      </w:r>
    </w:p>
    <w:p w14:paraId="5E3F5AF6">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19.评审原则和评审办法</w:t>
      </w:r>
    </w:p>
    <w:p w14:paraId="3633BB7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19.1 谈判小组必须坚持公平、公正、科学和择优的原则。</w:t>
      </w:r>
    </w:p>
    <w:p w14:paraId="31F82F0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19.2 具体详见第四章评审办法。</w:t>
      </w:r>
    </w:p>
    <w:p w14:paraId="68BD2F9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19.3 谈判小组应按谈判文件进行评审，不得擅自更改评审办法。</w:t>
      </w:r>
    </w:p>
    <w:p w14:paraId="136CA4E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19.4 在评审过程中，谈判小组任何人不得对某个供应商发表任何倾向性意见，不得向其他谈判小组成员明示或者暗示自己的评审意见。</w:t>
      </w:r>
    </w:p>
    <w:p w14:paraId="74137C6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19.5 谈判小组成员对需要共同认定的事项存在争议的，按照少数服从多数的原则作出结论。持不同意见的谈判小组成员应当在评审报告上签署不同意见并说明理由，否则视为同意。</w:t>
      </w:r>
    </w:p>
    <w:p w14:paraId="6F17DAE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20.评审程序及谈判要求</w:t>
      </w:r>
    </w:p>
    <w:p w14:paraId="5C1B6CB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20.1 谈判小组成员的通讯工具或相关电子设备在</w:t>
      </w:r>
      <w:r>
        <w:rPr>
          <w:rFonts w:hint="eastAsia"/>
          <w:color w:val="auto"/>
          <w:sz w:val="21"/>
          <w:szCs w:val="21"/>
          <w:highlight w:val="none"/>
          <w:lang w:eastAsia="zh-CN"/>
        </w:rPr>
        <w:t>大华建设项目管理有限公司</w:t>
      </w:r>
      <w:r>
        <w:rPr>
          <w:color w:val="auto"/>
          <w:sz w:val="21"/>
          <w:szCs w:val="21"/>
          <w:highlight w:val="none"/>
          <w:lang w:eastAsia="zh-CN"/>
        </w:rPr>
        <w:t>（</w:t>
      </w:r>
      <w:r>
        <w:rPr>
          <w:rFonts w:hint="eastAsia"/>
          <w:color w:val="auto"/>
          <w:sz w:val="21"/>
          <w:szCs w:val="21"/>
          <w:highlight w:val="none"/>
          <w:lang w:eastAsia="zh-CN"/>
        </w:rPr>
        <w:t>桂林市秀峰区睦邻小苑5栋3单元</w:t>
      </w:r>
      <w:r>
        <w:rPr>
          <w:color w:val="auto"/>
          <w:sz w:val="21"/>
          <w:szCs w:val="21"/>
          <w:highlight w:val="none"/>
          <w:lang w:eastAsia="zh-CN"/>
        </w:rPr>
        <w:t>）</w:t>
      </w:r>
      <w:r>
        <w:rPr>
          <w:rFonts w:ascii="宋体" w:hAnsi="宋体" w:eastAsia="宋体" w:cs="宋体"/>
          <w:color w:val="auto"/>
          <w:highlight w:val="none"/>
          <w:lang w:eastAsia="zh-CN"/>
        </w:rPr>
        <w:t>统一保管后到达评标室，采购代理机构核实谈判小组成员身份，告知回避要求，宣布评审工作纪律和程序，推选谈判小组组长。</w:t>
      </w:r>
    </w:p>
    <w:p w14:paraId="5CEB328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20.2 谈判小组应当审查供应商的响应文件并作出评价；要求供应商解释或者澄清其响应文件；编 写评审报告；告知采购人、采购代理机构在评审过程中发现的供应商的违法违规行为。</w:t>
      </w:r>
    </w:p>
    <w:p w14:paraId="4674C5E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20.3 谈判小组依据法律法规和竞争性谈判文件的规定，首先对响应文件进行资格性审查，以确定供应商是否具备本项目供应商资格；再对通过资格性审查的供应商响应文件的有效性、完整性和对谈 判文件的响应程度进行符合性审查， 以确定是否对谈判文件的实质性要求做出响应。</w:t>
      </w:r>
    </w:p>
    <w:p w14:paraId="5A4A66B7">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20.4</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谈判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件无效处理。</w:t>
      </w:r>
    </w:p>
    <w:p w14:paraId="30C5C748">
      <w:pPr>
        <w:widowControl w:val="0"/>
        <w:spacing w:line="360" w:lineRule="auto"/>
        <w:ind w:firstLine="420" w:firstLineChars="200"/>
        <w:rPr>
          <w:rFonts w:ascii="宋体" w:hAnsi="宋体" w:eastAsia="宋体" w:cs="宋体"/>
          <w:color w:val="auto"/>
          <w:highlight w:val="none"/>
        </w:rPr>
      </w:pPr>
      <w:r>
        <w:rPr>
          <w:rFonts w:ascii="宋体" w:hAnsi="宋体" w:eastAsia="宋体" w:cs="宋体"/>
          <w:color w:val="auto"/>
          <w:highlight w:val="none"/>
        </w:rPr>
        <w:t>20.4.1 查询渠道：《国家企业信用信息公示系统》（网址：</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宋体" w:hAnsi="宋体" w:eastAsia="宋体" w:cs="宋体"/>
          <w:color w:val="auto"/>
          <w:highlight w:val="none"/>
        </w:rPr>
        <w:t>www.gsxt.gov.cn/index.html</w:t>
      </w:r>
      <w:r>
        <w:rPr>
          <w:rFonts w:ascii="宋体" w:hAnsi="宋体" w:eastAsia="宋体" w:cs="宋体"/>
          <w:color w:val="auto"/>
          <w:highlight w:val="none"/>
        </w:rPr>
        <w:fldChar w:fldCharType="end"/>
      </w:r>
      <w:r>
        <w:rPr>
          <w:rFonts w:ascii="宋体" w:hAnsi="宋体" w:eastAsia="宋体" w:cs="宋体"/>
          <w:color w:val="auto"/>
          <w:highlight w:val="none"/>
        </w:rPr>
        <w:t>）</w:t>
      </w:r>
    </w:p>
    <w:p w14:paraId="4CD1972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20.4.2 审查流程：</w:t>
      </w:r>
    </w:p>
    <w:p w14:paraId="0E51A6F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（1）进入《国家企业信用信息公示系统》（网址：</w:t>
      </w:r>
      <w:r>
        <w:rPr>
          <w:color w:val="auto"/>
          <w:highlight w:val="none"/>
        </w:rPr>
        <w:fldChar w:fldCharType="begin"/>
      </w:r>
      <w:r>
        <w:rPr>
          <w:color w:val="auto"/>
          <w:highlight w:val="none"/>
          <w:lang w:eastAsia="zh-CN"/>
        </w:rPr>
        <w:instrText xml:space="preserve"> HYPERLINK "https://www.gsxt.gov.cn/index.html" </w:instrText>
      </w:r>
      <w:r>
        <w:rPr>
          <w:color w:val="auto"/>
          <w:highlight w:val="none"/>
        </w:rPr>
        <w:fldChar w:fldCharType="separate"/>
      </w:r>
      <w:r>
        <w:rPr>
          <w:rFonts w:ascii="宋体" w:hAnsi="宋体" w:eastAsia="宋体" w:cs="宋体"/>
          <w:color w:val="auto"/>
          <w:highlight w:val="none"/>
          <w:lang w:eastAsia="zh-CN"/>
        </w:rPr>
        <w:t>www.gsxt.gov.cn/index.html</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），输入企业名称，进入企业信息主页面；</w:t>
      </w:r>
    </w:p>
    <w:p w14:paraId="6AD033D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（2）查看主页“股东及出资信息 ”栏，或年报中的“股东及出资信息 ”栏信息；</w:t>
      </w:r>
    </w:p>
    <w:p w14:paraId="575775B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（3）将各供应商的股东及出资信息进行比对，得出审查结论；</w:t>
      </w:r>
    </w:p>
    <w:p w14:paraId="49E19F8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（4）将相关资料作为评审资料打印存档。</w:t>
      </w:r>
    </w:p>
    <w:p w14:paraId="094AB1C4">
      <w:pPr>
        <w:widowControl w:val="0"/>
        <w:spacing w:line="360" w:lineRule="auto"/>
        <w:ind w:firstLine="422" w:firstLineChars="200"/>
        <w:jc w:val="both"/>
        <w:rPr>
          <w:rFonts w:ascii="宋体" w:hAnsi="宋体" w:eastAsia="宋体" w:cs="宋体"/>
          <w:color w:val="auto"/>
          <w:highlight w:val="none"/>
          <w:lang w:eastAsia="zh-CN"/>
        </w:rPr>
      </w:pPr>
      <w:r>
        <w:rPr>
          <w:rFonts w:ascii="宋体" w:hAnsi="宋体" w:eastAsia="宋体" w:cs="宋体"/>
          <w:b/>
          <w:bCs/>
          <w:color w:val="auto"/>
          <w:highlight w:val="none"/>
          <w:lang w:eastAsia="zh-CN"/>
        </w:rPr>
        <w:t>注：</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以上审查过程中，如出现查询企业网页主页面无法显示股东及出资信息的或仅以主页面信息</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内容无法认定供应商之间存在单位负责人为同一人或者存在直接控股、管理关系的，当时审查程序可</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继续进行，待评审结束后将对以上供应商作进一步核实确认，如确认供应商之间存在有上述关联供应</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商情形的，关联供应商均按响应文件无效处理。</w:t>
      </w:r>
    </w:p>
    <w:p w14:paraId="39D0E50B">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20.5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广西政府采购云平台采用在线书面形式，并加盖公章（CA 证书签章），或者由法定代表人（负责人）或其授权委托代理人个人CA证书签章（没有办理广西政府采购云平台个人CA证书签章的可在响应文件中涉及到签字的位置手写签字后扫描或者拍照做成 PDF 的格式上传），供应商为自然人的，应当由本人个人CA证书签章（没有办理广西政府采购云平台个人CA证书签章的可在响应文件中涉及到签字的位置手写签字后扫描或者拍照做成 PDF 的格式上传）并附身份证明。</w:t>
      </w:r>
    </w:p>
    <w:p w14:paraId="2F57E39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根据谈判文件规定的程序、评定成交的标准等事项与实质性响应竞争性谈判文件要求的供应商进行谈判。未实质性响应谈判文件的响应文件按无效处理，谈判小组应当告知有关供应商。</w:t>
      </w:r>
    </w:p>
    <w:p w14:paraId="06AE3B8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谈判小组所有成员应当按已确定的谈判顺序集中与单一供应商分别进行谈判，并给予所有实质性响应竞争性谈判文件要求的供应商平等的谈判机会。</w:t>
      </w:r>
    </w:p>
    <w:p w14:paraId="668323C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谈判中，谈判小组不得透露与谈判有关的其他供应商的技术资料、价格和其他信息。</w:t>
      </w:r>
    </w:p>
    <w:p w14:paraId="527A9FE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采购代理机构（谈判小组）对谈判过程和重要谈判内容进行记录，谈判双方在记录上签字确认（或 CA证书签章）。</w:t>
      </w:r>
    </w:p>
    <w:p w14:paraId="22EA8FC7">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20.6 在谈判过程中，谈判小组可以根据谈判文件和谈判情况实质性变动采购需求中的技术、服务要求以及合同草案条款，但不得变动谈判文件中的其他内容。实质性变动的内容，须经采购人代表确认。</w:t>
      </w:r>
    </w:p>
    <w:p w14:paraId="6488AA99">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对谈判文件作出的实质性变动是谈判文件的有效组成部分，谈判小组应当及时通过广西政府采购云平台以书面形式同时通知所有参加谈判的供应商。</w:t>
      </w:r>
    </w:p>
    <w:p w14:paraId="76DB8A10">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供应商必须按照谈判文件的变动情况和谈判小组的要求重新提交响应文件，并由其法定代表人(负责人、自然人)或相应的授权委托代表个人 CA 证书签章（没有办理广西政府采购云平台个人 CA证书签章的可在响应文件中涉及到签字的位置手写签字后扫描或者拍照做成 PDF 的格式上传）或者加盖供应商公章（CA 证书签章）。逾时不交的，视同放弃谈判。</w:t>
      </w:r>
    </w:p>
    <w:p w14:paraId="52A771D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 最后报价</w:t>
      </w:r>
    </w:p>
    <w:p w14:paraId="159921D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20.7.1 谈判文件能够详细列明采购标的的技术、服务要求的，谈判结束后，谈判小组应当要求所有继续参加谈判的供应商在规定时间内通过广西政府采购云平台在线提交最后报价，提交最后报价的供应商不得少于3家；谈判文件不能详细列明采购标的的技术、服务要求的，需由供应商提供最终设计方案或解决方案的，谈判结束后，谈判小组应当按照少数服从多数的原则投票推荐3家以上（含3家）供应商的设计方案或者解决方案，并要求其在规定时间内通过广西政府采购云平台在线提交最后报价。</w:t>
      </w:r>
    </w:p>
    <w:p w14:paraId="0372891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20.7.2 在采购过程中符合竞争要求的供应商或者报价未超过采购预算的供应商不足 3 家的，采购人或者采购代理机构应当终止竞争性谈判采购活动。</w:t>
      </w:r>
    </w:p>
    <w:p w14:paraId="5EEC790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20.7.3 最后报价是供应商响应文件的有效组成部分。</w:t>
      </w:r>
    </w:p>
    <w:p w14:paraId="208158F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20.8 已提交响应文件的供应商，在提交最后报价之前，可以根据谈判情况书面退出谈判。</w:t>
      </w:r>
    </w:p>
    <w:p w14:paraId="01BA55E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未书面退出谈判的供应商必须在规定时间内通过广西政府采购云平台在线提交最后报价；谈判过程中谈判文件未作实质性变动的，最后报价不得大于首次报价。</w:t>
      </w:r>
    </w:p>
    <w:p w14:paraId="4225DDD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20.9 评审报告</w:t>
      </w:r>
    </w:p>
    <w:p w14:paraId="53A006A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谈判小组应当从质量和服务均能满足谈判文件全部实质性响应要求的供应商中，按照评审报价（最 后报价及享受政府采购政策的优惠扣除） 由低到高的顺序提出 3 名以上（含3名）成交候选人，并编 写评审报告。</w:t>
      </w:r>
    </w:p>
    <w:p w14:paraId="07E39A9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20.10 在评审过程中出现法律法规和谈判文件均没有明确规定的情形时，由谈判小组现场协商解决，协商不一致的，由全体谈判小组投票表决，以得票率二分之一以上专家的意见为准。</w:t>
      </w:r>
    </w:p>
    <w:p w14:paraId="3854970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20.11采购代理机构发现谈判小组有明显的违规倾向或歧视现象，或不按评审办法进行，或其他不正常行为的，应当及时制止。如制止无效，应及时向</w:t>
      </w:r>
      <w:r>
        <w:rPr>
          <w:rFonts w:hint="eastAsia"/>
          <w:color w:val="auto"/>
          <w:sz w:val="21"/>
          <w:szCs w:val="21"/>
          <w:highlight w:val="none"/>
          <w:lang w:eastAsia="zh-CN"/>
        </w:rPr>
        <w:t>广西壮族自治区财政厅</w:t>
      </w:r>
      <w:r>
        <w:rPr>
          <w:rFonts w:ascii="宋体" w:hAnsi="宋体" w:eastAsia="宋体" w:cs="宋体"/>
          <w:color w:val="auto"/>
          <w:highlight w:val="none"/>
          <w:lang w:eastAsia="zh-CN"/>
        </w:rPr>
        <w:t>报告。</w:t>
      </w:r>
    </w:p>
    <w:p w14:paraId="6AD47AA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21.推荐及确定成交候选供应商原则</w:t>
      </w:r>
    </w:p>
    <w:p w14:paraId="0A99786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（1）采购单位应当确定谈判小组推荐排名第一的成交候选人为成交供应商。</w:t>
      </w:r>
    </w:p>
    <w:p w14:paraId="6AA9A1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（2）排名第一的成交候选人放弃成交、因不可抗力提出不能履行合同，或者谈判文件规定应当提交履约保证金而在规定的期限内未能提交的，或因失信行为被取消成交候选人资格的，采购单位可以 确定排名第二的成交候选人为成交供应商。</w:t>
      </w:r>
      <w:r>
        <w:rPr>
          <w:rFonts w:ascii="Times New Roman" w:hAnsi="Times New Roman"/>
        </w:rPr>
        <w:t>以此类推。</w:t>
      </w:r>
    </w:p>
    <w:p w14:paraId="2378E85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w:t>
      </w:r>
      <w:r>
        <w:rPr>
          <w:rFonts w:ascii="Times New Roman" w:hAnsi="Times New Roman"/>
        </w:rPr>
        <w:t>谈判小组认为，某竞标人的有效竞标报价或者某些分项报价明显不合理或者低于成本，有可能影响商品质量和不能诚信履约的，应要求其在规定的期限内提供书面文件予以解释说明，并提交相关证明材料；否则，谈判小组可以取消该竞标人的成交候选资格，按顺序由排在后面的成交候选人递补，以此类推。</w:t>
      </w:r>
    </w:p>
    <w:p w14:paraId="0E721645">
      <w:pPr>
        <w:widowControl w:val="0"/>
        <w:spacing w:line="360" w:lineRule="auto"/>
        <w:ind w:firstLine="422" w:firstLineChars="200"/>
        <w:outlineLvl w:val="1"/>
        <w:rPr>
          <w:rFonts w:ascii="宋体" w:hAnsi="宋体" w:eastAsia="宋体" w:cs="宋体"/>
          <w:b/>
          <w:bCs/>
          <w:color w:val="auto"/>
          <w:highlight w:val="none"/>
          <w:lang w:eastAsia="zh-CN"/>
        </w:rPr>
      </w:pPr>
      <w:r>
        <w:rPr>
          <w:rFonts w:ascii="宋体" w:hAnsi="宋体" w:eastAsia="宋体" w:cs="宋体"/>
          <w:b/>
          <w:bCs/>
          <w:color w:val="auto"/>
          <w:highlight w:val="none"/>
          <w:lang w:eastAsia="zh-CN"/>
        </w:rPr>
        <w:t>22.属于下列情况之一者，响应文件无效：</w:t>
      </w:r>
    </w:p>
    <w:p w14:paraId="43EEFDA3">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（1）未按谈判文件规定完整提交响应文件或未按规定要求签字、签章的，或未提供授权委托书（委托代理的）；</w:t>
      </w:r>
    </w:p>
    <w:p w14:paraId="388AB7FE">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（2）超越了行政审批的经营范围的；</w:t>
      </w:r>
    </w:p>
    <w:p w14:paraId="280CB244">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（3）不具备谈判文件规定的资格要求的；</w:t>
      </w:r>
    </w:p>
    <w:p w14:paraId="0187BEDD">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（4）响应文件未按谈判文件的内容和要求编制，或提供虚假材料的；</w:t>
      </w:r>
    </w:p>
    <w:p w14:paraId="7409049B">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（5）响应文件有效期、免费保修期、售后服务承诺不能满足谈判文件要求的；</w:t>
      </w:r>
    </w:p>
    <w:p w14:paraId="02F8A5AF">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（6）供应商未就“采购需求 ”中的所有服务内容作完整唯一报价的；</w:t>
      </w:r>
    </w:p>
    <w:p w14:paraId="79A08F12">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（7）未在谈判小组规定的时间内重新提交响应文件的；</w:t>
      </w:r>
    </w:p>
    <w:p w14:paraId="0DC7D49D">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（8）未满足谈判文件实质性要求的；或者响应文件有采购人不能接受的附加条件的；</w:t>
      </w:r>
    </w:p>
    <w:p w14:paraId="57C9784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（9）不符合法律、法规和谈判文件规定的其他实质性要求和条件的。</w:t>
      </w:r>
    </w:p>
    <w:p w14:paraId="4068D465">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供应商有下列情形之一的，视为串通参与谈判，响应文件将被视为无效：</w:t>
      </w:r>
    </w:p>
    <w:p w14:paraId="5864DD38">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（1）不同供应商的响应文件由同一单位或者个人编制的；</w:t>
      </w:r>
    </w:p>
    <w:p w14:paraId="2E0911DB">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（2）不同供应商委托同一单位或者个人办理谈判事宜的；</w:t>
      </w:r>
    </w:p>
    <w:p w14:paraId="6CBACAF4">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（3）不同的供应商的响应文件载明的项目管理员为同一个人的；</w:t>
      </w:r>
    </w:p>
    <w:p w14:paraId="481F52F7">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（4）不同供应商的响应文件异常一致或最后报价呈规律性差异的；</w:t>
      </w:r>
    </w:p>
    <w:p w14:paraId="16B1CC2A">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（5）不同供应商的响应文件相互混装的；</w:t>
      </w:r>
    </w:p>
    <w:p w14:paraId="392EA2E3">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（6）谈判文件未作实质性变动，供应商最后报价高于首次报价的</w:t>
      </w:r>
      <w:r>
        <w:rPr>
          <w:rFonts w:ascii="宋体" w:hAnsi="宋体" w:eastAsia="宋体" w:cs="宋体"/>
          <w:b/>
          <w:bCs/>
          <w:color w:val="auto"/>
          <w:highlight w:val="none"/>
          <w:lang w:eastAsia="zh-CN"/>
        </w:rPr>
        <w:t>。</w:t>
      </w:r>
    </w:p>
    <w:p w14:paraId="05B55A1B">
      <w:pPr>
        <w:widowControl w:val="0"/>
        <w:spacing w:line="360" w:lineRule="auto"/>
        <w:ind w:firstLine="422" w:firstLineChars="200"/>
        <w:jc w:val="both"/>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23.出现下列情形之一的，采购人或者采购代理机构应当终止竞争性谈判采购活动，发布项目终止公告并说明原因，重新开展采购活动：</w:t>
      </w:r>
    </w:p>
    <w:p w14:paraId="4A8CF5D4">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（1）因情况变化，不再符合规定的竞争性谈判采购方式适用情形的；</w:t>
      </w:r>
    </w:p>
    <w:p w14:paraId="39008441">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（2）出现影响采购公正的违法、违规行为的；</w:t>
      </w:r>
    </w:p>
    <w:p w14:paraId="570BDC4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（3）在采购过程中符合要求的供应商或者报价未超过采购预算的供应商不足 3 家的。</w:t>
      </w:r>
    </w:p>
    <w:p w14:paraId="580D5900">
      <w:pPr>
        <w:widowControl w:val="0"/>
        <w:spacing w:line="360" w:lineRule="auto"/>
        <w:ind w:firstLine="422" w:firstLineChars="200"/>
        <w:jc w:val="both"/>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24.在采购活动中因重大变故，采购任务取消的，采购人或者采购代理机构应当终止采购活动，通知所有参加采购活动的供应商，并将项目实施情况和采购任务取消原因报送本级财政部门。</w:t>
      </w:r>
    </w:p>
    <w:p w14:paraId="457EB03C">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25.谈判过程的监控</w:t>
      </w:r>
    </w:p>
    <w:p w14:paraId="5DFD743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本项目谈判过程实行全程录音、录像监控，供应商在谈判过程中所进行的试图影响谈判结果的不公正活动，可能导致其响应被拒绝。</w:t>
      </w:r>
    </w:p>
    <w:p w14:paraId="3616AB99">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26.</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信用查询</w:t>
      </w:r>
    </w:p>
    <w:p w14:paraId="00386A71">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根据《关于做好政府采购有关信用主体标识码登记及在政府采购活动中查询使用信用记录有关问题的通知》（桂财采〔2016〕37）， 由采购代理机构对第一成交候选人进行信用查询：</w:t>
      </w:r>
    </w:p>
    <w:p w14:paraId="73275DB1">
      <w:pPr>
        <w:widowControl w:val="0"/>
        <w:kinsoku/>
        <w:wordWrap w:val="0"/>
        <w:spacing w:line="360" w:lineRule="auto"/>
        <w:ind w:firstLine="420" w:firstLineChars="200"/>
        <w:outlineLvl w:val="1"/>
        <w:rPr>
          <w:rFonts w:ascii="宋体" w:hAnsi="宋体" w:eastAsia="宋体" w:cs="宋体"/>
          <w:color w:val="auto"/>
          <w:highlight w:val="none"/>
        </w:rPr>
      </w:pPr>
      <w:r>
        <w:rPr>
          <w:rFonts w:ascii="宋体" w:hAnsi="宋体" w:eastAsia="宋体" w:cs="宋体"/>
          <w:color w:val="auto"/>
          <w:highlight w:val="none"/>
        </w:rPr>
        <w:t>⑴查询渠道：“信用中国”网站(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highlight w:val="none"/>
        </w:rPr>
        <w:t>www.creditchina.gov.cn</w:t>
      </w:r>
      <w:r>
        <w:rPr>
          <w:rFonts w:ascii="宋体" w:hAnsi="宋体" w:eastAsia="宋体" w:cs="宋体"/>
          <w:color w:val="auto"/>
          <w:highlight w:val="none"/>
        </w:rPr>
        <w:fldChar w:fldCharType="end"/>
      </w:r>
      <w:r>
        <w:rPr>
          <w:rFonts w:ascii="宋体" w:hAnsi="宋体" w:eastAsia="宋体" w:cs="宋体"/>
          <w:color w:val="auto"/>
          <w:highlight w:val="none"/>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highlight w:val="none"/>
        </w:rPr>
        <w:t>www.ccgp.gov.cn</w:t>
      </w:r>
      <w:r>
        <w:rPr>
          <w:rFonts w:ascii="宋体" w:hAnsi="宋体" w:eastAsia="宋体" w:cs="宋体"/>
          <w:color w:val="auto"/>
          <w:highlight w:val="none"/>
        </w:rPr>
        <w:fldChar w:fldCharType="end"/>
      </w:r>
      <w:r>
        <w:rPr>
          <w:rFonts w:ascii="宋体" w:hAnsi="宋体" w:eastAsia="宋体" w:cs="宋体"/>
          <w:color w:val="auto"/>
          <w:highlight w:val="none"/>
        </w:rPr>
        <w:t>)等；</w:t>
      </w:r>
    </w:p>
    <w:p w14:paraId="76BE50B0">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⑵查询截止时间：成交通知书发出前；</w:t>
      </w:r>
    </w:p>
    <w:p w14:paraId="499121B8">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⑶信用信息查询记录和证据留存方式：在查询网站中直接打印查询记录，打印材料作为采购活动资料保存；</w:t>
      </w:r>
    </w:p>
    <w:p w14:paraId="7FC537E3">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⑷信用信息使用规则： 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highlight w:val="none"/>
          <w:lang w:eastAsia="zh-CN"/>
        </w:rPr>
        <w:t>www.creditchina.gov.cn</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highlight w:val="none"/>
          <w:lang w:eastAsia="zh-CN"/>
        </w:rPr>
        <w:t>www.ccgp.gov.cn</w:t>
      </w:r>
      <w:r>
        <w:rPr>
          <w:rFonts w:ascii="宋体" w:hAnsi="宋体" w:eastAsia="宋体" w:cs="宋体"/>
          <w:color w:val="auto"/>
          <w:highlight w:val="none"/>
          <w:lang w:eastAsia="zh-CN"/>
        </w:rPr>
        <w:fldChar w:fldCharType="end"/>
      </w:r>
      <w:r>
        <w:rPr>
          <w:rFonts w:ascii="宋体" w:hAnsi="宋体" w:eastAsia="宋体" w:cs="宋体"/>
          <w:color w:val="auto"/>
          <w:highlight w:val="none"/>
          <w:lang w:eastAsia="zh-CN"/>
        </w:rPr>
        <w:t>)等渠道列入失信被执行人、重大税收违法案件当事人名单、政府采购严重违法失信行为记录名单及其他不符合《中华人民共和国政府采购法》第二十二条规定条件的供应商，取消其成交候选人资格。</w:t>
      </w:r>
    </w:p>
    <w:p w14:paraId="7D2E614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27.成交公告及成交通知书</w:t>
      </w:r>
    </w:p>
    <w:p w14:paraId="38749610">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75CD7B59">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27.2 中小企业在政府采购活动过程中，请根据自己的真实情况出具《中小企业声明函》。采购人或采购代理机构在公告成交结果时，同时公告其《中小企业声明函》，接受社会监督。</w:t>
      </w:r>
    </w:p>
    <w:p w14:paraId="57D738F5">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27.3 在发布成交公告的同时，采购代理机构向成交供应商发出成交通知书。成交供应商应自接到通知之日起七个工作日内，办理成交通知书领取手续。</w:t>
      </w:r>
    </w:p>
    <w:p w14:paraId="2BC08132">
      <w:pPr>
        <w:widowControl w:val="0"/>
        <w:spacing w:line="360" w:lineRule="auto"/>
        <w:ind w:firstLine="420" w:firstLineChars="200"/>
        <w:outlineLvl w:val="1"/>
        <w:rPr>
          <w:color w:val="auto"/>
          <w:highlight w:val="none"/>
          <w:lang w:eastAsia="zh-CN"/>
        </w:rPr>
      </w:pPr>
      <w:r>
        <w:rPr>
          <w:rFonts w:ascii="宋体" w:hAnsi="宋体" w:eastAsia="宋体" w:cs="宋体"/>
          <w:color w:val="auto"/>
          <w:highlight w:val="none"/>
          <w:lang w:eastAsia="zh-CN"/>
        </w:rPr>
        <w:t>27.4 采购代理机构无义务向未成交的供应商解释未成交原因和退还响应文件。</w:t>
      </w:r>
    </w:p>
    <w:p w14:paraId="5CF8D8D3">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五、签订合同</w:t>
      </w:r>
    </w:p>
    <w:p w14:paraId="7DF428FD">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28.履约保证金</w:t>
      </w:r>
    </w:p>
    <w:p w14:paraId="0D1C213F">
      <w:pPr>
        <w:spacing w:line="400" w:lineRule="exact"/>
        <w:ind w:firstLine="411" w:firstLineChars="196"/>
        <w:rPr>
          <w:bCs/>
          <w:color w:val="auto"/>
          <w:highlight w:val="none"/>
          <w:lang w:eastAsia="zh-CN"/>
        </w:rPr>
      </w:pPr>
      <w:r>
        <w:rPr>
          <w:rFonts w:hint="eastAsia" w:eastAsia="宋体"/>
          <w:color w:val="auto"/>
          <w:highlight w:val="none"/>
          <w:lang w:eastAsia="zh-CN"/>
        </w:rPr>
        <w:t>28.</w:t>
      </w:r>
      <w:r>
        <w:rPr>
          <w:color w:val="auto"/>
          <w:highlight w:val="none"/>
          <w:lang w:eastAsia="zh-CN"/>
        </w:rPr>
        <w:t>1</w:t>
      </w:r>
      <w:r>
        <w:rPr>
          <w:rFonts w:hint="eastAsia" w:eastAsia="宋体"/>
          <w:color w:val="auto"/>
          <w:highlight w:val="none"/>
          <w:lang w:eastAsia="zh-CN"/>
        </w:rPr>
        <w:t xml:space="preserve"> </w:t>
      </w:r>
      <w:r>
        <w:rPr>
          <w:bCs/>
          <w:color w:val="auto"/>
          <w:highlight w:val="none"/>
          <w:lang w:eastAsia="zh-CN"/>
        </w:rPr>
        <w:t>履约保证金金额：合同金额的</w:t>
      </w:r>
      <w:r>
        <w:rPr>
          <w:rFonts w:hint="eastAsia"/>
          <w:bCs/>
          <w:color w:val="auto"/>
          <w:highlight w:val="none"/>
          <w:lang w:eastAsia="zh-CN"/>
        </w:rPr>
        <w:t>3</w:t>
      </w:r>
      <w:r>
        <w:rPr>
          <w:bCs/>
          <w:color w:val="auto"/>
          <w:highlight w:val="none"/>
          <w:lang w:eastAsia="zh-CN"/>
        </w:rPr>
        <w:t>%</w:t>
      </w:r>
    </w:p>
    <w:p w14:paraId="4ED187C1">
      <w:pPr>
        <w:spacing w:line="400" w:lineRule="exact"/>
        <w:ind w:firstLine="411" w:firstLineChars="196"/>
        <w:rPr>
          <w:bCs/>
          <w:color w:val="auto"/>
          <w:highlight w:val="none"/>
          <w:lang w:eastAsia="zh-CN"/>
        </w:rPr>
      </w:pPr>
      <w:r>
        <w:rPr>
          <w:color w:val="auto"/>
          <w:highlight w:val="none"/>
          <w:lang w:eastAsia="zh-CN"/>
        </w:rPr>
        <w:t>2</w:t>
      </w:r>
      <w:r>
        <w:rPr>
          <w:rFonts w:hint="eastAsia" w:eastAsia="宋体"/>
          <w:color w:val="auto"/>
          <w:highlight w:val="none"/>
          <w:lang w:eastAsia="zh-CN"/>
        </w:rPr>
        <w:t xml:space="preserve">8.2 </w:t>
      </w:r>
      <w:r>
        <w:rPr>
          <w:bCs/>
          <w:color w:val="auto"/>
          <w:highlight w:val="none"/>
          <w:lang w:eastAsia="zh-CN"/>
        </w:rPr>
        <w:t>履约保证金缴纳形式：供应商可以选择电汇、转账、支票、汇票、本票、保函等形式缴纳或提交；采用保函形式缴纳的，甲方在保证期限届满后及时对收取的保证金进行核实和结算。</w:t>
      </w:r>
    </w:p>
    <w:p w14:paraId="62DEAA3C">
      <w:pPr>
        <w:spacing w:line="400" w:lineRule="exact"/>
        <w:ind w:firstLine="411" w:firstLineChars="196"/>
        <w:rPr>
          <w:bCs/>
          <w:color w:val="auto"/>
          <w:highlight w:val="none"/>
          <w:lang w:eastAsia="zh-CN"/>
        </w:rPr>
      </w:pPr>
      <w:r>
        <w:rPr>
          <w:bCs/>
          <w:color w:val="auto"/>
          <w:highlight w:val="none"/>
          <w:lang w:eastAsia="zh-CN"/>
        </w:rPr>
        <w:t>保证金缴纳的账号信息：</w:t>
      </w:r>
    </w:p>
    <w:p w14:paraId="6BDAC3E2">
      <w:pPr>
        <w:spacing w:line="400" w:lineRule="exact"/>
        <w:ind w:firstLine="411" w:firstLineChars="196"/>
        <w:rPr>
          <w:bCs/>
          <w:color w:val="auto"/>
          <w:highlight w:val="none"/>
          <w:lang w:eastAsia="zh-CN"/>
        </w:rPr>
      </w:pPr>
      <w:r>
        <w:rPr>
          <w:bCs/>
          <w:color w:val="auto"/>
          <w:highlight w:val="none"/>
          <w:lang w:eastAsia="zh-CN"/>
        </w:rPr>
        <w:t>开户名称：广西师范大学</w:t>
      </w:r>
    </w:p>
    <w:p w14:paraId="346C61B8">
      <w:pPr>
        <w:spacing w:line="400" w:lineRule="exact"/>
        <w:ind w:firstLine="411" w:firstLineChars="196"/>
        <w:rPr>
          <w:bCs/>
          <w:color w:val="auto"/>
          <w:highlight w:val="none"/>
          <w:lang w:eastAsia="zh-CN"/>
        </w:rPr>
      </w:pPr>
      <w:r>
        <w:rPr>
          <w:bCs/>
          <w:color w:val="auto"/>
          <w:highlight w:val="none"/>
          <w:lang w:eastAsia="zh-CN"/>
        </w:rPr>
        <w:t>开户银行：中国工商银行股份有限公司桂林市高新科技支行</w:t>
      </w:r>
    </w:p>
    <w:p w14:paraId="3994B258">
      <w:pPr>
        <w:spacing w:line="400" w:lineRule="exact"/>
        <w:ind w:firstLine="411" w:firstLineChars="196"/>
        <w:rPr>
          <w:bCs/>
          <w:color w:val="auto"/>
          <w:highlight w:val="none"/>
          <w:lang w:eastAsia="zh-CN"/>
        </w:rPr>
      </w:pPr>
      <w:r>
        <w:rPr>
          <w:bCs/>
          <w:color w:val="auto"/>
          <w:highlight w:val="none"/>
          <w:lang w:eastAsia="zh-CN"/>
        </w:rPr>
        <w:t>账    号：2103215109264004618</w:t>
      </w:r>
    </w:p>
    <w:p w14:paraId="3BB7780F">
      <w:pPr>
        <w:spacing w:line="400" w:lineRule="exact"/>
        <w:ind w:firstLine="411" w:firstLineChars="196"/>
        <w:rPr>
          <w:bCs/>
          <w:color w:val="auto"/>
          <w:highlight w:val="none"/>
          <w:lang w:eastAsia="zh-CN"/>
        </w:rPr>
      </w:pPr>
      <w:r>
        <w:rPr>
          <w:bCs/>
          <w:color w:val="auto"/>
          <w:highlight w:val="none"/>
          <w:lang w:eastAsia="zh-CN"/>
        </w:rPr>
        <w:t>履约保证金退还方式及时间、条件、不予退还的情形：履约保证金待履行完合同约定的权利义务事项后【</w:t>
      </w:r>
      <w:r>
        <w:rPr>
          <w:rFonts w:hint="eastAsia"/>
          <w:bCs/>
          <w:color w:val="auto"/>
          <w:highlight w:val="none"/>
          <w:lang w:eastAsia="zh-CN"/>
        </w:rPr>
        <w:t>乙方</w:t>
      </w:r>
      <w:r>
        <w:rPr>
          <w:bCs/>
          <w:color w:val="auto"/>
          <w:highlight w:val="none"/>
          <w:lang w:eastAsia="zh-CN"/>
        </w:rPr>
        <w:t>承诺保质期（免费保修、维护、升级期）满】且不存在争议的，由</w:t>
      </w:r>
      <w:r>
        <w:rPr>
          <w:rFonts w:hint="eastAsia"/>
          <w:bCs/>
          <w:color w:val="auto"/>
          <w:highlight w:val="none"/>
          <w:lang w:eastAsia="zh-CN"/>
        </w:rPr>
        <w:t>乙方</w:t>
      </w:r>
      <w:r>
        <w:rPr>
          <w:bCs/>
          <w:color w:val="auto"/>
          <w:highlight w:val="none"/>
          <w:lang w:eastAsia="zh-CN"/>
        </w:rPr>
        <w:t>向履约保证金收取单位提供</w:t>
      </w:r>
      <w:r>
        <w:rPr>
          <w:color w:val="auto"/>
          <w:highlight w:val="none"/>
          <w:lang w:eastAsia="zh-CN"/>
        </w:rPr>
        <w:t>《采购项目履约保证金退付意见书》</w:t>
      </w:r>
      <w:r>
        <w:rPr>
          <w:bCs/>
          <w:color w:val="auto"/>
          <w:highlight w:val="none"/>
          <w:lang w:eastAsia="zh-CN"/>
        </w:rPr>
        <w:t>，履约保证金收取单位在收到合格材料后</w:t>
      </w:r>
      <w:r>
        <w:rPr>
          <w:rFonts w:hint="eastAsia"/>
          <w:bCs/>
          <w:color w:val="auto"/>
          <w:highlight w:val="none"/>
          <w:lang w:eastAsia="zh-CN"/>
        </w:rPr>
        <w:t>30</w:t>
      </w:r>
      <w:r>
        <w:rPr>
          <w:bCs/>
          <w:color w:val="auto"/>
          <w:highlight w:val="none"/>
          <w:lang w:eastAsia="zh-CN"/>
        </w:rPr>
        <w:t>个工作日内办理退还手续（不计利息）。乙方发生违约事项的，甲方将违约金在履约保证金中相应扣除，</w:t>
      </w:r>
      <w:r>
        <w:rPr>
          <w:rFonts w:hint="eastAsia"/>
          <w:bCs/>
          <w:color w:val="auto"/>
          <w:highlight w:val="none"/>
          <w:lang w:eastAsia="zh-CN"/>
        </w:rPr>
        <w:t>履约保证金</w:t>
      </w:r>
      <w:r>
        <w:rPr>
          <w:bCs/>
          <w:color w:val="auto"/>
          <w:highlight w:val="none"/>
          <w:lang w:eastAsia="zh-CN"/>
        </w:rPr>
        <w:t>余额无息返还乙方。</w:t>
      </w:r>
    </w:p>
    <w:p w14:paraId="56E4C742">
      <w:pPr>
        <w:spacing w:line="400" w:lineRule="exact"/>
        <w:ind w:firstLine="411" w:firstLineChars="196"/>
        <w:rPr>
          <w:rFonts w:ascii="宋体" w:hAnsi="宋体" w:eastAsia="宋体" w:cs="宋体"/>
          <w:color w:val="auto"/>
          <w:highlight w:val="none"/>
          <w:lang w:eastAsia="zh-CN"/>
        </w:rPr>
      </w:pPr>
      <w:r>
        <w:rPr>
          <w:rFonts w:hint="eastAsia" w:eastAsia="宋体"/>
          <w:color w:val="auto"/>
          <w:highlight w:val="none"/>
          <w:lang w:eastAsia="zh-CN"/>
        </w:rPr>
        <w:t xml:space="preserve">28.3 </w:t>
      </w:r>
      <w:r>
        <w:rPr>
          <w:rFonts w:hint="eastAsia"/>
          <w:bCs/>
          <w:color w:val="auto"/>
          <w:highlight w:val="none"/>
          <w:lang w:eastAsia="zh-CN"/>
        </w:rPr>
        <w:t>履约</w:t>
      </w:r>
      <w:r>
        <w:rPr>
          <w:bCs/>
          <w:color w:val="auto"/>
          <w:highlight w:val="none"/>
          <w:lang w:eastAsia="zh-CN"/>
        </w:rPr>
        <w:t>保证金采用保函形式缴纳的，采购人在保证期限届满后及时对收取的保证金进行核实和结算。</w:t>
      </w:r>
    </w:p>
    <w:p w14:paraId="11595B58">
      <w:pPr>
        <w:widowControl w:val="0"/>
        <w:spacing w:line="360" w:lineRule="auto"/>
        <w:ind w:firstLine="422" w:firstLineChars="200"/>
        <w:outlineLvl w:val="1"/>
        <w:rPr>
          <w:rFonts w:ascii="宋体" w:hAnsi="宋体" w:eastAsia="宋体" w:cs="宋体"/>
          <w:color w:val="auto"/>
          <w:highlight w:val="none"/>
          <w:lang w:eastAsia="zh-CN"/>
        </w:rPr>
      </w:pPr>
      <w:r>
        <w:rPr>
          <w:rFonts w:ascii="宋体" w:hAnsi="宋体" w:eastAsia="宋体" w:cs="宋体"/>
          <w:b/>
          <w:bCs/>
          <w:color w:val="auto"/>
          <w:highlight w:val="none"/>
          <w:lang w:eastAsia="zh-CN"/>
        </w:rPr>
        <w:t>29.签订合同</w:t>
      </w:r>
    </w:p>
    <w:p w14:paraId="79F32DB9">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29.1 签订合同时间：成交通知书发出之日起 8 个工作日内。成交供应商领取成交通知书后，应按规定与采购人签订合同。</w:t>
      </w:r>
    </w:p>
    <w:p w14:paraId="30992DED">
      <w:pPr>
        <w:widowControl w:val="0"/>
        <w:spacing w:line="360" w:lineRule="auto"/>
        <w:ind w:firstLine="420" w:firstLineChars="200"/>
        <w:jc w:val="both"/>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29.2 如成交供应商有下列情形之一，情节严重的，由财政部门将其列入不良行为记录名单，在一至三年内禁止参加政府采购活动，并予以通报。采购代理机构可从谈判小组推荐的成交候选供应商中 按顺序重新确定成交供应商或重新组织采购。拒绝签订政府采购合同的成交供应商不得参加对该项目 重新开展的采购活动。</w:t>
      </w:r>
    </w:p>
    <w:p w14:paraId="3327CA5F">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（1）成交后不与采购人签订合同的（不可抗力除外）；</w:t>
      </w:r>
    </w:p>
    <w:p w14:paraId="4AE357B6">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（2）将成交项目转让给他人，或者在响应文件中未说明，且未经采购人同意，将成交项目分包给他人的；</w:t>
      </w:r>
    </w:p>
    <w:p w14:paraId="6B898EE1">
      <w:pPr>
        <w:widowControl w:val="0"/>
        <w:spacing w:line="360" w:lineRule="auto"/>
        <w:ind w:firstLine="420" w:firstLineChars="200"/>
        <w:outlineLvl w:val="1"/>
        <w:rPr>
          <w:rFonts w:ascii="宋体" w:hAnsi="宋体" w:eastAsia="宋体" w:cs="宋体"/>
          <w:color w:val="auto"/>
          <w:highlight w:val="none"/>
          <w:lang w:eastAsia="zh-CN"/>
        </w:rPr>
      </w:pPr>
      <w:r>
        <w:rPr>
          <w:rFonts w:ascii="宋体" w:hAnsi="宋体" w:eastAsia="宋体" w:cs="宋体"/>
          <w:color w:val="auto"/>
          <w:highlight w:val="none"/>
          <w:lang w:eastAsia="zh-CN"/>
        </w:rPr>
        <w:t>（3）拒绝履行合同义务的。</w:t>
      </w:r>
    </w:p>
    <w:p w14:paraId="7E9FBE87">
      <w:pPr>
        <w:widowControl w:val="0"/>
        <w:spacing w:line="360" w:lineRule="auto"/>
        <w:ind w:firstLine="420" w:firstLineChars="200"/>
        <w:rPr>
          <w:rFonts w:ascii="宋体" w:hAnsi="宋体" w:cs="宋体"/>
          <w:color w:val="auto"/>
          <w:highlight w:val="none"/>
          <w:lang w:eastAsia="zh-CN"/>
        </w:rPr>
      </w:pPr>
      <w:r>
        <w:rPr>
          <w:rFonts w:ascii="宋体" w:hAnsi="宋体" w:eastAsia="宋体" w:cs="宋体"/>
          <w:color w:val="auto"/>
          <w:highlight w:val="none"/>
          <w:lang w:eastAsia="zh-CN"/>
        </w:rPr>
        <w:t>29.3 合同备案存档：</w:t>
      </w:r>
      <w:r>
        <w:rPr>
          <w:rFonts w:hint="eastAsia" w:ascii="宋体" w:hAnsi="宋体" w:eastAsia="宋体" w:cs="宋体"/>
          <w:color w:val="auto"/>
          <w:highlight w:val="none"/>
          <w:lang w:eastAsia="zh-CN"/>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大华建设项目管理有限公司存档。</w:t>
      </w:r>
    </w:p>
    <w:p w14:paraId="23CA6165">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六、其他事项</w:t>
      </w:r>
    </w:p>
    <w:p w14:paraId="5B8C9A7D">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30.采购代理服务费</w:t>
      </w:r>
    </w:p>
    <w:p w14:paraId="47D726A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30.1 </w:t>
      </w:r>
      <w:r>
        <w:rPr>
          <w:rFonts w:ascii="Times New Roman" w:hAnsi="Times New Roman"/>
          <w:color w:val="auto"/>
          <w:highlight w:val="none"/>
          <w:lang w:eastAsia="zh-CN"/>
        </w:rPr>
        <w:t>成交供应商领取成交通知书前，向大华建设项目管理有限公司一次性付清采购代理服务费。本项目的采购代理服务收费标准按“发改价格〔2015〕299号”《国家发展改革委关于进一步放开建设项目专业服务价格的通知》规定以费率1.5%为基数，不再按差额定率累进法计算，下浮60%向成交供应商收取</w:t>
      </w:r>
      <w:r>
        <w:rPr>
          <w:rFonts w:hint="eastAsia" w:ascii="Times New Roman" w:hAnsi="Times New Roman"/>
          <w:color w:val="auto"/>
          <w:highlight w:val="none"/>
          <w:lang w:eastAsia="zh-CN"/>
        </w:rPr>
        <w:t>采购代理服务费</w:t>
      </w:r>
      <w:r>
        <w:rPr>
          <w:rFonts w:ascii="Times New Roman" w:hAnsi="Times New Roman"/>
          <w:color w:val="auto"/>
          <w:highlight w:val="none"/>
          <w:lang w:eastAsia="zh-CN"/>
        </w:rPr>
        <w:t>，由成交供应商向采购代理机构一次性付</w:t>
      </w:r>
      <w:r>
        <w:rPr>
          <w:rFonts w:hint="eastAsia" w:ascii="Times New Roman" w:hAnsi="Times New Roman"/>
          <w:color w:val="auto"/>
          <w:highlight w:val="none"/>
          <w:lang w:eastAsia="zh-CN"/>
        </w:rPr>
        <w:t>清</w:t>
      </w:r>
      <w:r>
        <w:rPr>
          <w:rFonts w:ascii="Times New Roman" w:hAnsi="Times New Roman"/>
          <w:color w:val="auto"/>
          <w:highlight w:val="none"/>
          <w:lang w:eastAsia="zh-CN"/>
        </w:rPr>
        <w:t>（否则，该不利后果由成交供应商承担）。</w:t>
      </w:r>
    </w:p>
    <w:p w14:paraId="1858911E">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31.采购代理机构银行账户（用于缴纳采购代理服务费）：</w:t>
      </w:r>
    </w:p>
    <w:p w14:paraId="6FC8A8CB">
      <w:pPr>
        <w:widowControl w:val="0"/>
        <w:spacing w:line="360" w:lineRule="auto"/>
        <w:ind w:firstLine="420" w:firstLineChars="200"/>
        <w:rPr>
          <w:rFonts w:ascii="Times New Roman" w:hAnsi="Times New Roman"/>
          <w:color w:val="auto"/>
          <w:highlight w:val="none"/>
          <w:lang w:eastAsia="zh-CN"/>
        </w:rPr>
      </w:pPr>
      <w:r>
        <w:rPr>
          <w:rFonts w:ascii="Times New Roman" w:hAnsi="Times New Roman"/>
          <w:color w:val="auto"/>
          <w:highlight w:val="none"/>
          <w:lang w:eastAsia="zh-CN"/>
        </w:rPr>
        <w:t xml:space="preserve">开户名称：大华建设项目管理有限公司桂林分公司  </w:t>
      </w:r>
    </w:p>
    <w:p w14:paraId="585D424A">
      <w:pPr>
        <w:widowControl w:val="0"/>
        <w:spacing w:line="360" w:lineRule="auto"/>
        <w:ind w:firstLine="420" w:firstLineChars="200"/>
        <w:rPr>
          <w:rFonts w:ascii="Times New Roman" w:hAnsi="Times New Roman"/>
          <w:color w:val="auto"/>
          <w:highlight w:val="none"/>
          <w:lang w:eastAsia="zh-CN"/>
        </w:rPr>
      </w:pPr>
      <w:r>
        <w:rPr>
          <w:rFonts w:ascii="Times New Roman" w:hAnsi="Times New Roman"/>
          <w:color w:val="auto"/>
          <w:highlight w:val="none"/>
          <w:lang w:eastAsia="zh-CN"/>
        </w:rPr>
        <w:t xml:space="preserve">开户银行：中国建设银行股份有限公司桂林高新技术产业开发区支行   </w:t>
      </w:r>
    </w:p>
    <w:p w14:paraId="7DE482A7">
      <w:pPr>
        <w:widowControl w:val="0"/>
        <w:spacing w:line="360" w:lineRule="auto"/>
        <w:ind w:firstLine="420" w:firstLineChars="200"/>
        <w:rPr>
          <w:rFonts w:ascii="Times New Roman" w:hAnsi="Times New Roman"/>
          <w:color w:val="auto"/>
          <w:highlight w:val="none"/>
          <w:lang w:eastAsia="zh-CN"/>
        </w:rPr>
      </w:pPr>
      <w:r>
        <w:rPr>
          <w:rFonts w:ascii="Times New Roman" w:hAnsi="Times New Roman"/>
          <w:color w:val="auto"/>
          <w:highlight w:val="none"/>
          <w:lang w:eastAsia="zh-CN"/>
        </w:rPr>
        <w:t>银行账号：45050163004300000046</w:t>
      </w:r>
    </w:p>
    <w:p w14:paraId="4BF2A5B2">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32.解释权：</w:t>
      </w:r>
      <w:r>
        <w:rPr>
          <w:rFonts w:ascii="宋体" w:hAnsi="宋体" w:eastAsia="宋体" w:cs="宋体"/>
          <w:color w:val="auto"/>
          <w:highlight w:val="none"/>
          <w:lang w:eastAsia="zh-CN"/>
        </w:rPr>
        <w:t>本竞争性谈判文件是根据《中华人民共和国政府采购法》、《中华人民共和国政府采 购法实施条例》、《政府采购非招标采购方式管理办法》和政府采购管理有关规定编制，本竞争性谈判文件的解释权属于采购代理机构。</w:t>
      </w:r>
    </w:p>
    <w:p w14:paraId="0369F89A">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33.监督管理机构：</w:t>
      </w:r>
      <w:r>
        <w:rPr>
          <w:rFonts w:hint="eastAsia" w:ascii="宋体" w:hAnsi="宋体" w:eastAsia="宋体" w:cs="宋体"/>
          <w:color w:val="auto"/>
          <w:highlight w:val="none"/>
          <w:lang w:eastAsia="zh-CN"/>
        </w:rPr>
        <w:t>广西壮族自治区财政厅   0771-5331544</w:t>
      </w:r>
    </w:p>
    <w:p w14:paraId="06DBFBC2">
      <w:pPr>
        <w:widowControl w:val="0"/>
        <w:spacing w:line="360" w:lineRule="auto"/>
        <w:ind w:firstLine="420" w:firstLineChars="200"/>
        <w:rPr>
          <w:rFonts w:ascii="宋体" w:hAnsi="宋体" w:eastAsia="宋体" w:cs="宋体"/>
          <w:color w:val="auto"/>
          <w:highlight w:val="none"/>
          <w:lang w:eastAsia="zh-CN"/>
        </w:rPr>
        <w:sectPr>
          <w:footerReference r:id="rId6" w:type="default"/>
          <w:pgSz w:w="11906" w:h="16839"/>
          <w:pgMar w:top="1417" w:right="1417" w:bottom="1417" w:left="1417" w:header="0" w:footer="823" w:gutter="0"/>
          <w:cols w:space="720" w:num="1"/>
        </w:sectPr>
      </w:pPr>
    </w:p>
    <w:p w14:paraId="74B403F7">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附表</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1：</w:t>
      </w:r>
    </w:p>
    <w:p w14:paraId="67D60CA8">
      <w:pPr>
        <w:widowControl w:val="0"/>
        <w:spacing w:line="360" w:lineRule="auto"/>
        <w:jc w:val="center"/>
        <w:rPr>
          <w:rFonts w:ascii="宋体" w:hAnsi="宋体" w:eastAsia="宋体" w:cs="宋体"/>
          <w:color w:val="auto"/>
          <w:sz w:val="43"/>
          <w:szCs w:val="43"/>
          <w:highlight w:val="none"/>
          <w:lang w:eastAsia="zh-CN"/>
        </w:rPr>
      </w:pPr>
      <w:r>
        <w:rPr>
          <w:rFonts w:ascii="宋体" w:hAnsi="宋体" w:eastAsia="宋体" w:cs="宋体"/>
          <w:color w:val="auto"/>
          <w:sz w:val="43"/>
          <w:szCs w:val="43"/>
          <w:highlight w:val="none"/>
          <w:lang w:eastAsia="zh-CN"/>
        </w:rPr>
        <w:t>质疑函（格式）</w:t>
      </w:r>
    </w:p>
    <w:p w14:paraId="2C151690">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一、质疑供应商基本信息：</w:t>
      </w:r>
    </w:p>
    <w:p w14:paraId="5EE98EF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质疑供应商：</w:t>
      </w:r>
    </w:p>
    <w:p w14:paraId="1C76F7D6">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p>
    <w:p w14:paraId="1E0FC92C">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联系人：</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13873CB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授权代表：</w:t>
      </w:r>
      <w:r>
        <w:rPr>
          <w:rFonts w:ascii="宋体" w:hAnsi="宋体" w:eastAsia="宋体" w:cs="宋体"/>
          <w:color w:val="auto"/>
          <w:sz w:val="20"/>
          <w:szCs w:val="20"/>
          <w:highlight w:val="none"/>
          <w:u w:val="single"/>
          <w:lang w:eastAsia="zh-CN"/>
        </w:rPr>
        <w:t xml:space="preserve">                     </w:t>
      </w:r>
    </w:p>
    <w:p w14:paraId="4600CF2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联系电话：</w:t>
      </w:r>
      <w:r>
        <w:rPr>
          <w:rFonts w:ascii="宋体" w:hAnsi="宋体" w:eastAsia="宋体" w:cs="宋体"/>
          <w:color w:val="auto"/>
          <w:sz w:val="20"/>
          <w:szCs w:val="20"/>
          <w:highlight w:val="none"/>
          <w:u w:val="single"/>
          <w:lang w:eastAsia="zh-CN"/>
        </w:rPr>
        <w:t xml:space="preserve">                     </w:t>
      </w:r>
    </w:p>
    <w:p w14:paraId="7500EED7">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p>
    <w:p w14:paraId="287145F3">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二、质疑项目基本情况：</w:t>
      </w:r>
    </w:p>
    <w:p w14:paraId="20D0D20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质疑项目的名称：</w:t>
      </w:r>
      <w:r>
        <w:rPr>
          <w:rFonts w:ascii="宋体" w:hAnsi="宋体" w:eastAsia="宋体" w:cs="宋体"/>
          <w:color w:val="auto"/>
          <w:sz w:val="20"/>
          <w:szCs w:val="20"/>
          <w:highlight w:val="none"/>
          <w:u w:val="single"/>
          <w:lang w:eastAsia="zh-CN"/>
        </w:rPr>
        <w:t xml:space="preserve">                     </w:t>
      </w:r>
    </w:p>
    <w:p w14:paraId="596134F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质疑项目的编号：</w:t>
      </w:r>
      <w:r>
        <w:rPr>
          <w:rFonts w:ascii="宋体" w:hAnsi="宋体" w:eastAsia="宋体" w:cs="宋体"/>
          <w:color w:val="auto"/>
          <w:sz w:val="20"/>
          <w:szCs w:val="20"/>
          <w:highlight w:val="none"/>
          <w:u w:val="single"/>
          <w:lang w:eastAsia="zh-CN"/>
        </w:rPr>
        <w:t xml:space="preserve">                     </w:t>
      </w:r>
    </w:p>
    <w:p w14:paraId="199FF550">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采购人名称：</w:t>
      </w:r>
      <w:r>
        <w:rPr>
          <w:rFonts w:ascii="宋体" w:hAnsi="宋体" w:eastAsia="宋体" w:cs="宋体"/>
          <w:color w:val="auto"/>
          <w:sz w:val="20"/>
          <w:szCs w:val="20"/>
          <w:highlight w:val="none"/>
          <w:u w:val="single"/>
          <w:lang w:eastAsia="zh-CN"/>
        </w:rPr>
        <w:t xml:space="preserve">                     </w:t>
      </w:r>
    </w:p>
    <w:p w14:paraId="4E947431">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质疑事项：</w:t>
      </w:r>
      <w:r>
        <w:rPr>
          <w:rFonts w:ascii="宋体" w:hAnsi="宋体" w:eastAsia="宋体" w:cs="宋体"/>
          <w:color w:val="auto"/>
          <w:sz w:val="20"/>
          <w:szCs w:val="20"/>
          <w:highlight w:val="none"/>
          <w:u w:val="single"/>
          <w:lang w:eastAsia="zh-CN"/>
        </w:rPr>
        <w:t xml:space="preserve">                     </w:t>
      </w:r>
    </w:p>
    <w:p w14:paraId="25F814B1">
      <w:pPr>
        <w:widowControl w:val="0"/>
        <w:spacing w:line="360" w:lineRule="auto"/>
        <w:ind w:firstLine="600" w:firstLineChars="200"/>
        <w:rPr>
          <w:rFonts w:ascii="宋体" w:hAnsi="宋体" w:eastAsia="宋体" w:cs="宋体"/>
          <w:color w:val="auto"/>
          <w:sz w:val="20"/>
          <w:szCs w:val="20"/>
          <w:highlight w:val="none"/>
          <w:lang w:eastAsia="zh-CN"/>
        </w:rPr>
      </w:pPr>
      <w:r>
        <w:rPr>
          <w:rFonts w:ascii="宋体" w:hAnsi="宋体" w:eastAsia="宋体" w:cs="宋体"/>
          <w:color w:val="auto"/>
          <w:sz w:val="30"/>
          <w:szCs w:val="30"/>
          <w:highlight w:val="none"/>
          <w:lang w:eastAsia="zh-CN"/>
        </w:rPr>
        <w:t>□</w:t>
      </w:r>
      <w:r>
        <w:rPr>
          <w:rFonts w:ascii="宋体" w:hAnsi="宋体" w:eastAsia="宋体" w:cs="宋体"/>
          <w:color w:val="auto"/>
          <w:sz w:val="20"/>
          <w:szCs w:val="20"/>
          <w:highlight w:val="none"/>
          <w:lang w:eastAsia="zh-CN"/>
        </w:rPr>
        <w:t>谈判文件   谈判文件获取日期：</w:t>
      </w:r>
    </w:p>
    <w:p w14:paraId="54CF11FB">
      <w:pPr>
        <w:widowControl w:val="0"/>
        <w:spacing w:line="360" w:lineRule="auto"/>
        <w:ind w:firstLine="600" w:firstLineChars="200"/>
        <w:rPr>
          <w:rFonts w:ascii="宋体" w:hAnsi="宋体" w:eastAsia="宋体" w:cs="宋体"/>
          <w:color w:val="auto"/>
          <w:sz w:val="20"/>
          <w:szCs w:val="20"/>
          <w:highlight w:val="none"/>
          <w:lang w:eastAsia="zh-CN"/>
        </w:rPr>
      </w:pPr>
      <w:r>
        <w:rPr>
          <w:rFonts w:ascii="宋体" w:hAnsi="宋体" w:eastAsia="宋体" w:cs="宋体"/>
          <w:color w:val="auto"/>
          <w:sz w:val="30"/>
          <w:szCs w:val="30"/>
          <w:highlight w:val="none"/>
          <w:lang w:eastAsia="zh-CN"/>
        </w:rPr>
        <w:t>□</w:t>
      </w:r>
      <w:r>
        <w:rPr>
          <w:rFonts w:ascii="宋体" w:hAnsi="宋体" w:eastAsia="宋体" w:cs="宋体"/>
          <w:color w:val="auto"/>
          <w:sz w:val="20"/>
          <w:szCs w:val="20"/>
          <w:highlight w:val="none"/>
          <w:lang w:eastAsia="zh-CN"/>
        </w:rPr>
        <w:t>采购过程</w:t>
      </w:r>
    </w:p>
    <w:p w14:paraId="69D0AE28">
      <w:pPr>
        <w:widowControl w:val="0"/>
        <w:spacing w:line="360" w:lineRule="auto"/>
        <w:ind w:firstLine="600" w:firstLineChars="200"/>
        <w:rPr>
          <w:rFonts w:ascii="宋体" w:hAnsi="宋体" w:eastAsia="宋体" w:cs="宋体"/>
          <w:color w:val="auto"/>
          <w:sz w:val="20"/>
          <w:szCs w:val="20"/>
          <w:highlight w:val="none"/>
          <w:lang w:eastAsia="zh-CN"/>
        </w:rPr>
      </w:pPr>
      <w:r>
        <w:rPr>
          <w:rFonts w:ascii="宋体" w:hAnsi="宋体" w:eastAsia="宋体" w:cs="宋体"/>
          <w:color w:val="auto"/>
          <w:sz w:val="30"/>
          <w:szCs w:val="30"/>
          <w:highlight w:val="none"/>
          <w:lang w:eastAsia="zh-CN"/>
        </w:rPr>
        <w:t>□</w:t>
      </w:r>
      <w:r>
        <w:rPr>
          <w:rFonts w:ascii="宋体" w:hAnsi="宋体" w:eastAsia="宋体" w:cs="宋体"/>
          <w:color w:val="auto"/>
          <w:sz w:val="20"/>
          <w:szCs w:val="20"/>
          <w:highlight w:val="none"/>
          <w:lang w:eastAsia="zh-CN"/>
        </w:rPr>
        <w:t>成交结果</w:t>
      </w:r>
    </w:p>
    <w:p w14:paraId="6C481B6E">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三、质疑事项具体内容</w:t>
      </w:r>
    </w:p>
    <w:p w14:paraId="58B73C0B">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质疑事项 1：</w:t>
      </w:r>
      <w:r>
        <w:rPr>
          <w:rFonts w:ascii="宋体" w:hAnsi="宋体" w:eastAsia="宋体" w:cs="宋体"/>
          <w:color w:val="auto"/>
          <w:sz w:val="20"/>
          <w:szCs w:val="20"/>
          <w:highlight w:val="none"/>
          <w:u w:val="single"/>
          <w:lang w:eastAsia="zh-CN"/>
        </w:rPr>
        <w:t xml:space="preserve">                     </w:t>
      </w:r>
    </w:p>
    <w:p w14:paraId="5AEECE58">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事实依据：</w:t>
      </w:r>
      <w:r>
        <w:rPr>
          <w:rFonts w:ascii="宋体" w:hAnsi="宋体" w:eastAsia="宋体" w:cs="宋体"/>
          <w:color w:val="auto"/>
          <w:sz w:val="20"/>
          <w:szCs w:val="20"/>
          <w:highlight w:val="none"/>
          <w:u w:val="single"/>
          <w:lang w:eastAsia="zh-CN"/>
        </w:rPr>
        <w:t xml:space="preserve">                     </w:t>
      </w:r>
    </w:p>
    <w:p w14:paraId="07167D0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法律依据：</w:t>
      </w:r>
      <w:r>
        <w:rPr>
          <w:rFonts w:ascii="宋体" w:hAnsi="宋体" w:eastAsia="宋体" w:cs="宋体"/>
          <w:color w:val="auto"/>
          <w:sz w:val="20"/>
          <w:szCs w:val="20"/>
          <w:highlight w:val="none"/>
          <w:u w:val="single"/>
          <w:lang w:eastAsia="zh-CN"/>
        </w:rPr>
        <w:t xml:space="preserve">                     </w:t>
      </w:r>
    </w:p>
    <w:p w14:paraId="1F2AE7AB">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质疑事项 2</w:t>
      </w:r>
      <w:r>
        <w:rPr>
          <w:rFonts w:ascii="宋体" w:hAnsi="宋体" w:eastAsia="宋体" w:cs="宋体"/>
          <w:color w:val="auto"/>
          <w:sz w:val="20"/>
          <w:szCs w:val="20"/>
          <w:highlight w:val="none"/>
          <w:u w:val="single"/>
          <w:lang w:eastAsia="zh-CN"/>
        </w:rPr>
        <w:t xml:space="preserve">                     </w:t>
      </w:r>
    </w:p>
    <w:p w14:paraId="487F086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w:t>
      </w:r>
    </w:p>
    <w:p w14:paraId="34227A1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四、与质疑事项相关的质疑请求：</w:t>
      </w:r>
    </w:p>
    <w:p w14:paraId="339FF32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请求：</w:t>
      </w:r>
      <w:r>
        <w:rPr>
          <w:rFonts w:ascii="宋体" w:hAnsi="宋体" w:eastAsia="宋体" w:cs="宋体"/>
          <w:color w:val="auto"/>
          <w:sz w:val="20"/>
          <w:szCs w:val="20"/>
          <w:highlight w:val="none"/>
          <w:u w:val="single"/>
          <w:lang w:eastAsia="zh-CN"/>
        </w:rPr>
        <w:t xml:space="preserve">                     </w:t>
      </w:r>
    </w:p>
    <w:p w14:paraId="7CDBE10B">
      <w:pPr>
        <w:pStyle w:val="7"/>
        <w:widowControl w:val="0"/>
        <w:spacing w:line="360" w:lineRule="auto"/>
        <w:ind w:firstLine="420" w:firstLineChars="200"/>
        <w:rPr>
          <w:color w:val="auto"/>
          <w:highlight w:val="none"/>
          <w:lang w:eastAsia="zh-CN"/>
        </w:rPr>
      </w:pPr>
    </w:p>
    <w:p w14:paraId="320D88A7">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签字（签章）：                                         公章：</w:t>
      </w:r>
    </w:p>
    <w:p w14:paraId="57B9954F">
      <w:pPr>
        <w:pStyle w:val="7"/>
        <w:widowControl w:val="0"/>
        <w:spacing w:line="360" w:lineRule="auto"/>
        <w:ind w:firstLine="420" w:firstLineChars="200"/>
        <w:rPr>
          <w:color w:val="auto"/>
          <w:highlight w:val="none"/>
          <w:lang w:eastAsia="zh-CN"/>
        </w:rPr>
      </w:pPr>
    </w:p>
    <w:p w14:paraId="39FC0D0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日期：</w:t>
      </w:r>
    </w:p>
    <w:p w14:paraId="496DEB3B">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说明：</w:t>
      </w:r>
    </w:p>
    <w:p w14:paraId="1A8EAD79">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1.供应商提出质疑时，应提交质疑函和必要的证明材料。</w:t>
      </w:r>
    </w:p>
    <w:p w14:paraId="04992C77">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2.质疑供应商若委托代理人进行质疑的，质疑函应按要求列明“授权代表</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”的有关内容，并在附件中</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提交由质疑供应商签署的授权委托书。授权委托书应载明代理人的姓名或者名称、代理事项、具体权限、期限和相关事项。</w:t>
      </w:r>
    </w:p>
    <w:p w14:paraId="59571783">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3.质疑函的质疑事项应具体、明确，并有必要的事实依据和法律依据。</w:t>
      </w:r>
    </w:p>
    <w:p w14:paraId="6E86B467">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4.质疑函的质疑请求应与质疑事项相关。</w:t>
      </w:r>
    </w:p>
    <w:p w14:paraId="7CCDA42F">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5.质疑供应商为自然人的，质疑函应由本人签字；质疑供应商为法人或者其他组织的，质疑函应由法</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定代表人、主要负责人，或者其授权代表签字或者盖章，并加盖公章。</w:t>
      </w:r>
    </w:p>
    <w:p w14:paraId="6939A15E">
      <w:pPr>
        <w:widowControl w:val="0"/>
        <w:spacing w:line="360" w:lineRule="auto"/>
        <w:ind w:firstLine="482" w:firstLineChars="200"/>
        <w:rPr>
          <w:rFonts w:ascii="宋体" w:hAnsi="宋体" w:eastAsia="宋体" w:cs="宋体"/>
          <w:b/>
          <w:bCs/>
          <w:color w:val="auto"/>
          <w:sz w:val="24"/>
          <w:szCs w:val="24"/>
          <w:highlight w:val="none"/>
          <w:lang w:eastAsia="zh-CN"/>
        </w:rPr>
      </w:pPr>
    </w:p>
    <w:p w14:paraId="4573117F">
      <w:pPr>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br w:type="page"/>
      </w:r>
    </w:p>
    <w:p w14:paraId="40027840">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附表</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2：</w:t>
      </w:r>
    </w:p>
    <w:p w14:paraId="196CBC30">
      <w:pPr>
        <w:pStyle w:val="7"/>
        <w:widowControl w:val="0"/>
        <w:spacing w:line="360" w:lineRule="auto"/>
        <w:ind w:firstLine="420" w:firstLineChars="200"/>
        <w:rPr>
          <w:color w:val="auto"/>
          <w:highlight w:val="none"/>
          <w:lang w:eastAsia="zh-CN"/>
        </w:rPr>
      </w:pPr>
    </w:p>
    <w:p w14:paraId="3F1C4B7E">
      <w:pPr>
        <w:widowControl w:val="0"/>
        <w:spacing w:line="360" w:lineRule="auto"/>
        <w:jc w:val="center"/>
        <w:rPr>
          <w:rFonts w:ascii="宋体" w:hAnsi="宋体" w:eastAsia="宋体" w:cs="宋体"/>
          <w:color w:val="auto"/>
          <w:sz w:val="43"/>
          <w:szCs w:val="43"/>
          <w:highlight w:val="none"/>
          <w:lang w:eastAsia="zh-CN"/>
        </w:rPr>
      </w:pPr>
      <w:r>
        <w:rPr>
          <w:rFonts w:ascii="宋体" w:hAnsi="宋体" w:eastAsia="宋体" w:cs="宋体"/>
          <w:color w:val="auto"/>
          <w:sz w:val="43"/>
          <w:szCs w:val="43"/>
          <w:highlight w:val="none"/>
          <w:lang w:eastAsia="zh-CN"/>
        </w:rPr>
        <w:t>投诉书（格式）</w:t>
      </w:r>
    </w:p>
    <w:p w14:paraId="2191B587">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一、投诉相关主体基本情况：</w:t>
      </w:r>
    </w:p>
    <w:p w14:paraId="00C358D1">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供应商：</w:t>
      </w:r>
      <w:r>
        <w:rPr>
          <w:rFonts w:ascii="宋体" w:hAnsi="宋体" w:eastAsia="宋体" w:cs="宋体"/>
          <w:color w:val="auto"/>
          <w:sz w:val="20"/>
          <w:szCs w:val="20"/>
          <w:highlight w:val="none"/>
          <w:u w:val="single"/>
          <w:lang w:eastAsia="zh-CN"/>
        </w:rPr>
        <w:t xml:space="preserve">                     </w:t>
      </w:r>
    </w:p>
    <w:p w14:paraId="3E5BD7D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0F3A09D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法定代表人/主要负责人：</w:t>
      </w:r>
      <w:r>
        <w:rPr>
          <w:rFonts w:ascii="宋体" w:hAnsi="宋体" w:eastAsia="宋体" w:cs="宋体"/>
          <w:color w:val="auto"/>
          <w:sz w:val="20"/>
          <w:szCs w:val="20"/>
          <w:highlight w:val="none"/>
          <w:u w:val="single"/>
          <w:lang w:eastAsia="zh-CN"/>
        </w:rPr>
        <w:t xml:space="preserve">                     </w:t>
      </w:r>
    </w:p>
    <w:p w14:paraId="5845C67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联系电话：</w:t>
      </w:r>
      <w:r>
        <w:rPr>
          <w:rFonts w:ascii="宋体" w:hAnsi="宋体" w:eastAsia="宋体" w:cs="宋体"/>
          <w:color w:val="auto"/>
          <w:sz w:val="20"/>
          <w:szCs w:val="20"/>
          <w:highlight w:val="none"/>
          <w:u w:val="single"/>
          <w:lang w:eastAsia="zh-CN"/>
        </w:rPr>
        <w:t xml:space="preserve">                     </w:t>
      </w:r>
    </w:p>
    <w:p w14:paraId="69AD53F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授权代表：</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267A224D">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193635C3">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被投诉人 1：</w:t>
      </w:r>
    </w:p>
    <w:p w14:paraId="06CEA8DA">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6814ABA1">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联系人：</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6229BE8B">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被投诉人 2：</w:t>
      </w:r>
    </w:p>
    <w:p w14:paraId="7981D2C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w:t>
      </w:r>
    </w:p>
    <w:p w14:paraId="4A26057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相关供应商：</w:t>
      </w:r>
      <w:r>
        <w:rPr>
          <w:rFonts w:ascii="宋体" w:hAnsi="宋体" w:eastAsia="宋体" w:cs="宋体"/>
          <w:color w:val="auto"/>
          <w:sz w:val="20"/>
          <w:szCs w:val="20"/>
          <w:highlight w:val="none"/>
          <w:u w:val="single"/>
          <w:lang w:eastAsia="zh-CN"/>
        </w:rPr>
        <w:t xml:space="preserve">                     </w:t>
      </w:r>
    </w:p>
    <w:p w14:paraId="4955326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地址：</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邮编：</w:t>
      </w:r>
      <w:r>
        <w:rPr>
          <w:rFonts w:ascii="宋体" w:hAnsi="宋体" w:eastAsia="宋体" w:cs="宋体"/>
          <w:color w:val="auto"/>
          <w:sz w:val="20"/>
          <w:szCs w:val="20"/>
          <w:highlight w:val="none"/>
          <w:u w:val="single"/>
          <w:lang w:eastAsia="zh-CN"/>
        </w:rPr>
        <w:t xml:space="preserve">                     </w:t>
      </w:r>
    </w:p>
    <w:p w14:paraId="7372F13A">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联系人：</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联系电话：</w:t>
      </w:r>
      <w:r>
        <w:rPr>
          <w:rFonts w:ascii="宋体" w:hAnsi="宋体" w:eastAsia="宋体" w:cs="宋体"/>
          <w:color w:val="auto"/>
          <w:sz w:val="20"/>
          <w:szCs w:val="20"/>
          <w:highlight w:val="none"/>
          <w:u w:val="single"/>
          <w:lang w:eastAsia="zh-CN"/>
        </w:rPr>
        <w:t xml:space="preserve">                     </w:t>
      </w:r>
    </w:p>
    <w:p w14:paraId="21942B1C">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二、投诉项目基本情况：</w:t>
      </w:r>
    </w:p>
    <w:p w14:paraId="7584F5B2">
      <w:pPr>
        <w:widowControl w:val="0"/>
        <w:spacing w:line="360" w:lineRule="auto"/>
        <w:ind w:firstLine="400" w:firstLineChars="200"/>
        <w:rPr>
          <w:rFonts w:ascii="宋体" w:hAnsi="宋体" w:eastAsia="宋体" w:cs="宋体"/>
          <w:color w:val="auto"/>
          <w:sz w:val="20"/>
          <w:szCs w:val="20"/>
          <w:highlight w:val="none"/>
          <w:u w:val="single"/>
          <w:lang w:eastAsia="zh-CN"/>
        </w:rPr>
      </w:pPr>
      <w:r>
        <w:rPr>
          <w:rFonts w:ascii="宋体" w:hAnsi="宋体" w:eastAsia="宋体" w:cs="宋体"/>
          <w:color w:val="auto"/>
          <w:sz w:val="20"/>
          <w:szCs w:val="20"/>
          <w:highlight w:val="none"/>
          <w:lang w:eastAsia="zh-CN"/>
        </w:rPr>
        <w:t>采购项目的名称：</w:t>
      </w:r>
      <w:r>
        <w:rPr>
          <w:rFonts w:ascii="宋体" w:hAnsi="宋体" w:eastAsia="宋体" w:cs="宋体"/>
          <w:color w:val="auto"/>
          <w:sz w:val="20"/>
          <w:szCs w:val="20"/>
          <w:highlight w:val="none"/>
          <w:u w:val="single"/>
          <w:lang w:eastAsia="zh-CN"/>
        </w:rPr>
        <w:t xml:space="preserve">                     </w:t>
      </w:r>
    </w:p>
    <w:p w14:paraId="00067A9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采购项目的编号：</w:t>
      </w:r>
      <w:r>
        <w:rPr>
          <w:rFonts w:ascii="宋体" w:hAnsi="宋体" w:eastAsia="宋体" w:cs="宋体"/>
          <w:color w:val="auto"/>
          <w:sz w:val="20"/>
          <w:szCs w:val="20"/>
          <w:highlight w:val="none"/>
          <w:u w:val="single"/>
          <w:lang w:eastAsia="zh-CN"/>
        </w:rPr>
        <w:t xml:space="preserve">                     </w:t>
      </w:r>
    </w:p>
    <w:p w14:paraId="67A833D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采购人名称：</w:t>
      </w:r>
      <w:r>
        <w:rPr>
          <w:rFonts w:ascii="宋体" w:hAnsi="宋体" w:eastAsia="宋体" w:cs="宋体"/>
          <w:color w:val="auto"/>
          <w:sz w:val="20"/>
          <w:szCs w:val="20"/>
          <w:highlight w:val="none"/>
          <w:u w:val="single"/>
          <w:lang w:eastAsia="zh-CN"/>
        </w:rPr>
        <w:t xml:space="preserve">                     </w:t>
      </w:r>
    </w:p>
    <w:p w14:paraId="2E6CD847">
      <w:pPr>
        <w:widowControl w:val="0"/>
        <w:spacing w:line="360" w:lineRule="auto"/>
        <w:ind w:firstLine="400" w:firstLineChars="200"/>
        <w:rPr>
          <w:rFonts w:ascii="宋体" w:hAnsi="宋体" w:eastAsia="宋体" w:cs="宋体"/>
          <w:color w:val="auto"/>
          <w:sz w:val="20"/>
          <w:szCs w:val="20"/>
          <w:highlight w:val="none"/>
          <w:u w:val="single"/>
          <w:lang w:eastAsia="zh-CN"/>
        </w:rPr>
      </w:pPr>
      <w:r>
        <w:rPr>
          <w:rFonts w:ascii="宋体" w:hAnsi="宋体" w:eastAsia="宋体" w:cs="宋体"/>
          <w:color w:val="auto"/>
          <w:sz w:val="20"/>
          <w:szCs w:val="20"/>
          <w:highlight w:val="none"/>
          <w:lang w:eastAsia="zh-CN"/>
        </w:rPr>
        <w:t>代理机构名称：</w:t>
      </w:r>
      <w:r>
        <w:rPr>
          <w:rFonts w:ascii="宋体" w:hAnsi="宋体" w:eastAsia="宋体" w:cs="宋体"/>
          <w:color w:val="auto"/>
          <w:sz w:val="20"/>
          <w:szCs w:val="20"/>
          <w:highlight w:val="none"/>
          <w:u w:val="single"/>
          <w:lang w:eastAsia="zh-CN"/>
        </w:rPr>
        <w:t xml:space="preserve">                     </w:t>
      </w:r>
    </w:p>
    <w:p w14:paraId="51104F3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采购文件公告：</w:t>
      </w:r>
      <w:r>
        <w:rPr>
          <w:rFonts w:ascii="宋体" w:hAnsi="宋体" w:eastAsia="宋体" w:cs="宋体"/>
          <w:color w:val="auto"/>
          <w:sz w:val="20"/>
          <w:szCs w:val="20"/>
          <w:highlight w:val="none"/>
          <w:u w:val="single"/>
          <w:lang w:eastAsia="zh-CN"/>
        </w:rPr>
        <w:t>是/否</w:t>
      </w:r>
      <w:r>
        <w:rPr>
          <w:rFonts w:ascii="宋体" w:hAnsi="宋体" w:eastAsia="宋体" w:cs="宋体"/>
          <w:color w:val="auto"/>
          <w:sz w:val="20"/>
          <w:szCs w:val="20"/>
          <w:highlight w:val="none"/>
          <w:lang w:eastAsia="zh-CN"/>
        </w:rPr>
        <w:t>公告期限：</w:t>
      </w:r>
    </w:p>
    <w:p w14:paraId="5BBCF5E0">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采购结果公告：</w:t>
      </w:r>
      <w:r>
        <w:rPr>
          <w:rFonts w:ascii="宋体" w:hAnsi="宋体" w:eastAsia="宋体" w:cs="宋体"/>
          <w:color w:val="auto"/>
          <w:sz w:val="20"/>
          <w:szCs w:val="20"/>
          <w:highlight w:val="none"/>
          <w:u w:val="single"/>
          <w:lang w:eastAsia="zh-CN"/>
        </w:rPr>
        <w:t>是/否</w:t>
      </w:r>
      <w:r>
        <w:rPr>
          <w:rFonts w:ascii="宋体" w:hAnsi="宋体" w:eastAsia="宋体" w:cs="宋体"/>
          <w:color w:val="auto"/>
          <w:sz w:val="20"/>
          <w:szCs w:val="20"/>
          <w:highlight w:val="none"/>
          <w:lang w:eastAsia="zh-CN"/>
        </w:rPr>
        <w:t>公告期限：</w:t>
      </w:r>
    </w:p>
    <w:p w14:paraId="79D5AF36">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三、质疑基本情况</w:t>
      </w:r>
    </w:p>
    <w:p w14:paraId="4337D823">
      <w:pPr>
        <w:widowControl w:val="0"/>
        <w:spacing w:line="360" w:lineRule="auto"/>
        <w:ind w:firstLine="400" w:firstLineChars="200"/>
        <w:rPr>
          <w:color w:val="auto"/>
          <w:highlight w:val="none"/>
          <w:lang w:eastAsia="zh-CN"/>
        </w:rPr>
      </w:pPr>
      <w:r>
        <w:rPr>
          <w:rFonts w:ascii="宋体" w:hAnsi="宋体" w:eastAsia="宋体" w:cs="宋体"/>
          <w:color w:val="auto"/>
          <w:sz w:val="20"/>
          <w:szCs w:val="20"/>
          <w:highlight w:val="none"/>
          <w:lang w:eastAsia="zh-CN"/>
        </w:rPr>
        <w:t xml:space="preserve">投诉人于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年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月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日，向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提出质疑，质疑事项为：</w:t>
      </w:r>
      <w:r>
        <w:rPr>
          <w:rFonts w:ascii="宋体" w:hAnsi="宋体" w:eastAsia="宋体" w:cs="宋体"/>
          <w:color w:val="auto"/>
          <w:sz w:val="20"/>
          <w:szCs w:val="20"/>
          <w:highlight w:val="none"/>
          <w:u w:val="single"/>
          <w:lang w:eastAsia="zh-CN"/>
        </w:rPr>
        <w:t xml:space="preserve">                     </w:t>
      </w:r>
    </w:p>
    <w:p w14:paraId="47946857">
      <w:pPr>
        <w:widowControl w:val="0"/>
        <w:spacing w:line="360" w:lineRule="auto"/>
        <w:jc w:val="both"/>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u w:val="single"/>
          <w:lang w:eastAsia="zh-CN"/>
        </w:rPr>
        <w:t>采购人/代理机构</w:t>
      </w:r>
      <w:r>
        <w:rPr>
          <w:rFonts w:ascii="宋体" w:hAnsi="宋体" w:eastAsia="宋体" w:cs="宋体"/>
          <w:color w:val="auto"/>
          <w:sz w:val="20"/>
          <w:szCs w:val="20"/>
          <w:highlight w:val="none"/>
          <w:lang w:eastAsia="zh-CN"/>
        </w:rPr>
        <w:t xml:space="preserve">于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年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月 </w:t>
      </w:r>
      <w:r>
        <w:rPr>
          <w:rFonts w:ascii="宋体" w:hAnsi="宋体" w:eastAsia="宋体" w:cs="宋体"/>
          <w:color w:val="auto"/>
          <w:sz w:val="20"/>
          <w:szCs w:val="20"/>
          <w:highlight w:val="none"/>
          <w:u w:val="single"/>
          <w:lang w:eastAsia="zh-CN"/>
        </w:rPr>
        <w:t xml:space="preserve">   </w:t>
      </w:r>
      <w:r>
        <w:rPr>
          <w:rFonts w:ascii="宋体" w:hAnsi="宋体" w:eastAsia="宋体" w:cs="宋体"/>
          <w:color w:val="auto"/>
          <w:sz w:val="20"/>
          <w:szCs w:val="20"/>
          <w:highlight w:val="none"/>
          <w:lang w:eastAsia="zh-CN"/>
        </w:rPr>
        <w:t xml:space="preserve"> 日，就质疑事项作出了答复/没有在法定期限内作出答复。</w:t>
      </w:r>
    </w:p>
    <w:p w14:paraId="45FC3ED9">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四、投诉事项具体内容</w:t>
      </w:r>
    </w:p>
    <w:p w14:paraId="24E3DB8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投诉事项 1：</w:t>
      </w:r>
    </w:p>
    <w:p w14:paraId="76881FB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事实依据：</w:t>
      </w:r>
    </w:p>
    <w:p w14:paraId="55D29138">
      <w:pPr>
        <w:pStyle w:val="7"/>
        <w:widowControl w:val="0"/>
        <w:spacing w:line="360" w:lineRule="auto"/>
        <w:ind w:firstLine="420" w:firstLineChars="200"/>
        <w:rPr>
          <w:color w:val="auto"/>
          <w:highlight w:val="none"/>
          <w:lang w:eastAsia="zh-CN"/>
        </w:rPr>
      </w:pPr>
    </w:p>
    <w:p w14:paraId="2F72873A">
      <w:pPr>
        <w:pStyle w:val="7"/>
        <w:widowControl w:val="0"/>
        <w:spacing w:line="360" w:lineRule="auto"/>
        <w:ind w:firstLine="420" w:firstLineChars="200"/>
        <w:rPr>
          <w:color w:val="auto"/>
          <w:highlight w:val="none"/>
          <w:lang w:eastAsia="zh-CN"/>
        </w:rPr>
      </w:pPr>
    </w:p>
    <w:p w14:paraId="43380E18">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法律依据：</w:t>
      </w:r>
    </w:p>
    <w:p w14:paraId="37E63560">
      <w:pPr>
        <w:pStyle w:val="7"/>
        <w:widowControl w:val="0"/>
        <w:spacing w:line="360" w:lineRule="auto"/>
        <w:ind w:firstLine="420" w:firstLineChars="200"/>
        <w:rPr>
          <w:color w:val="auto"/>
          <w:highlight w:val="none"/>
          <w:lang w:eastAsia="zh-CN"/>
        </w:rPr>
      </w:pPr>
    </w:p>
    <w:p w14:paraId="79280CB3">
      <w:pPr>
        <w:pStyle w:val="7"/>
        <w:widowControl w:val="0"/>
        <w:spacing w:line="360" w:lineRule="auto"/>
        <w:ind w:firstLine="420" w:firstLineChars="200"/>
        <w:rPr>
          <w:color w:val="auto"/>
          <w:highlight w:val="none"/>
          <w:lang w:eastAsia="zh-CN"/>
        </w:rPr>
      </w:pPr>
    </w:p>
    <w:p w14:paraId="19087F2E">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投诉事项 2</w:t>
      </w:r>
    </w:p>
    <w:p w14:paraId="7123655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w:t>
      </w:r>
    </w:p>
    <w:p w14:paraId="55DB25A5">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五、与投诉事项相关的投诉请求：</w:t>
      </w:r>
    </w:p>
    <w:p w14:paraId="4C90C05F">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请求：</w:t>
      </w:r>
    </w:p>
    <w:p w14:paraId="4390ED89">
      <w:pPr>
        <w:pStyle w:val="7"/>
        <w:widowControl w:val="0"/>
        <w:spacing w:line="360" w:lineRule="auto"/>
        <w:ind w:firstLine="420" w:firstLineChars="200"/>
        <w:rPr>
          <w:color w:val="auto"/>
          <w:highlight w:val="none"/>
          <w:lang w:eastAsia="zh-CN"/>
        </w:rPr>
      </w:pPr>
    </w:p>
    <w:p w14:paraId="46EA56EB">
      <w:pPr>
        <w:pStyle w:val="7"/>
        <w:widowControl w:val="0"/>
        <w:spacing w:line="360" w:lineRule="auto"/>
        <w:ind w:firstLine="420" w:firstLineChars="200"/>
        <w:rPr>
          <w:color w:val="auto"/>
          <w:highlight w:val="none"/>
          <w:lang w:eastAsia="zh-CN"/>
        </w:rPr>
      </w:pPr>
    </w:p>
    <w:p w14:paraId="29C61CB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签字（签章）：                                         公章：</w:t>
      </w:r>
    </w:p>
    <w:p w14:paraId="07D9F20D">
      <w:pPr>
        <w:pStyle w:val="7"/>
        <w:widowControl w:val="0"/>
        <w:spacing w:line="360" w:lineRule="auto"/>
        <w:ind w:firstLine="420" w:firstLineChars="200"/>
        <w:rPr>
          <w:color w:val="auto"/>
          <w:highlight w:val="none"/>
          <w:lang w:eastAsia="zh-CN"/>
        </w:rPr>
      </w:pPr>
    </w:p>
    <w:p w14:paraId="245DE1D9">
      <w:pPr>
        <w:pStyle w:val="7"/>
        <w:widowControl w:val="0"/>
        <w:spacing w:line="360" w:lineRule="auto"/>
        <w:ind w:firstLine="420" w:firstLineChars="200"/>
        <w:rPr>
          <w:color w:val="auto"/>
          <w:highlight w:val="none"/>
          <w:lang w:eastAsia="zh-CN"/>
        </w:rPr>
      </w:pPr>
    </w:p>
    <w:p w14:paraId="69E7B5D3">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日期：</w:t>
      </w:r>
    </w:p>
    <w:p w14:paraId="5C687D93">
      <w:pPr>
        <w:pStyle w:val="7"/>
        <w:widowControl w:val="0"/>
        <w:spacing w:line="360" w:lineRule="auto"/>
        <w:ind w:firstLine="420" w:firstLineChars="200"/>
        <w:rPr>
          <w:color w:val="auto"/>
          <w:highlight w:val="none"/>
          <w:lang w:eastAsia="zh-CN"/>
        </w:rPr>
      </w:pPr>
    </w:p>
    <w:p w14:paraId="0D1D194D">
      <w:pPr>
        <w:pStyle w:val="7"/>
        <w:widowControl w:val="0"/>
        <w:spacing w:line="360" w:lineRule="auto"/>
        <w:ind w:firstLine="420" w:firstLineChars="200"/>
        <w:rPr>
          <w:color w:val="auto"/>
          <w:highlight w:val="none"/>
          <w:lang w:eastAsia="zh-CN"/>
        </w:rPr>
      </w:pPr>
    </w:p>
    <w:p w14:paraId="3679EF5D">
      <w:pPr>
        <w:pStyle w:val="7"/>
        <w:widowControl w:val="0"/>
        <w:spacing w:line="360" w:lineRule="auto"/>
        <w:ind w:firstLine="420" w:firstLineChars="200"/>
        <w:rPr>
          <w:color w:val="auto"/>
          <w:highlight w:val="none"/>
          <w:lang w:eastAsia="zh-CN"/>
        </w:rPr>
      </w:pPr>
    </w:p>
    <w:p w14:paraId="67871FEA">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说明：</w:t>
      </w:r>
    </w:p>
    <w:p w14:paraId="7AEAF774">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1.投诉人提起投诉时，应当提交投诉书和必要的证明材料，并按照被投诉人和与投诉事项有关的</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供应商数量提供投诉书副本。</w:t>
      </w:r>
    </w:p>
    <w:p w14:paraId="07B30AC1">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2.投诉人若委托代理人进行投诉的，投诉书应按要求列明“授权代表</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”的有关内容，并在附件中</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提交由投诉人签署的授权委托书。授权委托书应当载明代理人的姓名或者名称、代理事项、具体权限、</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期限和相关事项。</w:t>
      </w:r>
    </w:p>
    <w:p w14:paraId="5CECF0BA">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3.投诉书应简要列明质疑事项，质疑函、质疑答复等作为附件材料提供。</w:t>
      </w:r>
    </w:p>
    <w:p w14:paraId="54A47695">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4.投诉书的投诉事项应具体、明确，并有必要的事实依据和法律依据。</w:t>
      </w:r>
    </w:p>
    <w:p w14:paraId="60D52C89">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5.投诉书的投诉请求应与投诉事项相关。</w:t>
      </w:r>
    </w:p>
    <w:p w14:paraId="08A0F5DD">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6.投诉人为自然人的，投诉书应由本人签字；投诉人为法人或者其他组织的，投诉书应由法定代</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表人、主要负责人，或者其授权代表签字或者盖章，并加盖公章。</w:t>
      </w:r>
    </w:p>
    <w:p w14:paraId="76B5DFBA">
      <w:pPr>
        <w:widowControl w:val="0"/>
        <w:spacing w:line="360" w:lineRule="auto"/>
        <w:ind w:firstLine="400" w:firstLineChars="200"/>
        <w:rPr>
          <w:rFonts w:ascii="宋体" w:hAnsi="宋体" w:eastAsia="宋体" w:cs="宋体"/>
          <w:color w:val="auto"/>
          <w:sz w:val="20"/>
          <w:szCs w:val="20"/>
          <w:highlight w:val="none"/>
          <w:lang w:eastAsia="zh-CN"/>
        </w:rPr>
        <w:sectPr>
          <w:footerReference r:id="rId7" w:type="default"/>
          <w:pgSz w:w="11906" w:h="16839"/>
          <w:pgMar w:top="1417" w:right="1417" w:bottom="1417" w:left="1417" w:header="0" w:footer="823" w:gutter="0"/>
          <w:cols w:space="720" w:num="1"/>
        </w:sectPr>
      </w:pPr>
    </w:p>
    <w:p w14:paraId="1A765CEC">
      <w:pPr>
        <w:widowControl w:val="0"/>
        <w:spacing w:line="360" w:lineRule="auto"/>
        <w:jc w:val="center"/>
        <w:rPr>
          <w:rFonts w:ascii="宋体" w:hAnsi="宋体" w:eastAsia="宋体" w:cs="宋体"/>
          <w:color w:val="auto"/>
          <w:sz w:val="43"/>
          <w:szCs w:val="43"/>
          <w:highlight w:val="none"/>
          <w:lang w:eastAsia="zh-CN"/>
        </w:rPr>
      </w:pPr>
      <w:r>
        <w:rPr>
          <w:rFonts w:ascii="宋体" w:hAnsi="宋体" w:eastAsia="宋体" w:cs="宋体"/>
          <w:color w:val="auto"/>
          <w:sz w:val="43"/>
          <w:szCs w:val="43"/>
          <w:highlight w:val="none"/>
          <w:lang w:eastAsia="zh-CN"/>
        </w:rPr>
        <w:t>广西线上“政采贷 ”政策告知函</w:t>
      </w:r>
    </w:p>
    <w:p w14:paraId="702B62B0">
      <w:pPr>
        <w:pStyle w:val="7"/>
        <w:widowControl w:val="0"/>
        <w:spacing w:line="360" w:lineRule="auto"/>
        <w:ind w:firstLine="420" w:firstLineChars="200"/>
        <w:rPr>
          <w:color w:val="auto"/>
          <w:highlight w:val="none"/>
          <w:lang w:eastAsia="zh-CN"/>
        </w:rPr>
      </w:pPr>
    </w:p>
    <w:p w14:paraId="32CFCA7F">
      <w:pPr>
        <w:pStyle w:val="7"/>
        <w:widowControl w:val="0"/>
        <w:spacing w:line="360" w:lineRule="auto"/>
        <w:ind w:firstLine="420" w:firstLineChars="200"/>
        <w:rPr>
          <w:color w:val="auto"/>
          <w:highlight w:val="none"/>
          <w:lang w:eastAsia="zh-CN"/>
        </w:rPr>
      </w:pPr>
    </w:p>
    <w:p w14:paraId="7E802AD2">
      <w:pPr>
        <w:widowControl w:val="0"/>
        <w:spacing w:line="36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各供应商：</w:t>
      </w:r>
    </w:p>
    <w:p w14:paraId="3BCE8C33">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欢迎贵公司参与广西政府采购活动！</w:t>
      </w:r>
    </w:p>
    <w:p w14:paraId="0DC954FE">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线上“政采贷 ”是人民银行南宁中心支行和自治区财政厅共同支持企业发展，针对参 与政府采购活动的企业融资难、融资贵、融资慢、融资繁问题推出的一项融资政策。贵公 司若成为本次政府采购项目的中标（中标）供应商，可持政府采购合同在线向银行业金融 机构申请贷款，融资机构将根据《中国人民银行南宁中心支行 广西壮族自治区财政厅关 于推广线上“政采贷 ”融资模式的通知》（南宁银发〔2021〕258 号），按照双方自愿的 原则提供便捷、优惠的贷款服务。</w:t>
      </w:r>
    </w:p>
    <w:p w14:paraId="788D27D8">
      <w:pPr>
        <w:widowControl w:val="0"/>
        <w:spacing w:line="360" w:lineRule="auto"/>
        <w:ind w:firstLine="480" w:firstLineChars="200"/>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相关金融产品和银行业金融机构联系方式，可在中征应收账款融资服务平台查询（网</w:t>
      </w:r>
      <w:bookmarkStart w:id="10" w:name="_Toc17355"/>
      <w:r>
        <w:rPr>
          <w:rFonts w:ascii="宋体" w:hAnsi="宋体" w:eastAsia="宋体" w:cs="宋体"/>
          <w:color w:val="auto"/>
          <w:sz w:val="24"/>
          <w:szCs w:val="24"/>
          <w:highlight w:val="none"/>
        </w:rPr>
        <w:t>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宋体" w:hAnsi="宋体" w:eastAsia="宋体" w:cs="宋体"/>
          <w:color w:val="auto"/>
          <w:sz w:val="24"/>
          <w:szCs w:val="24"/>
          <w:highlight w:val="none"/>
          <w:u w:val="single"/>
        </w:rPr>
        <w:t>https://www.crcrfsp.com/</w:t>
      </w:r>
      <w:r>
        <w:rPr>
          <w:rFonts w:ascii="宋体" w:hAnsi="宋体" w:eastAsia="宋体" w:cs="宋体"/>
          <w:color w:val="auto"/>
          <w:sz w:val="24"/>
          <w:szCs w:val="24"/>
          <w:highlight w:val="none"/>
          <w:u w:val="single"/>
        </w:rPr>
        <w:fldChar w:fldCharType="end"/>
      </w:r>
      <w:r>
        <w:rPr>
          <w:rFonts w:ascii="宋体" w:hAnsi="宋体" w:eastAsia="宋体" w:cs="宋体"/>
          <w:color w:val="auto"/>
          <w:sz w:val="24"/>
          <w:szCs w:val="24"/>
          <w:highlight w:val="none"/>
        </w:rPr>
        <w:t>，客服电话：400-009-0001）。</w:t>
      </w:r>
      <w:bookmarkEnd w:id="10"/>
    </w:p>
    <w:p w14:paraId="5760FBF2">
      <w:pPr>
        <w:widowControl w:val="0"/>
        <w:spacing w:line="360" w:lineRule="auto"/>
        <w:ind w:firstLine="480" w:firstLineChars="200"/>
        <w:rPr>
          <w:rFonts w:ascii="宋体" w:hAnsi="宋体" w:eastAsia="宋体" w:cs="宋体"/>
          <w:color w:val="auto"/>
          <w:sz w:val="24"/>
          <w:szCs w:val="24"/>
          <w:highlight w:val="none"/>
        </w:rPr>
        <w:sectPr>
          <w:footerReference r:id="rId8" w:type="default"/>
          <w:pgSz w:w="11906" w:h="16839"/>
          <w:pgMar w:top="1417" w:right="1417" w:bottom="1417" w:left="1417" w:header="0" w:footer="823" w:gutter="0"/>
          <w:cols w:space="720" w:num="1"/>
        </w:sectPr>
      </w:pPr>
    </w:p>
    <w:p w14:paraId="090A8A0E">
      <w:pPr>
        <w:widowControl w:val="0"/>
        <w:spacing w:line="360" w:lineRule="auto"/>
        <w:jc w:val="center"/>
        <w:outlineLvl w:val="0"/>
        <w:rPr>
          <w:rFonts w:ascii="宋体" w:hAnsi="宋体" w:eastAsia="宋体" w:cs="宋体"/>
          <w:color w:val="auto"/>
          <w:sz w:val="31"/>
          <w:szCs w:val="31"/>
          <w:highlight w:val="none"/>
          <w:lang w:eastAsia="zh-CN"/>
        </w:rPr>
      </w:pPr>
      <w:bookmarkStart w:id="11" w:name="bookmark4"/>
      <w:bookmarkEnd w:id="11"/>
      <w:bookmarkStart w:id="12" w:name="_Toc32758"/>
      <w:r>
        <w:rPr>
          <w:rFonts w:ascii="宋体" w:hAnsi="宋体" w:eastAsia="宋体" w:cs="宋体"/>
          <w:b/>
          <w:bCs/>
          <w:color w:val="auto"/>
          <w:sz w:val="31"/>
          <w:szCs w:val="31"/>
          <w:highlight w:val="none"/>
          <w:lang w:eastAsia="zh-CN"/>
        </w:rPr>
        <w:t>第三章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采购需求</w:t>
      </w:r>
      <w:bookmarkEnd w:id="12"/>
    </w:p>
    <w:p w14:paraId="532CC0B3">
      <w:pPr>
        <w:spacing w:line="276" w:lineRule="auto"/>
        <w:rPr>
          <w:rFonts w:ascii="宋体" w:hAnsi="宋体" w:cs="宋体"/>
          <w:bCs/>
          <w:color w:val="auto"/>
          <w:highlight w:val="none"/>
          <w:lang w:eastAsia="zh-CN"/>
        </w:rPr>
      </w:pPr>
      <w:r>
        <w:rPr>
          <w:rFonts w:hint="eastAsia" w:ascii="宋体" w:hAnsi="宋体" w:cs="宋体"/>
          <w:bCs/>
          <w:color w:val="auto"/>
          <w:highlight w:val="none"/>
          <w:lang w:eastAsia="zh-CN"/>
        </w:rPr>
        <w:t>说明：</w:t>
      </w:r>
    </w:p>
    <w:p w14:paraId="055B87C6">
      <w:pPr>
        <w:spacing w:line="276" w:lineRule="auto"/>
        <w:ind w:firstLine="43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报价人投标时须提供投标产品的相关证明材料。</w:t>
      </w:r>
    </w:p>
    <w:p w14:paraId="43544508">
      <w:pPr>
        <w:spacing w:line="276" w:lineRule="auto"/>
        <w:ind w:firstLine="43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《节能产品政府采购品目清单》中：</w:t>
      </w:r>
    </w:p>
    <w:p w14:paraId="33CFE63B">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计算机设备（台式计算机、便携式计算机、平板式微型计算机）；</w:t>
      </w:r>
    </w:p>
    <w:p w14:paraId="00E68519">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输入输出设备【打印设备（激光打印机、针式打印机）、显示设备（液晶显示器）】；</w:t>
      </w:r>
    </w:p>
    <w:p w14:paraId="13AF0476">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制冷空调设备【制冷压缩机（冷水机组、水源热泵机组、溴化锂吸收式冷水机组）、空调机组（多联式空调（热泵）机组（制冷量＞14000W）、单元式空气调节机（制冷量＞14000W））、专用制冷、空调设备（机房空调）】；</w:t>
      </w:r>
    </w:p>
    <w:p w14:paraId="7A0C1FCE">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镇流器（管型荧光灯镇流器）；</w:t>
      </w:r>
    </w:p>
    <w:p w14:paraId="1D1EB284">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生活用电器｛空调机【房间空气调节器、多联式空调（热泵）机组（制冷量≤14000W）、单元式空气调节机（制冷量≤14000W）】、热水器（电热水器）｝；</w:t>
      </w:r>
    </w:p>
    <w:p w14:paraId="75F7E085">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照明设备（普通照明用双端荧光灯）；</w:t>
      </w:r>
    </w:p>
    <w:p w14:paraId="69EA9385">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电视设备【普通电视设备（电视机）】；</w:t>
      </w:r>
    </w:p>
    <w:p w14:paraId="0E164C2B">
      <w:pPr>
        <w:numPr>
          <w:ilvl w:val="0"/>
          <w:numId w:val="1"/>
        </w:numPr>
        <w:spacing w:line="276" w:lineRule="auto"/>
        <w:ind w:left="845"/>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视频设备【视频监控设备（监视器）】；</w:t>
      </w:r>
    </w:p>
    <w:p w14:paraId="79FB2004">
      <w:pPr>
        <w:numPr>
          <w:ilvl w:val="0"/>
          <w:numId w:val="1"/>
        </w:numPr>
        <w:spacing w:line="276" w:lineRule="auto"/>
        <w:ind w:left="845"/>
        <w:rPr>
          <w:rFonts w:ascii="宋体" w:hAnsi="宋体" w:eastAsia="宋体" w:cs="宋体"/>
          <w:bCs/>
          <w:color w:val="auto"/>
          <w:highlight w:val="none"/>
        </w:rPr>
      </w:pPr>
      <w:r>
        <w:rPr>
          <w:rFonts w:hint="eastAsia" w:ascii="宋体" w:hAnsi="宋体" w:eastAsia="宋体" w:cs="宋体"/>
          <w:bCs/>
          <w:color w:val="auto"/>
          <w:highlight w:val="none"/>
        </w:rPr>
        <w:t>便器（坐便器、蹲便器、小便器）；</w:t>
      </w:r>
    </w:p>
    <w:p w14:paraId="333BE302">
      <w:pPr>
        <w:numPr>
          <w:ilvl w:val="0"/>
          <w:numId w:val="1"/>
        </w:numPr>
        <w:spacing w:line="276" w:lineRule="auto"/>
        <w:ind w:left="845"/>
        <w:rPr>
          <w:rFonts w:ascii="宋体" w:hAnsi="宋体" w:eastAsia="宋体" w:cs="宋体"/>
          <w:bCs/>
          <w:color w:val="auto"/>
          <w:highlight w:val="none"/>
        </w:rPr>
      </w:pPr>
      <w:r>
        <w:rPr>
          <w:rFonts w:hint="eastAsia" w:ascii="宋体" w:hAnsi="宋体" w:eastAsia="宋体" w:cs="宋体"/>
          <w:bCs/>
          <w:color w:val="auto"/>
          <w:highlight w:val="none"/>
        </w:rPr>
        <w:t>水嘴。</w:t>
      </w:r>
    </w:p>
    <w:p w14:paraId="7C224539">
      <w:pPr>
        <w:spacing w:line="276" w:lineRule="auto"/>
        <w:ind w:firstLine="43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以上所罗列的设备为《节能产品政府采购品目清单》中政府强制采购节能产品，采购人拟采购的产品属于政府强制采购产品的，报价人投标时必须针对该产品出具依据国家确定的认证机构出具的、处于有效期之内的节能产品认证证书扫描件，并加盖报价人CA签章，否则投标无效。</w:t>
      </w:r>
    </w:p>
    <w:p w14:paraId="4CCED162">
      <w:pPr>
        <w:spacing w:line="276" w:lineRule="auto"/>
        <w:ind w:firstLine="43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2、报价人应对投标内容所涉及的专利承担法律责任，并负责保护业主的利益不受任何损害。一切由于文字、商标、技术和软件专利授权引起的法律裁决、诉讼和赔偿费用均由成交供应商负责。同时，具有产品专利的报价人应在其投标文件中提供与其自有产品专利相关的有效证明材料，否则，不能就其产品的专利在本项目投标过程中被侵权问题而提出异议。</w:t>
      </w:r>
    </w:p>
    <w:p w14:paraId="5AC75BB4">
      <w:pPr>
        <w:spacing w:line="276" w:lineRule="auto"/>
        <w:ind w:firstLine="43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3、根据《关于调整网络安全专用产品安全管理有关事项的公告》(2023年1号)规定，列入《网络关键设备和网络安全专用产品目录》的网络安全专用产品应当按照《信息安全技术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本项目采购需求中的产品如果包括《网络关键设备和网络安全专用产品目录》的网络安全专用产品，供应商应在投标文件中提供国家互联网信息办公室会同工业和信息化部、公安部、国家认证认可监督管理委员会统一公布和更新符合要求的网络关键设备和网络安全专用产品清单的网页截图（同时提供该网页的详细网址），加盖CA签章。</w:t>
      </w:r>
    </w:p>
    <w:p w14:paraId="6111623B">
      <w:pPr>
        <w:spacing w:line="276" w:lineRule="auto"/>
        <w:ind w:firstLine="431"/>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4、报价人应注意下列内容：</w:t>
      </w:r>
    </w:p>
    <w:p w14:paraId="12F3844A">
      <w:pPr>
        <w:spacing w:line="276" w:lineRule="auto"/>
        <w:ind w:firstLine="420" w:firstLineChars="200"/>
        <w:textAlignment w:val="center"/>
        <w:rPr>
          <w:rFonts w:hint="default"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lang w:eastAsia="zh-CN"/>
        </w:rPr>
        <w:t>）</w:t>
      </w:r>
      <w:r>
        <w:rPr>
          <w:rFonts w:hint="default" w:ascii="宋体" w:hAnsi="宋体" w:eastAsia="宋体" w:cs="宋体"/>
          <w:bCs/>
          <w:color w:val="auto"/>
          <w:highlight w:val="none"/>
          <w:lang w:eastAsia="zh-CN"/>
        </w:rPr>
        <w:t>本项目</w:t>
      </w:r>
      <w:r>
        <w:rPr>
          <w:rFonts w:hint="eastAsia" w:ascii="宋体" w:hAnsi="宋体" w:eastAsia="宋体" w:cs="宋体"/>
          <w:bCs/>
          <w:color w:val="auto"/>
          <w:highlight w:val="none"/>
          <w:u w:val="single"/>
          <w:lang w:val="en-US" w:eastAsia="zh-CN"/>
        </w:rPr>
        <w:t xml:space="preserve"> </w:t>
      </w:r>
      <w:r>
        <w:rPr>
          <w:rFonts w:hint="eastAsia" w:ascii="Times New Roman" w:hAnsi="Times New Roman"/>
          <w:bCs/>
          <w:color w:val="auto"/>
          <w:highlight w:val="none"/>
          <w:u w:val="single"/>
          <w:lang w:eastAsia="zh-CN"/>
        </w:rPr>
        <w:t>影像动力跑台一体化测量与训练系统</w:t>
      </w:r>
      <w:r>
        <w:rPr>
          <w:rFonts w:hint="eastAsia" w:ascii="Times New Roman" w:hAnsi="Times New Roman"/>
          <w:bCs/>
          <w:color w:val="auto"/>
          <w:highlight w:val="none"/>
          <w:u w:val="single"/>
          <w:lang w:val="en-US" w:eastAsia="zh-CN"/>
        </w:rPr>
        <w:t xml:space="preserve"> </w:t>
      </w:r>
      <w:r>
        <w:rPr>
          <w:rFonts w:hint="default" w:ascii="宋体" w:hAnsi="宋体" w:eastAsia="宋体" w:cs="宋体"/>
          <w:bCs/>
          <w:color w:val="auto"/>
          <w:highlight w:val="none"/>
          <w:lang w:eastAsia="zh-CN"/>
        </w:rPr>
        <w:t>接受进口产品，其余货物不接受进口产品。</w:t>
      </w:r>
    </w:p>
    <w:p w14:paraId="39DD6774">
      <w:pPr>
        <w:spacing w:line="276" w:lineRule="auto"/>
        <w:ind w:firstLine="420" w:firstLineChars="200"/>
        <w:textAlignment w:val="center"/>
        <w:rPr>
          <w:rFonts w:hint="default" w:ascii="宋体" w:hAnsi="宋体" w:eastAsia="宋体" w:cs="宋体"/>
          <w:bCs/>
          <w:color w:val="auto"/>
          <w:highlight w:val="none"/>
          <w:lang w:eastAsia="zh-CN"/>
        </w:rPr>
      </w:pPr>
      <w:r>
        <w:rPr>
          <w:rFonts w:hint="default" w:ascii="宋体" w:hAnsi="宋体" w:eastAsia="宋体" w:cs="宋体"/>
          <w:bCs/>
          <w:color w:val="auto"/>
          <w:highlight w:val="none"/>
          <w:lang w:eastAsia="zh-CN"/>
        </w:rPr>
        <w:t>注：</w:t>
      </w:r>
      <w:r>
        <w:rPr>
          <w:rFonts w:hint="eastAsia" w:ascii="宋体" w:hAnsi="宋体" w:eastAsia="宋体" w:cs="宋体"/>
          <w:bCs/>
          <w:color w:val="auto"/>
          <w:highlight w:val="none"/>
          <w:lang w:val="en-US" w:eastAsia="zh-CN"/>
        </w:rPr>
        <w:t>1.</w:t>
      </w:r>
      <w:r>
        <w:rPr>
          <w:rFonts w:hint="default" w:ascii="宋体" w:hAnsi="宋体" w:eastAsia="宋体" w:cs="宋体"/>
          <w:bCs/>
          <w:color w:val="auto"/>
          <w:highlight w:val="none"/>
          <w:lang w:eastAsia="zh-CN"/>
        </w:rPr>
        <w:t>以上所述不接受进口产品的，供应商不得选用进口产品参与响应，否则响应按无效响应处理；列明接受进口产品的分项，供应商可以选用进口产品参与响应，但不排斥国内产品。</w:t>
      </w:r>
    </w:p>
    <w:p w14:paraId="6B06E83E">
      <w:pPr>
        <w:spacing w:line="276" w:lineRule="auto"/>
        <w:ind w:firstLine="420" w:firstLineChars="200"/>
        <w:textAlignment w:val="center"/>
        <w:rPr>
          <w:rFonts w:hint="default"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r>
        <w:rPr>
          <w:rFonts w:hint="default" w:ascii="宋体" w:hAnsi="宋体" w:eastAsia="宋体" w:cs="宋体"/>
          <w:bCs/>
          <w:color w:val="auto"/>
          <w:highlight w:val="none"/>
          <w:lang w:eastAsia="zh-CN"/>
        </w:rPr>
        <w:t>如本项目接受进口产品，供应商选择提供进口产品，则提供的必须为全新原装进口产品，报价中应包括关税等所有进口环节费用并由成交供应商办理进口相关手续，供应商报价中应自行考虑海关关税政策变化带来的风险，采购人不承担该政策变化所造成的费用增加。</w:t>
      </w:r>
    </w:p>
    <w:p w14:paraId="3E9EE413">
      <w:pPr>
        <w:spacing w:line="276" w:lineRule="auto"/>
        <w:ind w:firstLine="420" w:firstLineChars="200"/>
        <w:textAlignment w:val="center"/>
        <w:rPr>
          <w:rFonts w:hint="default"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3.</w:t>
      </w:r>
      <w:r>
        <w:rPr>
          <w:rFonts w:hint="default" w:ascii="宋体" w:hAnsi="宋体" w:eastAsia="宋体" w:cs="宋体"/>
          <w:bCs/>
          <w:color w:val="auto"/>
          <w:highlight w:val="none"/>
          <w:lang w:eastAsia="zh-CN"/>
        </w:rPr>
        <w:t>进口产品是指通过中国海关报关验放进入中国境内且产自关境外的产品。</w:t>
      </w:r>
    </w:p>
    <w:p w14:paraId="7705D4EE">
      <w:pPr>
        <w:spacing w:line="276" w:lineRule="auto"/>
        <w:ind w:firstLine="630" w:firstLineChars="300"/>
        <w:textAlignment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4.</w:t>
      </w:r>
      <w:r>
        <w:rPr>
          <w:rFonts w:hint="default" w:ascii="宋体" w:hAnsi="宋体" w:eastAsia="宋体" w:cs="宋体"/>
          <w:bCs/>
          <w:color w:val="auto"/>
          <w:highlight w:val="none"/>
          <w:lang w:eastAsia="zh-CN"/>
        </w:rPr>
        <w:t>其余内容以《政府采购进口产品管理办法》（财库〔2007〕119号）和《关于政府采购进口产品管理有关问题的通知财办库》（财库[2008]248号）的相关规定为准</w:t>
      </w:r>
      <w:r>
        <w:rPr>
          <w:rFonts w:hint="eastAsia" w:ascii="宋体" w:hAnsi="宋体" w:eastAsia="宋体" w:cs="宋体"/>
          <w:bCs/>
          <w:color w:val="auto"/>
          <w:highlight w:val="none"/>
          <w:lang w:eastAsia="zh-CN"/>
        </w:rPr>
        <w:t>。</w:t>
      </w:r>
    </w:p>
    <w:p w14:paraId="24E4D15B">
      <w:pPr>
        <w:spacing w:line="276" w:lineRule="auto"/>
        <w:ind w:firstLine="431"/>
        <w:rPr>
          <w:rFonts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lang w:eastAsia="zh-CN"/>
        </w:rPr>
        <w:t>）</w:t>
      </w:r>
      <w:r>
        <w:rPr>
          <w:rFonts w:ascii="Times New Roman" w:hAnsi="Times New Roman"/>
          <w:color w:val="auto"/>
          <w:szCs w:val="21"/>
          <w:highlight w:val="none"/>
          <w:shd w:val="clear" w:color="auto" w:fill="auto"/>
        </w:rPr>
        <w:t>“实质性要求”是指</w:t>
      </w:r>
      <w:r>
        <w:rPr>
          <w:rFonts w:hint="eastAsia" w:ascii="Times New Roman" w:hAnsi="Times New Roman"/>
          <w:color w:val="auto"/>
          <w:szCs w:val="21"/>
          <w:highlight w:val="none"/>
          <w:shd w:val="clear" w:color="auto" w:fill="auto"/>
        </w:rPr>
        <w:t>谈判文件“采购需求 ”中所有条款以及谈判文件要求“必须提供 ”的条款均属于实质性要求，必须满足</w:t>
      </w:r>
      <w:r>
        <w:rPr>
          <w:rFonts w:hint="eastAsia" w:ascii="宋体" w:hAnsi="宋体" w:eastAsia="宋体" w:cs="宋体"/>
          <w:bCs/>
          <w:color w:val="auto"/>
          <w:highlight w:val="none"/>
          <w:lang w:eastAsia="zh-CN"/>
        </w:rPr>
        <w:t>。</w:t>
      </w:r>
    </w:p>
    <w:p w14:paraId="3C3D1F96">
      <w:pPr>
        <w:spacing w:line="276" w:lineRule="auto"/>
        <w:ind w:firstLine="420" w:firstLineChars="200"/>
        <w:textAlignment w:val="center"/>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lang w:eastAsia="zh-CN"/>
        </w:rPr>
        <w:t>）报价人须在响应文件中填写/应答技术规格参数，当响应文件中技术参数与竞争性谈判文件中技术参数有偏离时，须在“偏离”栏内如实注明是“正偏离”或“负偏离”，“正偏离”指响应设备的技术参数优于竞争性谈判文件中要求，“负偏离”指投标设备的技术参数低于竞争性谈判文件中要求。响应文件中的技术参数、功能或其它内容有“正偏离”的，报价人须对“正偏离”的情况单独作出说明。</w:t>
      </w:r>
    </w:p>
    <w:p w14:paraId="64F5984C">
      <w:pPr>
        <w:pStyle w:val="7"/>
        <w:ind w:firstLine="420" w:firstLineChars="200"/>
        <w:rPr>
          <w:rFonts w:hint="default"/>
          <w:color w:val="auto"/>
          <w:highlight w:val="none"/>
          <w:lang w:val="en-US" w:eastAsia="zh-CN"/>
        </w:rPr>
      </w:pPr>
      <w:r>
        <w:rPr>
          <w:rFonts w:hint="eastAsia" w:ascii="宋体" w:hAnsi="宋体" w:eastAsia="宋体" w:cs="宋体"/>
          <w:bCs/>
          <w:color w:val="auto"/>
          <w:highlight w:val="none"/>
          <w:lang w:val="en-US" w:eastAsia="zh-CN"/>
        </w:rPr>
        <w:t>5、</w:t>
      </w:r>
      <w:r>
        <w:rPr>
          <w:rFonts w:ascii="Times New Roman" w:hAnsi="Times New Roman"/>
          <w:color w:val="auto"/>
          <w:highlight w:val="none"/>
        </w:rPr>
        <w:t>本项目核心产品：</w:t>
      </w:r>
      <w:r>
        <w:rPr>
          <w:rFonts w:hint="eastAsia" w:ascii="Times New Roman" w:hAnsi="Times New Roman"/>
          <w:color w:val="auto"/>
          <w:highlight w:val="none"/>
        </w:rPr>
        <w:t>第1项</w:t>
      </w:r>
      <w:r>
        <w:rPr>
          <w:rFonts w:hint="eastAsia" w:ascii="Times New Roman" w:hAnsi="Times New Roman" w:eastAsia="宋体"/>
          <w:color w:val="auto"/>
          <w:highlight w:val="none"/>
          <w:lang w:eastAsia="zh-CN"/>
        </w:rPr>
        <w:t>“</w:t>
      </w:r>
      <w:r>
        <w:rPr>
          <w:rFonts w:hint="eastAsia" w:ascii="Times New Roman" w:hAnsi="Times New Roman"/>
          <w:color w:val="auto"/>
          <w:highlight w:val="none"/>
        </w:rPr>
        <w:t>影像动力跑台一体化测量与训练系统</w:t>
      </w:r>
      <w:r>
        <w:rPr>
          <w:rFonts w:hint="eastAsia" w:ascii="Times New Roman" w:hAnsi="Times New Roman" w:eastAsia="宋体"/>
          <w:color w:val="auto"/>
          <w:highlight w:val="none"/>
          <w:lang w:eastAsia="zh-CN"/>
        </w:rPr>
        <w:t>”</w:t>
      </w:r>
      <w:r>
        <w:rPr>
          <w:rFonts w:ascii="Times New Roman" w:hAnsi="Times New Roman"/>
          <w:color w:val="auto"/>
          <w:highlight w:val="none"/>
        </w:rPr>
        <w:t>。</w:t>
      </w:r>
    </w:p>
    <w:p w14:paraId="3E8A10F4">
      <w:pPr>
        <w:rPr>
          <w:rFonts w:ascii="宋体" w:hAnsi="宋体" w:eastAsia="宋体" w:cs="宋体"/>
          <w:b/>
          <w:bCs/>
          <w:color w:val="auto"/>
          <w:sz w:val="20"/>
          <w:szCs w:val="20"/>
          <w:highlight w:val="none"/>
          <w:lang w:eastAsia="zh-CN"/>
        </w:rPr>
      </w:pPr>
      <w:r>
        <w:rPr>
          <w:rFonts w:ascii="宋体" w:hAnsi="宋体" w:eastAsia="宋体" w:cs="宋体"/>
          <w:b/>
          <w:bCs/>
          <w:color w:val="auto"/>
          <w:sz w:val="20"/>
          <w:szCs w:val="20"/>
          <w:highlight w:val="none"/>
          <w:lang w:eastAsia="zh-CN"/>
        </w:rPr>
        <w:br w:type="page"/>
      </w:r>
    </w:p>
    <w:p w14:paraId="17C4C160">
      <w:pPr>
        <w:widowControl w:val="0"/>
        <w:spacing w:line="360" w:lineRule="auto"/>
        <w:ind w:firstLine="402" w:firstLineChars="200"/>
        <w:rPr>
          <w:rFonts w:ascii="宋体" w:hAnsi="宋体" w:eastAsia="宋体" w:cs="宋体"/>
          <w:b/>
          <w:bCs/>
          <w:color w:val="auto"/>
          <w:sz w:val="20"/>
          <w:szCs w:val="20"/>
          <w:highlight w:val="none"/>
          <w:lang w:eastAsia="zh-CN"/>
        </w:rPr>
      </w:pPr>
    </w:p>
    <w:tbl>
      <w:tblPr>
        <w:tblStyle w:val="18"/>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32"/>
        <w:gridCol w:w="1030"/>
        <w:gridCol w:w="384"/>
        <w:gridCol w:w="960"/>
        <w:gridCol w:w="451"/>
        <w:gridCol w:w="4948"/>
        <w:gridCol w:w="536"/>
      </w:tblGrid>
      <w:tr w14:paraId="4EB9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607" w:type="dxa"/>
            <w:gridSpan w:val="8"/>
            <w:vAlign w:val="center"/>
          </w:tcPr>
          <w:p w14:paraId="3F574AED">
            <w:pPr>
              <w:spacing w:line="560" w:lineRule="exact"/>
              <w:rPr>
                <w:rFonts w:ascii="Times New Roman" w:hAnsi="Times New Roman"/>
                <w:b/>
                <w:color w:val="auto"/>
                <w:highlight w:val="none"/>
                <w:lang w:eastAsia="zh-CN"/>
              </w:rPr>
            </w:pPr>
            <w:r>
              <w:rPr>
                <w:rFonts w:ascii="Times New Roman" w:hAnsi="Times New Roman"/>
                <w:b/>
                <w:color w:val="auto"/>
                <w:highlight w:val="none"/>
                <w:lang w:eastAsia="zh-CN"/>
              </w:rPr>
              <w:t>一、采购内容及技术要求</w:t>
            </w:r>
          </w:p>
        </w:tc>
      </w:tr>
      <w:tr w14:paraId="5B491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466" w:type="dxa"/>
            <w:vAlign w:val="center"/>
          </w:tcPr>
          <w:p w14:paraId="626803C2">
            <w:pPr>
              <w:spacing w:line="560" w:lineRule="exact"/>
              <w:jc w:val="center"/>
              <w:rPr>
                <w:rFonts w:ascii="Times New Roman" w:hAnsi="Times New Roman"/>
                <w:b/>
                <w:color w:val="auto"/>
                <w:highlight w:val="none"/>
              </w:rPr>
            </w:pPr>
            <w:r>
              <w:rPr>
                <w:rFonts w:ascii="Times New Roman" w:hAnsi="Times New Roman"/>
                <w:b/>
                <w:color w:val="auto"/>
                <w:highlight w:val="none"/>
              </w:rPr>
              <w:t>序号</w:t>
            </w:r>
          </w:p>
        </w:tc>
        <w:tc>
          <w:tcPr>
            <w:tcW w:w="832" w:type="dxa"/>
            <w:vAlign w:val="center"/>
          </w:tcPr>
          <w:p w14:paraId="7EC7397E">
            <w:pPr>
              <w:spacing w:line="560" w:lineRule="exact"/>
              <w:jc w:val="center"/>
              <w:rPr>
                <w:rFonts w:ascii="Times New Roman" w:hAnsi="Times New Roman"/>
                <w:b/>
                <w:color w:val="auto"/>
                <w:highlight w:val="none"/>
              </w:rPr>
            </w:pPr>
            <w:r>
              <w:rPr>
                <w:rFonts w:ascii="Times New Roman" w:hAnsi="Times New Roman"/>
                <w:b/>
                <w:color w:val="auto"/>
                <w:highlight w:val="none"/>
              </w:rPr>
              <w:t>货物/服务名称</w:t>
            </w:r>
          </w:p>
        </w:tc>
        <w:tc>
          <w:tcPr>
            <w:tcW w:w="1030" w:type="dxa"/>
            <w:vAlign w:val="center"/>
          </w:tcPr>
          <w:p w14:paraId="2DE8E1D5">
            <w:pPr>
              <w:spacing w:line="560" w:lineRule="exact"/>
              <w:jc w:val="center"/>
              <w:rPr>
                <w:rFonts w:ascii="Times New Roman" w:hAnsi="Times New Roman"/>
                <w:b/>
                <w:color w:val="auto"/>
                <w:highlight w:val="none"/>
              </w:rPr>
            </w:pPr>
            <w:r>
              <w:rPr>
                <w:rFonts w:hint="eastAsia" w:ascii="Times New Roman" w:hAnsi="Times New Roman"/>
                <w:b/>
                <w:color w:val="auto"/>
                <w:highlight w:val="none"/>
                <w:lang w:eastAsia="zh-CN"/>
              </w:rPr>
              <w:t>参考</w:t>
            </w:r>
            <w:r>
              <w:rPr>
                <w:rFonts w:ascii="Times New Roman" w:hAnsi="Times New Roman"/>
                <w:b/>
                <w:color w:val="auto"/>
                <w:highlight w:val="none"/>
              </w:rPr>
              <w:t>单价</w:t>
            </w:r>
          </w:p>
        </w:tc>
        <w:tc>
          <w:tcPr>
            <w:tcW w:w="384" w:type="dxa"/>
            <w:vAlign w:val="center"/>
          </w:tcPr>
          <w:p w14:paraId="58FDDFE2">
            <w:pPr>
              <w:spacing w:line="560" w:lineRule="exact"/>
              <w:jc w:val="center"/>
              <w:rPr>
                <w:rFonts w:ascii="Times New Roman" w:hAnsi="Times New Roman"/>
                <w:b/>
                <w:color w:val="auto"/>
                <w:highlight w:val="none"/>
              </w:rPr>
            </w:pPr>
            <w:r>
              <w:rPr>
                <w:rFonts w:ascii="Times New Roman" w:hAnsi="Times New Roman"/>
                <w:b/>
                <w:color w:val="auto"/>
                <w:highlight w:val="none"/>
              </w:rPr>
              <w:t>数量</w:t>
            </w:r>
          </w:p>
        </w:tc>
        <w:tc>
          <w:tcPr>
            <w:tcW w:w="960" w:type="dxa"/>
            <w:vAlign w:val="center"/>
          </w:tcPr>
          <w:p w14:paraId="10308B5D">
            <w:pPr>
              <w:spacing w:line="560" w:lineRule="exact"/>
              <w:jc w:val="center"/>
              <w:rPr>
                <w:rFonts w:ascii="Times New Roman" w:hAnsi="Times New Roman"/>
                <w:b/>
                <w:color w:val="auto"/>
                <w:highlight w:val="none"/>
              </w:rPr>
            </w:pPr>
            <w:r>
              <w:rPr>
                <w:rFonts w:ascii="Times New Roman" w:hAnsi="Times New Roman"/>
                <w:b/>
                <w:color w:val="auto"/>
                <w:highlight w:val="none"/>
              </w:rPr>
              <w:t>合计</w:t>
            </w:r>
          </w:p>
          <w:p w14:paraId="31AC0DDD">
            <w:pPr>
              <w:spacing w:line="560" w:lineRule="exact"/>
              <w:jc w:val="center"/>
              <w:rPr>
                <w:rFonts w:ascii="Times New Roman" w:hAnsi="Times New Roman"/>
                <w:b/>
                <w:color w:val="auto"/>
                <w:highlight w:val="none"/>
              </w:rPr>
            </w:pPr>
            <w:r>
              <w:rPr>
                <w:rFonts w:ascii="Times New Roman" w:hAnsi="Times New Roman"/>
                <w:b/>
                <w:color w:val="auto"/>
                <w:highlight w:val="none"/>
              </w:rPr>
              <w:t>金额</w:t>
            </w:r>
          </w:p>
        </w:tc>
        <w:tc>
          <w:tcPr>
            <w:tcW w:w="451" w:type="dxa"/>
            <w:vAlign w:val="center"/>
          </w:tcPr>
          <w:p w14:paraId="3A46BFDA">
            <w:pPr>
              <w:spacing w:line="560" w:lineRule="exact"/>
              <w:jc w:val="center"/>
              <w:rPr>
                <w:rFonts w:ascii="Times New Roman" w:hAnsi="Times New Roman"/>
                <w:b/>
                <w:color w:val="auto"/>
                <w:highlight w:val="none"/>
              </w:rPr>
            </w:pPr>
            <w:r>
              <w:rPr>
                <w:rFonts w:ascii="Times New Roman" w:hAnsi="Times New Roman"/>
                <w:b/>
                <w:color w:val="auto"/>
                <w:highlight w:val="none"/>
              </w:rPr>
              <w:t>计量</w:t>
            </w:r>
          </w:p>
          <w:p w14:paraId="6AEEEC05">
            <w:pPr>
              <w:spacing w:line="560" w:lineRule="exact"/>
              <w:jc w:val="center"/>
              <w:rPr>
                <w:rFonts w:ascii="Times New Roman" w:hAnsi="Times New Roman"/>
                <w:b/>
                <w:color w:val="auto"/>
                <w:highlight w:val="none"/>
              </w:rPr>
            </w:pPr>
            <w:r>
              <w:rPr>
                <w:rFonts w:ascii="Times New Roman" w:hAnsi="Times New Roman"/>
                <w:b/>
                <w:color w:val="auto"/>
                <w:highlight w:val="none"/>
              </w:rPr>
              <w:t>单位</w:t>
            </w:r>
          </w:p>
        </w:tc>
        <w:tc>
          <w:tcPr>
            <w:tcW w:w="4948" w:type="dxa"/>
            <w:vAlign w:val="center"/>
          </w:tcPr>
          <w:p w14:paraId="42D7A464">
            <w:pPr>
              <w:spacing w:line="560" w:lineRule="exact"/>
              <w:jc w:val="center"/>
              <w:rPr>
                <w:rFonts w:ascii="Times New Roman" w:hAnsi="Times New Roman"/>
                <w:b/>
                <w:color w:val="auto"/>
                <w:highlight w:val="none"/>
              </w:rPr>
            </w:pPr>
            <w:r>
              <w:rPr>
                <w:rFonts w:ascii="Times New Roman" w:hAnsi="Times New Roman"/>
                <w:b/>
                <w:color w:val="auto"/>
                <w:highlight w:val="none"/>
              </w:rPr>
              <w:t>技术参数要求</w:t>
            </w:r>
          </w:p>
        </w:tc>
        <w:tc>
          <w:tcPr>
            <w:tcW w:w="536" w:type="dxa"/>
            <w:vAlign w:val="center"/>
          </w:tcPr>
          <w:p w14:paraId="54D42562">
            <w:pPr>
              <w:spacing w:line="560" w:lineRule="exact"/>
              <w:jc w:val="center"/>
              <w:rPr>
                <w:rFonts w:ascii="Times New Roman" w:hAnsi="Times New Roman"/>
                <w:b/>
                <w:color w:val="auto"/>
                <w:highlight w:val="none"/>
              </w:rPr>
            </w:pPr>
            <w:r>
              <w:rPr>
                <w:rFonts w:ascii="Times New Roman" w:hAnsi="Times New Roman"/>
                <w:b/>
                <w:color w:val="auto"/>
                <w:highlight w:val="none"/>
              </w:rPr>
              <w:t>是否进口</w:t>
            </w:r>
          </w:p>
        </w:tc>
      </w:tr>
      <w:tr w14:paraId="3D34A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66" w:type="dxa"/>
            <w:shd w:val="clear" w:color="auto" w:fill="auto"/>
            <w:vAlign w:val="center"/>
          </w:tcPr>
          <w:p w14:paraId="692FD51B">
            <w:pPr>
              <w:spacing w:line="560" w:lineRule="exact"/>
              <w:jc w:val="center"/>
              <w:rPr>
                <w:rFonts w:ascii="Times New Roman" w:hAnsi="Times New Roman"/>
                <w:bCs/>
                <w:color w:val="auto"/>
                <w:highlight w:val="none"/>
              </w:rPr>
            </w:pPr>
            <w:r>
              <w:rPr>
                <w:rFonts w:hint="eastAsia" w:ascii="Times New Roman" w:hAnsi="Times New Roman"/>
                <w:bCs/>
                <w:color w:val="auto"/>
                <w:highlight w:val="none"/>
              </w:rPr>
              <w:t>1</w:t>
            </w:r>
          </w:p>
        </w:tc>
        <w:tc>
          <w:tcPr>
            <w:tcW w:w="832" w:type="dxa"/>
            <w:shd w:val="clear" w:color="auto" w:fill="auto"/>
            <w:vAlign w:val="center"/>
          </w:tcPr>
          <w:p w14:paraId="1517470C">
            <w:pPr>
              <w:spacing w:line="560" w:lineRule="exact"/>
              <w:jc w:val="center"/>
              <w:rPr>
                <w:rFonts w:ascii="Times New Roman" w:hAnsi="Times New Roman"/>
                <w:bCs/>
                <w:color w:val="auto"/>
                <w:highlight w:val="none"/>
                <w:lang w:eastAsia="zh-CN"/>
              </w:rPr>
            </w:pPr>
            <w:r>
              <w:rPr>
                <w:rFonts w:hint="eastAsia" w:ascii="Times New Roman" w:hAnsi="Times New Roman"/>
                <w:bCs/>
                <w:color w:val="auto"/>
                <w:highlight w:val="none"/>
                <w:lang w:eastAsia="zh-CN"/>
              </w:rPr>
              <w:t>影像动力跑台一体化测量与训练系统</w:t>
            </w:r>
          </w:p>
        </w:tc>
        <w:tc>
          <w:tcPr>
            <w:tcW w:w="1030" w:type="dxa"/>
            <w:shd w:val="clear" w:color="auto" w:fill="auto"/>
            <w:vAlign w:val="center"/>
          </w:tcPr>
          <w:p w14:paraId="6ECB3190">
            <w:pPr>
              <w:spacing w:line="560" w:lineRule="exact"/>
              <w:jc w:val="center"/>
              <w:rPr>
                <w:rFonts w:ascii="Times New Roman" w:hAnsi="Times New Roman" w:eastAsia="宋体"/>
                <w:bCs/>
                <w:color w:val="auto"/>
                <w:highlight w:val="none"/>
                <w:lang w:eastAsia="zh-CN"/>
              </w:rPr>
            </w:pPr>
            <w:r>
              <w:rPr>
                <w:rFonts w:hint="eastAsia" w:ascii="Times New Roman" w:hAnsi="Times New Roman"/>
                <w:bCs/>
                <w:color w:val="auto"/>
                <w:highlight w:val="none"/>
              </w:rPr>
              <w:t>230</w:t>
            </w:r>
            <w:r>
              <w:rPr>
                <w:rFonts w:hint="eastAsia" w:ascii="Times New Roman" w:hAnsi="Times New Roman" w:eastAsia="宋体"/>
                <w:bCs/>
                <w:color w:val="auto"/>
                <w:highlight w:val="none"/>
                <w:lang w:eastAsia="zh-CN"/>
              </w:rPr>
              <w:t>0000元</w:t>
            </w:r>
          </w:p>
        </w:tc>
        <w:tc>
          <w:tcPr>
            <w:tcW w:w="384" w:type="dxa"/>
            <w:shd w:val="clear" w:color="auto" w:fill="auto"/>
            <w:vAlign w:val="center"/>
          </w:tcPr>
          <w:p w14:paraId="1C8283C7">
            <w:pPr>
              <w:spacing w:line="560" w:lineRule="exact"/>
              <w:jc w:val="center"/>
              <w:rPr>
                <w:rFonts w:ascii="Times New Roman" w:hAnsi="Times New Roman"/>
                <w:bCs/>
                <w:color w:val="auto"/>
                <w:highlight w:val="none"/>
              </w:rPr>
            </w:pPr>
            <w:r>
              <w:rPr>
                <w:rFonts w:hint="eastAsia" w:ascii="Times New Roman" w:hAnsi="Times New Roman"/>
                <w:bCs/>
                <w:color w:val="auto"/>
                <w:highlight w:val="none"/>
              </w:rPr>
              <w:t>1</w:t>
            </w:r>
          </w:p>
        </w:tc>
        <w:tc>
          <w:tcPr>
            <w:tcW w:w="960" w:type="dxa"/>
            <w:shd w:val="clear" w:color="auto" w:fill="auto"/>
            <w:vAlign w:val="center"/>
          </w:tcPr>
          <w:p w14:paraId="205F8BA9">
            <w:pPr>
              <w:spacing w:line="560" w:lineRule="exact"/>
              <w:jc w:val="center"/>
              <w:rPr>
                <w:rFonts w:ascii="Times New Roman" w:hAnsi="Times New Roman"/>
                <w:bCs/>
                <w:color w:val="auto"/>
                <w:highlight w:val="none"/>
              </w:rPr>
            </w:pPr>
            <w:r>
              <w:rPr>
                <w:rFonts w:hint="eastAsia" w:ascii="Times New Roman" w:hAnsi="Times New Roman"/>
                <w:bCs/>
                <w:color w:val="auto"/>
                <w:highlight w:val="none"/>
              </w:rPr>
              <w:t>230</w:t>
            </w:r>
            <w:bookmarkStart w:id="35" w:name="_GoBack"/>
            <w:bookmarkEnd w:id="35"/>
            <w:r>
              <w:rPr>
                <w:rFonts w:hint="eastAsia" w:ascii="Times New Roman" w:hAnsi="Times New Roman" w:eastAsia="宋体"/>
                <w:bCs/>
                <w:color w:val="auto"/>
                <w:highlight w:val="none"/>
                <w:lang w:eastAsia="zh-CN"/>
              </w:rPr>
              <w:t>0000</w:t>
            </w:r>
            <w:r>
              <w:rPr>
                <w:rFonts w:hint="eastAsia" w:ascii="Times New Roman" w:hAnsi="Times New Roman"/>
                <w:bCs/>
                <w:color w:val="auto"/>
                <w:highlight w:val="none"/>
              </w:rPr>
              <w:t>元</w:t>
            </w:r>
          </w:p>
        </w:tc>
        <w:tc>
          <w:tcPr>
            <w:tcW w:w="451" w:type="dxa"/>
            <w:shd w:val="clear" w:color="auto" w:fill="auto"/>
            <w:vAlign w:val="center"/>
          </w:tcPr>
          <w:p w14:paraId="20716285">
            <w:pPr>
              <w:spacing w:line="560" w:lineRule="exact"/>
              <w:jc w:val="center"/>
              <w:rPr>
                <w:rFonts w:ascii="Times New Roman" w:hAnsi="Times New Roman"/>
                <w:bCs/>
                <w:color w:val="auto"/>
                <w:highlight w:val="none"/>
              </w:rPr>
            </w:pPr>
            <w:r>
              <w:rPr>
                <w:rFonts w:hint="eastAsia" w:ascii="Times New Roman" w:hAnsi="Times New Roman"/>
                <w:bCs/>
                <w:color w:val="auto"/>
                <w:highlight w:val="none"/>
              </w:rPr>
              <w:t>台</w:t>
            </w:r>
          </w:p>
        </w:tc>
        <w:tc>
          <w:tcPr>
            <w:tcW w:w="4948" w:type="dxa"/>
            <w:shd w:val="clear" w:color="auto" w:fill="auto"/>
            <w:vAlign w:val="center"/>
          </w:tcPr>
          <w:p w14:paraId="3A535ED3">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具备</w:t>
            </w:r>
            <w:r>
              <w:rPr>
                <w:rFonts w:hint="eastAsia" w:ascii="宋体" w:hAnsi="宋体" w:eastAsia="宋体" w:cs="宋体"/>
                <w:b w:val="0"/>
                <w:bCs w:val="0"/>
                <w:color w:val="auto"/>
                <w:sz w:val="21"/>
                <w:szCs w:val="21"/>
                <w:highlight w:val="none"/>
                <w:lang w:eastAsia="zh-CN"/>
              </w:rPr>
              <w:t>足底压力的分布测量系统、视觉刺激系统、视频采集模块、虚拟训练及编辑模块、无线惯性传感器模块、安全保护模块等</w:t>
            </w:r>
            <w:r>
              <w:rPr>
                <w:rFonts w:hint="eastAsia" w:ascii="宋体" w:hAnsi="宋体" w:eastAsia="宋体" w:cs="宋体"/>
                <w:b w:val="0"/>
                <w:bCs w:val="0"/>
                <w:color w:val="auto"/>
                <w:sz w:val="21"/>
                <w:szCs w:val="21"/>
                <w:highlight w:val="none"/>
                <w:lang w:val="en-US" w:eastAsia="zh-CN"/>
              </w:rPr>
              <w:t>不少于6个系统</w:t>
            </w:r>
            <w:r>
              <w:rPr>
                <w:rFonts w:hint="eastAsia" w:ascii="宋体" w:hAnsi="宋体" w:eastAsia="宋体" w:cs="宋体"/>
                <w:b w:val="0"/>
                <w:bCs w:val="0"/>
                <w:color w:val="auto"/>
                <w:sz w:val="21"/>
                <w:szCs w:val="21"/>
                <w:highlight w:val="none"/>
                <w:lang w:eastAsia="zh-CN"/>
              </w:rPr>
              <w:t>，各个系统可以同步采集和训练，同步数据的误差≤1ms。</w:t>
            </w:r>
          </w:p>
          <w:p w14:paraId="0B0CC978">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2.可</w:t>
            </w:r>
            <w:r>
              <w:rPr>
                <w:rFonts w:hint="eastAsia" w:ascii="宋体" w:hAnsi="宋体" w:eastAsia="宋体" w:cs="宋体"/>
                <w:b w:val="0"/>
                <w:bCs w:val="0"/>
                <w:color w:val="auto"/>
                <w:sz w:val="21"/>
                <w:szCs w:val="21"/>
                <w:highlight w:val="none"/>
                <w:lang w:eastAsia="zh-CN"/>
              </w:rPr>
              <w:t>测量和分析步行中的动态力的分布、站立平衡能力分析，同时结合多种情景互动模式进行生物反馈式步行训练。</w:t>
            </w:r>
          </w:p>
          <w:p w14:paraId="59D78542">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.系统能够自动识别步</w:t>
            </w:r>
            <w:r>
              <w:rPr>
                <w:rFonts w:hint="eastAsia" w:ascii="宋体" w:hAnsi="宋体" w:eastAsia="宋体" w:cs="宋体"/>
                <w:b w:val="0"/>
                <w:bCs w:val="0"/>
                <w:color w:val="auto"/>
                <w:sz w:val="21"/>
                <w:szCs w:val="21"/>
                <w:highlight w:val="none"/>
                <w:lang w:val="en-US" w:eastAsia="zh-CN"/>
              </w:rPr>
              <w:t>态</w:t>
            </w:r>
            <w:r>
              <w:rPr>
                <w:rFonts w:hint="eastAsia" w:ascii="宋体" w:hAnsi="宋体" w:eastAsia="宋体" w:cs="宋体"/>
                <w:b w:val="0"/>
                <w:bCs w:val="0"/>
                <w:color w:val="auto"/>
                <w:sz w:val="21"/>
                <w:szCs w:val="21"/>
                <w:highlight w:val="none"/>
                <w:lang w:eastAsia="zh-CN"/>
              </w:rPr>
              <w:t>，直接在数据采集后得到步态参数报告，步态参数≥16种：压力图、七足区域分析、平均地面反作用力、COP轨迹（压力中心轨迹）、COP速度（压力中心速度）、COP密度（压力中心密度）、速度、支撑期时间、摆动期时间、总腾空和触地时间占比、脚部旋转角度、步频、步长、步宽、步态线，蝶形图</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投标时须</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数据分析报表或报告单截图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。以上参数的采集完全由电脑自动计算完成，无须人工参与，结合视频采集及分析模块对运动过程中的关节进行运动角度分析。</w:t>
            </w:r>
          </w:p>
          <w:p w14:paraId="4265288D">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bookmarkStart w:id="13" w:name="OLE_LINK3"/>
            <w:r>
              <w:rPr>
                <w:rFonts w:hint="eastAsia" w:ascii="宋体" w:hAnsi="宋体" w:eastAsia="宋体" w:cs="宋体"/>
                <w:b w:val="0"/>
                <w:bCs w:val="0"/>
                <w:color w:val="auto"/>
                <w:sz w:val="21"/>
                <w:szCs w:val="21"/>
                <w:highlight w:val="none"/>
                <w:lang w:eastAsia="zh-CN"/>
              </w:rPr>
              <w:t>虚拟现实步态适应性训练</w:t>
            </w:r>
            <w:bookmarkEnd w:id="13"/>
            <w:r>
              <w:rPr>
                <w:rFonts w:hint="eastAsia" w:ascii="宋体" w:hAnsi="宋体" w:eastAsia="宋体" w:cs="宋体"/>
                <w:b w:val="0"/>
                <w:bCs w:val="0"/>
                <w:color w:val="auto"/>
                <w:sz w:val="21"/>
                <w:szCs w:val="21"/>
                <w:highlight w:val="none"/>
                <w:lang w:eastAsia="zh-CN"/>
              </w:rPr>
              <w:t>评测及训练模式≥9种：引导性训练、障碍躲避训练（跨越训练）、加速训练、减速训练、障碍反应训练、综合游戏训练、双重任务训练、左右跨步训练、虚拟现实视觉反馈；系统前置超大屏幕中可以模拟虚拟行走环境，同时添加认知任务，使受试者通过调节步态来完成目标。</w:t>
            </w:r>
          </w:p>
          <w:p w14:paraId="65F4A29D">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5.步态训练：系统跑台通过视觉、听觉提示为行走障碍受试者进行步态训练和评估，并具有安全可控的条件下进行行走中的躲避障碍训练的功能。</w:t>
            </w:r>
          </w:p>
          <w:p w14:paraId="73D7CD09">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6.步态测试：系统能自动计算每一步的步长、步宽、步频和对称性等基本步态参数，并具有通过投影进行步态训练和指导的功能。</w:t>
            </w:r>
          </w:p>
          <w:p w14:paraId="61D7C6C6">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7.不需要在受试者身体上放置标记球和连接线，简单有效并节省治疗时间；</w:t>
            </w:r>
          </w:p>
          <w:p w14:paraId="601F4054">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8.将投影仪置于跑台侧面，投射标记物至跑带，方便受试者安全地进行步态训练。</w:t>
            </w:r>
          </w:p>
          <w:p w14:paraId="49F8AD47">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9.跑台内置测力台装置，能够覆盖整个跑台，实时监测受试者步态情况。</w:t>
            </w:r>
          </w:p>
          <w:p w14:paraId="5BB5CA4E">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10.软件可调整投射标记物的大小、颜色、形状等，具有为受试者定制个性化训练方案的功能。</w:t>
            </w:r>
          </w:p>
          <w:p w14:paraId="2112D015">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11.能自动识别受试者的步态模式，可生成步态引导训练模式投影，并可根据受试者步态参数进行调节。</w:t>
            </w:r>
          </w:p>
          <w:p w14:paraId="7616BBB4">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12.具有为受试者编辑治疗处方的功能。</w:t>
            </w:r>
          </w:p>
          <w:p w14:paraId="01CCF307">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13.可分析步态参数：步长、步宽、步态对称性、重心轨迹、步态节律、地面作用力、神经控制能力及障碍躲避能力等。</w:t>
            </w:r>
          </w:p>
          <w:p w14:paraId="1B54A85C">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.虚拟现实与现实增强合并组成混合现实训练，具有以自身为主体与环境互动的功能， 能模拟受试者的真实状态。</w:t>
            </w:r>
          </w:p>
          <w:p w14:paraId="345C7ED6">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.安全保护模块：</w:t>
            </w:r>
          </w:p>
          <w:p w14:paraId="53459E38">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15.1 </w:t>
            </w:r>
            <w:r>
              <w:rPr>
                <w:rFonts w:hint="eastAsia" w:ascii="宋体" w:hAnsi="宋体" w:eastAsia="宋体" w:cs="宋体"/>
                <w:b w:val="0"/>
                <w:bCs w:val="0"/>
                <w:color w:val="auto"/>
                <w:sz w:val="21"/>
                <w:szCs w:val="21"/>
                <w:highlight w:val="none"/>
                <w:lang w:eastAsia="zh-CN"/>
              </w:rPr>
              <w:t>采用拱形安全保护支架和长扶手相结合的方式，能在保证受试者安全的前提下最大程度保留身体活动的空间</w:t>
            </w:r>
            <w:r>
              <w:rPr>
                <w:rFonts w:hint="eastAsia" w:ascii="宋体" w:hAnsi="宋体" w:eastAsia="宋体" w:cs="宋体"/>
                <w:b w:val="0"/>
                <w:bCs w:val="0"/>
                <w:color w:val="auto"/>
                <w:sz w:val="21"/>
                <w:szCs w:val="21"/>
                <w:highlight w:val="none"/>
                <w:lang w:val="en-US" w:eastAsia="zh-CN"/>
              </w:rPr>
              <w:t>。</w:t>
            </w:r>
          </w:p>
          <w:p w14:paraId="2EFA3030">
            <w:pPr>
              <w:keepNext w:val="0"/>
              <w:keepLines w:val="0"/>
              <w:widowControl/>
              <w:spacing w:line="32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15.2 悬吊拱柱上装有急停装置避免受试者摔倒，安全悬吊拱柱最大可承受重量≥300kg。</w:t>
            </w:r>
          </w:p>
          <w:p w14:paraId="1F57F689">
            <w:pPr>
              <w:spacing w:line="32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15.3 安装接触器：通过12V直流控制信号切换负载侧电源，≥2个串联接触器，提升跑台安全性能，同时提升中央控制系统稳定性。</w:t>
            </w:r>
          </w:p>
          <w:p w14:paraId="7CF2E13D">
            <w:pPr>
              <w:keepNext w:val="0"/>
              <w:keepLines w:val="0"/>
              <w:widowControl/>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15.4 浪涌抑制：内置NTC热敏电阻，冷态（20°C）电阻5Ω，有效抑制开机瞬间变压器引发的冲击电流，防止电网或设备保险丝误触发。</w:t>
            </w:r>
          </w:p>
          <w:p w14:paraId="41D44E8D">
            <w:pPr>
              <w:keepNext w:val="0"/>
              <w:keepLines w:val="0"/>
              <w:widowControl/>
              <w:spacing w:line="320" w:lineRule="exact"/>
              <w:rPr>
                <w:rFonts w:hint="default" w:ascii="宋体" w:hAnsi="宋体" w:eastAsia="宋体" w:cs="宋体"/>
                <w:b/>
                <w:bCs/>
                <w:color w:val="auto"/>
                <w:highlight w:val="none"/>
                <w:lang w:eastAsia="zh-CN"/>
              </w:rPr>
            </w:pPr>
            <w:r>
              <w:rPr>
                <w:rFonts w:hint="eastAsia" w:ascii="宋体" w:hAnsi="宋体" w:eastAsia="宋体" w:cs="宋体"/>
                <w:b w:val="0"/>
                <w:bCs w:val="0"/>
                <w:color w:val="auto"/>
                <w:sz w:val="21"/>
                <w:szCs w:val="21"/>
                <w:highlight w:val="none"/>
                <w:lang w:val="en-US" w:eastAsia="zh-CN"/>
              </w:rPr>
              <w:t>15.5 人员摔倒AI预警：配备≥1个摄像头，摄像头具有≥400 万像素 CMOS 传感器，靶面尺寸≥1/2.3英寸，在≥ 2688 × 1520 @ 25fps 下，清晰度≥1400TVL，支持最低照度彩色≤0.005 lx，黑白≤0.0005lx，最大亮度鉴别等级≥11级；配置AI分析模块，可对通道中的视频流进行实时智能分析，支持对设置的检测区域内人员倒地状态进行自动侦测，并在超过设置的时间后，触发报警联动，可设置≥9个多边形检测区域，且倒地持续时间可设置；内置≥1TB硬盘用于报警图片和报警录像存储；须无缝对接学校现有实验室智能综合管理平台（现有平台品牌：为乐，型号：ProLSMS），</w:t>
            </w:r>
            <w:r>
              <w:rPr>
                <w:rFonts w:hint="eastAsia" w:ascii="宋体" w:hAnsi="宋体" w:eastAsia="宋体" w:cs="宋体"/>
                <w:b/>
                <w:bCs/>
                <w:color w:val="auto"/>
                <w:sz w:val="21"/>
                <w:szCs w:val="21"/>
                <w:highlight w:val="none"/>
                <w:lang w:val="en-US" w:eastAsia="zh-CN"/>
              </w:rPr>
              <w:t>响应文件中须提供对接承诺函并加盖投标人公章，承诺函格式自拟。</w:t>
            </w:r>
          </w:p>
          <w:p w14:paraId="7BAC23C2">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.跑台台面尺寸≥170cm*65cm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允许负载≥300KG，跑带厚度≥5mm。</w:t>
            </w:r>
          </w:p>
          <w:p w14:paraId="159DDFC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.速度范围:0-25.0公里/小时，</w:t>
            </w:r>
            <w:r>
              <w:rPr>
                <w:rFonts w:hint="eastAsia" w:ascii="宋体" w:hAnsi="宋体" w:eastAsia="宋体" w:cs="宋体"/>
                <w:b w:val="0"/>
                <w:bCs w:val="0"/>
                <w:color w:val="auto"/>
                <w:sz w:val="21"/>
                <w:szCs w:val="21"/>
                <w:highlight w:val="none"/>
                <w:lang w:val="en-US" w:eastAsia="zh-CN"/>
              </w:rPr>
              <w:t>加速度≥2.32 m/s²，七级别加速；在12公里/小时的速度运行下跑台可调整跑带位置，1-4分钟内位移可移到预期位点。</w:t>
            </w:r>
          </w:p>
          <w:p w14:paraId="4C9F0F64">
            <w:pPr>
              <w:keepNext w:val="0"/>
              <w:keepLines w:val="0"/>
              <w:pageBreakBefore w:val="0"/>
              <w:widowControl/>
              <w:kinsoku/>
              <w:wordWrap/>
              <w:overflowPunct/>
              <w:topLinePunct w:val="0"/>
              <w:autoSpaceDE/>
              <w:autoSpaceDN/>
              <w:bidi w:val="0"/>
              <w:adjustRightInd/>
              <w:snapToGrid/>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.坡度范围：0-28%（</w:t>
            </w:r>
            <w:r>
              <w:rPr>
                <w:rFonts w:hint="eastAsia" w:ascii="宋体" w:hAnsi="宋体" w:eastAsia="宋体" w:cs="宋体"/>
                <w:b w:val="0"/>
                <w:bCs w:val="0"/>
                <w:color w:val="auto"/>
                <w:sz w:val="21"/>
                <w:szCs w:val="21"/>
                <w:highlight w:val="none"/>
                <w:lang w:val="en-US" w:eastAsia="zh-CN"/>
              </w:rPr>
              <w:t>0-15.6°</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电动调节。</w:t>
            </w:r>
          </w:p>
          <w:p w14:paraId="2544D05F">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.RS 232数字接口≥1个。</w:t>
            </w:r>
          </w:p>
          <w:p w14:paraId="049833CA">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.扶手长度≥17</w:t>
            </w:r>
            <w:r>
              <w:rPr>
                <w:rFonts w:hint="eastAsia" w:ascii="宋体" w:hAnsi="宋体" w:eastAsia="宋体" w:cs="宋体"/>
                <w:b w:val="0"/>
                <w:bCs w:val="0"/>
                <w:color w:val="auto"/>
                <w:sz w:val="21"/>
                <w:szCs w:val="21"/>
                <w:highlight w:val="none"/>
                <w:lang w:val="en-US" w:eastAsia="zh-CN"/>
              </w:rPr>
              <w:t>40m</w:t>
            </w:r>
            <w:r>
              <w:rPr>
                <w:rFonts w:hint="eastAsia" w:ascii="宋体" w:hAnsi="宋体" w:eastAsia="宋体" w:cs="宋体"/>
                <w:b w:val="0"/>
                <w:bCs w:val="0"/>
                <w:color w:val="auto"/>
                <w:sz w:val="21"/>
                <w:szCs w:val="21"/>
                <w:highlight w:val="none"/>
                <w:lang w:eastAsia="zh-CN"/>
              </w:rPr>
              <w:t>m，扶手直径≥60mm。</w:t>
            </w:r>
          </w:p>
          <w:p w14:paraId="2CCADE26">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.内置足压板尺寸≥135cm*54cm。</w:t>
            </w:r>
          </w:p>
          <w:p w14:paraId="1B7A5496">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.足底压力传感器数量≥45</w:t>
            </w:r>
            <w:r>
              <w:rPr>
                <w:rFonts w:hint="eastAsia" w:ascii="宋体" w:hAnsi="宋体" w:eastAsia="宋体" w:cs="宋体"/>
                <w:b w:val="0"/>
                <w:bCs w:val="0"/>
                <w:color w:val="auto"/>
                <w:sz w:val="21"/>
                <w:szCs w:val="21"/>
                <w:highlight w:val="none"/>
                <w:lang w:val="en-US" w:eastAsia="zh-CN"/>
              </w:rPr>
              <w:t>76</w:t>
            </w:r>
            <w:r>
              <w:rPr>
                <w:rFonts w:hint="eastAsia" w:ascii="宋体" w:hAnsi="宋体" w:eastAsia="宋体" w:cs="宋体"/>
                <w:b w:val="0"/>
                <w:bCs w:val="0"/>
                <w:color w:val="auto"/>
                <w:sz w:val="21"/>
                <w:szCs w:val="21"/>
                <w:highlight w:val="none"/>
                <w:lang w:eastAsia="zh-CN"/>
              </w:rPr>
              <w:t>个，采集频率≥120Hz。</w:t>
            </w:r>
          </w:p>
          <w:p w14:paraId="4207D0C4">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.配有同步视频采集模块，与足压板自动同步。分辨率帧数具有≥3种可调方案：60fps全高清(1920x1080)，90fps高清(1920x720)，120fps VGA(640x480)。</w:t>
            </w:r>
          </w:p>
          <w:p w14:paraId="2D94CBFF">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.视频采集模块PC接口≥USB3.0，测量速率≥120Hz。</w:t>
            </w:r>
          </w:p>
          <w:p w14:paraId="13F03D5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.跑台内置≥11种测试及方案： UKK 2-km 行走测试、逐级测试、Conconi测试、Bruce方案、Naughton方案、Balke方案、Cooper方案、Ellestad A方案、Ellestad B方案、Ramp方案、Gardner测试</w:t>
            </w:r>
            <w:r>
              <w:rPr>
                <w:rFonts w:hint="eastAsia" w:ascii="宋体" w:hAnsi="宋体" w:eastAsia="宋体" w:cs="宋体"/>
                <w:b w:val="0"/>
                <w:bCs w:val="0"/>
                <w:color w:val="auto"/>
                <w:sz w:val="21"/>
                <w:szCs w:val="21"/>
                <w:highlight w:val="none"/>
                <w:lang w:eastAsia="zh-CN"/>
              </w:rPr>
              <w:t>。</w:t>
            </w:r>
          </w:p>
          <w:p w14:paraId="46B4449E">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配有无线惯性传感器模块，测试协议≥13种：步态测试、“起立-行走”计时测试、六分钟行走测试、行走转身测试、跑步模式、自由测试模式、下蹲跳、蹲跳、劲度测试、摆臂下蹲跳、跳深、连续下蹲跳、负重蹲跳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投标时须</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数据分析报表或报告单截图</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w:t>
            </w:r>
          </w:p>
          <w:p w14:paraId="04592C86">
            <w:pPr>
              <w:keepNext w:val="0"/>
              <w:keepLines w:val="0"/>
              <w:widowControl/>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 配备单通道心电传感器：</w:t>
            </w:r>
          </w:p>
          <w:p w14:paraId="318CBFD5">
            <w:pPr>
              <w:keepNext w:val="0"/>
              <w:keepLines w:val="0"/>
              <w:widowControl/>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27.1 传感器体积不大于63mm*33mm*11mm，无线传输距离不小于20米，采样率200-6000Hz可调；可采集呼吸信号，显示呼吸曲线，计算呼吸频率；内置32Gsd卡，可以进行离线数据保存。</w:t>
            </w:r>
          </w:p>
          <w:p w14:paraId="5FD63609">
            <w:pPr>
              <w:keepNext w:val="0"/>
              <w:keepLines w:val="0"/>
              <w:widowControl/>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27.2 可做HRV分析，分析指标不少于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投标时须</w:t>
            </w:r>
            <w:r>
              <w:rPr>
                <w:rFonts w:hint="eastAsia" w:ascii="宋体" w:hAnsi="宋体" w:eastAsia="宋体" w:cs="宋体"/>
                <w:b/>
                <w:bCs/>
                <w:color w:val="auto"/>
                <w:sz w:val="21"/>
                <w:szCs w:val="21"/>
                <w:highlight w:val="none"/>
                <w:lang w:eastAsia="zh-CN"/>
              </w:rPr>
              <w:t>提供</w:t>
            </w:r>
            <w:r>
              <w:rPr>
                <w:rFonts w:hint="eastAsia" w:ascii="宋体" w:hAnsi="宋体" w:eastAsia="宋体" w:cs="宋体"/>
                <w:b/>
                <w:bCs/>
                <w:color w:val="auto"/>
                <w:sz w:val="21"/>
                <w:szCs w:val="21"/>
                <w:highlight w:val="none"/>
                <w:lang w:val="en-US" w:eastAsia="zh-CN"/>
              </w:rPr>
              <w:t>数据分析报表或报告单截图</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highlight w:val="none"/>
                <w:lang w:val="en-US" w:eastAsia="zh-CN"/>
              </w:rPr>
              <w:t>:</w:t>
            </w:r>
          </w:p>
          <w:p w14:paraId="32340D57">
            <w:pPr>
              <w:keepNext w:val="0"/>
              <w:keepLines w:val="0"/>
              <w:widowControl/>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Time Domain：max、min mean、median、SDNN、SDANN、NNx、pNNx、RMSSD、SDNNi、meanHR、sdHR HRVTi、TINN</w:t>
            </w:r>
          </w:p>
          <w:p w14:paraId="51461357">
            <w:pPr>
              <w:keepNext w:val="0"/>
              <w:keepLines w:val="0"/>
              <w:widowControl/>
              <w:spacing w:line="32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Freq Domain(Welch、AR、LS): aVLF、aLF、aHF、aTotal、pVLF、pLF、pHF、nLF、nHF、LFHF、peakVLF、peakLF、peakHF</w:t>
            </w:r>
          </w:p>
          <w:p w14:paraId="3E01BB22">
            <w:pPr>
              <w:keepNext w:val="0"/>
              <w:keepLines w:val="0"/>
              <w:widowControl/>
              <w:numPr>
                <w:ilvl w:val="0"/>
                <w:numId w:val="0"/>
              </w:numPr>
              <w:spacing w:line="320" w:lineRule="exact"/>
              <w:rPr>
                <w:rFonts w:hint="eastAsia" w:ascii="宋体" w:hAnsi="宋体" w:eastAsia="宋体" w:cs="宋体"/>
                <w:color w:val="auto"/>
                <w:highlight w:val="none"/>
                <w:lang w:val="en-US" w:eastAsia="zh-CN"/>
              </w:rPr>
            </w:pPr>
            <w:r>
              <w:rPr>
                <w:rFonts w:hint="eastAsia" w:ascii="宋体" w:hAnsi="宋体" w:eastAsia="宋体" w:cs="宋体"/>
                <w:snapToGrid w:val="0"/>
                <w:color w:val="auto"/>
                <w:sz w:val="21"/>
                <w:szCs w:val="21"/>
                <w:lang w:val="en-US" w:eastAsia="zh-CN" w:bidi="ar-SA"/>
              </w:rPr>
              <w:t>28．</w:t>
            </w:r>
            <w:r>
              <w:rPr>
                <w:rFonts w:hint="eastAsia" w:ascii="宋体" w:hAnsi="宋体" w:eastAsia="宋体" w:cs="宋体"/>
                <w:color w:val="auto"/>
                <w:highlight w:val="none"/>
                <w:lang w:val="en-US" w:eastAsia="zh-CN"/>
              </w:rPr>
              <w:t>配备皮肤温度传感器一个：无线传输，精度不低于0.1℃，温度测量范围26-42℃</w:t>
            </w:r>
          </w:p>
          <w:p w14:paraId="75344AFC">
            <w:pPr>
              <w:keepNext w:val="0"/>
              <w:keepLines w:val="0"/>
              <w:widowControl/>
              <w:numPr>
                <w:ilvl w:val="0"/>
                <w:numId w:val="0"/>
              </w:numPr>
              <w:spacing w:line="320" w:lineRule="exact"/>
              <w:rPr>
                <w:rFonts w:hint="default" w:ascii="宋体" w:hAnsi="宋体" w:eastAsia="宋体" w:cs="宋体"/>
                <w:color w:val="auto"/>
                <w:highlight w:val="none"/>
                <w:lang w:val="en-US" w:eastAsia="zh-CN"/>
              </w:rPr>
            </w:pPr>
          </w:p>
        </w:tc>
        <w:tc>
          <w:tcPr>
            <w:tcW w:w="536" w:type="dxa"/>
            <w:shd w:val="clear" w:color="auto" w:fill="auto"/>
            <w:vAlign w:val="center"/>
          </w:tcPr>
          <w:p w14:paraId="20163234">
            <w:pPr>
              <w:spacing w:line="560" w:lineRule="exact"/>
              <w:jc w:val="center"/>
              <w:rPr>
                <w:rFonts w:ascii="Times New Roman" w:hAnsi="Times New Roman"/>
                <w:bCs/>
                <w:color w:val="auto"/>
                <w:highlight w:val="none"/>
              </w:rPr>
            </w:pPr>
            <w:r>
              <w:rPr>
                <w:rFonts w:hint="eastAsia" w:ascii="Times New Roman" w:hAnsi="Times New Roman"/>
                <w:bCs/>
                <w:color w:val="auto"/>
                <w:highlight w:val="none"/>
              </w:rPr>
              <w:t>是</w:t>
            </w:r>
          </w:p>
        </w:tc>
      </w:tr>
      <w:tr w14:paraId="4AA8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07" w:type="dxa"/>
            <w:gridSpan w:val="8"/>
            <w:vAlign w:val="center"/>
          </w:tcPr>
          <w:p w14:paraId="28273849">
            <w:pPr>
              <w:spacing w:line="560" w:lineRule="exact"/>
              <w:rPr>
                <w:rFonts w:ascii="Times New Roman" w:hAnsi="Times New Roman"/>
                <w:color w:val="auto"/>
                <w:highlight w:val="none"/>
              </w:rPr>
            </w:pPr>
            <w:r>
              <w:rPr>
                <w:rFonts w:ascii="Times New Roman" w:hAnsi="Times New Roman"/>
                <w:b/>
                <w:color w:val="auto"/>
                <w:highlight w:val="none"/>
              </w:rPr>
              <w:t>二、商务要求</w:t>
            </w:r>
          </w:p>
        </w:tc>
      </w:tr>
      <w:tr w14:paraId="2D1D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28" w:type="dxa"/>
            <w:gridSpan w:val="3"/>
            <w:vAlign w:val="center"/>
          </w:tcPr>
          <w:p w14:paraId="15EDF6BA">
            <w:pPr>
              <w:spacing w:line="560" w:lineRule="exact"/>
              <w:jc w:val="center"/>
              <w:rPr>
                <w:rFonts w:ascii="Times New Roman" w:hAnsi="Times New Roman"/>
                <w:color w:val="auto"/>
                <w:highlight w:val="none"/>
                <w:lang w:eastAsia="zh-CN"/>
              </w:rPr>
            </w:pPr>
            <w:r>
              <w:rPr>
                <w:rFonts w:hint="eastAsia" w:ascii="Times New Roman" w:hAnsi="Times New Roman"/>
                <w:color w:val="auto"/>
                <w:highlight w:val="none"/>
                <w:lang w:eastAsia="zh-CN"/>
              </w:rPr>
              <w:t>（一）</w:t>
            </w:r>
            <w:r>
              <w:rPr>
                <w:rFonts w:ascii="Times New Roman" w:hAnsi="Times New Roman"/>
                <w:color w:val="auto"/>
                <w:highlight w:val="none"/>
                <w:lang w:eastAsia="zh-CN"/>
              </w:rPr>
              <w:t>采购标的交付地点</w:t>
            </w:r>
            <w:r>
              <w:rPr>
                <w:rFonts w:hint="eastAsia" w:ascii="Times New Roman" w:hAnsi="Times New Roman" w:eastAsia="宋体"/>
                <w:color w:val="auto"/>
                <w:highlight w:val="none"/>
                <w:lang w:eastAsia="zh-CN"/>
              </w:rPr>
              <w:t>和</w:t>
            </w:r>
            <w:r>
              <w:rPr>
                <w:rFonts w:hint="eastAsia" w:ascii="Times New Roman" w:hAnsi="Times New Roman"/>
                <w:color w:val="auto"/>
                <w:highlight w:val="none"/>
                <w:lang w:eastAsia="zh-CN"/>
              </w:rPr>
              <w:t>交付时间</w:t>
            </w:r>
          </w:p>
        </w:tc>
        <w:tc>
          <w:tcPr>
            <w:tcW w:w="7279" w:type="dxa"/>
            <w:gridSpan w:val="5"/>
            <w:vAlign w:val="center"/>
          </w:tcPr>
          <w:p w14:paraId="36948903">
            <w:pPr>
              <w:spacing w:line="560" w:lineRule="exact"/>
              <w:rPr>
                <w:rFonts w:ascii="Times New Roman" w:hAnsi="Times New Roman"/>
                <w:color w:val="auto"/>
                <w:highlight w:val="none"/>
                <w:lang w:eastAsia="zh-CN"/>
              </w:rPr>
            </w:pPr>
            <w:r>
              <w:rPr>
                <w:rFonts w:hint="eastAsia" w:ascii="Times New Roman" w:hAnsi="Times New Roman"/>
                <w:color w:val="auto"/>
                <w:highlight w:val="none"/>
                <w:lang w:eastAsia="zh-CN"/>
              </w:rPr>
              <w:t>采购标的交付地点：广西师范大学雁山校区田径场西-103。</w:t>
            </w:r>
          </w:p>
          <w:p w14:paraId="57098DC8">
            <w:pPr>
              <w:spacing w:line="560" w:lineRule="exact"/>
              <w:rPr>
                <w:rFonts w:ascii="Times New Roman" w:hAnsi="Times New Roman"/>
                <w:color w:val="auto"/>
                <w:highlight w:val="none"/>
                <w:lang w:eastAsia="zh-CN"/>
              </w:rPr>
            </w:pPr>
            <w:r>
              <w:rPr>
                <w:rFonts w:hint="eastAsia" w:ascii="Times New Roman" w:hAnsi="Times New Roman"/>
                <w:color w:val="auto"/>
                <w:highlight w:val="none"/>
                <w:lang w:eastAsia="zh-CN"/>
              </w:rPr>
              <w:t>交付时间</w:t>
            </w:r>
            <w:r>
              <w:rPr>
                <w:rFonts w:hint="eastAsia" w:ascii="Times New Roman" w:hAnsi="Times New Roman" w:eastAsia="宋体"/>
                <w:color w:val="auto"/>
                <w:highlight w:val="none"/>
                <w:lang w:eastAsia="zh-CN"/>
              </w:rPr>
              <w:t>：</w:t>
            </w:r>
            <w:r>
              <w:rPr>
                <w:rFonts w:hint="eastAsia" w:ascii="宋体" w:hAnsi="宋体" w:eastAsia="宋体" w:cs="宋体"/>
                <w:color w:val="auto"/>
                <w:highlight w:val="none"/>
                <w:lang w:eastAsia="zh-CN"/>
              </w:rPr>
              <w:t>自签订合同之日起30天内交付；并全部安装调试合格完毕</w:t>
            </w:r>
          </w:p>
        </w:tc>
      </w:tr>
      <w:tr w14:paraId="7DCC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28" w:type="dxa"/>
            <w:gridSpan w:val="3"/>
            <w:vAlign w:val="center"/>
          </w:tcPr>
          <w:p w14:paraId="3F6E5185">
            <w:pPr>
              <w:spacing w:line="560" w:lineRule="exact"/>
              <w:jc w:val="both"/>
              <w:rPr>
                <w:rFonts w:ascii="Times New Roman" w:hAnsi="Times New Roman"/>
                <w:color w:val="auto"/>
                <w:highlight w:val="none"/>
                <w:lang w:eastAsia="zh-CN"/>
              </w:rPr>
            </w:pPr>
            <w:r>
              <w:rPr>
                <w:rFonts w:ascii="Times New Roman" w:hAnsi="Times New Roman"/>
                <w:bCs/>
                <w:color w:val="auto"/>
                <w:highlight w:val="none"/>
                <w:lang w:eastAsia="zh-CN"/>
              </w:rPr>
              <w:t>（</w:t>
            </w:r>
            <w:r>
              <w:rPr>
                <w:rFonts w:hint="eastAsia" w:ascii="Times New Roman" w:hAnsi="Times New Roman" w:eastAsia="宋体"/>
                <w:bCs/>
                <w:color w:val="auto"/>
                <w:highlight w:val="none"/>
                <w:lang w:eastAsia="zh-CN"/>
              </w:rPr>
              <w:t>二</w:t>
            </w:r>
            <w:r>
              <w:rPr>
                <w:rFonts w:ascii="Times New Roman" w:hAnsi="Times New Roman"/>
                <w:bCs/>
                <w:color w:val="auto"/>
                <w:highlight w:val="none"/>
                <w:lang w:eastAsia="zh-CN"/>
              </w:rPr>
              <w:t>）付款条件（进度和方式）</w:t>
            </w:r>
          </w:p>
        </w:tc>
        <w:tc>
          <w:tcPr>
            <w:tcW w:w="7279" w:type="dxa"/>
            <w:gridSpan w:val="5"/>
            <w:vAlign w:val="center"/>
          </w:tcPr>
          <w:p w14:paraId="5849138D">
            <w:pPr>
              <w:spacing w:line="560" w:lineRule="exact"/>
              <w:rPr>
                <w:rFonts w:ascii="Times New Roman" w:hAnsi="Times New Roman"/>
                <w:color w:val="auto"/>
                <w:highlight w:val="none"/>
                <w:lang w:eastAsia="zh-CN"/>
              </w:rPr>
            </w:pPr>
            <w:r>
              <w:rPr>
                <w:rFonts w:hint="eastAsia" w:ascii="Times New Roman" w:hAnsi="Times New Roman"/>
                <w:color w:val="auto"/>
                <w:highlight w:val="none"/>
                <w:lang w:eastAsia="zh-CN"/>
              </w:rPr>
              <w:t>在交货验收合格、培训指导完成及设备正常使用后，成交供应商在3日内开具全额发票给采购人，采购人收到全额发票后 30天内支付 100%的合同金额。</w:t>
            </w:r>
          </w:p>
        </w:tc>
      </w:tr>
      <w:tr w14:paraId="23EB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28" w:type="dxa"/>
            <w:gridSpan w:val="3"/>
            <w:vAlign w:val="center"/>
          </w:tcPr>
          <w:p w14:paraId="4401D2BB">
            <w:pPr>
              <w:spacing w:line="560" w:lineRule="exact"/>
              <w:jc w:val="center"/>
              <w:rPr>
                <w:rFonts w:ascii="Times New Roman" w:hAnsi="Times New Roman"/>
                <w:color w:val="auto"/>
                <w:highlight w:val="none"/>
              </w:rPr>
            </w:pPr>
            <w:r>
              <w:rPr>
                <w:rFonts w:ascii="Times New Roman" w:hAnsi="Times New Roman"/>
                <w:bCs/>
                <w:color w:val="auto"/>
                <w:highlight w:val="none"/>
              </w:rPr>
              <w:t>（</w:t>
            </w:r>
            <w:r>
              <w:rPr>
                <w:rFonts w:hint="eastAsia" w:ascii="Times New Roman" w:hAnsi="Times New Roman"/>
                <w:bCs/>
                <w:color w:val="auto"/>
                <w:highlight w:val="none"/>
                <w:lang w:eastAsia="zh-CN"/>
              </w:rPr>
              <w:t>三</w:t>
            </w:r>
            <w:r>
              <w:rPr>
                <w:rFonts w:ascii="Times New Roman" w:hAnsi="Times New Roman"/>
                <w:bCs/>
                <w:color w:val="auto"/>
                <w:highlight w:val="none"/>
              </w:rPr>
              <w:t>）售后服务</w:t>
            </w:r>
          </w:p>
        </w:tc>
        <w:tc>
          <w:tcPr>
            <w:tcW w:w="7279" w:type="dxa"/>
            <w:gridSpan w:val="5"/>
            <w:vAlign w:val="center"/>
          </w:tcPr>
          <w:p w14:paraId="43D4DC4A">
            <w:pPr>
              <w:spacing w:line="560" w:lineRule="exact"/>
              <w:rPr>
                <w:rFonts w:ascii="Times New Roman" w:hAnsi="Times New Roman"/>
                <w:color w:val="auto"/>
                <w:highlight w:val="none"/>
                <w:lang w:eastAsia="zh-CN"/>
              </w:rPr>
            </w:pPr>
            <w:r>
              <w:rPr>
                <w:rFonts w:hint="eastAsia" w:ascii="Times New Roman" w:hAnsi="Times New Roman"/>
                <w:color w:val="auto"/>
                <w:highlight w:val="none"/>
                <w:lang w:eastAsia="zh-CN"/>
              </w:rPr>
              <w:t>提供 1年质保期，质保期自货物验收合格之日起计算。质保期内，接到系统故障或问题告知后，响应时间不超过 8 小时，到达现场不超过 48个小时，并应在 72小时(前述响应及到达现场时间已包含计算在内)内排除故障。</w:t>
            </w:r>
          </w:p>
          <w:p w14:paraId="7C83C083">
            <w:pPr>
              <w:spacing w:line="560" w:lineRule="exact"/>
              <w:rPr>
                <w:rFonts w:ascii="Times New Roman" w:hAnsi="Times New Roman"/>
                <w:color w:val="auto"/>
                <w:highlight w:val="none"/>
                <w:lang w:eastAsia="zh-CN"/>
              </w:rPr>
            </w:pPr>
            <w:r>
              <w:rPr>
                <w:rFonts w:hint="eastAsia" w:ascii="Times New Roman" w:hAnsi="Times New Roman"/>
                <w:color w:val="auto"/>
                <w:highlight w:val="none"/>
                <w:lang w:eastAsia="zh-CN"/>
              </w:rPr>
              <w:t>质保期后继续支持维修，并按成本价标准收取维修及零件费用。</w:t>
            </w:r>
          </w:p>
        </w:tc>
      </w:tr>
      <w:tr w14:paraId="3F67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28" w:type="dxa"/>
            <w:gridSpan w:val="3"/>
            <w:vAlign w:val="center"/>
          </w:tcPr>
          <w:p w14:paraId="5210D98F">
            <w:pPr>
              <w:spacing w:line="400" w:lineRule="exact"/>
              <w:jc w:val="center"/>
              <w:rPr>
                <w:rFonts w:ascii="Times New Roman" w:hAnsi="Times New Roman" w:eastAsia="宋体"/>
                <w:color w:val="auto"/>
                <w:highlight w:val="none"/>
                <w:lang w:eastAsia="zh-CN"/>
              </w:rPr>
            </w:pPr>
            <w:r>
              <w:rPr>
                <w:rFonts w:hint="eastAsia" w:eastAsia="宋体"/>
                <w:b w:val="0"/>
                <w:bCs/>
                <w:lang w:eastAsia="zh-CN"/>
              </w:rPr>
              <w:t>（</w:t>
            </w:r>
            <w:r>
              <w:rPr>
                <w:rFonts w:hint="eastAsia" w:eastAsia="宋体"/>
                <w:b w:val="0"/>
                <w:bCs/>
                <w:lang w:val="en-US" w:eastAsia="zh-CN"/>
              </w:rPr>
              <w:t>四</w:t>
            </w:r>
            <w:r>
              <w:rPr>
                <w:rFonts w:hint="eastAsia" w:eastAsia="宋体"/>
                <w:b w:val="0"/>
                <w:bCs/>
                <w:lang w:eastAsia="zh-CN"/>
              </w:rPr>
              <w:t>）</w:t>
            </w:r>
            <w:r>
              <w:rPr>
                <w:rFonts w:hint="eastAsia" w:eastAsia="宋体"/>
                <w:b w:val="0"/>
                <w:bCs/>
                <w:lang w:val="en-US" w:eastAsia="zh-CN"/>
              </w:rPr>
              <w:t>验收</w:t>
            </w:r>
          </w:p>
        </w:tc>
        <w:tc>
          <w:tcPr>
            <w:tcW w:w="7279" w:type="dxa"/>
            <w:gridSpan w:val="5"/>
            <w:vAlign w:val="center"/>
          </w:tcPr>
          <w:p w14:paraId="7A263EBB">
            <w:pPr>
              <w:spacing w:line="400" w:lineRule="exact"/>
              <w:rPr>
                <w:rFonts w:hint="eastAsia" w:ascii="宋体" w:hAnsi="宋体" w:cs="宋体"/>
              </w:rPr>
            </w:pPr>
            <w:r>
              <w:rPr>
                <w:rFonts w:hint="eastAsia" w:ascii="宋体" w:hAnsi="宋体" w:cs="宋体"/>
              </w:rPr>
              <w:t>1.验收条件及标准：</w:t>
            </w:r>
          </w:p>
          <w:p w14:paraId="29229226">
            <w:pPr>
              <w:spacing w:line="400" w:lineRule="exact"/>
              <w:rPr>
                <w:rFonts w:hint="eastAsia" w:ascii="宋体" w:hAnsi="宋体" w:cs="宋体"/>
              </w:rPr>
            </w:pPr>
            <w:r>
              <w:rPr>
                <w:rFonts w:hint="eastAsia" w:ascii="宋体" w:hAnsi="宋体" w:cs="宋体"/>
              </w:rPr>
              <w:t>1.1符合合同要求及现行国家相关标准、行业标准、地方标准或者其他标准、规范；</w:t>
            </w:r>
          </w:p>
          <w:p w14:paraId="29E00731">
            <w:pPr>
              <w:spacing w:line="400" w:lineRule="exact"/>
              <w:rPr>
                <w:rFonts w:hint="eastAsia" w:ascii="宋体" w:hAnsi="宋体" w:cs="宋体"/>
              </w:rPr>
            </w:pPr>
            <w:r>
              <w:rPr>
                <w:rFonts w:hint="eastAsia" w:ascii="宋体" w:hAnsi="宋体" w:cs="宋体"/>
              </w:rPr>
              <w:t>1.2参数配置符合或优于合同要求；</w:t>
            </w:r>
          </w:p>
          <w:p w14:paraId="511A4B27">
            <w:pPr>
              <w:spacing w:line="400" w:lineRule="exact"/>
              <w:rPr>
                <w:rFonts w:hint="eastAsia" w:ascii="宋体" w:hAnsi="宋体" w:cs="宋体"/>
              </w:rPr>
            </w:pPr>
            <w:r>
              <w:rPr>
                <w:rFonts w:hint="eastAsia" w:ascii="宋体" w:hAnsi="宋体" w:cs="宋体"/>
              </w:rPr>
              <w:t>2.由采购人邀请相关部门及有关技术专家按照竞争性谈判文件要求、合同及成交供应商承诺的 技术要求和质量标准验收（发生争议时将邀请合法的第三方专业的检测机构协助验收），验收过程中所产生的一切费用均由成交供应商承担，报价时应考虑相关费用。</w:t>
            </w:r>
          </w:p>
          <w:p w14:paraId="19FF863C">
            <w:pPr>
              <w:spacing w:line="400" w:lineRule="exact"/>
              <w:rPr>
                <w:rFonts w:hint="eastAsia" w:ascii="宋体" w:hAnsi="宋体" w:cs="宋体"/>
              </w:rPr>
            </w:pPr>
            <w:r>
              <w:rPr>
                <w:rFonts w:hint="eastAsia" w:ascii="宋体" w:hAnsi="宋体" w:cs="宋体"/>
              </w:rPr>
              <w:t>3.本项目所有货物到达现场后，成交供应商应在采购人单位人员在场情况下当面开箱，共同清点、检查外观，作出开箱记录，双方签字确认。成交供应商应保证货物到达采购人所在地完好无损，如有缺漏、损坏，由成交供应商负责调换、补齐或赔偿。</w:t>
            </w:r>
          </w:p>
          <w:p w14:paraId="6560D478">
            <w:pPr>
              <w:spacing w:line="400" w:lineRule="exact"/>
              <w:rPr>
                <w:rFonts w:ascii="宋体" w:hAnsi="宋体" w:cs="宋体"/>
              </w:rPr>
            </w:pPr>
            <w:r>
              <w:rPr>
                <w:rFonts w:hint="eastAsia" w:ascii="宋体" w:hAnsi="宋体" w:cs="宋体"/>
              </w:rPr>
              <w:t>4.成交供应商在验收时由采购人对照竞争性谈判文件的功能目标及技术指标全面核对检验，对所有要求出具的证明文件的原件进行核查，如不符合竞争性谈判文件的技术需求及要求以及提供虚假承诺的，按相关规定做退货处理及违约处理，成交供应商承担所有有关责任和费用，采购人保留进一步追究责任的权利。</w:t>
            </w:r>
          </w:p>
          <w:p w14:paraId="446DBF31">
            <w:pPr>
              <w:spacing w:line="400" w:lineRule="exact"/>
              <w:rPr>
                <w:rFonts w:ascii="宋体" w:hAnsi="宋体" w:cs="宋体"/>
              </w:rPr>
            </w:pPr>
            <w:r>
              <w:rPr>
                <w:rFonts w:hint="eastAsia" w:ascii="宋体" w:hAnsi="宋体" w:cs="宋体"/>
              </w:rPr>
              <w:t>5.为保证产品质量和售后服务，在验收前，生产厂家出具的针对该项目的产品制造商的授权书原件与售后服务承诺书原件，否则不予验收。</w:t>
            </w:r>
          </w:p>
          <w:p w14:paraId="05B405E8">
            <w:pPr>
              <w:spacing w:line="400" w:lineRule="exact"/>
              <w:rPr>
                <w:color w:val="auto"/>
                <w:highlight w:val="none"/>
                <w:lang w:eastAsia="zh-CN"/>
              </w:rPr>
            </w:pPr>
            <w:r>
              <w:rPr>
                <w:rFonts w:hint="eastAsia" w:ascii="宋体" w:hAnsi="宋体" w:cs="宋体"/>
              </w:rPr>
              <w:t>6.其他验收要求按第五章《拟签订的合同文本》执行，未尽事宜按照《关于印发广西壮族自治区政府采购项目履约验收管理办法的通知》[桂财采〔2015〕22号]以及《财政部关于进一步加强政府采购需求和履约验收管理的指导意见》[财库〔2016〕205号]规定执行。</w:t>
            </w:r>
          </w:p>
        </w:tc>
      </w:tr>
      <w:tr w14:paraId="1DC8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328" w:type="dxa"/>
            <w:gridSpan w:val="3"/>
            <w:vAlign w:val="center"/>
          </w:tcPr>
          <w:p w14:paraId="1EF4A90F">
            <w:pPr>
              <w:spacing w:line="560" w:lineRule="exact"/>
              <w:jc w:val="center"/>
              <w:rPr>
                <w:rFonts w:ascii="Times New Roman" w:hAnsi="Times New Roman"/>
                <w:bCs/>
                <w:color w:val="auto"/>
                <w:highlight w:val="none"/>
              </w:rPr>
            </w:pPr>
            <w:r>
              <w:rPr>
                <w:rFonts w:ascii="Times New Roman" w:hAnsi="Times New Roman"/>
                <w:bCs/>
                <w:color w:val="auto"/>
                <w:highlight w:val="none"/>
              </w:rPr>
              <w:t>（</w:t>
            </w:r>
            <w:r>
              <w:rPr>
                <w:rFonts w:hint="eastAsia" w:ascii="Times New Roman" w:hAnsi="Times New Roman" w:eastAsia="宋体"/>
                <w:bCs/>
                <w:color w:val="auto"/>
                <w:highlight w:val="none"/>
                <w:lang w:val="en-US" w:eastAsia="zh-CN"/>
              </w:rPr>
              <w:t>五</w:t>
            </w:r>
            <w:r>
              <w:rPr>
                <w:rFonts w:ascii="Times New Roman" w:hAnsi="Times New Roman"/>
                <w:bCs/>
                <w:color w:val="auto"/>
                <w:highlight w:val="none"/>
              </w:rPr>
              <w:t>）</w:t>
            </w:r>
            <w:r>
              <w:rPr>
                <w:rFonts w:hint="eastAsia" w:ascii="Times New Roman" w:hAnsi="Times New Roman" w:eastAsia="宋体"/>
                <w:bCs/>
                <w:color w:val="auto"/>
                <w:highlight w:val="none"/>
                <w:lang w:eastAsia="zh-CN"/>
              </w:rPr>
              <w:t>其他</w:t>
            </w:r>
          </w:p>
        </w:tc>
        <w:tc>
          <w:tcPr>
            <w:tcW w:w="7279" w:type="dxa"/>
            <w:gridSpan w:val="5"/>
            <w:vAlign w:val="center"/>
          </w:tcPr>
          <w:p w14:paraId="35CF77CA">
            <w:pPr>
              <w:spacing w:line="560" w:lineRule="exact"/>
              <w:rPr>
                <w:rFonts w:ascii="Times New Roman" w:hAnsi="Times New Roman"/>
                <w:color w:val="auto"/>
                <w:highlight w:val="none"/>
                <w:lang w:eastAsia="zh-CN"/>
              </w:rPr>
            </w:pPr>
            <w:r>
              <w:rPr>
                <w:rFonts w:hint="eastAsia" w:ascii="Times New Roman" w:hAnsi="Times New Roman"/>
                <w:color w:val="auto"/>
                <w:highlight w:val="none"/>
                <w:lang w:eastAsia="zh-CN"/>
              </w:rPr>
              <w:t>1.投标人必须提供产品制造商的授权书与售后服务承诺书，整机含1年的免费保修服务，包含软件升级。</w:t>
            </w:r>
          </w:p>
          <w:p w14:paraId="523D8729">
            <w:pPr>
              <w:spacing w:line="560" w:lineRule="exact"/>
              <w:rPr>
                <w:rFonts w:ascii="Times New Roman" w:hAnsi="Times New Roman"/>
                <w:color w:val="auto"/>
                <w:highlight w:val="none"/>
                <w:lang w:eastAsia="zh-CN"/>
              </w:rPr>
            </w:pPr>
            <w:r>
              <w:rPr>
                <w:rFonts w:hint="eastAsia" w:ascii="Times New Roman" w:hAnsi="Times New Roman"/>
                <w:color w:val="auto"/>
                <w:highlight w:val="none"/>
                <w:lang w:eastAsia="zh-CN"/>
              </w:rPr>
              <w:t>2.安装调试与最终验收成交供应商应派人员到用户场地进行安装调试，对用户操作人员现场进行使用和维护培训，直至设备运行正常，员工能正常操作，内容包括仪器的原理、使用、日常维护及现场操作。并提供相关的技术资料。</w:t>
            </w:r>
          </w:p>
          <w:p w14:paraId="251901D3">
            <w:pPr>
              <w:spacing w:line="560" w:lineRule="exact"/>
              <w:rPr>
                <w:rFonts w:hint="eastAsia" w:ascii="Times New Roman" w:hAnsi="Times New Roman"/>
                <w:color w:val="auto"/>
                <w:highlight w:val="none"/>
                <w:lang w:eastAsia="zh-CN"/>
              </w:rPr>
            </w:pPr>
            <w:r>
              <w:rPr>
                <w:rFonts w:hint="eastAsia" w:ascii="Times New Roman" w:hAnsi="Times New Roman"/>
                <w:color w:val="auto"/>
                <w:highlight w:val="none"/>
                <w:lang w:eastAsia="zh-CN"/>
              </w:rPr>
              <w:t>3.本项目采购预算金额为人民币贰佰叁拾万元整（￥2300000.00），供应商报价超出采购预算的，其响应文件按无效处理。</w:t>
            </w:r>
          </w:p>
        </w:tc>
      </w:tr>
    </w:tbl>
    <w:p w14:paraId="2FC03289">
      <w:pPr>
        <w:widowControl w:val="0"/>
        <w:spacing w:line="360" w:lineRule="auto"/>
        <w:ind w:firstLine="402" w:firstLineChars="200"/>
        <w:rPr>
          <w:rFonts w:ascii="宋体" w:hAnsi="宋体" w:eastAsia="宋体" w:cs="宋体"/>
          <w:b/>
          <w:bCs/>
          <w:color w:val="auto"/>
          <w:sz w:val="20"/>
          <w:szCs w:val="20"/>
          <w:highlight w:val="none"/>
          <w:lang w:eastAsia="zh-CN"/>
        </w:rPr>
      </w:pPr>
    </w:p>
    <w:p w14:paraId="5D537660">
      <w:pPr>
        <w:pStyle w:val="7"/>
        <w:widowControl w:val="0"/>
        <w:spacing w:line="360" w:lineRule="auto"/>
        <w:ind w:firstLine="420" w:firstLineChars="200"/>
        <w:rPr>
          <w:color w:val="auto"/>
          <w:highlight w:val="none"/>
          <w:lang w:eastAsia="zh-CN"/>
        </w:rPr>
      </w:pPr>
    </w:p>
    <w:p w14:paraId="2EB38B1C">
      <w:pPr>
        <w:widowControl w:val="0"/>
        <w:spacing w:line="360" w:lineRule="auto"/>
        <w:ind w:firstLine="40" w:firstLineChars="200"/>
        <w:rPr>
          <w:color w:val="auto"/>
          <w:sz w:val="2"/>
          <w:highlight w:val="none"/>
          <w:lang w:eastAsia="zh-CN"/>
        </w:rPr>
      </w:pPr>
    </w:p>
    <w:p w14:paraId="05A38342">
      <w:pPr>
        <w:widowControl w:val="0"/>
        <w:spacing w:line="360" w:lineRule="auto"/>
        <w:ind w:firstLine="420" w:firstLineChars="200"/>
        <w:rPr>
          <w:color w:val="auto"/>
          <w:highlight w:val="none"/>
          <w:lang w:eastAsia="zh-CN"/>
        </w:rPr>
        <w:sectPr>
          <w:footerReference r:id="rId9" w:type="default"/>
          <w:pgSz w:w="11906" w:h="16839"/>
          <w:pgMar w:top="1417" w:right="1417" w:bottom="1417" w:left="1417" w:header="0" w:footer="822" w:gutter="0"/>
          <w:cols w:space="0" w:num="1"/>
        </w:sectPr>
      </w:pPr>
    </w:p>
    <w:p w14:paraId="7748F9E2">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00" w:lineRule="exact"/>
        <w:jc w:val="center"/>
        <w:textAlignment w:val="baseline"/>
        <w:rPr>
          <w:rFonts w:ascii="宋体" w:hAnsi="宋体" w:eastAsia="宋体" w:cs="宋体"/>
          <w:bCs/>
          <w:color w:val="auto"/>
          <w:sz w:val="31"/>
          <w:szCs w:val="31"/>
          <w:highlight w:val="none"/>
        </w:rPr>
      </w:pPr>
      <w:bookmarkStart w:id="14" w:name="_Toc25408"/>
      <w:r>
        <w:rPr>
          <w:rFonts w:hint="eastAsia" w:ascii="宋体" w:hAnsi="宋体" w:eastAsia="宋体" w:cs="宋体"/>
          <w:b/>
          <w:bCs/>
          <w:snapToGrid w:val="0"/>
          <w:color w:val="auto"/>
          <w:kern w:val="44"/>
          <w:sz w:val="31"/>
          <w:szCs w:val="31"/>
          <w:lang w:val="en-US" w:eastAsia="en-US" w:bidi="ar-SA"/>
        </w:rPr>
        <w:t>第四章</w:t>
      </w:r>
      <w:r>
        <w:rPr>
          <w:rFonts w:hint="eastAsia" w:ascii="宋体" w:hAnsi="宋体" w:eastAsia="宋体" w:cs="宋体"/>
          <w:b/>
          <w:bCs/>
          <w:snapToGrid w:val="0"/>
          <w:color w:val="auto"/>
          <w:kern w:val="44"/>
          <w:sz w:val="31"/>
          <w:szCs w:val="31"/>
          <w:lang w:val="en-US" w:eastAsia="zh-CN" w:bidi="ar-SA"/>
        </w:rPr>
        <w:t xml:space="preserve"> </w:t>
      </w:r>
      <w:r>
        <w:rPr>
          <w:rFonts w:ascii="宋体" w:hAnsi="宋体" w:eastAsia="宋体" w:cs="宋体"/>
          <w:bCs/>
          <w:color w:val="auto"/>
          <w:sz w:val="31"/>
          <w:szCs w:val="31"/>
          <w:highlight w:val="none"/>
        </w:rPr>
        <w:t>评审办法</w:t>
      </w:r>
      <w:bookmarkEnd w:id="14"/>
    </w:p>
    <w:p w14:paraId="26934875">
      <w:pPr>
        <w:widowControl w:val="0"/>
        <w:spacing w:line="360" w:lineRule="auto"/>
        <w:ind w:firstLine="422" w:firstLineChars="200"/>
        <w:rPr>
          <w:rFonts w:ascii="宋体" w:hAnsi="宋体" w:eastAsia="宋体" w:cs="宋体"/>
          <w:b/>
          <w:bCs/>
          <w:color w:val="auto"/>
          <w:highlight w:val="none"/>
        </w:rPr>
      </w:pPr>
      <w:r>
        <w:rPr>
          <w:rFonts w:ascii="宋体" w:hAnsi="宋体" w:eastAsia="宋体" w:cs="宋体"/>
          <w:b/>
          <w:bCs/>
          <w:color w:val="auto"/>
          <w:highlight w:val="none"/>
        </w:rPr>
        <w:t>一、评审依据及方式</w:t>
      </w:r>
    </w:p>
    <w:p w14:paraId="3ADC500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1.评审依据：谈判小组以竞争性谈判文件和响应文件为评审依据。</w:t>
      </w:r>
    </w:p>
    <w:p w14:paraId="4350684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2.评审方式： 以封闭方式进行评审。</w:t>
      </w:r>
    </w:p>
    <w:p w14:paraId="0C3F63C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3.根据财库〔2012〕69 号文规定，采购人和采购代理机构，谈判小组成员要严格遵守政府采购相 关法律制度，依法履行各自职责，公正、客观、审慎地组织和参与评审工作。</w:t>
      </w:r>
    </w:p>
    <w:p w14:paraId="504AB38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二、评审办法</w:t>
      </w:r>
    </w:p>
    <w:p w14:paraId="33CE67F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1.谈判小组应当从质量和服务均能满足竞争性谈判文件全部实质性响应要求的供应商中，按照评审报价由低到高顺序提出 3 名以上（含 3 名）成交候选人。</w:t>
      </w:r>
    </w:p>
    <w:p w14:paraId="5A0D307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2.根据《政府采购促进中小企业发展管理办法》（财库[2020]46 号）规定：扣除后的价格为评审 报价。</w:t>
      </w:r>
    </w:p>
    <w:p w14:paraId="414EC61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①供应商提供的货物全部由符合政策要求的小型、微型企业制造，响应文件中提供《中小企业声 明函》的，供应商最后报价给予 20%的扣除，扣除后的价格为评审报价，即供应商的评审报价=最后报价×（1-20%）；</w:t>
      </w:r>
    </w:p>
    <w:p w14:paraId="69B574B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②除上述情况外，评审报价=最后报价。</w:t>
      </w:r>
    </w:p>
    <w:p w14:paraId="6125DA51">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注：评审报价为供应商的最后报价进行政策性扣除后的价格，评审报价只是作为评审时使用。最</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终成交供应商的成交金额＝最后报价。</w:t>
      </w:r>
    </w:p>
    <w:p w14:paraId="7555569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3.根据《关于政府采购支持监狱企业发展有关问题的通知》（财库[2014]68 号）和《关于促进残 疾人就业政府采购政策的通知》（财库[2017]141 号），监狱企业和符合条件的残疾人福利性单位视同小型、微型企业，享受小型、微型企业评审中价格扣除的政府采购政策。残疾人福利性单位属于小型、微型企业的，不重复享受政策。</w:t>
      </w:r>
    </w:p>
    <w:p w14:paraId="1FC8D71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4.评审时，应当将通过资格性审查和符合性审查各供应商的评审报价，按照由低到高顺序排序， 当评审报价相同时， 以最后报价低的优先排序；当最后报价相同时，则依次按节能环保产品优先、技术指标高优先、免费保修期长优先、运维期限长优先、项目实施方案优的优先原则排序。</w:t>
      </w:r>
    </w:p>
    <w:p w14:paraId="64B727B7">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三、成交候选人确定原则</w:t>
      </w:r>
    </w:p>
    <w:p w14:paraId="68CC4FE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（1）采购单位应当确定谈判小组推荐排名第一的成交候选人为成交供应商。</w:t>
      </w:r>
    </w:p>
    <w:p w14:paraId="06682D1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排名第一的成交候选人放弃成交、因不可抗力提出不能履行合同，或者竞争性谈判文件规定应当提交履约保证金而在规定的期限内未能提交的，或因失信行为被取消成交候选人资格的，采购单位可以确定排名第二的成交候选人为成交供应商</w:t>
      </w:r>
      <w:r>
        <w:rPr>
          <w:rFonts w:hint="eastAsia" w:ascii="宋体" w:hAnsi="宋体" w:eastAsia="宋体" w:cs="宋体"/>
          <w:color w:val="auto"/>
          <w:highlight w:val="none"/>
          <w:lang w:eastAsia="zh-CN"/>
        </w:rPr>
        <w:t>，</w:t>
      </w:r>
      <w:r>
        <w:rPr>
          <w:rFonts w:ascii="Times New Roman" w:hAnsi="Times New Roman"/>
        </w:rPr>
        <w:t>以此类推。</w:t>
      </w:r>
    </w:p>
    <w:p w14:paraId="78F1FA9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w:t>
      </w:r>
      <w:r>
        <w:rPr>
          <w:rFonts w:ascii="Times New Roman" w:hAnsi="Times New Roman"/>
        </w:rPr>
        <w:t>谈判小组认为，某竞标人的有效竞标报价或者某些分项报价明显不合理或者低于成本，有可能影响商品质量和不能诚信履约的，应要求其在规定的期限内提供书面文件予以解释说明，并提交相关证明材料；否则，谈判小组可以取消该竞标人的成交候选资格，按顺序由排在后面的成交候选人递补，以此类推。</w:t>
      </w:r>
    </w:p>
    <w:p w14:paraId="676A474A">
      <w:pPr>
        <w:widowControl w:val="0"/>
        <w:kinsoku/>
        <w:wordWrap w:val="0"/>
        <w:spacing w:before="120" w:beforeLines="50" w:after="120" w:afterLines="50" w:line="360" w:lineRule="auto"/>
        <w:jc w:val="center"/>
        <w:rPr>
          <w:rFonts w:hint="eastAsia" w:ascii="宋体" w:hAnsi="宋体" w:cs="宋体"/>
          <w:b/>
          <w:bCs/>
          <w:color w:val="auto"/>
          <w:sz w:val="30"/>
          <w:szCs w:val="30"/>
          <w:highlight w:val="none"/>
          <w:lang w:eastAsia="zh-CN"/>
        </w:rPr>
      </w:pPr>
      <w:bookmarkStart w:id="15" w:name="_Toc28361_WPSOffice_Level2"/>
    </w:p>
    <w:p w14:paraId="70FE663E">
      <w:pPr>
        <w:widowControl w:val="0"/>
        <w:kinsoku/>
        <w:wordWrap w:val="0"/>
        <w:spacing w:before="120" w:beforeLines="50" w:after="120" w:afterLines="50" w:line="360" w:lineRule="auto"/>
        <w:jc w:val="center"/>
        <w:rPr>
          <w:rFonts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统计上大中小微型企业划分标准</w:t>
      </w:r>
      <w:bookmarkEnd w:id="1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A8C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7259E2AF">
            <w:pPr>
              <w:widowControl w:val="0"/>
              <w:kinsoku/>
              <w:wordWrap w:val="0"/>
              <w:spacing w:line="360" w:lineRule="auto"/>
              <w:jc w:val="center"/>
              <w:rPr>
                <w:rFonts w:ascii="宋体" w:hAnsi="宋体" w:cs="宋体"/>
                <w:b/>
                <w:bCs/>
                <w:color w:val="auto"/>
                <w:sz w:val="18"/>
                <w:highlight w:val="none"/>
              </w:rPr>
            </w:pPr>
            <w:r>
              <w:rPr>
                <w:rFonts w:hint="eastAsia" w:ascii="宋体" w:hAnsi="宋体" w:cs="宋体"/>
                <w:b/>
                <w:bCs/>
                <w:color w:val="auto"/>
                <w:sz w:val="18"/>
                <w:highlight w:val="none"/>
              </w:rPr>
              <w:t>行业名称</w:t>
            </w:r>
          </w:p>
        </w:tc>
        <w:tc>
          <w:tcPr>
            <w:tcW w:w="1369" w:type="dxa"/>
            <w:shd w:val="clear" w:color="auto" w:fill="FFFFFF"/>
            <w:vAlign w:val="center"/>
          </w:tcPr>
          <w:p w14:paraId="52425B8E">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指标名称</w:t>
            </w:r>
          </w:p>
        </w:tc>
        <w:tc>
          <w:tcPr>
            <w:tcW w:w="709" w:type="dxa"/>
            <w:shd w:val="clear" w:color="auto" w:fill="FFFFFF"/>
            <w:vAlign w:val="center"/>
          </w:tcPr>
          <w:p w14:paraId="25A97ECD">
            <w:pPr>
              <w:widowControl w:val="0"/>
              <w:kinsoku/>
              <w:wordWrap w:val="0"/>
              <w:spacing w:line="360" w:lineRule="auto"/>
              <w:jc w:val="center"/>
              <w:rPr>
                <w:rFonts w:ascii="宋体" w:hAnsi="宋体" w:eastAsia="宋体" w:cs="宋体"/>
                <w:b/>
                <w:bCs/>
                <w:color w:val="auto"/>
                <w:sz w:val="18"/>
                <w:szCs w:val="18"/>
                <w:highlight w:val="none"/>
                <w:lang w:eastAsia="zh-CN"/>
              </w:rPr>
            </w:pPr>
            <w:r>
              <w:rPr>
                <w:rFonts w:hint="eastAsia" w:ascii="宋体" w:hAnsi="宋体" w:cs="宋体"/>
                <w:b/>
                <w:bCs/>
                <w:color w:val="auto"/>
                <w:sz w:val="18"/>
                <w:szCs w:val="18"/>
                <w:highlight w:val="none"/>
              </w:rPr>
              <w:t>计量</w:t>
            </w:r>
          </w:p>
          <w:p w14:paraId="588933EF">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单位</w:t>
            </w:r>
          </w:p>
        </w:tc>
        <w:tc>
          <w:tcPr>
            <w:tcW w:w="1125" w:type="dxa"/>
            <w:shd w:val="clear" w:color="auto" w:fill="FFFFFF"/>
            <w:vAlign w:val="center"/>
          </w:tcPr>
          <w:p w14:paraId="5550E5DF">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大型</w:t>
            </w:r>
          </w:p>
        </w:tc>
        <w:tc>
          <w:tcPr>
            <w:tcW w:w="1701" w:type="dxa"/>
            <w:shd w:val="clear" w:color="auto" w:fill="FFFFFF"/>
            <w:vAlign w:val="center"/>
          </w:tcPr>
          <w:p w14:paraId="051C36F8">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中型</w:t>
            </w:r>
          </w:p>
        </w:tc>
        <w:tc>
          <w:tcPr>
            <w:tcW w:w="1426" w:type="dxa"/>
            <w:shd w:val="clear" w:color="auto" w:fill="FFFFFF"/>
            <w:vAlign w:val="center"/>
          </w:tcPr>
          <w:p w14:paraId="6E2941B8">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小型</w:t>
            </w:r>
          </w:p>
        </w:tc>
        <w:tc>
          <w:tcPr>
            <w:tcW w:w="992" w:type="dxa"/>
            <w:shd w:val="clear" w:color="auto" w:fill="FFFFFF"/>
            <w:vAlign w:val="center"/>
          </w:tcPr>
          <w:p w14:paraId="679B417E">
            <w:pPr>
              <w:widowControl w:val="0"/>
              <w:kinsoku/>
              <w:wordWrap w:val="0"/>
              <w:spacing w:line="360" w:lineRule="auto"/>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微型</w:t>
            </w:r>
          </w:p>
        </w:tc>
      </w:tr>
      <w:tr w14:paraId="5408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C955281">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369" w:type="dxa"/>
            <w:vAlign w:val="center"/>
          </w:tcPr>
          <w:p w14:paraId="5591C51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C4E2EA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7CE4E9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00989ED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426" w:type="dxa"/>
            <w:vAlign w:val="center"/>
          </w:tcPr>
          <w:p w14:paraId="438E779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50≤Y＜500</w:t>
            </w:r>
          </w:p>
        </w:tc>
        <w:tc>
          <w:tcPr>
            <w:tcW w:w="992" w:type="dxa"/>
            <w:vAlign w:val="center"/>
          </w:tcPr>
          <w:p w14:paraId="67E43EF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1894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34710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工业 *</w:t>
            </w:r>
          </w:p>
        </w:tc>
        <w:tc>
          <w:tcPr>
            <w:tcW w:w="1369" w:type="dxa"/>
            <w:vAlign w:val="center"/>
          </w:tcPr>
          <w:p w14:paraId="5327386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6DF0599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148A2ED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5A4F67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4FAFA36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92" w:type="dxa"/>
            <w:vAlign w:val="center"/>
          </w:tcPr>
          <w:p w14:paraId="640678F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6C7B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5728DE">
            <w:pPr>
              <w:widowControl w:val="0"/>
              <w:kinsoku/>
              <w:wordWrap w:val="0"/>
              <w:spacing w:line="360" w:lineRule="auto"/>
              <w:rPr>
                <w:rFonts w:ascii="宋体" w:hAnsi="宋体" w:cs="宋体"/>
                <w:color w:val="auto"/>
                <w:sz w:val="18"/>
                <w:szCs w:val="18"/>
                <w:highlight w:val="none"/>
              </w:rPr>
            </w:pPr>
          </w:p>
        </w:tc>
        <w:tc>
          <w:tcPr>
            <w:tcW w:w="1369" w:type="dxa"/>
            <w:vAlign w:val="center"/>
          </w:tcPr>
          <w:p w14:paraId="58557A7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629B22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279F98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7ED13C8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426" w:type="dxa"/>
            <w:vAlign w:val="center"/>
          </w:tcPr>
          <w:p w14:paraId="4BF9A1A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300≤Y＜2000</w:t>
            </w:r>
          </w:p>
        </w:tc>
        <w:tc>
          <w:tcPr>
            <w:tcW w:w="992" w:type="dxa"/>
            <w:vAlign w:val="center"/>
          </w:tcPr>
          <w:p w14:paraId="3615736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748B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AC4BF74">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369" w:type="dxa"/>
            <w:vAlign w:val="center"/>
          </w:tcPr>
          <w:p w14:paraId="07441D0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51D517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3922B8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Y≥80000</w:t>
            </w:r>
          </w:p>
        </w:tc>
        <w:tc>
          <w:tcPr>
            <w:tcW w:w="1701" w:type="dxa"/>
            <w:vAlign w:val="center"/>
          </w:tcPr>
          <w:p w14:paraId="7C554DD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426" w:type="dxa"/>
            <w:vAlign w:val="center"/>
          </w:tcPr>
          <w:p w14:paraId="4AF3DC4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300≤Y＜6000</w:t>
            </w:r>
          </w:p>
        </w:tc>
        <w:tc>
          <w:tcPr>
            <w:tcW w:w="992" w:type="dxa"/>
            <w:vAlign w:val="center"/>
          </w:tcPr>
          <w:p w14:paraId="6F11784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5A6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524A88">
            <w:pPr>
              <w:widowControl w:val="0"/>
              <w:kinsoku/>
              <w:wordWrap w:val="0"/>
              <w:spacing w:line="360" w:lineRule="auto"/>
              <w:rPr>
                <w:rFonts w:ascii="宋体" w:hAnsi="宋体" w:cs="宋体"/>
                <w:color w:val="auto"/>
                <w:sz w:val="18"/>
                <w:szCs w:val="18"/>
                <w:highlight w:val="none"/>
              </w:rPr>
            </w:pPr>
          </w:p>
        </w:tc>
        <w:tc>
          <w:tcPr>
            <w:tcW w:w="1369" w:type="dxa"/>
            <w:vAlign w:val="center"/>
          </w:tcPr>
          <w:p w14:paraId="458B3A3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173687D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7D07161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Z≥80000</w:t>
            </w:r>
          </w:p>
        </w:tc>
        <w:tc>
          <w:tcPr>
            <w:tcW w:w="1701" w:type="dxa"/>
            <w:vAlign w:val="center"/>
          </w:tcPr>
          <w:p w14:paraId="07ECFCE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426" w:type="dxa"/>
            <w:vAlign w:val="center"/>
          </w:tcPr>
          <w:p w14:paraId="0AFEEAE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300≤Z＜5000</w:t>
            </w:r>
          </w:p>
        </w:tc>
        <w:tc>
          <w:tcPr>
            <w:tcW w:w="992" w:type="dxa"/>
            <w:vAlign w:val="center"/>
          </w:tcPr>
          <w:p w14:paraId="46B274E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2AEF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C1510DC">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369" w:type="dxa"/>
            <w:vAlign w:val="center"/>
          </w:tcPr>
          <w:p w14:paraId="3F9E220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2643D9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948710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6848FAB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426" w:type="dxa"/>
            <w:vAlign w:val="center"/>
          </w:tcPr>
          <w:p w14:paraId="483AC5B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5≤X＜20</w:t>
            </w:r>
          </w:p>
        </w:tc>
        <w:tc>
          <w:tcPr>
            <w:tcW w:w="992" w:type="dxa"/>
            <w:vAlign w:val="center"/>
          </w:tcPr>
          <w:p w14:paraId="36AB20E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476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9D356BD">
            <w:pPr>
              <w:widowControl w:val="0"/>
              <w:kinsoku/>
              <w:wordWrap w:val="0"/>
              <w:spacing w:line="360" w:lineRule="auto"/>
              <w:rPr>
                <w:rFonts w:ascii="宋体" w:hAnsi="宋体" w:cs="宋体"/>
                <w:color w:val="auto"/>
                <w:sz w:val="18"/>
                <w:szCs w:val="18"/>
                <w:highlight w:val="none"/>
              </w:rPr>
            </w:pPr>
          </w:p>
        </w:tc>
        <w:tc>
          <w:tcPr>
            <w:tcW w:w="1369" w:type="dxa"/>
            <w:vAlign w:val="center"/>
          </w:tcPr>
          <w:p w14:paraId="5B6B03B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F42E89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B8902D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0ECC4A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426" w:type="dxa"/>
            <w:vAlign w:val="center"/>
          </w:tcPr>
          <w:p w14:paraId="4FAFAB7F">
            <w:pPr>
              <w:widowControl w:val="0"/>
              <w:kinsoku/>
              <w:wordWrap w:val="0"/>
              <w:spacing w:line="360" w:lineRule="auto"/>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992" w:type="dxa"/>
            <w:vAlign w:val="center"/>
          </w:tcPr>
          <w:p w14:paraId="7DB4784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6057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DAD136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369" w:type="dxa"/>
            <w:vAlign w:val="center"/>
          </w:tcPr>
          <w:p w14:paraId="04E0E33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0D22E29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47F593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6536939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426" w:type="dxa"/>
            <w:vAlign w:val="center"/>
          </w:tcPr>
          <w:p w14:paraId="225ECA40">
            <w:pPr>
              <w:widowControl w:val="0"/>
              <w:kinsoku/>
              <w:wordWrap w:val="0"/>
              <w:spacing w:line="360" w:lineRule="auto"/>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10≤X＜50 </w:t>
            </w:r>
          </w:p>
        </w:tc>
        <w:tc>
          <w:tcPr>
            <w:tcW w:w="992" w:type="dxa"/>
            <w:vAlign w:val="center"/>
          </w:tcPr>
          <w:p w14:paraId="0407505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78D9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93B01B6">
            <w:pPr>
              <w:widowControl w:val="0"/>
              <w:kinsoku/>
              <w:wordWrap w:val="0"/>
              <w:spacing w:line="360" w:lineRule="auto"/>
              <w:rPr>
                <w:rFonts w:ascii="宋体" w:hAnsi="宋体" w:cs="宋体"/>
                <w:color w:val="auto"/>
                <w:sz w:val="18"/>
                <w:szCs w:val="18"/>
                <w:highlight w:val="none"/>
              </w:rPr>
            </w:pPr>
          </w:p>
        </w:tc>
        <w:tc>
          <w:tcPr>
            <w:tcW w:w="1369" w:type="dxa"/>
            <w:vAlign w:val="center"/>
          </w:tcPr>
          <w:p w14:paraId="20B3440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0C21B9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8E7D4C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20FEFB2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500≤Y＜20000</w:t>
            </w:r>
          </w:p>
        </w:tc>
        <w:tc>
          <w:tcPr>
            <w:tcW w:w="1426" w:type="dxa"/>
            <w:vAlign w:val="center"/>
          </w:tcPr>
          <w:p w14:paraId="00A459F4">
            <w:pPr>
              <w:widowControl w:val="0"/>
              <w:kinsoku/>
              <w:wordWrap w:val="0"/>
              <w:spacing w:line="360" w:lineRule="auto"/>
              <w:ind w:left="-1" w:leftChars="-1" w:hanging="1"/>
              <w:jc w:val="center"/>
              <w:rPr>
                <w:rFonts w:ascii="宋体" w:hAnsi="宋体" w:cs="宋体"/>
                <w:color w:val="auto"/>
                <w:sz w:val="18"/>
                <w:szCs w:val="18"/>
                <w:highlight w:val="none"/>
              </w:rPr>
            </w:pPr>
            <w:r>
              <w:rPr>
                <w:rFonts w:hint="eastAsia" w:ascii="宋体" w:hAnsi="宋体" w:cs="宋体"/>
                <w:color w:val="auto"/>
                <w:sz w:val="18"/>
                <w:szCs w:val="18"/>
                <w:highlight w:val="none"/>
              </w:rPr>
              <w:t>100≤Y＜500</w:t>
            </w:r>
          </w:p>
        </w:tc>
        <w:tc>
          <w:tcPr>
            <w:tcW w:w="992" w:type="dxa"/>
            <w:vAlign w:val="center"/>
          </w:tcPr>
          <w:p w14:paraId="45C0246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82D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298DE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交通运输业 *</w:t>
            </w:r>
          </w:p>
        </w:tc>
        <w:tc>
          <w:tcPr>
            <w:tcW w:w="1369" w:type="dxa"/>
            <w:vAlign w:val="center"/>
          </w:tcPr>
          <w:p w14:paraId="7F21807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7D9F10B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D273EB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2AF38EB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09501B8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92" w:type="dxa"/>
            <w:vAlign w:val="center"/>
          </w:tcPr>
          <w:p w14:paraId="53DFA46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DF5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706DD2D">
            <w:pPr>
              <w:widowControl w:val="0"/>
              <w:kinsoku/>
              <w:wordWrap w:val="0"/>
              <w:spacing w:line="360" w:lineRule="auto"/>
              <w:rPr>
                <w:rFonts w:ascii="宋体" w:hAnsi="宋体" w:cs="宋体"/>
                <w:color w:val="auto"/>
                <w:sz w:val="18"/>
                <w:szCs w:val="18"/>
                <w:highlight w:val="none"/>
              </w:rPr>
            </w:pPr>
          </w:p>
        </w:tc>
        <w:tc>
          <w:tcPr>
            <w:tcW w:w="1369" w:type="dxa"/>
            <w:vAlign w:val="center"/>
          </w:tcPr>
          <w:p w14:paraId="5375016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1F3DBB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595274D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21AF413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426" w:type="dxa"/>
            <w:vAlign w:val="center"/>
          </w:tcPr>
          <w:p w14:paraId="01C7D2F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200≤Y＜3000</w:t>
            </w:r>
          </w:p>
        </w:tc>
        <w:tc>
          <w:tcPr>
            <w:tcW w:w="992" w:type="dxa"/>
            <w:vAlign w:val="center"/>
          </w:tcPr>
          <w:p w14:paraId="6A77039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10B7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DB40F3">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369" w:type="dxa"/>
            <w:vAlign w:val="center"/>
          </w:tcPr>
          <w:p w14:paraId="0266F9F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4B67EF5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6BCAF3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34607470">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426" w:type="dxa"/>
            <w:vAlign w:val="center"/>
          </w:tcPr>
          <w:p w14:paraId="4208380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20≤X＜100</w:t>
            </w:r>
          </w:p>
        </w:tc>
        <w:tc>
          <w:tcPr>
            <w:tcW w:w="992" w:type="dxa"/>
            <w:vAlign w:val="center"/>
          </w:tcPr>
          <w:p w14:paraId="6BB09E1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867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2F89CE7">
            <w:pPr>
              <w:widowControl w:val="0"/>
              <w:kinsoku/>
              <w:wordWrap w:val="0"/>
              <w:spacing w:line="360" w:lineRule="auto"/>
              <w:rPr>
                <w:rFonts w:ascii="宋体" w:hAnsi="宋体" w:cs="宋体"/>
                <w:color w:val="auto"/>
                <w:sz w:val="18"/>
                <w:szCs w:val="18"/>
                <w:highlight w:val="none"/>
              </w:rPr>
            </w:pPr>
          </w:p>
        </w:tc>
        <w:tc>
          <w:tcPr>
            <w:tcW w:w="1369" w:type="dxa"/>
            <w:vAlign w:val="center"/>
          </w:tcPr>
          <w:p w14:paraId="1C03CAD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0ED7E9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1E9578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16EB7E2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426" w:type="dxa"/>
            <w:vAlign w:val="center"/>
          </w:tcPr>
          <w:p w14:paraId="0607297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92" w:type="dxa"/>
            <w:vAlign w:val="center"/>
          </w:tcPr>
          <w:p w14:paraId="43D72CB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4BD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B915D2">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369" w:type="dxa"/>
            <w:vAlign w:val="center"/>
          </w:tcPr>
          <w:p w14:paraId="2F84D8C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72CEAC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0ED7AA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5F89D96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1E0425C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20≤X＜300</w:t>
            </w:r>
          </w:p>
        </w:tc>
        <w:tc>
          <w:tcPr>
            <w:tcW w:w="992" w:type="dxa"/>
            <w:vAlign w:val="center"/>
          </w:tcPr>
          <w:p w14:paraId="479851A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0478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D16FB96">
            <w:pPr>
              <w:widowControl w:val="0"/>
              <w:kinsoku/>
              <w:wordWrap w:val="0"/>
              <w:spacing w:line="360" w:lineRule="auto"/>
              <w:rPr>
                <w:rFonts w:ascii="宋体" w:hAnsi="宋体" w:cs="宋体"/>
                <w:color w:val="auto"/>
                <w:sz w:val="18"/>
                <w:szCs w:val="18"/>
                <w:highlight w:val="none"/>
              </w:rPr>
            </w:pPr>
          </w:p>
        </w:tc>
        <w:tc>
          <w:tcPr>
            <w:tcW w:w="1369" w:type="dxa"/>
            <w:vAlign w:val="center"/>
          </w:tcPr>
          <w:p w14:paraId="43279A9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844EC5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E1382C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251784B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426" w:type="dxa"/>
            <w:vAlign w:val="center"/>
          </w:tcPr>
          <w:p w14:paraId="43F548E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92" w:type="dxa"/>
            <w:vAlign w:val="center"/>
          </w:tcPr>
          <w:p w14:paraId="7FF4096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26F6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C1F4B46">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369" w:type="dxa"/>
            <w:vAlign w:val="center"/>
          </w:tcPr>
          <w:p w14:paraId="584184D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68A79B6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1579221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7F617101">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26" w:type="dxa"/>
            <w:vAlign w:val="center"/>
          </w:tcPr>
          <w:p w14:paraId="4FFC15F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49B9BC6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083E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E9747B">
            <w:pPr>
              <w:widowControl w:val="0"/>
              <w:kinsoku/>
              <w:wordWrap w:val="0"/>
              <w:spacing w:line="360" w:lineRule="auto"/>
              <w:rPr>
                <w:rFonts w:ascii="宋体" w:hAnsi="宋体" w:cs="宋体"/>
                <w:color w:val="auto"/>
                <w:sz w:val="18"/>
                <w:szCs w:val="18"/>
                <w:highlight w:val="none"/>
              </w:rPr>
            </w:pPr>
          </w:p>
        </w:tc>
        <w:tc>
          <w:tcPr>
            <w:tcW w:w="1369" w:type="dxa"/>
            <w:vAlign w:val="center"/>
          </w:tcPr>
          <w:p w14:paraId="01A3F6F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C4C9FF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5154B62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280E2B1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06DCBA1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92" w:type="dxa"/>
            <w:vAlign w:val="center"/>
          </w:tcPr>
          <w:p w14:paraId="5C94FDA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72D2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1ADD2E5">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369" w:type="dxa"/>
            <w:vAlign w:val="center"/>
          </w:tcPr>
          <w:p w14:paraId="3D6A2A1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776BFA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99F0CD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770E5B9C">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19CA82B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45DA451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BBF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A003B62">
            <w:pPr>
              <w:widowControl w:val="0"/>
              <w:kinsoku/>
              <w:wordWrap w:val="0"/>
              <w:spacing w:line="360" w:lineRule="auto"/>
              <w:rPr>
                <w:rFonts w:ascii="宋体" w:hAnsi="宋体" w:cs="宋体"/>
                <w:color w:val="auto"/>
                <w:sz w:val="18"/>
                <w:szCs w:val="18"/>
                <w:highlight w:val="none"/>
              </w:rPr>
            </w:pPr>
          </w:p>
        </w:tc>
        <w:tc>
          <w:tcPr>
            <w:tcW w:w="1369" w:type="dxa"/>
            <w:vAlign w:val="center"/>
          </w:tcPr>
          <w:p w14:paraId="346D21B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4108166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D5AA4A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500E6BF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48F226D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100≤Y＜2000</w:t>
            </w:r>
          </w:p>
        </w:tc>
        <w:tc>
          <w:tcPr>
            <w:tcW w:w="992" w:type="dxa"/>
            <w:vAlign w:val="center"/>
          </w:tcPr>
          <w:p w14:paraId="0355604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C5F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FC6B63D">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信息传输业 *</w:t>
            </w:r>
          </w:p>
        </w:tc>
        <w:tc>
          <w:tcPr>
            <w:tcW w:w="1369" w:type="dxa"/>
            <w:vAlign w:val="center"/>
          </w:tcPr>
          <w:p w14:paraId="1C12CF7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7E80C6D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FA287A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X≥2000</w:t>
            </w:r>
          </w:p>
        </w:tc>
        <w:tc>
          <w:tcPr>
            <w:tcW w:w="1701" w:type="dxa"/>
            <w:vAlign w:val="center"/>
          </w:tcPr>
          <w:p w14:paraId="3F88A58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426" w:type="dxa"/>
            <w:vAlign w:val="center"/>
          </w:tcPr>
          <w:p w14:paraId="4E69661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4423489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B97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F6A9D2">
            <w:pPr>
              <w:widowControl w:val="0"/>
              <w:kinsoku/>
              <w:wordWrap w:val="0"/>
              <w:spacing w:line="360" w:lineRule="auto"/>
              <w:rPr>
                <w:rFonts w:ascii="宋体" w:hAnsi="宋体" w:cs="宋体"/>
                <w:color w:val="auto"/>
                <w:sz w:val="18"/>
                <w:szCs w:val="18"/>
                <w:highlight w:val="none"/>
              </w:rPr>
            </w:pPr>
          </w:p>
        </w:tc>
        <w:tc>
          <w:tcPr>
            <w:tcW w:w="1369" w:type="dxa"/>
            <w:vAlign w:val="center"/>
          </w:tcPr>
          <w:p w14:paraId="350270B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1FE3CFB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090CFA5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Y≥100000</w:t>
            </w:r>
          </w:p>
        </w:tc>
        <w:tc>
          <w:tcPr>
            <w:tcW w:w="1701" w:type="dxa"/>
            <w:vAlign w:val="center"/>
          </w:tcPr>
          <w:p w14:paraId="43C33F2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1000≤Y＜100000</w:t>
            </w:r>
          </w:p>
        </w:tc>
        <w:tc>
          <w:tcPr>
            <w:tcW w:w="1426" w:type="dxa"/>
            <w:vAlign w:val="center"/>
          </w:tcPr>
          <w:p w14:paraId="0768053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92" w:type="dxa"/>
            <w:vAlign w:val="center"/>
          </w:tcPr>
          <w:p w14:paraId="2044791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09F8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B5993D8">
            <w:pPr>
              <w:widowControl w:val="0"/>
              <w:kinsoku/>
              <w:wordWrap w:val="0"/>
              <w:spacing w:line="360" w:lineRule="auto"/>
              <w:rPr>
                <w:rFonts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软件和信息技术服务业</w:t>
            </w:r>
          </w:p>
        </w:tc>
        <w:tc>
          <w:tcPr>
            <w:tcW w:w="1369" w:type="dxa"/>
            <w:vAlign w:val="center"/>
          </w:tcPr>
          <w:p w14:paraId="68E1D9B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77C46C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78FCF95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13A9CB8B">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7C378E1F">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72EE52E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E30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8718877">
            <w:pPr>
              <w:widowControl w:val="0"/>
              <w:kinsoku/>
              <w:wordWrap w:val="0"/>
              <w:spacing w:line="360" w:lineRule="auto"/>
              <w:rPr>
                <w:rFonts w:ascii="宋体" w:hAnsi="宋体" w:cs="宋体"/>
                <w:color w:val="auto"/>
                <w:sz w:val="18"/>
                <w:szCs w:val="18"/>
                <w:highlight w:val="none"/>
              </w:rPr>
            </w:pPr>
          </w:p>
        </w:tc>
        <w:tc>
          <w:tcPr>
            <w:tcW w:w="1369" w:type="dxa"/>
            <w:vAlign w:val="center"/>
          </w:tcPr>
          <w:p w14:paraId="6004886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889126C">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71B8F3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6142609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426" w:type="dxa"/>
            <w:vAlign w:val="center"/>
          </w:tcPr>
          <w:p w14:paraId="4423922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50≤Y＜1000</w:t>
            </w:r>
          </w:p>
        </w:tc>
        <w:tc>
          <w:tcPr>
            <w:tcW w:w="992" w:type="dxa"/>
            <w:vAlign w:val="center"/>
          </w:tcPr>
          <w:p w14:paraId="208E525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2D6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F18A37">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369" w:type="dxa"/>
            <w:vAlign w:val="center"/>
          </w:tcPr>
          <w:p w14:paraId="3251639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70BD36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727EF33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Y≥200000</w:t>
            </w:r>
          </w:p>
        </w:tc>
        <w:tc>
          <w:tcPr>
            <w:tcW w:w="1701" w:type="dxa"/>
            <w:vAlign w:val="center"/>
          </w:tcPr>
          <w:p w14:paraId="205B7F96">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1000≤Y＜200000</w:t>
            </w:r>
          </w:p>
        </w:tc>
        <w:tc>
          <w:tcPr>
            <w:tcW w:w="1426" w:type="dxa"/>
            <w:vAlign w:val="center"/>
          </w:tcPr>
          <w:p w14:paraId="2B17E7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100≤Y＜1000</w:t>
            </w:r>
          </w:p>
        </w:tc>
        <w:tc>
          <w:tcPr>
            <w:tcW w:w="992" w:type="dxa"/>
            <w:vAlign w:val="center"/>
          </w:tcPr>
          <w:p w14:paraId="14441F4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3EB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8512D94">
            <w:pPr>
              <w:widowControl w:val="0"/>
              <w:kinsoku/>
              <w:wordWrap w:val="0"/>
              <w:spacing w:line="360" w:lineRule="auto"/>
              <w:rPr>
                <w:rFonts w:ascii="宋体" w:hAnsi="宋体" w:cs="宋体"/>
                <w:color w:val="auto"/>
                <w:sz w:val="18"/>
                <w:szCs w:val="18"/>
                <w:highlight w:val="none"/>
              </w:rPr>
            </w:pPr>
          </w:p>
        </w:tc>
        <w:tc>
          <w:tcPr>
            <w:tcW w:w="1369" w:type="dxa"/>
            <w:vAlign w:val="center"/>
          </w:tcPr>
          <w:p w14:paraId="4180FA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7458E61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622F9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Z≥10000</w:t>
            </w:r>
          </w:p>
        </w:tc>
        <w:tc>
          <w:tcPr>
            <w:tcW w:w="1701" w:type="dxa"/>
            <w:vAlign w:val="center"/>
          </w:tcPr>
          <w:p w14:paraId="58094CD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426" w:type="dxa"/>
            <w:vAlign w:val="center"/>
          </w:tcPr>
          <w:p w14:paraId="19DDC6F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2000≤Z＜5000</w:t>
            </w:r>
          </w:p>
        </w:tc>
        <w:tc>
          <w:tcPr>
            <w:tcW w:w="992" w:type="dxa"/>
            <w:vAlign w:val="center"/>
          </w:tcPr>
          <w:p w14:paraId="6A4210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Z＜2000</w:t>
            </w:r>
          </w:p>
        </w:tc>
      </w:tr>
      <w:tr w14:paraId="7F73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EE667B9">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369" w:type="dxa"/>
            <w:vAlign w:val="center"/>
          </w:tcPr>
          <w:p w14:paraId="7AFE53F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5FCBF1E0">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190D61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69815F8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17523D9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992" w:type="dxa"/>
            <w:vAlign w:val="center"/>
          </w:tcPr>
          <w:p w14:paraId="60583C99">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2521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190AECD">
            <w:pPr>
              <w:widowControl w:val="0"/>
              <w:kinsoku/>
              <w:wordWrap w:val="0"/>
              <w:spacing w:line="360" w:lineRule="auto"/>
              <w:rPr>
                <w:rFonts w:ascii="宋体" w:hAnsi="宋体" w:cs="宋体"/>
                <w:color w:val="auto"/>
                <w:sz w:val="18"/>
                <w:szCs w:val="18"/>
                <w:highlight w:val="none"/>
              </w:rPr>
            </w:pPr>
          </w:p>
        </w:tc>
        <w:tc>
          <w:tcPr>
            <w:tcW w:w="1369" w:type="dxa"/>
            <w:vAlign w:val="center"/>
          </w:tcPr>
          <w:p w14:paraId="020638D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BEEE2B8">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3B2A01B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Y≥5000</w:t>
            </w:r>
          </w:p>
        </w:tc>
        <w:tc>
          <w:tcPr>
            <w:tcW w:w="1701" w:type="dxa"/>
            <w:vAlign w:val="center"/>
          </w:tcPr>
          <w:p w14:paraId="7AC91DE5">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1426" w:type="dxa"/>
            <w:vAlign w:val="center"/>
          </w:tcPr>
          <w:p w14:paraId="0E080B8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500≤Y＜1000</w:t>
            </w:r>
          </w:p>
        </w:tc>
        <w:tc>
          <w:tcPr>
            <w:tcW w:w="992" w:type="dxa"/>
            <w:vAlign w:val="center"/>
          </w:tcPr>
          <w:p w14:paraId="5E5F617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Y＜500</w:t>
            </w:r>
          </w:p>
        </w:tc>
      </w:tr>
      <w:tr w14:paraId="1E19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28D483">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369" w:type="dxa"/>
            <w:vAlign w:val="center"/>
          </w:tcPr>
          <w:p w14:paraId="2B96A043">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10FBDF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2F76252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37F18568">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26" w:type="dxa"/>
            <w:vAlign w:val="center"/>
          </w:tcPr>
          <w:p w14:paraId="2438029D">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06FA15A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6F78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F9F3E96">
            <w:pPr>
              <w:widowControl w:val="0"/>
              <w:kinsoku/>
              <w:wordWrap w:val="0"/>
              <w:spacing w:line="360" w:lineRule="auto"/>
              <w:rPr>
                <w:rFonts w:ascii="宋体" w:hAnsi="宋体" w:cs="宋体"/>
                <w:color w:val="auto"/>
                <w:sz w:val="18"/>
                <w:szCs w:val="18"/>
                <w:highlight w:val="none"/>
              </w:rPr>
            </w:pPr>
          </w:p>
        </w:tc>
        <w:tc>
          <w:tcPr>
            <w:tcW w:w="1369" w:type="dxa"/>
            <w:vAlign w:val="center"/>
          </w:tcPr>
          <w:p w14:paraId="16D852A2">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764648C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BB7045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Z≥120000</w:t>
            </w:r>
          </w:p>
        </w:tc>
        <w:tc>
          <w:tcPr>
            <w:tcW w:w="1701" w:type="dxa"/>
            <w:vAlign w:val="center"/>
          </w:tcPr>
          <w:p w14:paraId="75E4BFBA">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8000≤Z＜120000</w:t>
            </w:r>
          </w:p>
        </w:tc>
        <w:tc>
          <w:tcPr>
            <w:tcW w:w="1426" w:type="dxa"/>
            <w:vAlign w:val="center"/>
          </w:tcPr>
          <w:p w14:paraId="75C5DAC5">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100≤Z＜8000</w:t>
            </w:r>
          </w:p>
        </w:tc>
        <w:tc>
          <w:tcPr>
            <w:tcW w:w="992" w:type="dxa"/>
            <w:vAlign w:val="center"/>
          </w:tcPr>
          <w:p w14:paraId="32D1ABD7">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Z＜100</w:t>
            </w:r>
          </w:p>
        </w:tc>
      </w:tr>
      <w:tr w14:paraId="040B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A10994E">
            <w:pPr>
              <w:widowControl w:val="0"/>
              <w:kinsoku/>
              <w:wordWrap w:val="0"/>
              <w:spacing w:line="360" w:lineRule="auto"/>
              <w:rPr>
                <w:rFonts w:ascii="宋体" w:hAnsi="宋体" w:cs="宋体"/>
                <w:color w:val="auto"/>
                <w:sz w:val="18"/>
                <w:szCs w:val="18"/>
                <w:highlight w:val="none"/>
              </w:rPr>
            </w:pPr>
            <w:r>
              <w:rPr>
                <w:rFonts w:hint="eastAsia" w:ascii="宋体" w:hAnsi="宋体" w:cs="宋体"/>
                <w:color w:val="auto"/>
                <w:sz w:val="18"/>
                <w:szCs w:val="18"/>
                <w:highlight w:val="none"/>
              </w:rPr>
              <w:t>其他未列明行业 *</w:t>
            </w:r>
          </w:p>
        </w:tc>
        <w:tc>
          <w:tcPr>
            <w:tcW w:w="1369" w:type="dxa"/>
            <w:vAlign w:val="center"/>
          </w:tcPr>
          <w:p w14:paraId="4D25F50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3185361B">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598062FE">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5EEF1A25">
            <w:pPr>
              <w:widowControl w:val="0"/>
              <w:kinsoku/>
              <w:wordWrap w:val="0"/>
              <w:spacing w:line="360" w:lineRule="auto"/>
              <w:ind w:left="1" w:leftChars="-51" w:hanging="108" w:hangingChars="60"/>
              <w:jc w:val="center"/>
              <w:rPr>
                <w:rFonts w:ascii="宋体" w:hAnsi="宋体" w:cs="宋体"/>
                <w:color w:val="auto"/>
                <w:sz w:val="18"/>
                <w:szCs w:val="18"/>
                <w:highlight w:val="none"/>
              </w:rPr>
            </w:pPr>
            <w:r>
              <w:rPr>
                <w:rFonts w:hint="eastAsia" w:ascii="宋体" w:hAnsi="宋体" w:cs="宋体"/>
                <w:color w:val="auto"/>
                <w:sz w:val="18"/>
                <w:szCs w:val="18"/>
                <w:highlight w:val="none"/>
              </w:rPr>
              <w:t>100≤X＜300</w:t>
            </w:r>
          </w:p>
        </w:tc>
        <w:tc>
          <w:tcPr>
            <w:tcW w:w="1426" w:type="dxa"/>
            <w:vAlign w:val="center"/>
          </w:tcPr>
          <w:p w14:paraId="3B87A444">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10≤X＜100</w:t>
            </w:r>
          </w:p>
        </w:tc>
        <w:tc>
          <w:tcPr>
            <w:tcW w:w="992" w:type="dxa"/>
            <w:vAlign w:val="center"/>
          </w:tcPr>
          <w:p w14:paraId="6CEB6CA1">
            <w:pPr>
              <w:widowControl w:val="0"/>
              <w:kinsoku/>
              <w:wordWrap w:val="0"/>
              <w:spacing w:line="360" w:lineRule="auto"/>
              <w:jc w:val="center"/>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5DC47FF1">
      <w:pPr>
        <w:widowControl w:val="0"/>
        <w:kinsoku/>
        <w:wordWrap w:val="0"/>
        <w:spacing w:line="360" w:lineRule="auto"/>
        <w:rPr>
          <w:rFonts w:ascii="宋体" w:hAnsi="宋体" w:cs="宋体"/>
          <w:color w:val="auto"/>
          <w:sz w:val="24"/>
          <w:highlight w:val="none"/>
        </w:rPr>
      </w:pPr>
    </w:p>
    <w:p w14:paraId="7B648277">
      <w:pPr>
        <w:widowControl w:val="0"/>
        <w:kinsoku/>
        <w:wordWrap w:val="0"/>
        <w:spacing w:line="360" w:lineRule="auto"/>
        <w:rPr>
          <w:rFonts w:ascii="宋体" w:hAnsi="宋体" w:cs="宋体"/>
          <w:color w:val="auto"/>
          <w:highlight w:val="none"/>
        </w:rPr>
      </w:pPr>
      <w:r>
        <w:rPr>
          <w:rFonts w:hint="eastAsia" w:ascii="宋体" w:hAnsi="宋体" w:cs="宋体"/>
          <w:color w:val="auto"/>
          <w:highlight w:val="none"/>
        </w:rPr>
        <w:t>说明：</w:t>
      </w:r>
    </w:p>
    <w:p w14:paraId="76B7E306">
      <w:pPr>
        <w:pStyle w:val="12"/>
        <w:widowControl w:val="0"/>
        <w:kinsoku/>
        <w:wordWrap w:val="0"/>
        <w:autoSpaceDE/>
        <w:autoSpaceDN/>
        <w:snapToGrid/>
        <w:spacing w:line="360" w:lineRule="auto"/>
        <w:ind w:firstLine="420" w:firstLineChars="200"/>
        <w:contextualSpacing/>
        <w:textAlignment w:val="auto"/>
        <w:rPr>
          <w:rFonts w:hAnsi="宋体" w:cs="宋体"/>
          <w:color w:val="auto"/>
          <w:szCs w:val="21"/>
          <w:highlight w:val="none"/>
          <w:lang w:eastAsia="zh-CN"/>
        </w:rPr>
      </w:pPr>
      <w:r>
        <w:rPr>
          <w:rFonts w:hint="eastAsia" w:hAnsi="宋体" w:cs="宋体"/>
          <w:color w:val="auto"/>
          <w:szCs w:val="21"/>
          <w:highlight w:val="none"/>
          <w:lang w:eastAsia="zh-CN"/>
        </w:rPr>
        <w:t>1.大型、中型和小型企业须同时满足所列指标的下限，否则下划一档；微型企业只须满足所列指标中的一项即可。</w:t>
      </w:r>
    </w:p>
    <w:p w14:paraId="10CAEA01">
      <w:pPr>
        <w:pStyle w:val="12"/>
        <w:widowControl w:val="0"/>
        <w:kinsoku/>
        <w:wordWrap w:val="0"/>
        <w:autoSpaceDE/>
        <w:autoSpaceDN/>
        <w:snapToGrid/>
        <w:spacing w:line="360" w:lineRule="auto"/>
        <w:ind w:firstLine="420" w:firstLineChars="200"/>
        <w:contextualSpacing/>
        <w:textAlignment w:val="auto"/>
        <w:rPr>
          <w:rFonts w:hAnsi="宋体" w:cs="宋体"/>
          <w:color w:val="auto"/>
          <w:szCs w:val="21"/>
          <w:highlight w:val="none"/>
          <w:lang w:eastAsia="zh-CN"/>
        </w:rPr>
      </w:pPr>
      <w:r>
        <w:rPr>
          <w:rFonts w:hint="eastAsia" w:hAnsi="宋体" w:cs="宋体"/>
          <w:color w:val="auto"/>
          <w:szCs w:val="21"/>
          <w:highlight w:val="none"/>
          <w:lang w:eastAsia="zh-CN"/>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40A61CF">
      <w:pPr>
        <w:pStyle w:val="12"/>
        <w:widowControl w:val="0"/>
        <w:kinsoku/>
        <w:wordWrap w:val="0"/>
        <w:autoSpaceDE/>
        <w:autoSpaceDN/>
        <w:snapToGrid/>
        <w:spacing w:line="360" w:lineRule="auto"/>
        <w:ind w:firstLine="420" w:firstLineChars="200"/>
        <w:textAlignment w:val="auto"/>
        <w:rPr>
          <w:rFonts w:hAnsi="宋体" w:cs="宋体"/>
          <w:color w:val="auto"/>
          <w:szCs w:val="21"/>
          <w:highlight w:val="none"/>
          <w:lang w:eastAsia="zh-CN"/>
        </w:rPr>
      </w:pPr>
      <w:r>
        <w:rPr>
          <w:rFonts w:hint="eastAsia" w:hAnsi="宋体" w:cs="宋体"/>
          <w:color w:val="auto"/>
          <w:szCs w:val="21"/>
          <w:highlight w:val="none"/>
          <w:lang w:eastAsia="zh-CN"/>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3708CEC">
      <w:pPr>
        <w:pStyle w:val="5"/>
        <w:widowControl w:val="0"/>
        <w:kinsoku/>
        <w:wordWrap w:val="0"/>
        <w:autoSpaceDE/>
        <w:autoSpaceDN/>
        <w:snapToGrid/>
        <w:spacing w:line="360" w:lineRule="auto"/>
        <w:textAlignment w:val="auto"/>
        <w:rPr>
          <w:rFonts w:ascii="宋体" w:hAnsi="宋体" w:cs="宋体"/>
          <w:color w:val="auto"/>
          <w:sz w:val="24"/>
          <w:highlight w:val="none"/>
          <w:lang w:eastAsia="zh-CN"/>
        </w:rPr>
      </w:pPr>
    </w:p>
    <w:p w14:paraId="16763A55">
      <w:pPr>
        <w:widowControl w:val="0"/>
        <w:rPr>
          <w:rFonts w:ascii="宋体" w:hAnsi="宋体" w:cs="宋体"/>
          <w:color w:val="auto"/>
          <w:sz w:val="24"/>
          <w:highlight w:val="none"/>
          <w:lang w:eastAsia="zh-CN"/>
        </w:rPr>
      </w:pPr>
    </w:p>
    <w:p w14:paraId="66B606D3">
      <w:pPr>
        <w:widowControl w:val="0"/>
        <w:rPr>
          <w:rFonts w:ascii="宋体" w:hAnsi="宋体" w:cs="宋体"/>
          <w:color w:val="auto"/>
          <w:sz w:val="24"/>
          <w:highlight w:val="none"/>
          <w:lang w:eastAsia="zh-CN"/>
        </w:rPr>
      </w:pPr>
    </w:p>
    <w:p w14:paraId="219D155F">
      <w:pPr>
        <w:widowControl w:val="0"/>
        <w:rPr>
          <w:rFonts w:ascii="宋体" w:hAnsi="宋体" w:cs="宋体"/>
          <w:color w:val="auto"/>
          <w:sz w:val="24"/>
          <w:highlight w:val="none"/>
          <w:lang w:eastAsia="zh-CN"/>
        </w:rPr>
      </w:pPr>
    </w:p>
    <w:p w14:paraId="5AC78515">
      <w:pPr>
        <w:widowControl w:val="0"/>
        <w:rPr>
          <w:rFonts w:ascii="宋体" w:hAnsi="宋体" w:cs="宋体"/>
          <w:color w:val="auto"/>
          <w:sz w:val="24"/>
          <w:highlight w:val="none"/>
          <w:lang w:eastAsia="zh-CN"/>
        </w:rPr>
      </w:pPr>
    </w:p>
    <w:p w14:paraId="7B7577B0">
      <w:pPr>
        <w:widowControl w:val="0"/>
        <w:rPr>
          <w:rFonts w:ascii="宋体" w:hAnsi="宋体" w:cs="宋体"/>
          <w:color w:val="auto"/>
          <w:sz w:val="24"/>
          <w:highlight w:val="none"/>
          <w:lang w:eastAsia="zh-CN"/>
        </w:rPr>
      </w:pPr>
    </w:p>
    <w:p w14:paraId="1F85E17F">
      <w:pPr>
        <w:widowControl w:val="0"/>
        <w:rPr>
          <w:rFonts w:ascii="宋体" w:hAnsi="宋体" w:cs="宋体"/>
          <w:color w:val="auto"/>
          <w:sz w:val="24"/>
          <w:highlight w:val="none"/>
          <w:lang w:eastAsia="zh-CN"/>
        </w:rPr>
      </w:pPr>
    </w:p>
    <w:p w14:paraId="799A9A13">
      <w:pPr>
        <w:widowControl w:val="0"/>
        <w:rPr>
          <w:rFonts w:ascii="宋体" w:hAnsi="宋体" w:cs="宋体"/>
          <w:color w:val="auto"/>
          <w:sz w:val="24"/>
          <w:highlight w:val="none"/>
          <w:lang w:eastAsia="zh-CN"/>
        </w:rPr>
      </w:pPr>
    </w:p>
    <w:p w14:paraId="6C846A55">
      <w:pPr>
        <w:widowControl w:val="0"/>
        <w:rPr>
          <w:rFonts w:ascii="宋体" w:hAnsi="宋体" w:cs="宋体"/>
          <w:color w:val="auto"/>
          <w:sz w:val="24"/>
          <w:highlight w:val="none"/>
          <w:lang w:eastAsia="zh-CN"/>
        </w:rPr>
      </w:pPr>
    </w:p>
    <w:p w14:paraId="6B8E8292">
      <w:pPr>
        <w:widowControl w:val="0"/>
        <w:rPr>
          <w:rFonts w:ascii="宋体" w:hAnsi="宋体" w:cs="宋体"/>
          <w:color w:val="auto"/>
          <w:sz w:val="24"/>
          <w:highlight w:val="none"/>
          <w:lang w:eastAsia="zh-CN"/>
        </w:rPr>
      </w:pPr>
    </w:p>
    <w:p w14:paraId="7B654E14">
      <w:pPr>
        <w:widowControl w:val="0"/>
        <w:rPr>
          <w:rFonts w:ascii="宋体" w:hAnsi="宋体" w:cs="宋体"/>
          <w:color w:val="auto"/>
          <w:sz w:val="24"/>
          <w:highlight w:val="none"/>
          <w:lang w:eastAsia="zh-CN"/>
        </w:rPr>
      </w:pPr>
    </w:p>
    <w:p w14:paraId="4CCA5386">
      <w:pPr>
        <w:widowControl w:val="0"/>
        <w:rPr>
          <w:rFonts w:ascii="宋体" w:hAnsi="宋体" w:cs="宋体"/>
          <w:color w:val="auto"/>
          <w:sz w:val="24"/>
          <w:highlight w:val="none"/>
          <w:lang w:eastAsia="zh-CN"/>
        </w:rPr>
      </w:pPr>
    </w:p>
    <w:p w14:paraId="7F7DF7AB">
      <w:pPr>
        <w:widowControl w:val="0"/>
        <w:rPr>
          <w:rFonts w:ascii="宋体" w:hAnsi="宋体" w:cs="宋体"/>
          <w:color w:val="auto"/>
          <w:sz w:val="24"/>
          <w:highlight w:val="none"/>
          <w:lang w:eastAsia="zh-CN"/>
        </w:rPr>
      </w:pPr>
    </w:p>
    <w:p w14:paraId="6FDB41FE">
      <w:pPr>
        <w:widowControl w:val="0"/>
        <w:rPr>
          <w:rFonts w:ascii="宋体" w:hAnsi="宋体" w:cs="宋体"/>
          <w:color w:val="auto"/>
          <w:sz w:val="24"/>
          <w:highlight w:val="none"/>
          <w:lang w:eastAsia="zh-CN"/>
        </w:rPr>
      </w:pPr>
    </w:p>
    <w:p w14:paraId="4ACE0194">
      <w:pPr>
        <w:widowControl w:val="0"/>
        <w:rPr>
          <w:rFonts w:ascii="宋体" w:hAnsi="宋体" w:cs="宋体"/>
          <w:color w:val="auto"/>
          <w:sz w:val="24"/>
          <w:highlight w:val="none"/>
          <w:lang w:eastAsia="zh-CN"/>
        </w:rPr>
      </w:pPr>
    </w:p>
    <w:p w14:paraId="1938CD0D">
      <w:pPr>
        <w:widowControl w:val="0"/>
        <w:rPr>
          <w:rFonts w:ascii="宋体" w:hAnsi="宋体" w:cs="宋体"/>
          <w:color w:val="auto"/>
          <w:sz w:val="24"/>
          <w:highlight w:val="none"/>
          <w:lang w:eastAsia="zh-CN"/>
        </w:rPr>
      </w:pPr>
    </w:p>
    <w:p w14:paraId="632C74F6">
      <w:pPr>
        <w:widowControl w:val="0"/>
        <w:rPr>
          <w:rFonts w:ascii="宋体" w:hAnsi="宋体" w:cs="宋体"/>
          <w:color w:val="auto"/>
          <w:sz w:val="24"/>
          <w:highlight w:val="none"/>
          <w:lang w:eastAsia="zh-CN"/>
        </w:rPr>
      </w:pPr>
    </w:p>
    <w:p w14:paraId="47D36BCC">
      <w:pPr>
        <w:widowControl w:val="0"/>
        <w:rPr>
          <w:rFonts w:ascii="宋体" w:hAnsi="宋体" w:cs="宋体"/>
          <w:color w:val="auto"/>
          <w:sz w:val="24"/>
          <w:highlight w:val="none"/>
          <w:lang w:eastAsia="zh-CN"/>
        </w:rPr>
      </w:pPr>
    </w:p>
    <w:p w14:paraId="5DB122F7">
      <w:pPr>
        <w:widowControl w:val="0"/>
        <w:rPr>
          <w:rFonts w:ascii="宋体" w:hAnsi="宋体" w:cs="宋体"/>
          <w:color w:val="auto"/>
          <w:sz w:val="24"/>
          <w:highlight w:val="none"/>
          <w:lang w:eastAsia="zh-CN"/>
        </w:rPr>
      </w:pPr>
    </w:p>
    <w:p w14:paraId="2CCC4FDE">
      <w:pPr>
        <w:widowControl w:val="0"/>
        <w:rPr>
          <w:rFonts w:ascii="宋体" w:hAnsi="宋体" w:cs="宋体"/>
          <w:color w:val="auto"/>
          <w:sz w:val="24"/>
          <w:highlight w:val="none"/>
          <w:lang w:eastAsia="zh-CN"/>
        </w:rPr>
      </w:pPr>
    </w:p>
    <w:p w14:paraId="3D534DB2">
      <w:pPr>
        <w:widowControl w:val="0"/>
        <w:spacing w:line="360" w:lineRule="auto"/>
        <w:jc w:val="center"/>
        <w:outlineLvl w:val="0"/>
        <w:rPr>
          <w:rFonts w:ascii="宋体" w:hAnsi="宋体" w:eastAsia="宋体" w:cs="宋体"/>
          <w:b/>
          <w:bCs/>
          <w:color w:val="auto"/>
          <w:sz w:val="31"/>
          <w:szCs w:val="31"/>
          <w:highlight w:val="none"/>
          <w:lang w:eastAsia="zh-CN"/>
        </w:rPr>
      </w:pPr>
      <w:bookmarkStart w:id="16" w:name="_Toc17335"/>
    </w:p>
    <w:p w14:paraId="4C0F9D7E">
      <w:pPr>
        <w:widowControl w:val="0"/>
        <w:spacing w:line="360" w:lineRule="auto"/>
        <w:jc w:val="center"/>
        <w:outlineLvl w:val="0"/>
        <w:rPr>
          <w:rFonts w:ascii="宋体" w:hAnsi="宋体" w:eastAsia="宋体" w:cs="宋体"/>
          <w:b/>
          <w:bCs/>
          <w:color w:val="auto"/>
          <w:sz w:val="31"/>
          <w:szCs w:val="31"/>
          <w:highlight w:val="none"/>
          <w:lang w:eastAsia="zh-CN"/>
        </w:rPr>
      </w:pPr>
    </w:p>
    <w:p w14:paraId="6A7DED10">
      <w:pPr>
        <w:widowControl w:val="0"/>
        <w:spacing w:line="360" w:lineRule="auto"/>
        <w:jc w:val="center"/>
        <w:outlineLvl w:val="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第五章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政府采购合同（合同主要条款及格式）</w:t>
      </w:r>
      <w:bookmarkEnd w:id="16"/>
    </w:p>
    <w:p w14:paraId="3948CDF8">
      <w:pPr>
        <w:pStyle w:val="17"/>
        <w:rPr>
          <w:rFonts w:ascii="Arial" w:hAnsi="Arial"/>
          <w:color w:val="auto"/>
          <w:highlight w:val="none"/>
          <w:lang w:eastAsia="zh-CN"/>
        </w:rPr>
      </w:pPr>
      <w:r>
        <w:rPr>
          <w:rFonts w:hint="eastAsia" w:ascii="宋体" w:hAnsi="宋体" w:cs="宋体"/>
          <w:color w:val="auto"/>
          <w:szCs w:val="21"/>
          <w:highlight w:val="none"/>
          <w:lang w:eastAsia="zh-CN"/>
        </w:rPr>
        <w:t xml:space="preserve"> </w:t>
      </w:r>
      <w:r>
        <w:rPr>
          <w:rFonts w:ascii="Arial" w:hAnsi="Arial"/>
          <w:color w:val="auto"/>
          <w:highlight w:val="none"/>
          <w:lang w:eastAsia="zh-CN"/>
        </w:rPr>
        <w:t>采购合同</w:t>
      </w:r>
    </w:p>
    <w:p w14:paraId="58ACD252">
      <w:pPr>
        <w:widowControl w:val="0"/>
        <w:rPr>
          <w:rFonts w:eastAsia="宋体"/>
          <w:color w:val="auto"/>
          <w:highlight w:val="none"/>
          <w:lang w:eastAsia="zh-CN"/>
        </w:rPr>
      </w:pPr>
    </w:p>
    <w:p w14:paraId="2E98FA41">
      <w:pPr>
        <w:spacing w:line="360" w:lineRule="exact"/>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采购人（甲方）:</w:t>
      </w:r>
      <w:r>
        <w:rPr>
          <w:rFonts w:hint="eastAsia" w:ascii="宋体" w:hAnsi="宋体" w:eastAsia="宋体" w:cs="Times New Roman"/>
          <w:color w:val="auto"/>
          <w:highlight w:val="none"/>
          <w:u w:val="single"/>
          <w:lang w:eastAsia="zh-CN"/>
        </w:rPr>
        <w:t xml:space="preserve">广西师范大学      </w:t>
      </w:r>
      <w:r>
        <w:rPr>
          <w:rFonts w:hint="eastAsia" w:ascii="宋体" w:hAnsi="宋体" w:eastAsia="宋体" w:cs="Times New Roman"/>
          <w:color w:val="auto"/>
          <w:highlight w:val="none"/>
          <w:lang w:eastAsia="zh-CN"/>
        </w:rPr>
        <w:t xml:space="preserve">               </w:t>
      </w:r>
    </w:p>
    <w:p w14:paraId="7C7305FA">
      <w:pPr>
        <w:spacing w:line="360" w:lineRule="exact"/>
        <w:rPr>
          <w:rFonts w:ascii="宋体" w:hAnsi="宋体" w:eastAsia="宋体" w:cs="Times New Roman"/>
          <w:color w:val="auto"/>
          <w:highlight w:val="none"/>
          <w:u w:val="single"/>
          <w:lang w:eastAsia="zh-CN"/>
        </w:rPr>
      </w:pPr>
      <w:r>
        <w:rPr>
          <w:rFonts w:hint="eastAsia" w:ascii="宋体" w:hAnsi="宋体" w:eastAsia="宋体" w:cs="Times New Roman"/>
          <w:color w:val="auto"/>
          <w:highlight w:val="none"/>
          <w:lang w:eastAsia="zh-CN"/>
        </w:rPr>
        <w:t>供应商（乙方）:</w:t>
      </w:r>
      <w:r>
        <w:rPr>
          <w:rFonts w:hint="eastAsia" w:ascii="宋体" w:hAnsi="宋体" w:eastAsia="宋体" w:cs="Times New Roman"/>
          <w:color w:val="auto"/>
          <w:highlight w:val="none"/>
          <w:u w:val="single"/>
          <w:lang w:eastAsia="zh-CN"/>
        </w:rPr>
        <w:t xml:space="preserve">                  </w:t>
      </w:r>
      <w:r>
        <w:rPr>
          <w:rFonts w:hint="eastAsia" w:ascii="宋体" w:hAnsi="宋体" w:eastAsia="宋体" w:cs="Times New Roman"/>
          <w:color w:val="auto"/>
          <w:highlight w:val="none"/>
          <w:lang w:eastAsia="zh-CN"/>
        </w:rPr>
        <w:t xml:space="preserve">              </w:t>
      </w:r>
    </w:p>
    <w:p w14:paraId="00771116">
      <w:pPr>
        <w:spacing w:line="360" w:lineRule="exact"/>
        <w:rPr>
          <w:rFonts w:ascii="宋体" w:hAnsi="宋体" w:eastAsia="宋体" w:cs="Times New Roman"/>
          <w:color w:val="auto"/>
          <w:highlight w:val="none"/>
          <w:u w:val="single"/>
          <w:lang w:eastAsia="zh-CN"/>
        </w:rPr>
      </w:pPr>
      <w:r>
        <w:rPr>
          <w:rFonts w:hint="eastAsia" w:ascii="宋体" w:hAnsi="宋体" w:eastAsia="宋体" w:cs="宋体"/>
          <w:color w:val="auto"/>
          <w:highlight w:val="none"/>
          <w:lang w:eastAsia="zh-CN"/>
        </w:rPr>
        <w:t>项目名称:</w:t>
      </w:r>
      <w:r>
        <w:rPr>
          <w:rFonts w:hint="eastAsia" w:ascii="宋体" w:hAnsi="宋体" w:eastAsia="宋体" w:cs="宋体"/>
          <w:color w:val="auto"/>
          <w:highlight w:val="none"/>
          <w:u w:val="single"/>
          <w:lang w:eastAsia="zh-CN"/>
        </w:rPr>
        <w:t>影像动力跑台一体化测量与训练系统采购</w:t>
      </w:r>
      <w:r>
        <w:rPr>
          <w:rFonts w:hint="eastAsia" w:ascii="宋体" w:hAnsi="宋体" w:eastAsia="宋体" w:cs="Times New Roman"/>
          <w:color w:val="auto"/>
          <w:highlight w:val="none"/>
          <w:lang w:eastAsia="zh-CN"/>
        </w:rPr>
        <w:t xml:space="preserve">    项目编号:</w:t>
      </w:r>
      <w:r>
        <w:rPr>
          <w:rFonts w:hint="eastAsia" w:ascii="宋体" w:hAnsi="宋体" w:eastAsia="宋体" w:cs="Times New Roman"/>
          <w:color w:val="auto"/>
          <w:highlight w:val="none"/>
          <w:u w:val="single"/>
          <w:lang w:eastAsia="zh-CN"/>
        </w:rPr>
        <w:t>GXZC2025-J1-003119-DHGS</w:t>
      </w:r>
    </w:p>
    <w:p w14:paraId="215981F5">
      <w:pPr>
        <w:spacing w:line="360" w:lineRule="exact"/>
        <w:rPr>
          <w:rFonts w:ascii="宋体" w:hAnsi="宋体" w:eastAsia="宋体" w:cs="Times New Roman"/>
          <w:color w:val="auto"/>
          <w:highlight w:val="none"/>
          <w:u w:val="single"/>
          <w:lang w:eastAsia="zh-CN"/>
        </w:rPr>
      </w:pPr>
      <w:r>
        <w:rPr>
          <w:rFonts w:hint="eastAsia" w:ascii="宋体" w:hAnsi="宋体" w:eastAsia="宋体" w:cs="Times New Roman"/>
          <w:color w:val="auto"/>
          <w:highlight w:val="none"/>
          <w:lang w:eastAsia="zh-CN"/>
        </w:rPr>
        <w:t>签订地点:</w:t>
      </w:r>
      <w:r>
        <w:rPr>
          <w:rFonts w:hint="eastAsia" w:ascii="宋体" w:hAnsi="宋体" w:eastAsia="宋体" w:cs="Times New Roman"/>
          <w:color w:val="auto"/>
          <w:highlight w:val="none"/>
          <w:u w:val="single"/>
          <w:lang w:eastAsia="zh-CN"/>
        </w:rPr>
        <w:t xml:space="preserve"> 广西桂林              </w:t>
      </w:r>
      <w:r>
        <w:rPr>
          <w:rFonts w:hint="eastAsia" w:ascii="宋体" w:hAnsi="宋体" w:eastAsia="宋体" w:cs="Times New Roman"/>
          <w:color w:val="auto"/>
          <w:highlight w:val="none"/>
          <w:lang w:eastAsia="zh-CN"/>
        </w:rPr>
        <w:t xml:space="preserve">                 签订时间:</w:t>
      </w:r>
      <w:r>
        <w:rPr>
          <w:rFonts w:hint="eastAsia" w:ascii="宋体" w:hAnsi="宋体" w:eastAsia="宋体" w:cs="Times New Roman"/>
          <w:color w:val="auto"/>
          <w:highlight w:val="none"/>
          <w:u w:val="single"/>
          <w:lang w:eastAsia="zh-CN"/>
        </w:rPr>
        <w:t xml:space="preserve">                </w:t>
      </w:r>
    </w:p>
    <w:p w14:paraId="38F32335">
      <w:pPr>
        <w:spacing w:line="400" w:lineRule="exact"/>
        <w:rPr>
          <w:color w:val="auto"/>
          <w:highlight w:val="none"/>
          <w:lang w:eastAsia="zh-CN"/>
        </w:rPr>
      </w:pPr>
    </w:p>
    <w:p w14:paraId="5BB8CE34">
      <w:pPr>
        <w:spacing w:line="400" w:lineRule="exact"/>
        <w:ind w:firstLine="420" w:firstLineChars="200"/>
        <w:rPr>
          <w:color w:val="auto"/>
          <w:highlight w:val="none"/>
          <w:lang w:eastAsia="zh-CN"/>
        </w:rPr>
      </w:pPr>
      <w:r>
        <w:rPr>
          <w:color w:val="auto"/>
          <w:highlight w:val="none"/>
          <w:lang w:eastAsia="zh-CN"/>
        </w:rPr>
        <w:t>根据《中华人民共和国民法典》等法律、法规规定，按照本项目</w:t>
      </w:r>
      <w:r>
        <w:rPr>
          <w:rFonts w:hint="eastAsia"/>
          <w:color w:val="auto"/>
          <w:highlight w:val="none"/>
          <w:lang w:eastAsia="zh-CN"/>
        </w:rPr>
        <w:t>公开招标</w:t>
      </w:r>
      <w:r>
        <w:rPr>
          <w:color w:val="auto"/>
          <w:highlight w:val="none"/>
          <w:lang w:eastAsia="zh-CN"/>
        </w:rPr>
        <w:t>文件（以下简称</w:t>
      </w:r>
      <w:r>
        <w:rPr>
          <w:rFonts w:hint="eastAsia"/>
          <w:color w:val="auto"/>
          <w:highlight w:val="none"/>
          <w:lang w:eastAsia="zh-CN"/>
        </w:rPr>
        <w:t>招标</w:t>
      </w:r>
      <w:r>
        <w:rPr>
          <w:color w:val="auto"/>
          <w:highlight w:val="none"/>
          <w:lang w:eastAsia="zh-CN"/>
        </w:rPr>
        <w:t>文件）、</w:t>
      </w:r>
      <w:r>
        <w:rPr>
          <w:rFonts w:hint="eastAsia"/>
          <w:color w:val="auto"/>
          <w:highlight w:val="none"/>
          <w:lang w:eastAsia="zh-CN"/>
        </w:rPr>
        <w:t>投标</w:t>
      </w:r>
      <w:r>
        <w:rPr>
          <w:color w:val="auto"/>
          <w:highlight w:val="none"/>
          <w:lang w:eastAsia="zh-CN"/>
        </w:rPr>
        <w:t>文件规定条款和</w:t>
      </w:r>
      <w:r>
        <w:rPr>
          <w:rFonts w:hint="eastAsia"/>
          <w:color w:val="auto"/>
          <w:highlight w:val="none"/>
          <w:lang w:eastAsia="zh-CN"/>
        </w:rPr>
        <w:t>中标</w:t>
      </w:r>
      <w:r>
        <w:rPr>
          <w:color w:val="auto"/>
          <w:highlight w:val="none"/>
          <w:lang w:eastAsia="zh-CN"/>
        </w:rPr>
        <w:t>供应商的承诺、甲乙双方签订本合同。</w:t>
      </w:r>
    </w:p>
    <w:p w14:paraId="608B3F4A">
      <w:pPr>
        <w:spacing w:line="360" w:lineRule="auto"/>
        <w:ind w:firstLine="422" w:firstLineChars="200"/>
        <w:rPr>
          <w:rFonts w:ascii="宋体" w:hAnsi="宋体" w:eastAsia="宋体" w:cs="Times New Roman"/>
          <w:b/>
          <w:color w:val="auto"/>
          <w:highlight w:val="none"/>
          <w:lang w:eastAsia="zh-CN"/>
        </w:rPr>
      </w:pPr>
    </w:p>
    <w:p w14:paraId="36A25B3D">
      <w:pPr>
        <w:spacing w:line="360" w:lineRule="auto"/>
        <w:ind w:firstLine="422" w:firstLineChars="200"/>
        <w:rPr>
          <w:rFonts w:ascii="宋体" w:hAnsi="宋体" w:eastAsia="宋体" w:cs="Times New Roman"/>
          <w:b/>
          <w:color w:val="auto"/>
          <w:highlight w:val="none"/>
        </w:rPr>
      </w:pPr>
      <w:r>
        <w:rPr>
          <w:rFonts w:hint="eastAsia" w:ascii="宋体" w:hAnsi="宋体" w:eastAsia="宋体" w:cs="Times New Roman"/>
          <w:b/>
          <w:color w:val="auto"/>
          <w:highlight w:val="none"/>
        </w:rPr>
        <w:t>第一条　合同标的</w:t>
      </w:r>
    </w:p>
    <w:tbl>
      <w:tblPr>
        <w:tblStyle w:val="18"/>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65"/>
        <w:gridCol w:w="978"/>
        <w:gridCol w:w="1383"/>
        <w:gridCol w:w="1284"/>
        <w:gridCol w:w="900"/>
        <w:gridCol w:w="833"/>
        <w:gridCol w:w="850"/>
        <w:gridCol w:w="600"/>
        <w:gridCol w:w="683"/>
      </w:tblGrid>
      <w:tr w14:paraId="45D6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Align w:val="center"/>
          </w:tcPr>
          <w:p w14:paraId="18269820">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项号</w:t>
            </w:r>
          </w:p>
        </w:tc>
        <w:tc>
          <w:tcPr>
            <w:tcW w:w="1765" w:type="dxa"/>
            <w:vAlign w:val="center"/>
          </w:tcPr>
          <w:p w14:paraId="48B568CE">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标的的名称</w:t>
            </w:r>
          </w:p>
        </w:tc>
        <w:tc>
          <w:tcPr>
            <w:tcW w:w="978" w:type="dxa"/>
            <w:vAlign w:val="center"/>
          </w:tcPr>
          <w:p w14:paraId="371D392F">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品牌</w:t>
            </w:r>
          </w:p>
        </w:tc>
        <w:tc>
          <w:tcPr>
            <w:tcW w:w="1383" w:type="dxa"/>
            <w:vAlign w:val="center"/>
          </w:tcPr>
          <w:p w14:paraId="690C8DAB">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规格型号</w:t>
            </w:r>
          </w:p>
        </w:tc>
        <w:tc>
          <w:tcPr>
            <w:tcW w:w="1284" w:type="dxa"/>
            <w:vAlign w:val="center"/>
          </w:tcPr>
          <w:p w14:paraId="51CD8174">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生产厂家、原产地</w:t>
            </w:r>
          </w:p>
        </w:tc>
        <w:tc>
          <w:tcPr>
            <w:tcW w:w="900" w:type="dxa"/>
            <w:vAlign w:val="center"/>
          </w:tcPr>
          <w:p w14:paraId="7426BDE7">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数量</w:t>
            </w:r>
          </w:p>
        </w:tc>
        <w:tc>
          <w:tcPr>
            <w:tcW w:w="833" w:type="dxa"/>
            <w:vAlign w:val="center"/>
          </w:tcPr>
          <w:p w14:paraId="736C9D5F">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单位</w:t>
            </w:r>
          </w:p>
        </w:tc>
        <w:tc>
          <w:tcPr>
            <w:tcW w:w="850" w:type="dxa"/>
            <w:vAlign w:val="center"/>
          </w:tcPr>
          <w:p w14:paraId="26FE9557">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技术参数</w:t>
            </w:r>
          </w:p>
        </w:tc>
        <w:tc>
          <w:tcPr>
            <w:tcW w:w="600" w:type="dxa"/>
            <w:vAlign w:val="center"/>
          </w:tcPr>
          <w:p w14:paraId="233407F6">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单价</w:t>
            </w:r>
          </w:p>
          <w:p w14:paraId="6B96C95C">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（元）</w:t>
            </w:r>
          </w:p>
        </w:tc>
        <w:tc>
          <w:tcPr>
            <w:tcW w:w="683" w:type="dxa"/>
            <w:vAlign w:val="center"/>
          </w:tcPr>
          <w:p w14:paraId="243498BE">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金额</w:t>
            </w:r>
          </w:p>
          <w:p w14:paraId="59EF7A8A">
            <w:pPr>
              <w:spacing w:line="340" w:lineRule="exact"/>
              <w:jc w:val="center"/>
              <w:rPr>
                <w:rFonts w:ascii="宋体" w:hAnsi="宋体" w:eastAsia="宋体" w:cs="Times New Roman"/>
                <w:color w:val="auto"/>
                <w:highlight w:val="none"/>
              </w:rPr>
            </w:pPr>
            <w:r>
              <w:rPr>
                <w:rFonts w:hint="eastAsia" w:ascii="宋体" w:hAnsi="宋体" w:eastAsia="宋体" w:cs="Times New Roman"/>
                <w:color w:val="auto"/>
                <w:highlight w:val="none"/>
              </w:rPr>
              <w:t>（元）</w:t>
            </w:r>
          </w:p>
        </w:tc>
      </w:tr>
      <w:tr w14:paraId="059C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Align w:val="center"/>
          </w:tcPr>
          <w:p w14:paraId="5E862C4A">
            <w:pPr>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1</w:t>
            </w:r>
          </w:p>
        </w:tc>
        <w:tc>
          <w:tcPr>
            <w:tcW w:w="1765" w:type="dxa"/>
            <w:vAlign w:val="center"/>
          </w:tcPr>
          <w:p w14:paraId="450F2EB1">
            <w:pPr>
              <w:spacing w:line="360" w:lineRule="auto"/>
              <w:jc w:val="center"/>
              <w:rPr>
                <w:rFonts w:ascii="宋体" w:hAnsi="宋体" w:eastAsia="宋体" w:cs="Times New Roman"/>
                <w:color w:val="auto"/>
                <w:highlight w:val="none"/>
              </w:rPr>
            </w:pPr>
          </w:p>
        </w:tc>
        <w:tc>
          <w:tcPr>
            <w:tcW w:w="978" w:type="dxa"/>
            <w:vAlign w:val="center"/>
          </w:tcPr>
          <w:p w14:paraId="0134A285">
            <w:pPr>
              <w:spacing w:line="360" w:lineRule="auto"/>
              <w:jc w:val="center"/>
              <w:rPr>
                <w:rFonts w:ascii="宋体" w:hAnsi="宋体" w:eastAsia="宋体" w:cs="Times New Roman"/>
                <w:color w:val="auto"/>
                <w:highlight w:val="none"/>
              </w:rPr>
            </w:pPr>
          </w:p>
        </w:tc>
        <w:tc>
          <w:tcPr>
            <w:tcW w:w="1383" w:type="dxa"/>
            <w:vAlign w:val="center"/>
          </w:tcPr>
          <w:p w14:paraId="04488EE6">
            <w:pPr>
              <w:spacing w:line="360" w:lineRule="auto"/>
              <w:jc w:val="center"/>
              <w:rPr>
                <w:rFonts w:ascii="宋体" w:hAnsi="宋体" w:eastAsia="宋体" w:cs="Times New Roman"/>
                <w:color w:val="auto"/>
                <w:highlight w:val="none"/>
              </w:rPr>
            </w:pPr>
          </w:p>
        </w:tc>
        <w:tc>
          <w:tcPr>
            <w:tcW w:w="1284" w:type="dxa"/>
            <w:vAlign w:val="center"/>
          </w:tcPr>
          <w:p w14:paraId="6CA0C1FB">
            <w:pPr>
              <w:spacing w:line="360" w:lineRule="auto"/>
              <w:jc w:val="center"/>
              <w:rPr>
                <w:rFonts w:ascii="宋体" w:hAnsi="宋体" w:eastAsia="宋体" w:cs="Times New Roman"/>
                <w:color w:val="auto"/>
                <w:highlight w:val="none"/>
              </w:rPr>
            </w:pPr>
          </w:p>
        </w:tc>
        <w:tc>
          <w:tcPr>
            <w:tcW w:w="900" w:type="dxa"/>
            <w:vAlign w:val="center"/>
          </w:tcPr>
          <w:p w14:paraId="4D3737C5">
            <w:pPr>
              <w:spacing w:line="360" w:lineRule="auto"/>
              <w:jc w:val="center"/>
              <w:rPr>
                <w:rFonts w:ascii="宋体" w:hAnsi="宋体" w:eastAsia="宋体" w:cs="Times New Roman"/>
                <w:color w:val="auto"/>
                <w:highlight w:val="none"/>
              </w:rPr>
            </w:pPr>
          </w:p>
        </w:tc>
        <w:tc>
          <w:tcPr>
            <w:tcW w:w="833" w:type="dxa"/>
            <w:vAlign w:val="center"/>
          </w:tcPr>
          <w:p w14:paraId="6DD17B14">
            <w:pPr>
              <w:spacing w:line="360" w:lineRule="auto"/>
              <w:jc w:val="center"/>
              <w:rPr>
                <w:rFonts w:ascii="宋体" w:hAnsi="宋体" w:eastAsia="宋体" w:cs="Times New Roman"/>
                <w:color w:val="auto"/>
                <w:highlight w:val="none"/>
              </w:rPr>
            </w:pPr>
          </w:p>
        </w:tc>
        <w:tc>
          <w:tcPr>
            <w:tcW w:w="850" w:type="dxa"/>
            <w:vAlign w:val="center"/>
          </w:tcPr>
          <w:p w14:paraId="7CAADE25">
            <w:pPr>
              <w:spacing w:line="360" w:lineRule="auto"/>
              <w:jc w:val="center"/>
              <w:rPr>
                <w:rFonts w:ascii="宋体" w:hAnsi="宋体" w:eastAsia="宋体" w:cs="Times New Roman"/>
                <w:color w:val="auto"/>
                <w:highlight w:val="none"/>
              </w:rPr>
            </w:pPr>
          </w:p>
        </w:tc>
        <w:tc>
          <w:tcPr>
            <w:tcW w:w="600" w:type="dxa"/>
            <w:vAlign w:val="center"/>
          </w:tcPr>
          <w:p w14:paraId="24538EE5">
            <w:pPr>
              <w:spacing w:line="360" w:lineRule="auto"/>
              <w:jc w:val="center"/>
              <w:rPr>
                <w:rFonts w:ascii="宋体" w:hAnsi="宋体" w:eastAsia="宋体" w:cs="Times New Roman"/>
                <w:color w:val="auto"/>
                <w:highlight w:val="none"/>
              </w:rPr>
            </w:pPr>
          </w:p>
        </w:tc>
        <w:tc>
          <w:tcPr>
            <w:tcW w:w="683" w:type="dxa"/>
            <w:vAlign w:val="center"/>
          </w:tcPr>
          <w:p w14:paraId="2633F418">
            <w:pPr>
              <w:spacing w:line="360" w:lineRule="auto"/>
              <w:jc w:val="center"/>
              <w:rPr>
                <w:rFonts w:ascii="宋体" w:hAnsi="宋体" w:eastAsia="宋体" w:cs="Times New Roman"/>
                <w:color w:val="auto"/>
                <w:highlight w:val="none"/>
              </w:rPr>
            </w:pPr>
          </w:p>
        </w:tc>
      </w:tr>
      <w:tr w14:paraId="7D67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Align w:val="center"/>
          </w:tcPr>
          <w:p w14:paraId="6258B350">
            <w:pPr>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2</w:t>
            </w:r>
          </w:p>
        </w:tc>
        <w:tc>
          <w:tcPr>
            <w:tcW w:w="1765" w:type="dxa"/>
            <w:vAlign w:val="center"/>
          </w:tcPr>
          <w:p w14:paraId="7ABBF572">
            <w:pPr>
              <w:spacing w:line="360" w:lineRule="auto"/>
              <w:jc w:val="center"/>
              <w:rPr>
                <w:rFonts w:ascii="宋体" w:hAnsi="宋体" w:eastAsia="宋体" w:cs="Times New Roman"/>
                <w:color w:val="auto"/>
                <w:highlight w:val="none"/>
              </w:rPr>
            </w:pPr>
          </w:p>
        </w:tc>
        <w:tc>
          <w:tcPr>
            <w:tcW w:w="978" w:type="dxa"/>
            <w:vAlign w:val="center"/>
          </w:tcPr>
          <w:p w14:paraId="0D25A4B0">
            <w:pPr>
              <w:spacing w:line="360" w:lineRule="auto"/>
              <w:jc w:val="center"/>
              <w:rPr>
                <w:rFonts w:ascii="宋体" w:hAnsi="宋体" w:eastAsia="宋体" w:cs="Times New Roman"/>
                <w:color w:val="auto"/>
                <w:highlight w:val="none"/>
              </w:rPr>
            </w:pPr>
          </w:p>
        </w:tc>
        <w:tc>
          <w:tcPr>
            <w:tcW w:w="1383" w:type="dxa"/>
            <w:vAlign w:val="center"/>
          </w:tcPr>
          <w:p w14:paraId="1F33F921">
            <w:pPr>
              <w:spacing w:line="360" w:lineRule="auto"/>
              <w:jc w:val="center"/>
              <w:rPr>
                <w:rFonts w:ascii="宋体" w:hAnsi="宋体" w:eastAsia="宋体" w:cs="Times New Roman"/>
                <w:color w:val="auto"/>
                <w:highlight w:val="none"/>
              </w:rPr>
            </w:pPr>
          </w:p>
        </w:tc>
        <w:tc>
          <w:tcPr>
            <w:tcW w:w="1284" w:type="dxa"/>
            <w:vAlign w:val="center"/>
          </w:tcPr>
          <w:p w14:paraId="51188831">
            <w:pPr>
              <w:spacing w:line="360" w:lineRule="auto"/>
              <w:jc w:val="center"/>
              <w:rPr>
                <w:rFonts w:ascii="宋体" w:hAnsi="宋体" w:eastAsia="宋体" w:cs="Times New Roman"/>
                <w:color w:val="auto"/>
                <w:highlight w:val="none"/>
              </w:rPr>
            </w:pPr>
          </w:p>
        </w:tc>
        <w:tc>
          <w:tcPr>
            <w:tcW w:w="900" w:type="dxa"/>
            <w:vAlign w:val="center"/>
          </w:tcPr>
          <w:p w14:paraId="1D94FD81">
            <w:pPr>
              <w:spacing w:line="360" w:lineRule="auto"/>
              <w:jc w:val="center"/>
              <w:rPr>
                <w:rFonts w:ascii="宋体" w:hAnsi="宋体" w:eastAsia="宋体" w:cs="Times New Roman"/>
                <w:color w:val="auto"/>
                <w:highlight w:val="none"/>
              </w:rPr>
            </w:pPr>
          </w:p>
        </w:tc>
        <w:tc>
          <w:tcPr>
            <w:tcW w:w="833" w:type="dxa"/>
            <w:vAlign w:val="center"/>
          </w:tcPr>
          <w:p w14:paraId="27BA3E98">
            <w:pPr>
              <w:spacing w:line="360" w:lineRule="auto"/>
              <w:jc w:val="center"/>
              <w:rPr>
                <w:rFonts w:ascii="宋体" w:hAnsi="宋体" w:eastAsia="宋体" w:cs="Times New Roman"/>
                <w:color w:val="auto"/>
                <w:highlight w:val="none"/>
              </w:rPr>
            </w:pPr>
          </w:p>
        </w:tc>
        <w:tc>
          <w:tcPr>
            <w:tcW w:w="850" w:type="dxa"/>
            <w:vAlign w:val="center"/>
          </w:tcPr>
          <w:p w14:paraId="437E8CC5">
            <w:pPr>
              <w:spacing w:line="360" w:lineRule="auto"/>
              <w:jc w:val="center"/>
              <w:rPr>
                <w:rFonts w:ascii="宋体" w:hAnsi="宋体" w:eastAsia="宋体" w:cs="Times New Roman"/>
                <w:color w:val="auto"/>
                <w:highlight w:val="none"/>
              </w:rPr>
            </w:pPr>
          </w:p>
        </w:tc>
        <w:tc>
          <w:tcPr>
            <w:tcW w:w="600" w:type="dxa"/>
            <w:vAlign w:val="center"/>
          </w:tcPr>
          <w:p w14:paraId="05961921">
            <w:pPr>
              <w:spacing w:line="360" w:lineRule="auto"/>
              <w:jc w:val="center"/>
              <w:rPr>
                <w:rFonts w:ascii="宋体" w:hAnsi="宋体" w:eastAsia="宋体" w:cs="Times New Roman"/>
                <w:color w:val="auto"/>
                <w:highlight w:val="none"/>
              </w:rPr>
            </w:pPr>
          </w:p>
        </w:tc>
        <w:tc>
          <w:tcPr>
            <w:tcW w:w="683" w:type="dxa"/>
            <w:vAlign w:val="center"/>
          </w:tcPr>
          <w:p w14:paraId="3FAF89F0">
            <w:pPr>
              <w:spacing w:line="360" w:lineRule="auto"/>
              <w:jc w:val="center"/>
              <w:rPr>
                <w:rFonts w:ascii="宋体" w:hAnsi="宋体" w:eastAsia="宋体" w:cs="Times New Roman"/>
                <w:color w:val="auto"/>
                <w:highlight w:val="none"/>
              </w:rPr>
            </w:pPr>
          </w:p>
        </w:tc>
      </w:tr>
      <w:tr w14:paraId="3B30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Align w:val="center"/>
          </w:tcPr>
          <w:p w14:paraId="76381892">
            <w:pPr>
              <w:spacing w:line="360" w:lineRule="auto"/>
              <w:jc w:val="center"/>
              <w:rPr>
                <w:rFonts w:ascii="宋体" w:hAnsi="宋体" w:eastAsia="宋体" w:cs="Times New Roman"/>
                <w:color w:val="auto"/>
                <w:highlight w:val="none"/>
              </w:rPr>
            </w:pPr>
            <w:r>
              <w:rPr>
                <w:rFonts w:hint="eastAsia" w:ascii="宋体" w:hAnsi="宋体" w:eastAsia="宋体" w:cs="Times New Roman"/>
                <w:color w:val="auto"/>
                <w:highlight w:val="none"/>
              </w:rPr>
              <w:t>...</w:t>
            </w:r>
          </w:p>
        </w:tc>
        <w:tc>
          <w:tcPr>
            <w:tcW w:w="1765" w:type="dxa"/>
            <w:vAlign w:val="center"/>
          </w:tcPr>
          <w:p w14:paraId="2B8FCFC8">
            <w:pPr>
              <w:spacing w:line="360" w:lineRule="auto"/>
              <w:jc w:val="center"/>
              <w:rPr>
                <w:rFonts w:ascii="宋体" w:hAnsi="宋体" w:eastAsia="宋体" w:cs="Times New Roman"/>
                <w:color w:val="auto"/>
                <w:highlight w:val="none"/>
              </w:rPr>
            </w:pPr>
          </w:p>
        </w:tc>
        <w:tc>
          <w:tcPr>
            <w:tcW w:w="978" w:type="dxa"/>
            <w:vAlign w:val="center"/>
          </w:tcPr>
          <w:p w14:paraId="11FC66A3">
            <w:pPr>
              <w:spacing w:line="360" w:lineRule="auto"/>
              <w:jc w:val="center"/>
              <w:rPr>
                <w:rFonts w:ascii="宋体" w:hAnsi="宋体" w:eastAsia="宋体" w:cs="Times New Roman"/>
                <w:color w:val="auto"/>
                <w:highlight w:val="none"/>
              </w:rPr>
            </w:pPr>
          </w:p>
        </w:tc>
        <w:tc>
          <w:tcPr>
            <w:tcW w:w="1383" w:type="dxa"/>
            <w:vAlign w:val="center"/>
          </w:tcPr>
          <w:p w14:paraId="4EC554FB">
            <w:pPr>
              <w:spacing w:line="360" w:lineRule="auto"/>
              <w:jc w:val="center"/>
              <w:rPr>
                <w:rFonts w:ascii="宋体" w:hAnsi="宋体" w:eastAsia="宋体" w:cs="Times New Roman"/>
                <w:color w:val="auto"/>
                <w:highlight w:val="none"/>
              </w:rPr>
            </w:pPr>
          </w:p>
        </w:tc>
        <w:tc>
          <w:tcPr>
            <w:tcW w:w="1284" w:type="dxa"/>
            <w:vAlign w:val="center"/>
          </w:tcPr>
          <w:p w14:paraId="600E23AD">
            <w:pPr>
              <w:spacing w:line="360" w:lineRule="auto"/>
              <w:jc w:val="center"/>
              <w:rPr>
                <w:rFonts w:ascii="宋体" w:hAnsi="宋体" w:eastAsia="宋体" w:cs="Times New Roman"/>
                <w:color w:val="auto"/>
                <w:highlight w:val="none"/>
              </w:rPr>
            </w:pPr>
          </w:p>
        </w:tc>
        <w:tc>
          <w:tcPr>
            <w:tcW w:w="900" w:type="dxa"/>
            <w:vAlign w:val="center"/>
          </w:tcPr>
          <w:p w14:paraId="110E7DD8">
            <w:pPr>
              <w:spacing w:line="360" w:lineRule="auto"/>
              <w:jc w:val="center"/>
              <w:rPr>
                <w:rFonts w:ascii="宋体" w:hAnsi="宋体" w:eastAsia="宋体" w:cs="Times New Roman"/>
                <w:color w:val="auto"/>
                <w:highlight w:val="none"/>
              </w:rPr>
            </w:pPr>
          </w:p>
        </w:tc>
        <w:tc>
          <w:tcPr>
            <w:tcW w:w="833" w:type="dxa"/>
            <w:vAlign w:val="center"/>
          </w:tcPr>
          <w:p w14:paraId="1352AA40">
            <w:pPr>
              <w:spacing w:line="360" w:lineRule="auto"/>
              <w:jc w:val="center"/>
              <w:rPr>
                <w:rFonts w:ascii="宋体" w:hAnsi="宋体" w:eastAsia="宋体" w:cs="Times New Roman"/>
                <w:color w:val="auto"/>
                <w:highlight w:val="none"/>
              </w:rPr>
            </w:pPr>
          </w:p>
        </w:tc>
        <w:tc>
          <w:tcPr>
            <w:tcW w:w="850" w:type="dxa"/>
            <w:vAlign w:val="center"/>
          </w:tcPr>
          <w:p w14:paraId="454A00AF">
            <w:pPr>
              <w:spacing w:line="360" w:lineRule="auto"/>
              <w:jc w:val="center"/>
              <w:rPr>
                <w:rFonts w:ascii="宋体" w:hAnsi="宋体" w:eastAsia="宋体" w:cs="Times New Roman"/>
                <w:color w:val="auto"/>
                <w:highlight w:val="none"/>
              </w:rPr>
            </w:pPr>
          </w:p>
        </w:tc>
        <w:tc>
          <w:tcPr>
            <w:tcW w:w="600" w:type="dxa"/>
            <w:vAlign w:val="center"/>
          </w:tcPr>
          <w:p w14:paraId="04E41CF3">
            <w:pPr>
              <w:spacing w:line="360" w:lineRule="auto"/>
              <w:jc w:val="center"/>
              <w:rPr>
                <w:rFonts w:ascii="宋体" w:hAnsi="宋体" w:eastAsia="宋体" w:cs="Times New Roman"/>
                <w:color w:val="auto"/>
                <w:highlight w:val="none"/>
              </w:rPr>
            </w:pPr>
          </w:p>
        </w:tc>
        <w:tc>
          <w:tcPr>
            <w:tcW w:w="683" w:type="dxa"/>
            <w:vAlign w:val="center"/>
          </w:tcPr>
          <w:p w14:paraId="05E0DED0">
            <w:pPr>
              <w:spacing w:line="360" w:lineRule="auto"/>
              <w:jc w:val="center"/>
              <w:rPr>
                <w:rFonts w:ascii="宋体" w:hAnsi="宋体" w:eastAsia="宋体" w:cs="Times New Roman"/>
                <w:color w:val="auto"/>
                <w:highlight w:val="none"/>
              </w:rPr>
            </w:pPr>
          </w:p>
        </w:tc>
      </w:tr>
      <w:tr w14:paraId="1F62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9996" w:type="dxa"/>
            <w:gridSpan w:val="10"/>
            <w:vAlign w:val="center"/>
          </w:tcPr>
          <w:p w14:paraId="4187DC9F">
            <w:pPr>
              <w:spacing w:line="360" w:lineRule="auto"/>
              <w:rPr>
                <w:rFonts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合计金额（人民币）：</w:t>
            </w:r>
            <w:r>
              <w:rPr>
                <w:rFonts w:hint="eastAsia" w:ascii="宋体" w:hAnsi="宋体" w:eastAsia="宋体" w:cs="Times New Roman"/>
                <w:color w:val="auto"/>
                <w:highlight w:val="none"/>
                <w:u w:val="single"/>
                <w:lang w:eastAsia="zh-CN"/>
              </w:rPr>
              <w:t>（大写               元整）（小写¥            ）</w:t>
            </w:r>
          </w:p>
        </w:tc>
      </w:tr>
    </w:tbl>
    <w:p w14:paraId="1987A28B">
      <w:pPr>
        <w:spacing w:line="400" w:lineRule="exact"/>
        <w:ind w:firstLine="516" w:firstLineChars="246"/>
        <w:rPr>
          <w:color w:val="auto"/>
          <w:highlight w:val="none"/>
          <w:lang w:eastAsia="zh-CN"/>
        </w:rPr>
      </w:pPr>
      <w:r>
        <w:rPr>
          <w:color w:val="auto"/>
          <w:highlight w:val="none"/>
          <w:lang w:eastAsia="zh-CN"/>
        </w:rPr>
        <w:t>根据《</w:t>
      </w:r>
      <w:r>
        <w:rPr>
          <w:rFonts w:hint="eastAsia"/>
          <w:color w:val="auto"/>
          <w:highlight w:val="none"/>
          <w:lang w:eastAsia="zh-CN"/>
        </w:rPr>
        <w:t>中标</w:t>
      </w:r>
      <w:r>
        <w:rPr>
          <w:color w:val="auto"/>
          <w:highlight w:val="none"/>
          <w:lang w:eastAsia="zh-CN"/>
        </w:rPr>
        <w:t>通知书》的</w:t>
      </w:r>
      <w:r>
        <w:rPr>
          <w:rFonts w:hint="eastAsia"/>
          <w:color w:val="auto"/>
          <w:highlight w:val="none"/>
          <w:lang w:eastAsia="zh-CN"/>
        </w:rPr>
        <w:t>中标</w:t>
      </w:r>
      <w:r>
        <w:rPr>
          <w:color w:val="auto"/>
          <w:highlight w:val="none"/>
          <w:lang w:eastAsia="zh-CN"/>
        </w:rPr>
        <w:t>内容，乙方作为本项目的</w:t>
      </w:r>
      <w:r>
        <w:rPr>
          <w:rFonts w:hint="eastAsia"/>
          <w:color w:val="auto"/>
          <w:highlight w:val="none"/>
          <w:lang w:eastAsia="zh-CN"/>
        </w:rPr>
        <w:t>中标</w:t>
      </w:r>
      <w:r>
        <w:rPr>
          <w:color w:val="auto"/>
          <w:highlight w:val="none"/>
          <w:lang w:eastAsia="zh-CN"/>
        </w:rPr>
        <w:t>人，合同的总金额为：（大写）</w:t>
      </w:r>
      <w:r>
        <w:rPr>
          <w:color w:val="auto"/>
          <w:highlight w:val="none"/>
          <w:u w:val="single"/>
          <w:lang w:eastAsia="zh-CN"/>
        </w:rPr>
        <w:t>　　　　　　　　　　　　　　　　　</w:t>
      </w:r>
      <w:r>
        <w:rPr>
          <w:color w:val="auto"/>
          <w:highlight w:val="none"/>
          <w:lang w:eastAsia="zh-CN"/>
        </w:rPr>
        <w:t>人民币（￥</w:t>
      </w:r>
      <w:r>
        <w:rPr>
          <w:color w:val="auto"/>
          <w:highlight w:val="none"/>
          <w:u w:val="single"/>
          <w:lang w:eastAsia="zh-CN"/>
        </w:rPr>
        <w:t>　　　　　　　　　　　　　　　</w:t>
      </w:r>
      <w:r>
        <w:rPr>
          <w:color w:val="auto"/>
          <w:highlight w:val="none"/>
          <w:lang w:eastAsia="zh-CN"/>
        </w:rPr>
        <w:t>元）</w:t>
      </w:r>
    </w:p>
    <w:p w14:paraId="4B371DA5">
      <w:pPr>
        <w:spacing w:line="400" w:lineRule="exact"/>
        <w:ind w:firstLine="412" w:firstLineChars="196"/>
        <w:rPr>
          <w:b/>
          <w:color w:val="auto"/>
          <w:highlight w:val="none"/>
          <w:lang w:eastAsia="zh-CN"/>
        </w:rPr>
      </w:pPr>
      <w:r>
        <w:rPr>
          <w:b/>
          <w:color w:val="auto"/>
          <w:highlight w:val="none"/>
          <w:lang w:eastAsia="zh-CN"/>
        </w:rPr>
        <w:t>第二条  质量保证</w:t>
      </w:r>
    </w:p>
    <w:p w14:paraId="307E5079">
      <w:pPr>
        <w:spacing w:line="400" w:lineRule="exact"/>
        <w:ind w:firstLine="411" w:firstLineChars="196"/>
        <w:rPr>
          <w:color w:val="auto"/>
          <w:highlight w:val="none"/>
          <w:lang w:eastAsia="zh-CN"/>
        </w:rPr>
      </w:pPr>
      <w:r>
        <w:rPr>
          <w:color w:val="auto"/>
          <w:highlight w:val="none"/>
          <w:lang w:eastAsia="zh-CN"/>
        </w:rPr>
        <w:t>1．乙方应按</w:t>
      </w:r>
      <w:r>
        <w:rPr>
          <w:rFonts w:hint="eastAsia"/>
          <w:color w:val="auto"/>
          <w:highlight w:val="none"/>
          <w:lang w:eastAsia="zh-CN"/>
        </w:rPr>
        <w:t>投标</w:t>
      </w:r>
      <w:r>
        <w:rPr>
          <w:color w:val="auto"/>
          <w:highlight w:val="none"/>
          <w:lang w:eastAsia="zh-CN"/>
        </w:rPr>
        <w:t>文件承诺的货物型号、技术规格、技术参数、质量标准向甲方提供未经使用的全新原装产品，且在正常安装、使用和保养条件下，其使用寿命期内各项指标均达到质量标准。</w:t>
      </w:r>
    </w:p>
    <w:p w14:paraId="7D5AC0E9">
      <w:pPr>
        <w:spacing w:line="400" w:lineRule="exact"/>
        <w:ind w:firstLine="435"/>
        <w:rPr>
          <w:color w:val="auto"/>
          <w:highlight w:val="none"/>
          <w:lang w:eastAsia="zh-CN"/>
        </w:rPr>
      </w:pPr>
      <w:r>
        <w:rPr>
          <w:color w:val="auto"/>
          <w:highlight w:val="none"/>
          <w:lang w:eastAsia="zh-CN"/>
        </w:rPr>
        <w:t>2．乙方提供货物的质量保证期为</w:t>
      </w:r>
      <w:r>
        <w:rPr>
          <w:color w:val="auto"/>
          <w:highlight w:val="none"/>
          <w:u w:val="single"/>
          <w:lang w:eastAsia="zh-CN"/>
        </w:rPr>
        <w:t xml:space="preserve">  </w:t>
      </w:r>
      <w:r>
        <w:rPr>
          <w:rFonts w:hint="eastAsia" w:eastAsia="宋体"/>
          <w:color w:val="auto"/>
          <w:highlight w:val="none"/>
          <w:u w:val="single"/>
          <w:lang w:eastAsia="zh-CN"/>
        </w:rPr>
        <w:t>1年</w:t>
      </w:r>
      <w:r>
        <w:rPr>
          <w:color w:val="auto"/>
          <w:highlight w:val="none"/>
          <w:u w:val="single"/>
          <w:lang w:eastAsia="zh-CN"/>
        </w:rPr>
        <w:t xml:space="preserve"> </w:t>
      </w:r>
      <w:r>
        <w:rPr>
          <w:rFonts w:hint="eastAsia" w:eastAsia="宋体"/>
          <w:color w:val="auto"/>
          <w:highlight w:val="none"/>
          <w:u w:val="single"/>
          <w:lang w:eastAsia="zh-CN"/>
        </w:rPr>
        <w:t xml:space="preserve"> </w:t>
      </w:r>
      <w:r>
        <w:rPr>
          <w:color w:val="auto"/>
          <w:highlight w:val="none"/>
          <w:lang w:eastAsia="zh-CN"/>
        </w:rPr>
        <w:t>。在质保期内因货物本身的质量问题发生故障，乙方应负责免费修理和更换零部件。对达不到技术要求者，根据实际情况，</w:t>
      </w:r>
      <w:r>
        <w:rPr>
          <w:rFonts w:hint="eastAsia"/>
          <w:color w:val="auto"/>
          <w:highlight w:val="none"/>
          <w:lang w:eastAsia="zh-CN"/>
        </w:rPr>
        <w:t>甲方有权选择</w:t>
      </w:r>
      <w:r>
        <w:rPr>
          <w:color w:val="auto"/>
          <w:highlight w:val="none"/>
          <w:lang w:eastAsia="zh-CN"/>
        </w:rPr>
        <w:t>按以下办法</w:t>
      </w:r>
      <w:r>
        <w:rPr>
          <w:rFonts w:hint="eastAsia"/>
          <w:color w:val="auto"/>
          <w:highlight w:val="none"/>
          <w:lang w:eastAsia="zh-CN"/>
        </w:rPr>
        <w:t>之一</w:t>
      </w:r>
      <w:r>
        <w:rPr>
          <w:color w:val="auto"/>
          <w:highlight w:val="none"/>
          <w:lang w:eastAsia="zh-CN"/>
        </w:rPr>
        <w:t>处理：</w:t>
      </w:r>
    </w:p>
    <w:p w14:paraId="6B2B807C">
      <w:pPr>
        <w:spacing w:line="400" w:lineRule="exact"/>
        <w:ind w:firstLine="435"/>
        <w:rPr>
          <w:color w:val="auto"/>
          <w:highlight w:val="none"/>
          <w:lang w:eastAsia="zh-CN"/>
        </w:rPr>
      </w:pPr>
      <w:r>
        <w:rPr>
          <w:color w:val="auto"/>
          <w:highlight w:val="none"/>
          <w:lang w:eastAsia="zh-CN"/>
        </w:rPr>
        <w:t>（1）更换：由乙方承担所有发生的全部费用</w:t>
      </w:r>
      <w:r>
        <w:rPr>
          <w:rFonts w:hint="eastAsia"/>
          <w:color w:val="auto"/>
          <w:highlight w:val="none"/>
          <w:lang w:eastAsia="zh-CN"/>
        </w:rPr>
        <w:t xml:space="preserve">和停用期间损失（按照每日【 </w:t>
      </w:r>
      <w:r>
        <w:rPr>
          <w:rFonts w:hint="eastAsia"/>
          <w:color w:val="auto"/>
          <w:highlight w:val="none"/>
          <w:lang w:val="en-US" w:eastAsia="zh-CN"/>
        </w:rPr>
        <w:t>1000</w:t>
      </w:r>
      <w:r>
        <w:rPr>
          <w:rFonts w:hint="eastAsia"/>
          <w:color w:val="auto"/>
          <w:highlight w:val="none"/>
          <w:lang w:eastAsia="zh-CN"/>
        </w:rPr>
        <w:t xml:space="preserve"> 】元计）</w:t>
      </w:r>
      <w:r>
        <w:rPr>
          <w:color w:val="auto"/>
          <w:highlight w:val="none"/>
          <w:lang w:eastAsia="zh-CN"/>
        </w:rPr>
        <w:t>。</w:t>
      </w:r>
    </w:p>
    <w:p w14:paraId="05C64688">
      <w:pPr>
        <w:spacing w:line="400" w:lineRule="exact"/>
        <w:ind w:firstLine="420" w:firstLineChars="200"/>
        <w:rPr>
          <w:color w:val="auto"/>
          <w:highlight w:val="none"/>
          <w:lang w:eastAsia="zh-CN"/>
        </w:rPr>
      </w:pPr>
      <w:r>
        <w:rPr>
          <w:color w:val="auto"/>
          <w:highlight w:val="none"/>
          <w:lang w:eastAsia="zh-CN"/>
        </w:rPr>
        <w:t>（2）贬值处理：由甲乙双方合议定价。</w:t>
      </w:r>
    </w:p>
    <w:p w14:paraId="697072A5">
      <w:pPr>
        <w:spacing w:line="400" w:lineRule="exact"/>
        <w:ind w:firstLine="420" w:firstLineChars="200"/>
        <w:rPr>
          <w:color w:val="auto"/>
          <w:highlight w:val="none"/>
          <w:lang w:eastAsia="zh-CN"/>
        </w:rPr>
      </w:pPr>
      <w:r>
        <w:rPr>
          <w:color w:val="auto"/>
          <w:highlight w:val="none"/>
          <w:lang w:eastAsia="zh-CN"/>
        </w:rPr>
        <w:t>（3）退货处理：乙方应退还甲方支付的合同款，同时应承担该货物的直接费用（运输、保险、检验、贷款利息及银行手续费等）</w:t>
      </w:r>
      <w:r>
        <w:rPr>
          <w:rFonts w:hint="eastAsia"/>
          <w:color w:val="auto"/>
          <w:highlight w:val="none"/>
          <w:lang w:eastAsia="zh-CN"/>
        </w:rPr>
        <w:t>和停用期间损失（</w:t>
      </w:r>
      <w:bookmarkStart w:id="17" w:name="_Hlk207898195"/>
      <w:r>
        <w:rPr>
          <w:rFonts w:hint="eastAsia"/>
          <w:color w:val="auto"/>
          <w:highlight w:val="none"/>
          <w:lang w:eastAsia="zh-CN"/>
        </w:rPr>
        <w:t xml:space="preserve">按照每日【 </w:t>
      </w:r>
      <w:r>
        <w:rPr>
          <w:rFonts w:hint="eastAsia"/>
          <w:color w:val="auto"/>
          <w:highlight w:val="none"/>
          <w:lang w:val="en-US" w:eastAsia="zh-CN"/>
        </w:rPr>
        <w:t>1000</w:t>
      </w:r>
      <w:r>
        <w:rPr>
          <w:rFonts w:hint="eastAsia"/>
          <w:color w:val="auto"/>
          <w:highlight w:val="none"/>
          <w:lang w:eastAsia="zh-CN"/>
        </w:rPr>
        <w:t xml:space="preserve"> 】元计</w:t>
      </w:r>
      <w:bookmarkEnd w:id="17"/>
      <w:r>
        <w:rPr>
          <w:rFonts w:hint="eastAsia"/>
          <w:color w:val="auto"/>
          <w:highlight w:val="none"/>
          <w:lang w:eastAsia="zh-CN"/>
        </w:rPr>
        <w:t>）</w:t>
      </w:r>
      <w:r>
        <w:rPr>
          <w:color w:val="auto"/>
          <w:highlight w:val="none"/>
          <w:lang w:eastAsia="zh-CN"/>
        </w:rPr>
        <w:t>。</w:t>
      </w:r>
    </w:p>
    <w:p w14:paraId="0834DF24">
      <w:pPr>
        <w:spacing w:line="400" w:lineRule="exact"/>
        <w:ind w:firstLine="412" w:firstLineChars="196"/>
        <w:rPr>
          <w:b/>
          <w:color w:val="auto"/>
          <w:highlight w:val="none"/>
          <w:lang w:eastAsia="zh-CN"/>
        </w:rPr>
      </w:pPr>
      <w:r>
        <w:rPr>
          <w:b/>
          <w:color w:val="auto"/>
          <w:highlight w:val="none"/>
          <w:lang w:eastAsia="zh-CN"/>
        </w:rPr>
        <w:t xml:space="preserve">第三条  </w:t>
      </w:r>
      <w:r>
        <w:rPr>
          <w:rFonts w:hint="eastAsia"/>
          <w:b/>
          <w:color w:val="auto"/>
          <w:highlight w:val="none"/>
          <w:lang w:eastAsia="zh-CN"/>
        </w:rPr>
        <w:t>权利</w:t>
      </w:r>
      <w:r>
        <w:rPr>
          <w:b/>
          <w:color w:val="auto"/>
          <w:highlight w:val="none"/>
          <w:lang w:eastAsia="zh-CN"/>
        </w:rPr>
        <w:t>保证</w:t>
      </w:r>
    </w:p>
    <w:p w14:paraId="61FCA84F">
      <w:pPr>
        <w:spacing w:line="400" w:lineRule="exact"/>
        <w:ind w:firstLine="411" w:firstLineChars="196"/>
        <w:rPr>
          <w:color w:val="auto"/>
          <w:highlight w:val="none"/>
          <w:lang w:eastAsia="zh-CN"/>
        </w:rPr>
      </w:pPr>
      <w:r>
        <w:rPr>
          <w:color w:val="auto"/>
          <w:highlight w:val="none"/>
          <w:lang w:eastAsia="zh-CN"/>
        </w:rPr>
        <w:t>1．乙方应保证所提供货物在使用时不会侵犯任何第三方的专利权、商标权、工业设计权或其他权利。</w:t>
      </w:r>
    </w:p>
    <w:p w14:paraId="4A068D82">
      <w:pPr>
        <w:spacing w:line="400" w:lineRule="exact"/>
        <w:ind w:firstLine="420" w:firstLineChars="200"/>
        <w:rPr>
          <w:color w:val="auto"/>
          <w:highlight w:val="none"/>
          <w:lang w:eastAsia="zh-CN"/>
        </w:rPr>
      </w:pPr>
      <w:r>
        <w:rPr>
          <w:color w:val="auto"/>
          <w:highlight w:val="none"/>
          <w:lang w:eastAsia="zh-CN"/>
        </w:rPr>
        <w:t>2. 乙方应按</w:t>
      </w:r>
      <w:r>
        <w:rPr>
          <w:rFonts w:hint="eastAsia"/>
          <w:color w:val="auto"/>
          <w:highlight w:val="none"/>
          <w:lang w:eastAsia="zh-CN"/>
        </w:rPr>
        <w:t>招标</w:t>
      </w:r>
      <w:r>
        <w:rPr>
          <w:color w:val="auto"/>
          <w:highlight w:val="none"/>
          <w:lang w:eastAsia="zh-CN"/>
        </w:rPr>
        <w:t>文件规定的时间向甲方提供使用货物的有关技术资料。</w:t>
      </w:r>
    </w:p>
    <w:p w14:paraId="7A224B10">
      <w:pPr>
        <w:spacing w:line="400" w:lineRule="exact"/>
        <w:rPr>
          <w:color w:val="auto"/>
          <w:highlight w:val="none"/>
          <w:lang w:eastAsia="zh-CN"/>
        </w:rPr>
      </w:pPr>
      <w:r>
        <w:rPr>
          <w:color w:val="auto"/>
          <w:highlight w:val="none"/>
          <w:lang w:eastAsia="zh-CN"/>
        </w:rPr>
        <w:t xml:space="preserve">    3．乙方保证所交付的货物的所有权完全属于乙方且无任何抵押、质押、查封等产权瑕疵</w:t>
      </w:r>
      <w:r>
        <w:rPr>
          <w:rFonts w:hint="eastAsia"/>
          <w:color w:val="auto"/>
          <w:highlight w:val="none"/>
          <w:lang w:eastAsia="zh-CN"/>
        </w:rPr>
        <w:t>或权利限制</w:t>
      </w:r>
      <w:r>
        <w:rPr>
          <w:color w:val="auto"/>
          <w:highlight w:val="none"/>
          <w:lang w:eastAsia="zh-CN"/>
        </w:rPr>
        <w:t>。</w:t>
      </w:r>
    </w:p>
    <w:p w14:paraId="44AF97AA">
      <w:pPr>
        <w:spacing w:line="400" w:lineRule="exact"/>
        <w:ind w:firstLine="420" w:firstLineChars="200"/>
        <w:rPr>
          <w:b/>
          <w:color w:val="auto"/>
          <w:highlight w:val="none"/>
          <w:lang w:eastAsia="zh-CN"/>
        </w:rPr>
      </w:pPr>
      <w:r>
        <w:rPr>
          <w:b/>
          <w:color w:val="auto"/>
          <w:highlight w:val="none"/>
          <w:lang w:eastAsia="zh-CN"/>
        </w:rPr>
        <w:t>第四条  货物包装、运输</w:t>
      </w:r>
    </w:p>
    <w:p w14:paraId="06627327">
      <w:pPr>
        <w:spacing w:line="400" w:lineRule="exact"/>
        <w:ind w:firstLine="420" w:firstLineChars="200"/>
        <w:rPr>
          <w:color w:val="auto"/>
          <w:highlight w:val="none"/>
          <w:lang w:eastAsia="zh-CN"/>
        </w:rPr>
      </w:pPr>
      <w:r>
        <w:rPr>
          <w:color w:val="auto"/>
          <w:highlight w:val="none"/>
          <w:lang w:eastAsia="zh-CN"/>
        </w:rPr>
        <w:t>1．乙方应在货物发运前对其进行满足运输距离、防潮、防震和防破损装卸等要求包装，以保证货物安全运达甲方指定地点。</w:t>
      </w:r>
    </w:p>
    <w:p w14:paraId="19056E07">
      <w:pPr>
        <w:spacing w:line="400" w:lineRule="exact"/>
        <w:ind w:left="420"/>
        <w:rPr>
          <w:color w:val="auto"/>
          <w:highlight w:val="none"/>
          <w:lang w:eastAsia="zh-CN"/>
        </w:rPr>
      </w:pPr>
      <w:r>
        <w:rPr>
          <w:color w:val="auto"/>
          <w:highlight w:val="none"/>
          <w:lang w:eastAsia="zh-CN"/>
        </w:rPr>
        <w:t>2．使用说明书、质量检验证明书、随配附件和工具以及清单一并附于货物内。</w:t>
      </w:r>
      <w:r>
        <w:rPr>
          <w:rFonts w:hint="eastAsia"/>
          <w:color w:val="auto"/>
          <w:highlight w:val="none"/>
          <w:lang w:eastAsia="zh-CN"/>
        </w:rPr>
        <w:t>如有进口设备必须提供报关单。</w:t>
      </w:r>
    </w:p>
    <w:p w14:paraId="544DBD7F">
      <w:pPr>
        <w:spacing w:line="400" w:lineRule="exact"/>
        <w:ind w:firstLine="420" w:firstLineChars="200"/>
        <w:rPr>
          <w:color w:val="auto"/>
          <w:highlight w:val="none"/>
          <w:lang w:eastAsia="zh-CN"/>
        </w:rPr>
      </w:pPr>
      <w:r>
        <w:rPr>
          <w:color w:val="auto"/>
          <w:highlight w:val="none"/>
          <w:lang w:eastAsia="zh-CN"/>
        </w:rPr>
        <w:t>3．乙方在货物发运手续办理完毕后二十四小时内或货到甲方四十八小时前通知甲方，以准备接货。</w:t>
      </w:r>
    </w:p>
    <w:p w14:paraId="2B51AFAB">
      <w:pPr>
        <w:spacing w:line="400" w:lineRule="exact"/>
        <w:ind w:left="420"/>
        <w:rPr>
          <w:color w:val="auto"/>
          <w:highlight w:val="none"/>
          <w:lang w:eastAsia="zh-CN"/>
        </w:rPr>
      </w:pPr>
      <w:r>
        <w:rPr>
          <w:color w:val="auto"/>
          <w:highlight w:val="none"/>
          <w:lang w:eastAsia="zh-CN"/>
        </w:rPr>
        <w:t>4．货物在</w:t>
      </w:r>
      <w:r>
        <w:rPr>
          <w:rFonts w:hint="eastAsia"/>
          <w:color w:val="auto"/>
          <w:highlight w:val="none"/>
          <w:lang w:eastAsia="zh-CN"/>
        </w:rPr>
        <w:t>最终验收移交</w:t>
      </w:r>
      <w:r>
        <w:rPr>
          <w:color w:val="auto"/>
          <w:highlight w:val="none"/>
          <w:lang w:eastAsia="zh-CN"/>
        </w:rPr>
        <w:t>甲方前发生的风险均由乙方负责。</w:t>
      </w:r>
    </w:p>
    <w:p w14:paraId="271DD372">
      <w:pPr>
        <w:spacing w:line="400" w:lineRule="exact"/>
        <w:ind w:firstLine="412" w:firstLineChars="196"/>
        <w:rPr>
          <w:b/>
          <w:color w:val="auto"/>
          <w:highlight w:val="none"/>
          <w:lang w:eastAsia="zh-CN"/>
        </w:rPr>
      </w:pPr>
      <w:r>
        <w:rPr>
          <w:b/>
          <w:color w:val="auto"/>
          <w:highlight w:val="none"/>
          <w:lang w:eastAsia="zh-CN"/>
        </w:rPr>
        <w:t>第五条  交付</w:t>
      </w:r>
    </w:p>
    <w:p w14:paraId="67260B5F">
      <w:pPr>
        <w:spacing w:line="400" w:lineRule="exact"/>
        <w:ind w:firstLine="420" w:firstLineChars="200"/>
        <w:rPr>
          <w:color w:val="auto"/>
          <w:highlight w:val="none"/>
          <w:lang w:eastAsia="zh-CN"/>
        </w:rPr>
      </w:pPr>
      <w:r>
        <w:rPr>
          <w:rFonts w:hint="eastAsia"/>
          <w:color w:val="auto"/>
          <w:highlight w:val="none"/>
          <w:lang w:eastAsia="zh-CN"/>
        </w:rPr>
        <w:t>1.交付时间:自签订合同之日起30天内交付；并全部安装调试合格完毕。交付地点：广西师范大学雁山校区田径场西-103；</w:t>
      </w:r>
    </w:p>
    <w:p w14:paraId="62BC7E17">
      <w:pPr>
        <w:spacing w:line="400" w:lineRule="exact"/>
        <w:rPr>
          <w:color w:val="auto"/>
          <w:highlight w:val="none"/>
          <w:lang w:eastAsia="zh-CN"/>
        </w:rPr>
      </w:pPr>
      <w:r>
        <w:rPr>
          <w:color w:val="auto"/>
          <w:highlight w:val="none"/>
          <w:lang w:eastAsia="zh-CN"/>
        </w:rPr>
        <w:t xml:space="preserve">    2．乙方提供不符合</w:t>
      </w:r>
      <w:r>
        <w:rPr>
          <w:rFonts w:hint="eastAsia"/>
          <w:color w:val="auto"/>
          <w:highlight w:val="none"/>
          <w:lang w:eastAsia="zh-CN"/>
        </w:rPr>
        <w:t>招标</w:t>
      </w:r>
      <w:r>
        <w:rPr>
          <w:color w:val="auto"/>
          <w:highlight w:val="none"/>
          <w:lang w:eastAsia="zh-CN"/>
        </w:rPr>
        <w:t>文件、</w:t>
      </w:r>
      <w:r>
        <w:rPr>
          <w:rFonts w:hint="eastAsia"/>
          <w:color w:val="auto"/>
          <w:highlight w:val="none"/>
          <w:lang w:eastAsia="zh-CN"/>
        </w:rPr>
        <w:t>投标</w:t>
      </w:r>
      <w:r>
        <w:rPr>
          <w:color w:val="auto"/>
          <w:highlight w:val="none"/>
          <w:lang w:eastAsia="zh-CN"/>
        </w:rPr>
        <w:t>文件和本合同规定的货物，甲方有权拒绝接受。</w:t>
      </w:r>
    </w:p>
    <w:p w14:paraId="190AC0EF">
      <w:pPr>
        <w:spacing w:line="400" w:lineRule="exact"/>
        <w:rPr>
          <w:color w:val="auto"/>
          <w:highlight w:val="none"/>
          <w:lang w:eastAsia="zh-CN"/>
        </w:rPr>
      </w:pPr>
      <w:r>
        <w:rPr>
          <w:color w:val="auto"/>
          <w:highlight w:val="none"/>
          <w:lang w:eastAsia="zh-CN"/>
        </w:rPr>
        <w:t xml:space="preserve">    3．乙方应将所有提供货物的装箱清单、用户手册、原厂保修卡、随机资料、工具和备用、备件等交付给甲方、如有缺失应及时补齐，否则视为逾期交货。</w:t>
      </w:r>
    </w:p>
    <w:p w14:paraId="48BCC920">
      <w:pPr>
        <w:spacing w:line="400" w:lineRule="exact"/>
        <w:ind w:left="413"/>
        <w:rPr>
          <w:rFonts w:ascii="宋体" w:hAnsi="宋体" w:eastAsia="宋体" w:cs="Times New Roman"/>
          <w:b/>
          <w:color w:val="auto"/>
          <w:highlight w:val="none"/>
          <w:lang w:eastAsia="zh-CN"/>
        </w:rPr>
      </w:pPr>
      <w:r>
        <w:rPr>
          <w:b/>
          <w:color w:val="auto"/>
          <w:highlight w:val="none"/>
          <w:lang w:eastAsia="zh-CN"/>
        </w:rPr>
        <w:t xml:space="preserve">第六条  </w:t>
      </w:r>
      <w:r>
        <w:rPr>
          <w:rFonts w:hint="eastAsia" w:ascii="宋体" w:hAnsi="宋体" w:eastAsia="宋体" w:cs="Times New Roman"/>
          <w:b/>
          <w:color w:val="auto"/>
          <w:highlight w:val="none"/>
          <w:lang w:eastAsia="zh-CN"/>
        </w:rPr>
        <w:t>质量标准、验收标准、验收程序及方法</w:t>
      </w:r>
    </w:p>
    <w:p w14:paraId="2FCE1AD7">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1.质量标准</w:t>
      </w:r>
    </w:p>
    <w:p w14:paraId="5DD91B18">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本项目执行国家相关标准、行业标准、地方标准或者其他标准、规范。如具体采购需求与标准、规范不一致的，高于标准、规范的按具体采购需求执行；低于标准、规范的按标准、规范执行。供应商所提供的产品必须是全新、完好、无破损、未经使用的原装产品，产品符合制造厂家合格产品的出厂质量标准，且在正常安装、使用和保养条件下，其使用寿命期内各项指标均达到质量要求。</w:t>
      </w:r>
    </w:p>
    <w:p w14:paraId="675A24BE">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2.验收标准</w:t>
      </w:r>
    </w:p>
    <w:p w14:paraId="6D81F9FB">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1）本项目执行国家相关标准、行业标准、地方标准或者其他标准、规范。如具体采购需求与标准、规范不一致的，高于标准、规范的按具体采购需求执行；低于标准、规范的按标准、规范执行。供应商所提供的产品必须是全新、完好、无破损、未经使用的原装产品，产品符合制造厂家合格产品的出厂质量标准，且在正常安装、使用和保养条件下，其使用寿命期内各项指标均达到质量要求。</w:t>
      </w:r>
    </w:p>
    <w:p w14:paraId="279DEB38">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2）产品到货后，甲方现场根据谈判文件要求及响应文件承诺逐条对应进行核验（含测试或试运行），核验不合格的，甲方有权不予验收，同时报相关监督管理部门，由此造成甲方经济损失的由乙方负责承担全部赔偿责任。</w:t>
      </w:r>
    </w:p>
    <w:p w14:paraId="136E1ADF">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3）因产品质量问题发生争议的，应邀请国家认可的质量检测机构对产品质量进行鉴定。产品符合标准的，鉴定费由甲方承担；产品不符合标准的，鉴定费由乙方承担。</w:t>
      </w:r>
    </w:p>
    <w:p w14:paraId="4E76A5B7">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3.验收程序及方法：</w:t>
      </w:r>
    </w:p>
    <w:p w14:paraId="7FAA2B02">
      <w:pPr>
        <w:widowControl w:val="0"/>
        <w:kinsoku/>
        <w:autoSpaceDE/>
        <w:autoSpaceDN/>
        <w:adjustRightInd/>
        <w:snapToGrid/>
        <w:spacing w:line="400" w:lineRule="exact"/>
        <w:ind w:firstLine="420" w:firstLineChars="200"/>
        <w:textAlignment w:val="auto"/>
        <w:rPr>
          <w:color w:val="auto"/>
          <w:highlight w:val="none"/>
          <w:lang w:eastAsia="zh-CN"/>
        </w:rPr>
      </w:pPr>
      <w:r>
        <w:rPr>
          <w:color w:val="auto"/>
          <w:highlight w:val="none"/>
          <w:lang w:eastAsia="zh-CN"/>
        </w:rPr>
        <w:t>1</w:t>
      </w:r>
      <w:r>
        <w:rPr>
          <w:rFonts w:hint="eastAsia"/>
          <w:color w:val="auto"/>
          <w:highlight w:val="none"/>
          <w:lang w:eastAsia="zh-CN"/>
        </w:rPr>
        <w:t>）乙方履行完合同义务后，书面向甲方提交验收申请。</w:t>
      </w:r>
    </w:p>
    <w:p w14:paraId="2851FBCB">
      <w:pPr>
        <w:widowControl w:val="0"/>
        <w:kinsoku/>
        <w:autoSpaceDE/>
        <w:autoSpaceDN/>
        <w:adjustRightInd/>
        <w:snapToGrid/>
        <w:spacing w:line="400" w:lineRule="exact"/>
        <w:ind w:firstLine="420" w:firstLineChars="200"/>
        <w:textAlignment w:val="auto"/>
        <w:rPr>
          <w:color w:val="auto"/>
          <w:highlight w:val="none"/>
          <w:lang w:eastAsia="zh-CN"/>
        </w:rPr>
      </w:pPr>
      <w:r>
        <w:rPr>
          <w:color w:val="auto"/>
          <w:highlight w:val="none"/>
          <w:lang w:eastAsia="zh-CN"/>
        </w:rPr>
        <w:t>2</w:t>
      </w:r>
      <w:r>
        <w:rPr>
          <w:rFonts w:hint="eastAsia"/>
          <w:color w:val="auto"/>
          <w:highlight w:val="none"/>
          <w:lang w:eastAsia="zh-CN"/>
        </w:rPr>
        <w:t>）甲方委托第三方机构组织项目验收的，其验收时间以该项目验收方案确定的验收时间为准。</w:t>
      </w:r>
    </w:p>
    <w:p w14:paraId="5EB4B025">
      <w:pPr>
        <w:widowControl w:val="0"/>
        <w:kinsoku/>
        <w:autoSpaceDE/>
        <w:autoSpaceDN/>
        <w:adjustRightInd/>
        <w:snapToGrid/>
        <w:spacing w:line="400" w:lineRule="exact"/>
        <w:ind w:firstLine="420" w:firstLineChars="200"/>
        <w:textAlignment w:val="auto"/>
        <w:rPr>
          <w:color w:val="auto"/>
          <w:highlight w:val="none"/>
          <w:lang w:eastAsia="zh-CN"/>
        </w:rPr>
      </w:pPr>
      <w:r>
        <w:rPr>
          <w:color w:val="auto"/>
          <w:highlight w:val="none"/>
          <w:lang w:eastAsia="zh-CN"/>
        </w:rPr>
        <w:t>3</w:t>
      </w:r>
      <w:r>
        <w:rPr>
          <w:rFonts w:hint="eastAsia"/>
          <w:color w:val="auto"/>
          <w:highlight w:val="none"/>
          <w:lang w:eastAsia="zh-CN"/>
        </w:rPr>
        <w:t>）本项目验收由验收小组按照采购合同约定对每一项技术和商务要求的履约情况进行确认。</w:t>
      </w:r>
    </w:p>
    <w:p w14:paraId="5572CED7">
      <w:pPr>
        <w:widowControl w:val="0"/>
        <w:kinsoku/>
        <w:autoSpaceDE/>
        <w:autoSpaceDN/>
        <w:adjustRightInd/>
        <w:snapToGrid/>
        <w:spacing w:line="400" w:lineRule="exact"/>
        <w:ind w:firstLine="420" w:firstLineChars="200"/>
        <w:textAlignment w:val="auto"/>
        <w:rPr>
          <w:color w:val="auto"/>
          <w:highlight w:val="none"/>
          <w:lang w:eastAsia="zh-CN"/>
        </w:rPr>
      </w:pPr>
      <w:r>
        <w:rPr>
          <w:color w:val="auto"/>
          <w:highlight w:val="none"/>
          <w:lang w:eastAsia="zh-CN"/>
        </w:rPr>
        <w:t>4</w:t>
      </w:r>
      <w:r>
        <w:rPr>
          <w:rFonts w:hint="eastAsia"/>
          <w:color w:val="auto"/>
          <w:highlight w:val="none"/>
          <w:lang w:eastAsia="zh-CN"/>
        </w:rPr>
        <w:t>）验收结束后，验收小组出具采购验收书，验收书应当包括每一项技术和商务要求的履约情况，并列明项目总体评价，由验收小组、甲方和乙方共同签署。甲方委托第三方机构组织项目验收的，其验收结果以第三方机构出具验收结论为准，甲方和乙方共同签署确认。</w:t>
      </w:r>
    </w:p>
    <w:p w14:paraId="22D1EBA1">
      <w:pPr>
        <w:widowControl w:val="0"/>
        <w:kinsoku/>
        <w:autoSpaceDE/>
        <w:autoSpaceDN/>
        <w:adjustRightInd/>
        <w:snapToGrid/>
        <w:spacing w:line="400" w:lineRule="exact"/>
        <w:ind w:firstLine="420" w:firstLineChars="200"/>
        <w:textAlignment w:val="auto"/>
        <w:rPr>
          <w:color w:val="auto"/>
          <w:highlight w:val="none"/>
          <w:lang w:eastAsia="zh-CN"/>
        </w:rPr>
      </w:pPr>
      <w:r>
        <w:rPr>
          <w:color w:val="auto"/>
          <w:highlight w:val="none"/>
          <w:lang w:eastAsia="zh-CN"/>
        </w:rPr>
        <w:t>5</w:t>
      </w:r>
      <w:r>
        <w:rPr>
          <w:rFonts w:hint="eastAsia"/>
          <w:color w:val="auto"/>
          <w:highlight w:val="none"/>
          <w:lang w:eastAsia="zh-CN"/>
        </w:rPr>
        <w:t>）验收过程中所产生的一切费用均由乙方承担。</w:t>
      </w:r>
    </w:p>
    <w:p w14:paraId="7A4EABA3">
      <w:pPr>
        <w:widowControl w:val="0"/>
        <w:kinsoku/>
        <w:autoSpaceDE/>
        <w:autoSpaceDN/>
        <w:adjustRightInd/>
        <w:snapToGrid/>
        <w:spacing w:line="400" w:lineRule="exact"/>
        <w:ind w:firstLine="420" w:firstLineChars="200"/>
        <w:textAlignment w:val="auto"/>
        <w:rPr>
          <w:color w:val="auto"/>
          <w:highlight w:val="none"/>
          <w:lang w:eastAsia="zh-CN"/>
        </w:rPr>
      </w:pPr>
      <w:r>
        <w:rPr>
          <w:color w:val="auto"/>
          <w:highlight w:val="none"/>
          <w:lang w:eastAsia="zh-CN"/>
        </w:rPr>
        <w:t>6</w:t>
      </w:r>
      <w:r>
        <w:rPr>
          <w:rFonts w:hint="eastAsia"/>
          <w:color w:val="auto"/>
          <w:highlight w:val="none"/>
          <w:lang w:eastAsia="zh-CN"/>
        </w:rPr>
        <w:t>）验收书一式五份，甲乙双方各执二份、受托第三方机构一份（如有）。</w:t>
      </w:r>
    </w:p>
    <w:p w14:paraId="356BCA16">
      <w:pPr>
        <w:widowControl w:val="0"/>
        <w:kinsoku/>
        <w:autoSpaceDE/>
        <w:autoSpaceDN/>
        <w:adjustRightInd/>
        <w:snapToGrid/>
        <w:spacing w:line="400" w:lineRule="exact"/>
        <w:ind w:firstLine="420" w:firstLineChars="200"/>
        <w:textAlignment w:val="auto"/>
        <w:rPr>
          <w:color w:val="auto"/>
          <w:highlight w:val="none"/>
          <w:lang w:eastAsia="zh-CN"/>
        </w:rPr>
      </w:pPr>
      <w:r>
        <w:rPr>
          <w:color w:val="auto"/>
          <w:highlight w:val="none"/>
          <w:lang w:eastAsia="zh-CN"/>
        </w:rPr>
        <w:t>7</w:t>
      </w:r>
      <w:r>
        <w:rPr>
          <w:rFonts w:hint="eastAsia"/>
          <w:color w:val="auto"/>
          <w:highlight w:val="none"/>
          <w:lang w:eastAsia="zh-CN"/>
        </w:rPr>
        <w:t>）验收结论不合格的，乙方应自收到验收书后</w:t>
      </w:r>
      <w:r>
        <w:rPr>
          <w:color w:val="auto"/>
          <w:highlight w:val="none"/>
          <w:lang w:eastAsia="zh-CN"/>
        </w:rPr>
        <w:t>7</w:t>
      </w:r>
      <w:r>
        <w:rPr>
          <w:rFonts w:hint="eastAsia"/>
          <w:color w:val="auto"/>
          <w:highlight w:val="none"/>
          <w:lang w:eastAsia="zh-CN"/>
        </w:rPr>
        <w:t>日内及时予以解决。经乙方对验收结论不合格的货物进行整改后，仍然达不到要求的，甲方有权选择按以下办法之一处理：</w:t>
      </w:r>
    </w:p>
    <w:p w14:paraId="4CF50580">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①更换：由乙方承担所发生的全部费用。</w:t>
      </w:r>
    </w:p>
    <w:p w14:paraId="0C22EF66">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②贬值处理：由甲乙双方合议定价。</w:t>
      </w:r>
    </w:p>
    <w:p w14:paraId="1F97E112">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③退货处</w:t>
      </w:r>
      <w:r>
        <w:rPr>
          <w:color w:val="auto"/>
          <w:highlight w:val="none"/>
          <w:lang w:eastAsia="zh-CN"/>
        </w:rPr>
        <w:t>理：乙方应退还甲方支付的合同款，同时应承担该货物的直接费用（运输、保险、检验、贷款利息及银行手续费等）</w:t>
      </w:r>
      <w:r>
        <w:rPr>
          <w:rFonts w:hint="eastAsia"/>
          <w:color w:val="auto"/>
          <w:highlight w:val="none"/>
          <w:lang w:eastAsia="zh-CN"/>
        </w:rPr>
        <w:t>和停用期间损失（按照每日【</w:t>
      </w:r>
      <w:r>
        <w:rPr>
          <w:rFonts w:hint="eastAsia"/>
          <w:color w:val="auto"/>
          <w:highlight w:val="none"/>
          <w:lang w:val="en-US" w:eastAsia="zh-CN"/>
        </w:rPr>
        <w:t>1000</w:t>
      </w:r>
      <w:r>
        <w:rPr>
          <w:rFonts w:hint="eastAsia"/>
          <w:color w:val="auto"/>
          <w:highlight w:val="none"/>
          <w:lang w:eastAsia="zh-CN"/>
        </w:rPr>
        <w:t xml:space="preserve">  】元计）</w:t>
      </w:r>
      <w:r>
        <w:rPr>
          <w:color w:val="auto"/>
          <w:highlight w:val="none"/>
          <w:lang w:eastAsia="zh-CN"/>
        </w:rPr>
        <w:t>。</w:t>
      </w:r>
    </w:p>
    <w:p w14:paraId="6AFDF1C6">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4</w:t>
      </w:r>
      <w:r>
        <w:rPr>
          <w:color w:val="auto"/>
          <w:highlight w:val="none"/>
          <w:lang w:eastAsia="zh-CN"/>
        </w:rPr>
        <w:t>.</w:t>
      </w:r>
      <w:r>
        <w:rPr>
          <w:rFonts w:hint="eastAsia"/>
          <w:color w:val="auto"/>
          <w:highlight w:val="none"/>
          <w:lang w:eastAsia="zh-CN"/>
        </w:rPr>
        <w:t>交付标准和方法</w:t>
      </w:r>
    </w:p>
    <w:p w14:paraId="2A8332C9">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w:t>
      </w:r>
      <w:r>
        <w:rPr>
          <w:color w:val="auto"/>
          <w:highlight w:val="none"/>
          <w:lang w:eastAsia="zh-CN"/>
        </w:rPr>
        <w:t>1</w:t>
      </w:r>
      <w:r>
        <w:rPr>
          <w:rFonts w:hint="eastAsia"/>
          <w:color w:val="auto"/>
          <w:highlight w:val="none"/>
          <w:lang w:eastAsia="zh-CN"/>
        </w:rPr>
        <w:t>）除售后服务验收外，验收结论合格的，乙方应自收到验收书后</w:t>
      </w:r>
      <w:r>
        <w:rPr>
          <w:color w:val="auto"/>
          <w:highlight w:val="none"/>
          <w:lang w:eastAsia="zh-CN"/>
        </w:rPr>
        <w:t>7</w:t>
      </w:r>
      <w:r>
        <w:rPr>
          <w:rFonts w:hint="eastAsia"/>
          <w:color w:val="auto"/>
          <w:highlight w:val="none"/>
          <w:lang w:eastAsia="zh-CN"/>
        </w:rPr>
        <w:t>日内向甲方交付使用。</w:t>
      </w:r>
    </w:p>
    <w:p w14:paraId="6A7919A8">
      <w:pPr>
        <w:widowControl w:val="0"/>
        <w:kinsoku/>
        <w:autoSpaceDE/>
        <w:autoSpaceDN/>
        <w:adjustRightInd/>
        <w:snapToGrid/>
        <w:spacing w:line="400" w:lineRule="exact"/>
        <w:ind w:firstLine="420" w:firstLineChars="200"/>
        <w:textAlignment w:val="auto"/>
        <w:rPr>
          <w:color w:val="auto"/>
          <w:highlight w:val="none"/>
          <w:lang w:eastAsia="zh-CN"/>
        </w:rPr>
      </w:pPr>
      <w:r>
        <w:rPr>
          <w:rFonts w:hint="eastAsia"/>
          <w:color w:val="auto"/>
          <w:highlight w:val="none"/>
          <w:lang w:eastAsia="zh-CN"/>
        </w:rPr>
        <w:t>（</w:t>
      </w:r>
      <w:r>
        <w:rPr>
          <w:color w:val="auto"/>
          <w:highlight w:val="none"/>
          <w:lang w:eastAsia="zh-CN"/>
        </w:rPr>
        <w:t>2</w:t>
      </w:r>
      <w:r>
        <w:rPr>
          <w:rFonts w:hint="eastAsia"/>
          <w:color w:val="auto"/>
          <w:highlight w:val="none"/>
          <w:lang w:eastAsia="zh-CN"/>
        </w:rPr>
        <w:t>）货物的所有权和风险自交付时起由乙方转移至甲方，货物交付给甲方之前所有风险均由乙方承担。</w:t>
      </w:r>
    </w:p>
    <w:p w14:paraId="382984CE">
      <w:pPr>
        <w:spacing w:line="400" w:lineRule="exact"/>
        <w:ind w:firstLine="412" w:firstLineChars="196"/>
        <w:rPr>
          <w:b/>
          <w:color w:val="auto"/>
          <w:highlight w:val="none"/>
          <w:lang w:eastAsia="zh-CN"/>
        </w:rPr>
      </w:pPr>
      <w:r>
        <w:rPr>
          <w:b/>
          <w:color w:val="auto"/>
          <w:highlight w:val="none"/>
          <w:lang w:eastAsia="zh-CN"/>
        </w:rPr>
        <w:t>第七条  安装和培训</w:t>
      </w:r>
    </w:p>
    <w:p w14:paraId="524DF9B4">
      <w:pPr>
        <w:spacing w:line="400" w:lineRule="exact"/>
        <w:ind w:firstLine="315" w:firstLineChars="150"/>
        <w:rPr>
          <w:color w:val="auto"/>
          <w:highlight w:val="none"/>
          <w:lang w:eastAsia="zh-CN"/>
        </w:rPr>
      </w:pPr>
      <w:r>
        <w:rPr>
          <w:color w:val="auto"/>
          <w:highlight w:val="none"/>
          <w:lang w:eastAsia="zh-CN"/>
        </w:rPr>
        <w:t xml:space="preserve"> 1．甲方应提供必要安装条件（如场地、电源、水源等）。</w:t>
      </w:r>
    </w:p>
    <w:p w14:paraId="75244A90">
      <w:pPr>
        <w:spacing w:line="400" w:lineRule="exact"/>
        <w:ind w:firstLine="315" w:firstLineChars="150"/>
        <w:rPr>
          <w:color w:val="auto"/>
          <w:highlight w:val="none"/>
          <w:lang w:eastAsia="zh-CN"/>
        </w:rPr>
      </w:pPr>
      <w:r>
        <w:rPr>
          <w:color w:val="auto"/>
          <w:highlight w:val="none"/>
          <w:lang w:eastAsia="zh-CN"/>
        </w:rPr>
        <w:t xml:space="preserve"> 2．乙方负责甲方有关人员的培训。培训时间、地点：</w:t>
      </w:r>
      <w:r>
        <w:rPr>
          <w:color w:val="auto"/>
          <w:highlight w:val="none"/>
          <w:u w:val="single"/>
          <w:lang w:eastAsia="zh-CN"/>
        </w:rPr>
        <w:t>广西桂林市采购人指定时间地点</w:t>
      </w:r>
      <w:r>
        <w:rPr>
          <w:color w:val="auto"/>
          <w:highlight w:val="none"/>
          <w:lang w:eastAsia="zh-CN"/>
        </w:rPr>
        <w:t>。</w:t>
      </w:r>
    </w:p>
    <w:p w14:paraId="7FE998D8">
      <w:pPr>
        <w:spacing w:line="400" w:lineRule="exact"/>
        <w:ind w:firstLine="412" w:firstLineChars="196"/>
        <w:rPr>
          <w:b/>
          <w:color w:val="auto"/>
          <w:highlight w:val="none"/>
          <w:lang w:eastAsia="zh-CN"/>
        </w:rPr>
      </w:pPr>
      <w:r>
        <w:rPr>
          <w:b/>
          <w:color w:val="auto"/>
          <w:highlight w:val="none"/>
          <w:lang w:eastAsia="zh-CN"/>
        </w:rPr>
        <w:t>第八条  售后服务、保修期</w:t>
      </w:r>
    </w:p>
    <w:p w14:paraId="226828AF">
      <w:pPr>
        <w:spacing w:line="400" w:lineRule="exact"/>
        <w:ind w:firstLine="420" w:firstLineChars="200"/>
        <w:rPr>
          <w:color w:val="auto"/>
          <w:highlight w:val="none"/>
          <w:lang w:eastAsia="zh-CN"/>
        </w:rPr>
      </w:pPr>
      <w:r>
        <w:rPr>
          <w:color w:val="auto"/>
          <w:highlight w:val="none"/>
          <w:lang w:eastAsia="zh-CN"/>
        </w:rPr>
        <w:t>1．乙方应按照国家有关法律规定和“三包”规定以及</w:t>
      </w:r>
      <w:r>
        <w:rPr>
          <w:rFonts w:hint="eastAsia"/>
          <w:color w:val="auto"/>
          <w:highlight w:val="none"/>
          <w:lang w:eastAsia="zh-CN"/>
        </w:rPr>
        <w:t>投标文件</w:t>
      </w:r>
      <w:r>
        <w:rPr>
          <w:color w:val="auto"/>
          <w:highlight w:val="none"/>
          <w:lang w:eastAsia="zh-CN"/>
        </w:rPr>
        <w:t>和本合同所附的《服务承诺》，为甲方提供售后服务。</w:t>
      </w:r>
    </w:p>
    <w:p w14:paraId="24CAED73">
      <w:pPr>
        <w:spacing w:line="400" w:lineRule="exact"/>
        <w:ind w:firstLine="420" w:firstLineChars="200"/>
        <w:rPr>
          <w:rFonts w:eastAsia="宋体"/>
          <w:color w:val="auto"/>
          <w:highlight w:val="none"/>
          <w:lang w:eastAsia="zh-CN"/>
        </w:rPr>
      </w:pPr>
      <w:r>
        <w:rPr>
          <w:color w:val="auto"/>
          <w:highlight w:val="none"/>
          <w:lang w:eastAsia="zh-CN"/>
        </w:rPr>
        <w:t>2．如在使用过程中发生质量问题，乙方在接到甲方通知后在</w:t>
      </w:r>
      <w:r>
        <w:rPr>
          <w:rFonts w:hint="eastAsia"/>
          <w:color w:val="auto"/>
          <w:highlight w:val="none"/>
          <w:u w:val="single"/>
          <w:lang w:eastAsia="zh-CN"/>
        </w:rPr>
        <w:t>投标文件</w:t>
      </w:r>
      <w:r>
        <w:rPr>
          <w:color w:val="auto"/>
          <w:highlight w:val="none"/>
          <w:u w:val="single"/>
          <w:lang w:eastAsia="zh-CN"/>
        </w:rPr>
        <w:t>承诺的时间</w:t>
      </w:r>
      <w:r>
        <w:rPr>
          <w:color w:val="auto"/>
          <w:highlight w:val="none"/>
          <w:lang w:eastAsia="zh-CN"/>
        </w:rPr>
        <w:t>内到达甲方现场处理。</w:t>
      </w:r>
    </w:p>
    <w:p w14:paraId="058D0C0B">
      <w:pPr>
        <w:spacing w:line="400" w:lineRule="exact"/>
        <w:ind w:firstLine="420" w:firstLineChars="200"/>
        <w:rPr>
          <w:color w:val="auto"/>
          <w:highlight w:val="none"/>
          <w:lang w:eastAsia="zh-CN"/>
        </w:rPr>
      </w:pPr>
      <w:r>
        <w:rPr>
          <w:color w:val="auto"/>
          <w:highlight w:val="none"/>
          <w:lang w:eastAsia="zh-CN"/>
        </w:rPr>
        <w:t>3．在质保期内，乙方应对货物出现的质量及安全问题负责处理解决并承担一切费用。</w:t>
      </w:r>
    </w:p>
    <w:p w14:paraId="27E41685">
      <w:pPr>
        <w:spacing w:line="400" w:lineRule="exact"/>
        <w:ind w:firstLine="420" w:firstLineChars="200"/>
        <w:rPr>
          <w:color w:val="auto"/>
          <w:highlight w:val="none"/>
          <w:lang w:eastAsia="zh-CN"/>
        </w:rPr>
      </w:pPr>
      <w:r>
        <w:rPr>
          <w:color w:val="auto"/>
          <w:highlight w:val="none"/>
          <w:lang w:eastAsia="zh-CN"/>
        </w:rPr>
        <w:t>4．货物免费保修（升级、维护）期限为</w:t>
      </w:r>
      <w:r>
        <w:rPr>
          <w:color w:val="auto"/>
          <w:highlight w:val="none"/>
          <w:u w:val="single"/>
          <w:lang w:eastAsia="zh-CN"/>
        </w:rPr>
        <w:t>按乙方</w:t>
      </w:r>
      <w:r>
        <w:rPr>
          <w:rFonts w:hint="eastAsia"/>
          <w:color w:val="auto"/>
          <w:highlight w:val="none"/>
          <w:u w:val="single"/>
          <w:lang w:eastAsia="zh-CN"/>
        </w:rPr>
        <w:t>投标文件</w:t>
      </w:r>
      <w:r>
        <w:rPr>
          <w:color w:val="auto"/>
          <w:highlight w:val="none"/>
          <w:u w:val="single"/>
          <w:lang w:eastAsia="zh-CN"/>
        </w:rPr>
        <w:t>中承诺且不低于采购要求的时间</w:t>
      </w:r>
      <w:r>
        <w:rPr>
          <w:color w:val="auto"/>
          <w:highlight w:val="none"/>
          <w:lang w:eastAsia="zh-CN"/>
        </w:rPr>
        <w:t>，因人为因素出现的故障不在免费保修范围内。超过保修期的货物，终生维修，维修时只收部件成本费。</w:t>
      </w:r>
    </w:p>
    <w:p w14:paraId="44BA023D">
      <w:pPr>
        <w:spacing w:line="400" w:lineRule="exact"/>
        <w:ind w:firstLine="412" w:firstLineChars="196"/>
        <w:rPr>
          <w:b/>
          <w:color w:val="auto"/>
          <w:highlight w:val="none"/>
          <w:lang w:eastAsia="zh-CN"/>
        </w:rPr>
      </w:pPr>
      <w:r>
        <w:rPr>
          <w:b/>
          <w:color w:val="auto"/>
          <w:highlight w:val="none"/>
          <w:lang w:eastAsia="zh-CN"/>
        </w:rPr>
        <w:t>第九条  税费</w:t>
      </w:r>
    </w:p>
    <w:p w14:paraId="5F5F404A">
      <w:pPr>
        <w:spacing w:line="400" w:lineRule="exact"/>
        <w:ind w:firstLine="411" w:firstLineChars="196"/>
        <w:rPr>
          <w:color w:val="auto"/>
          <w:highlight w:val="none"/>
          <w:lang w:eastAsia="zh-CN"/>
        </w:rPr>
      </w:pPr>
      <w:r>
        <w:rPr>
          <w:color w:val="auto"/>
          <w:highlight w:val="none"/>
          <w:lang w:eastAsia="zh-CN"/>
        </w:rPr>
        <w:t>本合同执行中相关的一切税费均由乙方负担。</w:t>
      </w:r>
    </w:p>
    <w:p w14:paraId="3FA501DB">
      <w:pPr>
        <w:spacing w:line="400" w:lineRule="exact"/>
        <w:ind w:firstLine="412" w:firstLineChars="196"/>
        <w:rPr>
          <w:b/>
          <w:color w:val="auto"/>
          <w:highlight w:val="none"/>
          <w:lang w:eastAsia="zh-CN"/>
        </w:rPr>
      </w:pPr>
      <w:r>
        <w:rPr>
          <w:b/>
          <w:color w:val="auto"/>
          <w:highlight w:val="none"/>
          <w:lang w:eastAsia="zh-CN"/>
        </w:rPr>
        <w:t>第十条  付款方式</w:t>
      </w:r>
    </w:p>
    <w:p w14:paraId="5674477F">
      <w:pPr>
        <w:widowControl w:val="0"/>
        <w:spacing w:line="360" w:lineRule="auto"/>
        <w:ind w:firstLine="420" w:firstLineChars="200"/>
        <w:rPr>
          <w:color w:val="auto"/>
          <w:highlight w:val="none"/>
          <w:lang w:eastAsia="zh-CN"/>
        </w:rPr>
      </w:pPr>
    </w:p>
    <w:p w14:paraId="47448028">
      <w:pPr>
        <w:widowControl w:val="0"/>
        <w:spacing w:line="360" w:lineRule="auto"/>
        <w:ind w:firstLine="420" w:firstLineChars="200"/>
        <w:rPr>
          <w:color w:val="auto"/>
          <w:highlight w:val="none"/>
          <w:lang w:eastAsia="zh-CN"/>
        </w:rPr>
      </w:pPr>
      <w:r>
        <w:rPr>
          <w:rFonts w:hint="eastAsia"/>
          <w:color w:val="auto"/>
          <w:highlight w:val="none"/>
          <w:lang w:eastAsia="zh-CN"/>
        </w:rPr>
        <w:t>在交货验收合格、培训指导完成及设备正常使用后，乙方在3日内开具全额发票给采购人，采购人收到全额发票后 30天内支付 100%的合同金额。（因财政支付系统延迟的，支付顺延）。</w:t>
      </w:r>
    </w:p>
    <w:p w14:paraId="5BE7C610">
      <w:pPr>
        <w:spacing w:line="400" w:lineRule="exact"/>
        <w:ind w:firstLine="412" w:firstLineChars="196"/>
        <w:rPr>
          <w:bCs/>
          <w:color w:val="auto"/>
          <w:highlight w:val="none"/>
          <w:lang w:eastAsia="zh-CN"/>
        </w:rPr>
      </w:pPr>
      <w:r>
        <w:rPr>
          <w:b/>
          <w:color w:val="auto"/>
          <w:highlight w:val="none"/>
          <w:lang w:eastAsia="zh-CN"/>
        </w:rPr>
        <w:t>第</w:t>
      </w:r>
      <w:r>
        <w:rPr>
          <w:rFonts w:hint="eastAsia"/>
          <w:b/>
          <w:color w:val="auto"/>
          <w:highlight w:val="none"/>
          <w:lang w:eastAsia="zh-CN"/>
        </w:rPr>
        <w:t>十一</w:t>
      </w:r>
      <w:r>
        <w:rPr>
          <w:b/>
          <w:color w:val="auto"/>
          <w:highlight w:val="none"/>
          <w:lang w:eastAsia="zh-CN"/>
        </w:rPr>
        <w:t xml:space="preserve">条 </w:t>
      </w:r>
      <w:bookmarkStart w:id="18" w:name="_Hlk48144402"/>
      <w:r>
        <w:rPr>
          <w:b/>
          <w:color w:val="auto"/>
          <w:highlight w:val="none"/>
          <w:lang w:eastAsia="zh-CN"/>
        </w:rPr>
        <w:t>履约保证金</w:t>
      </w:r>
      <w:bookmarkStart w:id="19" w:name="_Hlk47715711"/>
      <w:r>
        <w:rPr>
          <w:bCs/>
          <w:color w:val="auto"/>
          <w:highlight w:val="none"/>
          <w:lang w:eastAsia="zh-CN"/>
        </w:rPr>
        <w:t xml:space="preserve"> </w:t>
      </w:r>
      <w:bookmarkEnd w:id="19"/>
      <w:r>
        <w:rPr>
          <w:bCs/>
          <w:color w:val="auto"/>
          <w:highlight w:val="none"/>
          <w:lang w:eastAsia="zh-CN"/>
        </w:rPr>
        <w:t xml:space="preserve">  </w:t>
      </w:r>
    </w:p>
    <w:p w14:paraId="196D5E05">
      <w:pPr>
        <w:spacing w:line="400" w:lineRule="exact"/>
        <w:ind w:firstLine="411" w:firstLineChars="196"/>
        <w:rPr>
          <w:bCs/>
          <w:color w:val="auto"/>
          <w:highlight w:val="none"/>
          <w:lang w:eastAsia="zh-CN"/>
        </w:rPr>
      </w:pPr>
      <w:r>
        <w:rPr>
          <w:color w:val="auto"/>
          <w:highlight w:val="none"/>
          <w:lang w:eastAsia="zh-CN"/>
        </w:rPr>
        <w:t>1．</w:t>
      </w:r>
      <w:bookmarkStart w:id="20" w:name="OLE_LINK2"/>
      <w:r>
        <w:rPr>
          <w:bCs/>
          <w:color w:val="auto"/>
          <w:highlight w:val="none"/>
          <w:lang w:eastAsia="zh-CN"/>
        </w:rPr>
        <w:t>履约保证金金额：</w:t>
      </w:r>
      <w:bookmarkStart w:id="21" w:name="_Hlk47715729"/>
      <w:r>
        <w:rPr>
          <w:bCs/>
          <w:color w:val="auto"/>
          <w:highlight w:val="none"/>
          <w:lang w:eastAsia="zh-CN"/>
        </w:rPr>
        <w:t>合同金额的</w:t>
      </w:r>
      <w:r>
        <w:rPr>
          <w:rFonts w:hint="eastAsia"/>
          <w:bCs/>
          <w:color w:val="auto"/>
          <w:highlight w:val="none"/>
          <w:lang w:eastAsia="zh-CN"/>
        </w:rPr>
        <w:t>3</w:t>
      </w:r>
      <w:r>
        <w:rPr>
          <w:bCs/>
          <w:color w:val="auto"/>
          <w:highlight w:val="none"/>
          <w:lang w:eastAsia="zh-CN"/>
        </w:rPr>
        <w:t>%</w:t>
      </w:r>
    </w:p>
    <w:bookmarkEnd w:id="20"/>
    <w:p w14:paraId="42A9D1F5">
      <w:pPr>
        <w:spacing w:line="400" w:lineRule="exact"/>
        <w:ind w:firstLine="411" w:firstLineChars="196"/>
        <w:rPr>
          <w:bCs/>
          <w:color w:val="auto"/>
          <w:highlight w:val="none"/>
          <w:lang w:eastAsia="zh-CN"/>
        </w:rPr>
      </w:pPr>
      <w:r>
        <w:rPr>
          <w:color w:val="auto"/>
          <w:highlight w:val="none"/>
          <w:lang w:eastAsia="zh-CN"/>
        </w:rPr>
        <w:t>2．</w:t>
      </w:r>
      <w:r>
        <w:rPr>
          <w:bCs/>
          <w:color w:val="auto"/>
          <w:highlight w:val="none"/>
          <w:lang w:eastAsia="zh-CN"/>
        </w:rPr>
        <w:t>履约保证金缴纳形式：供应商可以选择电汇、转账、支票、汇票、本票、保函等形式缴纳或提交；采用保函形式缴纳的，甲方在保证期限届满后及时对收取的保证金进行核实和结算。</w:t>
      </w:r>
    </w:p>
    <w:p w14:paraId="57F5BF14">
      <w:pPr>
        <w:spacing w:line="400" w:lineRule="exact"/>
        <w:ind w:firstLine="411" w:firstLineChars="196"/>
        <w:rPr>
          <w:bCs/>
          <w:color w:val="auto"/>
          <w:highlight w:val="none"/>
          <w:lang w:eastAsia="zh-CN"/>
        </w:rPr>
      </w:pPr>
      <w:r>
        <w:rPr>
          <w:bCs/>
          <w:color w:val="auto"/>
          <w:highlight w:val="none"/>
          <w:lang w:eastAsia="zh-CN"/>
        </w:rPr>
        <w:t>保证金缴纳的账号信息：</w:t>
      </w:r>
    </w:p>
    <w:p w14:paraId="4AEF7647">
      <w:pPr>
        <w:spacing w:line="400" w:lineRule="exact"/>
        <w:ind w:firstLine="411" w:firstLineChars="196"/>
        <w:rPr>
          <w:bCs/>
          <w:color w:val="auto"/>
          <w:highlight w:val="none"/>
          <w:lang w:eastAsia="zh-CN"/>
        </w:rPr>
      </w:pPr>
      <w:r>
        <w:rPr>
          <w:bCs/>
          <w:color w:val="auto"/>
          <w:highlight w:val="none"/>
          <w:lang w:eastAsia="zh-CN"/>
        </w:rPr>
        <w:t>开户名称：广西师范大学</w:t>
      </w:r>
    </w:p>
    <w:p w14:paraId="7B1BE22D">
      <w:pPr>
        <w:spacing w:line="400" w:lineRule="exact"/>
        <w:ind w:firstLine="411" w:firstLineChars="196"/>
        <w:rPr>
          <w:bCs/>
          <w:color w:val="auto"/>
          <w:highlight w:val="none"/>
          <w:lang w:eastAsia="zh-CN"/>
        </w:rPr>
      </w:pPr>
      <w:r>
        <w:rPr>
          <w:bCs/>
          <w:color w:val="auto"/>
          <w:highlight w:val="none"/>
          <w:lang w:eastAsia="zh-CN"/>
        </w:rPr>
        <w:t>开户银行：中国工商银行股份有限公司桂林市高新科技支行</w:t>
      </w:r>
    </w:p>
    <w:p w14:paraId="18053638">
      <w:pPr>
        <w:spacing w:line="400" w:lineRule="exact"/>
        <w:ind w:firstLine="411" w:firstLineChars="196"/>
        <w:rPr>
          <w:bCs/>
          <w:color w:val="auto"/>
          <w:highlight w:val="none"/>
          <w:lang w:eastAsia="zh-CN"/>
        </w:rPr>
      </w:pPr>
      <w:r>
        <w:rPr>
          <w:bCs/>
          <w:color w:val="auto"/>
          <w:highlight w:val="none"/>
          <w:lang w:eastAsia="zh-CN"/>
        </w:rPr>
        <w:t>账    号：2103215109264004618</w:t>
      </w:r>
    </w:p>
    <w:bookmarkEnd w:id="18"/>
    <w:bookmarkEnd w:id="21"/>
    <w:p w14:paraId="4DF9D937">
      <w:pPr>
        <w:spacing w:line="400" w:lineRule="exact"/>
        <w:ind w:firstLine="411" w:firstLineChars="196"/>
        <w:rPr>
          <w:bCs/>
          <w:color w:val="auto"/>
          <w:highlight w:val="none"/>
          <w:lang w:eastAsia="zh-CN"/>
        </w:rPr>
      </w:pPr>
      <w:r>
        <w:rPr>
          <w:bCs/>
          <w:color w:val="auto"/>
          <w:highlight w:val="none"/>
          <w:lang w:eastAsia="zh-CN"/>
        </w:rPr>
        <w:t>履约保证金退还方式及时间、条件、不予退还的情形：履约保证金待履行完合同约定的权利义务事项后【</w:t>
      </w:r>
      <w:r>
        <w:rPr>
          <w:rFonts w:hint="eastAsia"/>
          <w:bCs/>
          <w:color w:val="auto"/>
          <w:highlight w:val="none"/>
          <w:lang w:eastAsia="zh-CN"/>
        </w:rPr>
        <w:t>乙方</w:t>
      </w:r>
      <w:r>
        <w:rPr>
          <w:bCs/>
          <w:color w:val="auto"/>
          <w:highlight w:val="none"/>
          <w:lang w:eastAsia="zh-CN"/>
        </w:rPr>
        <w:t>承诺保质期（免费保修、维护、升级期）满】且不存在争议的，由</w:t>
      </w:r>
      <w:r>
        <w:rPr>
          <w:rFonts w:hint="eastAsia"/>
          <w:bCs/>
          <w:color w:val="auto"/>
          <w:highlight w:val="none"/>
          <w:lang w:eastAsia="zh-CN"/>
        </w:rPr>
        <w:t>乙方</w:t>
      </w:r>
      <w:r>
        <w:rPr>
          <w:bCs/>
          <w:color w:val="auto"/>
          <w:highlight w:val="none"/>
          <w:lang w:eastAsia="zh-CN"/>
        </w:rPr>
        <w:t>向履约保证金收取单位提供</w:t>
      </w:r>
      <w:r>
        <w:rPr>
          <w:color w:val="auto"/>
          <w:highlight w:val="none"/>
          <w:lang w:eastAsia="zh-CN"/>
        </w:rPr>
        <w:t>《采购项目履约保证金退付意见书》</w:t>
      </w:r>
      <w:r>
        <w:rPr>
          <w:bCs/>
          <w:color w:val="auto"/>
          <w:highlight w:val="none"/>
          <w:lang w:eastAsia="zh-CN"/>
        </w:rPr>
        <w:t>，履约保证金收取单位在收到合格材料后</w:t>
      </w:r>
      <w:r>
        <w:rPr>
          <w:rFonts w:hint="eastAsia"/>
          <w:bCs/>
          <w:color w:val="auto"/>
          <w:highlight w:val="none"/>
          <w:lang w:eastAsia="zh-CN"/>
        </w:rPr>
        <w:t>30</w:t>
      </w:r>
      <w:r>
        <w:rPr>
          <w:bCs/>
          <w:color w:val="auto"/>
          <w:highlight w:val="none"/>
          <w:lang w:eastAsia="zh-CN"/>
        </w:rPr>
        <w:t>个工作日内办理退还手续（不计利息）。乙方发生违约事项的，甲方将违约金在履约保证金中相应扣除，</w:t>
      </w:r>
      <w:r>
        <w:rPr>
          <w:rFonts w:hint="eastAsia"/>
          <w:bCs/>
          <w:color w:val="auto"/>
          <w:highlight w:val="none"/>
          <w:lang w:eastAsia="zh-CN"/>
        </w:rPr>
        <w:t>履约保证金</w:t>
      </w:r>
      <w:r>
        <w:rPr>
          <w:bCs/>
          <w:color w:val="auto"/>
          <w:highlight w:val="none"/>
          <w:lang w:eastAsia="zh-CN"/>
        </w:rPr>
        <w:t>余额无息返还乙方。</w:t>
      </w:r>
    </w:p>
    <w:p w14:paraId="6ED2D7ED">
      <w:pPr>
        <w:spacing w:line="400" w:lineRule="exact"/>
        <w:ind w:firstLine="411" w:firstLineChars="196"/>
        <w:rPr>
          <w:bCs/>
          <w:color w:val="auto"/>
          <w:highlight w:val="none"/>
          <w:lang w:eastAsia="zh-CN"/>
        </w:rPr>
      </w:pPr>
      <w:bookmarkStart w:id="22" w:name="_Hlk47715739"/>
      <w:r>
        <w:rPr>
          <w:color w:val="auto"/>
          <w:highlight w:val="none"/>
          <w:lang w:eastAsia="zh-CN"/>
        </w:rPr>
        <w:t>3．</w:t>
      </w:r>
      <w:r>
        <w:rPr>
          <w:rFonts w:hint="eastAsia"/>
          <w:bCs/>
          <w:color w:val="auto"/>
          <w:highlight w:val="none"/>
          <w:lang w:eastAsia="zh-CN"/>
        </w:rPr>
        <w:t>履约</w:t>
      </w:r>
      <w:r>
        <w:rPr>
          <w:bCs/>
          <w:color w:val="auto"/>
          <w:highlight w:val="none"/>
          <w:lang w:eastAsia="zh-CN"/>
        </w:rPr>
        <w:t>保证金采用保函形式缴纳的，采购人在保证期限届满后及时对收取的保证金进行核实和结算。</w:t>
      </w:r>
      <w:bookmarkEnd w:id="22"/>
    </w:p>
    <w:p w14:paraId="43753420">
      <w:pPr>
        <w:spacing w:line="400" w:lineRule="exact"/>
        <w:ind w:firstLine="412" w:firstLineChars="196"/>
        <w:rPr>
          <w:b/>
          <w:color w:val="auto"/>
          <w:highlight w:val="none"/>
          <w:lang w:eastAsia="zh-CN"/>
        </w:rPr>
      </w:pPr>
      <w:r>
        <w:rPr>
          <w:b/>
          <w:color w:val="auto"/>
          <w:highlight w:val="none"/>
          <w:lang w:eastAsia="zh-CN"/>
        </w:rPr>
        <w:t>第十</w:t>
      </w:r>
      <w:r>
        <w:rPr>
          <w:rFonts w:hint="eastAsia"/>
          <w:b/>
          <w:color w:val="auto"/>
          <w:highlight w:val="none"/>
          <w:lang w:eastAsia="zh-CN"/>
        </w:rPr>
        <w:t>二</w:t>
      </w:r>
      <w:r>
        <w:rPr>
          <w:b/>
          <w:color w:val="auto"/>
          <w:highlight w:val="none"/>
          <w:lang w:eastAsia="zh-CN"/>
        </w:rPr>
        <w:t>条  违约责任</w:t>
      </w:r>
    </w:p>
    <w:p w14:paraId="5AAD8410">
      <w:pPr>
        <w:spacing w:line="400" w:lineRule="exact"/>
        <w:ind w:firstLine="420" w:firstLineChars="200"/>
        <w:rPr>
          <w:color w:val="auto"/>
          <w:highlight w:val="none"/>
          <w:lang w:eastAsia="zh-CN"/>
        </w:rPr>
      </w:pPr>
      <w:r>
        <w:rPr>
          <w:color w:val="auto"/>
          <w:highlight w:val="none"/>
          <w:lang w:eastAsia="zh-CN"/>
        </w:rPr>
        <w:t>1．乙方所提供的货物规格、技术标准、材料等质量不合格的，应及时更换，更换不及时</w:t>
      </w:r>
      <w:r>
        <w:rPr>
          <w:rFonts w:hint="eastAsia"/>
          <w:color w:val="auto"/>
          <w:highlight w:val="none"/>
          <w:lang w:eastAsia="zh-CN"/>
        </w:rPr>
        <w:t>造成逾期交货的</w:t>
      </w:r>
      <w:r>
        <w:rPr>
          <w:color w:val="auto"/>
          <w:highlight w:val="none"/>
          <w:lang w:eastAsia="zh-CN"/>
        </w:rPr>
        <w:t>，乙方应</w:t>
      </w:r>
      <w:r>
        <w:rPr>
          <w:rFonts w:hint="eastAsia"/>
          <w:color w:val="auto"/>
          <w:highlight w:val="none"/>
          <w:lang w:eastAsia="zh-CN"/>
        </w:rPr>
        <w:t>每日</w:t>
      </w:r>
      <w:r>
        <w:rPr>
          <w:color w:val="auto"/>
          <w:highlight w:val="none"/>
          <w:lang w:eastAsia="zh-CN"/>
        </w:rPr>
        <w:t>向甲方支付合同金额</w:t>
      </w:r>
      <w:r>
        <w:rPr>
          <w:color w:val="auto"/>
          <w:highlight w:val="none"/>
          <w:u w:val="single"/>
          <w:lang w:eastAsia="zh-CN"/>
        </w:rPr>
        <w:t>　</w:t>
      </w:r>
      <w:r>
        <w:rPr>
          <w:rFonts w:hint="eastAsia"/>
          <w:color w:val="auto"/>
          <w:highlight w:val="none"/>
          <w:u w:val="single"/>
          <w:lang w:eastAsia="zh-CN"/>
        </w:rPr>
        <w:t>0.02</w:t>
      </w:r>
      <w:r>
        <w:rPr>
          <w:color w:val="auto"/>
          <w:highlight w:val="none"/>
          <w:u w:val="single"/>
          <w:lang w:eastAsia="zh-CN"/>
        </w:rPr>
        <w:t>　</w:t>
      </w:r>
      <w:r>
        <w:rPr>
          <w:color w:val="auto"/>
          <w:highlight w:val="none"/>
          <w:lang w:eastAsia="zh-CN"/>
        </w:rPr>
        <w:t>%违约金并赔偿甲方经济损失。</w:t>
      </w:r>
    </w:p>
    <w:p w14:paraId="4380DA50">
      <w:pPr>
        <w:spacing w:line="400" w:lineRule="exact"/>
        <w:ind w:firstLine="359" w:firstLineChars="171"/>
        <w:rPr>
          <w:color w:val="auto"/>
          <w:highlight w:val="none"/>
          <w:lang w:eastAsia="zh-CN"/>
        </w:rPr>
      </w:pPr>
      <w:r>
        <w:rPr>
          <w:color w:val="auto"/>
          <w:highlight w:val="none"/>
          <w:lang w:eastAsia="zh-CN"/>
        </w:rPr>
        <w:t>2．乙方提供的货物如果侵犯了第三方合法权益而引发的任何纠纷或诉讼，均由乙方负责交涉并承担全部责任。</w:t>
      </w:r>
    </w:p>
    <w:p w14:paraId="2C0E48A2">
      <w:pPr>
        <w:spacing w:line="400" w:lineRule="exact"/>
        <w:ind w:firstLine="420" w:firstLineChars="200"/>
        <w:rPr>
          <w:color w:val="auto"/>
          <w:highlight w:val="none"/>
          <w:lang w:eastAsia="zh-CN"/>
        </w:rPr>
      </w:pPr>
      <w:r>
        <w:rPr>
          <w:color w:val="auto"/>
          <w:highlight w:val="none"/>
          <w:lang w:eastAsia="zh-CN"/>
        </w:rPr>
        <w:t>3．因包装、运输引起的货物损坏，按质量不合格处理。</w:t>
      </w:r>
    </w:p>
    <w:p w14:paraId="2C240011">
      <w:pPr>
        <w:spacing w:line="400" w:lineRule="exact"/>
        <w:ind w:firstLine="420" w:firstLineChars="200"/>
        <w:rPr>
          <w:color w:val="auto"/>
          <w:highlight w:val="none"/>
          <w:lang w:eastAsia="zh-CN"/>
        </w:rPr>
      </w:pPr>
      <w:r>
        <w:rPr>
          <w:color w:val="auto"/>
          <w:highlight w:val="none"/>
          <w:lang w:eastAsia="zh-CN"/>
        </w:rPr>
        <w:t>4．乙方逾期交货</w:t>
      </w:r>
      <w:r>
        <w:rPr>
          <w:rFonts w:hint="eastAsia"/>
          <w:color w:val="auto"/>
          <w:highlight w:val="none"/>
          <w:lang w:eastAsia="zh-CN"/>
        </w:rPr>
        <w:t>、逾期完成安装调试申请验收</w:t>
      </w:r>
      <w:r>
        <w:rPr>
          <w:color w:val="auto"/>
          <w:highlight w:val="none"/>
          <w:lang w:eastAsia="zh-CN"/>
        </w:rPr>
        <w:t>的，每天向</w:t>
      </w:r>
      <w:r>
        <w:rPr>
          <w:rFonts w:hint="eastAsia"/>
          <w:color w:val="auto"/>
          <w:highlight w:val="none"/>
          <w:lang w:eastAsia="zh-CN"/>
        </w:rPr>
        <w:t>甲方</w:t>
      </w:r>
      <w:r>
        <w:rPr>
          <w:color w:val="auto"/>
          <w:highlight w:val="none"/>
          <w:lang w:eastAsia="zh-CN"/>
        </w:rPr>
        <w:t>偿付合同金额</w:t>
      </w:r>
      <w:r>
        <w:rPr>
          <w:color w:val="auto"/>
          <w:highlight w:val="none"/>
          <w:u w:val="single"/>
          <w:lang w:eastAsia="zh-CN"/>
        </w:rPr>
        <w:t>　</w:t>
      </w:r>
      <w:r>
        <w:rPr>
          <w:rFonts w:hint="eastAsia"/>
          <w:color w:val="auto"/>
          <w:highlight w:val="none"/>
          <w:u w:val="single"/>
          <w:lang w:eastAsia="zh-CN"/>
        </w:rPr>
        <w:t>0.2</w:t>
      </w:r>
      <w:r>
        <w:rPr>
          <w:color w:val="auto"/>
          <w:highlight w:val="none"/>
          <w:u w:val="single"/>
          <w:lang w:eastAsia="zh-CN"/>
        </w:rPr>
        <w:t>　‰</w:t>
      </w:r>
      <w:r>
        <w:rPr>
          <w:color w:val="auto"/>
          <w:highlight w:val="none"/>
          <w:lang w:eastAsia="zh-CN"/>
        </w:rPr>
        <w:t>违约金，但违约金额不得超过合同金额</w:t>
      </w:r>
      <w:r>
        <w:rPr>
          <w:color w:val="auto"/>
          <w:highlight w:val="none"/>
          <w:u w:val="single"/>
          <w:lang w:eastAsia="zh-CN"/>
        </w:rPr>
        <w:t>　5　</w:t>
      </w:r>
      <w:r>
        <w:rPr>
          <w:color w:val="auto"/>
          <w:highlight w:val="none"/>
          <w:lang w:eastAsia="zh-CN"/>
        </w:rPr>
        <w:t>%，超过</w:t>
      </w:r>
      <w:r>
        <w:rPr>
          <w:color w:val="auto"/>
          <w:highlight w:val="none"/>
          <w:u w:val="single"/>
          <w:lang w:eastAsia="zh-CN"/>
        </w:rPr>
        <w:t>　20　</w:t>
      </w:r>
      <w:r>
        <w:rPr>
          <w:color w:val="auto"/>
          <w:highlight w:val="none"/>
          <w:lang w:eastAsia="zh-CN"/>
        </w:rPr>
        <w:t>天</w:t>
      </w:r>
      <w:r>
        <w:rPr>
          <w:rFonts w:hint="eastAsia"/>
          <w:color w:val="auto"/>
          <w:highlight w:val="none"/>
          <w:lang w:eastAsia="zh-CN"/>
        </w:rPr>
        <w:t>甲方</w:t>
      </w:r>
      <w:r>
        <w:rPr>
          <w:color w:val="auto"/>
          <w:highlight w:val="none"/>
          <w:lang w:eastAsia="zh-CN"/>
        </w:rPr>
        <w:t>有权解除合同，</w:t>
      </w:r>
      <w:r>
        <w:rPr>
          <w:rFonts w:hint="eastAsia"/>
          <w:color w:val="auto"/>
          <w:highlight w:val="none"/>
          <w:lang w:eastAsia="zh-CN"/>
        </w:rPr>
        <w:t>乙方按照合同金额的5%支付违约金。</w:t>
      </w:r>
      <w:r>
        <w:rPr>
          <w:color w:val="auto"/>
          <w:highlight w:val="none"/>
          <w:lang w:eastAsia="zh-CN"/>
        </w:rPr>
        <w:t>甲方延期付货款的，每天向乙方偿付合同金额</w:t>
      </w:r>
      <w:r>
        <w:rPr>
          <w:color w:val="auto"/>
          <w:highlight w:val="none"/>
          <w:u w:val="single"/>
          <w:lang w:eastAsia="zh-CN"/>
        </w:rPr>
        <w:t>　</w:t>
      </w:r>
      <w:r>
        <w:rPr>
          <w:rFonts w:hint="eastAsia"/>
          <w:color w:val="auto"/>
          <w:highlight w:val="none"/>
          <w:u w:val="single"/>
          <w:lang w:eastAsia="zh-CN"/>
        </w:rPr>
        <w:t>0.2</w:t>
      </w:r>
      <w:r>
        <w:rPr>
          <w:color w:val="auto"/>
          <w:highlight w:val="none"/>
          <w:u w:val="single"/>
          <w:lang w:eastAsia="zh-CN"/>
        </w:rPr>
        <w:t>　</w:t>
      </w:r>
      <w:r>
        <w:rPr>
          <w:color w:val="auto"/>
          <w:highlight w:val="none"/>
          <w:lang w:eastAsia="zh-CN"/>
        </w:rPr>
        <w:t>‰滞纳金，但滞纳金累计不得超过合同金额</w:t>
      </w:r>
      <w:r>
        <w:rPr>
          <w:color w:val="auto"/>
          <w:highlight w:val="none"/>
          <w:u w:val="single"/>
          <w:lang w:eastAsia="zh-CN"/>
        </w:rPr>
        <w:t>　5　</w:t>
      </w:r>
      <w:r>
        <w:rPr>
          <w:color w:val="auto"/>
          <w:highlight w:val="none"/>
          <w:lang w:eastAsia="zh-CN"/>
        </w:rPr>
        <w:t>%。</w:t>
      </w:r>
    </w:p>
    <w:p w14:paraId="1844B5FB">
      <w:pPr>
        <w:spacing w:line="400" w:lineRule="exact"/>
        <w:ind w:firstLine="420" w:firstLineChars="200"/>
        <w:rPr>
          <w:color w:val="auto"/>
          <w:highlight w:val="none"/>
          <w:lang w:eastAsia="zh-CN"/>
        </w:rPr>
      </w:pPr>
      <w:r>
        <w:rPr>
          <w:color w:val="auto"/>
          <w:highlight w:val="none"/>
          <w:lang w:eastAsia="zh-CN"/>
        </w:rPr>
        <w:t>5．乙方未按本合同和</w:t>
      </w:r>
      <w:r>
        <w:rPr>
          <w:rFonts w:hint="eastAsia"/>
          <w:color w:val="auto"/>
          <w:highlight w:val="none"/>
          <w:lang w:eastAsia="zh-CN"/>
        </w:rPr>
        <w:t>投标文件</w:t>
      </w:r>
      <w:r>
        <w:rPr>
          <w:color w:val="auto"/>
          <w:highlight w:val="none"/>
          <w:lang w:eastAsia="zh-CN"/>
        </w:rPr>
        <w:t>中规定的服务承诺提供售后服务的</w:t>
      </w:r>
      <w:r>
        <w:rPr>
          <w:rFonts w:hint="eastAsia"/>
          <w:color w:val="auto"/>
          <w:highlight w:val="none"/>
          <w:lang w:eastAsia="zh-CN"/>
        </w:rPr>
        <w:t>（包括未按时响应、未按时完成维修等情形）</w:t>
      </w:r>
      <w:r>
        <w:rPr>
          <w:color w:val="auto"/>
          <w:highlight w:val="none"/>
          <w:lang w:eastAsia="zh-CN"/>
        </w:rPr>
        <w:t>，乙方应按</w:t>
      </w:r>
      <w:r>
        <w:rPr>
          <w:rFonts w:hint="eastAsia"/>
          <w:color w:val="auto"/>
          <w:highlight w:val="none"/>
          <w:lang w:eastAsia="zh-CN"/>
        </w:rPr>
        <w:t>1000元/次</w:t>
      </w:r>
      <w:r>
        <w:rPr>
          <w:color w:val="auto"/>
          <w:highlight w:val="none"/>
          <w:lang w:eastAsia="zh-CN"/>
        </w:rPr>
        <w:t>向甲方支付违约金。</w:t>
      </w:r>
    </w:p>
    <w:p w14:paraId="32249944">
      <w:pPr>
        <w:spacing w:line="400" w:lineRule="exact"/>
        <w:ind w:firstLine="420" w:firstLineChars="200"/>
        <w:rPr>
          <w:color w:val="auto"/>
          <w:highlight w:val="none"/>
          <w:lang w:eastAsia="zh-CN"/>
        </w:rPr>
      </w:pPr>
      <w:r>
        <w:rPr>
          <w:color w:val="auto"/>
          <w:highlight w:val="none"/>
          <w:lang w:eastAsia="zh-CN"/>
        </w:rPr>
        <w:t>6．乙方提供的货物在质保期内，因设计、工艺或材料的缺陷和其他质量原因造成的问题，由乙方负责，</w:t>
      </w:r>
      <w:r>
        <w:rPr>
          <w:rFonts w:hint="eastAsia"/>
          <w:color w:val="auto"/>
          <w:highlight w:val="none"/>
          <w:lang w:eastAsia="zh-CN"/>
        </w:rPr>
        <w:t>乙方拒绝处理的，甲方代为处理的</w:t>
      </w:r>
      <w:r>
        <w:rPr>
          <w:color w:val="auto"/>
          <w:highlight w:val="none"/>
          <w:lang w:eastAsia="zh-CN"/>
        </w:rPr>
        <w:t>费用从质量保证金中扣除，不足另补。</w:t>
      </w:r>
    </w:p>
    <w:p w14:paraId="23657259">
      <w:pPr>
        <w:spacing w:line="400" w:lineRule="exact"/>
        <w:ind w:left="420"/>
        <w:rPr>
          <w:color w:val="auto"/>
          <w:highlight w:val="none"/>
          <w:lang w:eastAsia="zh-CN"/>
        </w:rPr>
      </w:pPr>
      <w:r>
        <w:rPr>
          <w:color w:val="auto"/>
          <w:highlight w:val="none"/>
          <w:lang w:eastAsia="zh-CN"/>
        </w:rPr>
        <w:t>7．其他违约行为按违约</w:t>
      </w:r>
      <w:r>
        <w:rPr>
          <w:rFonts w:hint="eastAsia"/>
          <w:color w:val="auto"/>
          <w:highlight w:val="none"/>
          <w:lang w:eastAsia="zh-CN"/>
        </w:rPr>
        <w:t>所涉金</w:t>
      </w:r>
      <w:r>
        <w:rPr>
          <w:color w:val="auto"/>
          <w:highlight w:val="none"/>
          <w:lang w:eastAsia="zh-CN"/>
        </w:rPr>
        <w:t>额</w:t>
      </w:r>
      <w:r>
        <w:rPr>
          <w:color w:val="auto"/>
          <w:highlight w:val="none"/>
          <w:u w:val="single"/>
          <w:lang w:eastAsia="zh-CN"/>
        </w:rPr>
        <w:t>　5　</w:t>
      </w:r>
      <w:r>
        <w:rPr>
          <w:color w:val="auto"/>
          <w:highlight w:val="none"/>
          <w:lang w:eastAsia="zh-CN"/>
        </w:rPr>
        <w:t>%收取违约金并赔偿经济损失。</w:t>
      </w:r>
    </w:p>
    <w:p w14:paraId="0DEB1134">
      <w:pPr>
        <w:spacing w:line="400" w:lineRule="exact"/>
        <w:ind w:firstLine="412" w:firstLineChars="196"/>
        <w:rPr>
          <w:b/>
          <w:color w:val="auto"/>
          <w:highlight w:val="none"/>
          <w:lang w:eastAsia="zh-CN"/>
        </w:rPr>
      </w:pPr>
      <w:r>
        <w:rPr>
          <w:b/>
          <w:color w:val="auto"/>
          <w:highlight w:val="none"/>
          <w:lang w:eastAsia="zh-CN"/>
        </w:rPr>
        <w:t>第十</w:t>
      </w:r>
      <w:r>
        <w:rPr>
          <w:rFonts w:hint="eastAsia"/>
          <w:b/>
          <w:color w:val="auto"/>
          <w:highlight w:val="none"/>
          <w:lang w:eastAsia="zh-CN"/>
        </w:rPr>
        <w:t>三</w:t>
      </w:r>
      <w:r>
        <w:rPr>
          <w:b/>
          <w:color w:val="auto"/>
          <w:highlight w:val="none"/>
          <w:lang w:eastAsia="zh-CN"/>
        </w:rPr>
        <w:t>条  不可抗力事件处理</w:t>
      </w:r>
    </w:p>
    <w:p w14:paraId="5657DC85">
      <w:pPr>
        <w:spacing w:line="400" w:lineRule="exact"/>
        <w:ind w:firstLine="420" w:firstLineChars="200"/>
        <w:rPr>
          <w:color w:val="auto"/>
          <w:highlight w:val="none"/>
          <w:lang w:eastAsia="zh-CN"/>
        </w:rPr>
      </w:pPr>
      <w:r>
        <w:rPr>
          <w:color w:val="auto"/>
          <w:highlight w:val="none"/>
          <w:lang w:eastAsia="zh-CN"/>
        </w:rPr>
        <w:t>1．在合同有效期内，乙方因不可抗力事件导致不能履行合同，则合同履行期可延长，其延长期与不可抗力影响期相同。</w:t>
      </w:r>
    </w:p>
    <w:p w14:paraId="41E5BEF7">
      <w:pPr>
        <w:spacing w:line="400" w:lineRule="exact"/>
        <w:ind w:left="360"/>
        <w:rPr>
          <w:color w:val="auto"/>
          <w:highlight w:val="none"/>
          <w:lang w:eastAsia="zh-CN"/>
        </w:rPr>
      </w:pPr>
      <w:r>
        <w:rPr>
          <w:color w:val="auto"/>
          <w:highlight w:val="none"/>
          <w:lang w:eastAsia="zh-CN"/>
        </w:rPr>
        <w:t>2．不可抗力事件发生后，应立即通知对方，并寄送有关权威机构出具的证明。</w:t>
      </w:r>
    </w:p>
    <w:p w14:paraId="4056DFD1">
      <w:pPr>
        <w:spacing w:line="400" w:lineRule="exact"/>
        <w:ind w:left="360"/>
        <w:rPr>
          <w:color w:val="auto"/>
          <w:highlight w:val="none"/>
          <w:lang w:eastAsia="zh-CN"/>
        </w:rPr>
      </w:pPr>
      <w:r>
        <w:rPr>
          <w:color w:val="auto"/>
          <w:highlight w:val="none"/>
          <w:lang w:eastAsia="zh-CN"/>
        </w:rPr>
        <w:t>3．不可抗力事件延续一百二十天以上，双方应通过友好协商，确定是否继续履行合同。</w:t>
      </w:r>
    </w:p>
    <w:p w14:paraId="1D5CE41B">
      <w:pPr>
        <w:spacing w:line="400" w:lineRule="exact"/>
        <w:ind w:firstLine="412" w:firstLineChars="196"/>
        <w:rPr>
          <w:b/>
          <w:color w:val="auto"/>
          <w:highlight w:val="none"/>
          <w:lang w:eastAsia="zh-CN"/>
        </w:rPr>
      </w:pPr>
      <w:r>
        <w:rPr>
          <w:b/>
          <w:color w:val="auto"/>
          <w:highlight w:val="none"/>
          <w:lang w:eastAsia="zh-CN"/>
        </w:rPr>
        <w:t>第十</w:t>
      </w:r>
      <w:r>
        <w:rPr>
          <w:rFonts w:hint="eastAsia"/>
          <w:b/>
          <w:color w:val="auto"/>
          <w:highlight w:val="none"/>
          <w:lang w:eastAsia="zh-CN"/>
        </w:rPr>
        <w:t>四</w:t>
      </w:r>
      <w:r>
        <w:rPr>
          <w:b/>
          <w:color w:val="auto"/>
          <w:highlight w:val="none"/>
          <w:lang w:eastAsia="zh-CN"/>
        </w:rPr>
        <w:t>条  合同争议解决</w:t>
      </w:r>
    </w:p>
    <w:p w14:paraId="78EC207D">
      <w:pPr>
        <w:spacing w:line="400" w:lineRule="exact"/>
        <w:ind w:firstLine="420" w:firstLineChars="200"/>
        <w:rPr>
          <w:color w:val="auto"/>
          <w:highlight w:val="none"/>
          <w:lang w:eastAsia="zh-CN"/>
        </w:rPr>
      </w:pPr>
      <w:r>
        <w:rPr>
          <w:color w:val="auto"/>
          <w:highlight w:val="none"/>
          <w:lang w:eastAsia="zh-CN"/>
        </w:rPr>
        <w:t>1．因货物质量问题发生争议的，应邀请国家认可的质量检测机构对货物质量进行鉴定。货物符合标准的，鉴定费由甲方承担；货物不符合标准的，鉴定费由乙方承担。</w:t>
      </w:r>
    </w:p>
    <w:p w14:paraId="2FC7E11A">
      <w:pPr>
        <w:spacing w:line="400" w:lineRule="exact"/>
        <w:ind w:firstLine="420" w:firstLineChars="200"/>
        <w:rPr>
          <w:color w:val="auto"/>
          <w:highlight w:val="none"/>
          <w:lang w:eastAsia="zh-CN"/>
        </w:rPr>
      </w:pPr>
      <w:r>
        <w:rPr>
          <w:color w:val="auto"/>
          <w:highlight w:val="none"/>
          <w:lang w:eastAsia="zh-CN"/>
        </w:rPr>
        <w:t>2．因履行本合同引起的或与本合同有关的争议，甲乙双方应首先通过友好协商解决，如果协商不能解决，可向甲方所在地人民法院</w:t>
      </w:r>
      <w:r>
        <w:rPr>
          <w:rFonts w:hint="eastAsia"/>
          <w:color w:val="auto"/>
          <w:highlight w:val="none"/>
          <w:lang w:eastAsia="zh-CN"/>
        </w:rPr>
        <w:t>（桂林市雁山区人民法院）</w:t>
      </w:r>
      <w:r>
        <w:rPr>
          <w:color w:val="auto"/>
          <w:highlight w:val="none"/>
          <w:lang w:eastAsia="zh-CN"/>
        </w:rPr>
        <w:t>提起诉讼。</w:t>
      </w:r>
    </w:p>
    <w:p w14:paraId="50040606">
      <w:pPr>
        <w:spacing w:line="400" w:lineRule="exact"/>
        <w:ind w:left="435"/>
        <w:rPr>
          <w:color w:val="auto"/>
          <w:highlight w:val="none"/>
          <w:lang w:eastAsia="zh-CN"/>
        </w:rPr>
      </w:pPr>
      <w:r>
        <w:rPr>
          <w:color w:val="auto"/>
          <w:highlight w:val="none"/>
          <w:lang w:eastAsia="zh-CN"/>
        </w:rPr>
        <w:t>3．诉讼期间，本合同继续履行。</w:t>
      </w:r>
    </w:p>
    <w:p w14:paraId="2D8593E7">
      <w:pPr>
        <w:spacing w:line="400" w:lineRule="exact"/>
        <w:ind w:firstLine="412" w:firstLineChars="196"/>
        <w:rPr>
          <w:b/>
          <w:color w:val="auto"/>
          <w:highlight w:val="none"/>
          <w:lang w:eastAsia="zh-CN"/>
        </w:rPr>
      </w:pPr>
      <w:r>
        <w:rPr>
          <w:b/>
          <w:color w:val="auto"/>
          <w:highlight w:val="none"/>
          <w:lang w:eastAsia="zh-CN"/>
        </w:rPr>
        <w:t>第十</w:t>
      </w:r>
      <w:r>
        <w:rPr>
          <w:rFonts w:hint="eastAsia"/>
          <w:b/>
          <w:color w:val="auto"/>
          <w:highlight w:val="none"/>
          <w:lang w:eastAsia="zh-CN"/>
        </w:rPr>
        <w:t>五</w:t>
      </w:r>
      <w:r>
        <w:rPr>
          <w:b/>
          <w:color w:val="auto"/>
          <w:highlight w:val="none"/>
          <w:lang w:eastAsia="zh-CN"/>
        </w:rPr>
        <w:t xml:space="preserve">条  </w:t>
      </w:r>
      <w:r>
        <w:rPr>
          <w:rFonts w:hint="eastAsia"/>
          <w:b/>
          <w:color w:val="auto"/>
          <w:highlight w:val="none"/>
          <w:lang w:eastAsia="zh-CN"/>
        </w:rPr>
        <w:t>知识产权和保密要求</w:t>
      </w:r>
    </w:p>
    <w:p w14:paraId="3CD53129">
      <w:pPr>
        <w:spacing w:line="400" w:lineRule="exact"/>
        <w:ind w:firstLine="411" w:firstLineChars="196"/>
        <w:rPr>
          <w:bCs/>
          <w:color w:val="auto"/>
          <w:highlight w:val="none"/>
          <w:lang w:eastAsia="zh-CN"/>
        </w:rPr>
      </w:pPr>
      <w:r>
        <w:rPr>
          <w:bCs/>
          <w:color w:val="auto"/>
          <w:highlight w:val="none"/>
          <w:lang w:eastAsia="zh-CN"/>
        </w:rPr>
        <w:t>1.</w:t>
      </w:r>
      <w:r>
        <w:rPr>
          <w:rFonts w:hint="eastAsia"/>
          <w:bCs/>
          <w:color w:val="auto"/>
          <w:highlight w:val="none"/>
          <w:lang w:eastAsia="zh-CN"/>
        </w:rPr>
        <w:t>甲方在履行合同过程中提供给乙方的全部图纸、文件和其他含有数据和信息的资料，其知识产权属于甲方。</w:t>
      </w:r>
    </w:p>
    <w:p w14:paraId="7311D9BC">
      <w:pPr>
        <w:spacing w:line="400" w:lineRule="exact"/>
        <w:ind w:firstLine="411" w:firstLineChars="196"/>
        <w:rPr>
          <w:bCs/>
          <w:color w:val="auto"/>
          <w:highlight w:val="none"/>
          <w:lang w:eastAsia="zh-CN"/>
        </w:rPr>
      </w:pPr>
      <w:r>
        <w:rPr>
          <w:bCs/>
          <w:color w:val="auto"/>
          <w:highlight w:val="none"/>
          <w:lang w:eastAsia="zh-CN"/>
        </w:rPr>
        <w:t>2.</w:t>
      </w:r>
      <w:r>
        <w:rPr>
          <w:rFonts w:hint="eastAsia"/>
          <w:bCs/>
          <w:color w:val="auto"/>
          <w:highlight w:val="none"/>
          <w:lang w:eastAsia="zh-CN"/>
        </w:rPr>
        <w:t>除采购文件及采购需求另有约定外，甲方不因签署和履行合同而享有乙方在履行合同过程中提供给甲方的图纸、文件、配套软件、电子辅助程序和其他含有数据和信息的资料的知识产权。</w:t>
      </w:r>
    </w:p>
    <w:p w14:paraId="29570279">
      <w:pPr>
        <w:spacing w:line="400" w:lineRule="exact"/>
        <w:ind w:firstLine="411" w:firstLineChars="196"/>
        <w:rPr>
          <w:bCs/>
          <w:color w:val="auto"/>
          <w:highlight w:val="none"/>
          <w:lang w:eastAsia="zh-CN"/>
        </w:rPr>
      </w:pPr>
      <w:r>
        <w:rPr>
          <w:bCs/>
          <w:color w:val="auto"/>
          <w:highlight w:val="none"/>
          <w:lang w:eastAsia="zh-CN"/>
        </w:rPr>
        <w:t>3.</w:t>
      </w:r>
      <w:r>
        <w:rPr>
          <w:rFonts w:hint="eastAsia"/>
          <w:bCs/>
          <w:color w:val="auto"/>
          <w:highlight w:val="none"/>
          <w:lang w:eastAsia="zh-CN"/>
        </w:rPr>
        <w:t>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D1D6AE1">
      <w:pPr>
        <w:spacing w:line="400" w:lineRule="exact"/>
        <w:ind w:firstLine="411" w:firstLineChars="196"/>
        <w:rPr>
          <w:bCs/>
          <w:color w:val="auto"/>
          <w:highlight w:val="none"/>
          <w:lang w:eastAsia="zh-CN"/>
        </w:rPr>
      </w:pPr>
      <w:r>
        <w:rPr>
          <w:bCs/>
          <w:color w:val="auto"/>
          <w:highlight w:val="none"/>
          <w:lang w:eastAsia="zh-CN"/>
        </w:rPr>
        <w:t>4.</w:t>
      </w:r>
      <w:r>
        <w:rPr>
          <w:rFonts w:hint="eastAsia"/>
          <w:bCs/>
          <w:color w:val="auto"/>
          <w:highlight w:val="none"/>
          <w:lang w:eastAsia="zh-CN"/>
        </w:rPr>
        <w:t>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w:t>
      </w:r>
      <w:r>
        <w:rPr>
          <w:bCs/>
          <w:color w:val="auto"/>
          <w:highlight w:val="none"/>
          <w:lang w:eastAsia="zh-CN"/>
        </w:rPr>
        <w:t>28</w:t>
      </w:r>
      <w:r>
        <w:rPr>
          <w:rFonts w:hint="eastAsia"/>
          <w:bCs/>
          <w:color w:val="auto"/>
          <w:highlight w:val="none"/>
          <w:lang w:eastAsia="zh-CN"/>
        </w:rPr>
        <w:t>日内未作表示，甲方可以自己的名义进行这些索赔或诉讼，因此发生的费用和遭受的损失均应由乙方承担。</w:t>
      </w:r>
    </w:p>
    <w:p w14:paraId="642F525D">
      <w:pPr>
        <w:spacing w:line="400" w:lineRule="exact"/>
        <w:ind w:firstLine="411" w:firstLineChars="196"/>
        <w:rPr>
          <w:bCs/>
          <w:color w:val="auto"/>
          <w:highlight w:val="none"/>
          <w:lang w:eastAsia="zh-CN"/>
        </w:rPr>
      </w:pPr>
      <w:r>
        <w:rPr>
          <w:bCs/>
          <w:color w:val="auto"/>
          <w:highlight w:val="none"/>
          <w:lang w:eastAsia="zh-CN"/>
        </w:rPr>
        <w:t>5.</w:t>
      </w:r>
      <w:r>
        <w:rPr>
          <w:rFonts w:hint="eastAsia"/>
          <w:bCs/>
          <w:color w:val="auto"/>
          <w:highlight w:val="none"/>
          <w:lang w:eastAsia="zh-CN"/>
        </w:rPr>
        <w:t>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39EB38C">
      <w:pPr>
        <w:spacing w:line="400" w:lineRule="exact"/>
        <w:ind w:firstLine="411" w:firstLineChars="196"/>
        <w:rPr>
          <w:b/>
          <w:color w:val="auto"/>
          <w:highlight w:val="none"/>
          <w:lang w:eastAsia="zh-CN"/>
        </w:rPr>
      </w:pPr>
      <w:r>
        <w:rPr>
          <w:bCs/>
          <w:color w:val="auto"/>
          <w:highlight w:val="none"/>
          <w:lang w:eastAsia="zh-CN"/>
        </w:rPr>
        <w:t>6.</w:t>
      </w:r>
      <w:r>
        <w:rPr>
          <w:rFonts w:hint="eastAsia"/>
          <w:bCs/>
          <w:color w:val="auto"/>
          <w:highlight w:val="none"/>
          <w:lang w:eastAsia="zh-CN"/>
        </w:rPr>
        <w:t>乙方保证将要交付的货物的所有权完全属于乙方且无任何抵押、质押、查封等产权瑕疵。</w:t>
      </w:r>
    </w:p>
    <w:p w14:paraId="0D61ADA1">
      <w:pPr>
        <w:spacing w:line="400" w:lineRule="exact"/>
        <w:ind w:firstLine="412" w:firstLineChars="196"/>
        <w:rPr>
          <w:b/>
          <w:color w:val="auto"/>
          <w:highlight w:val="none"/>
          <w:lang w:eastAsia="zh-CN"/>
        </w:rPr>
      </w:pPr>
      <w:r>
        <w:rPr>
          <w:rFonts w:hint="eastAsia"/>
          <w:b/>
          <w:color w:val="auto"/>
          <w:highlight w:val="none"/>
          <w:lang w:eastAsia="zh-CN"/>
        </w:rPr>
        <w:t xml:space="preserve">第十六条 </w:t>
      </w:r>
      <w:r>
        <w:rPr>
          <w:b/>
          <w:color w:val="auto"/>
          <w:highlight w:val="none"/>
          <w:lang w:eastAsia="zh-CN"/>
        </w:rPr>
        <w:t>合同生效及其它</w:t>
      </w:r>
    </w:p>
    <w:p w14:paraId="0F3253D7">
      <w:pPr>
        <w:spacing w:line="400" w:lineRule="exact"/>
        <w:ind w:firstLine="420" w:firstLineChars="200"/>
        <w:rPr>
          <w:color w:val="auto"/>
          <w:highlight w:val="none"/>
          <w:lang w:eastAsia="zh-CN"/>
        </w:rPr>
      </w:pPr>
      <w:r>
        <w:rPr>
          <w:color w:val="auto"/>
          <w:highlight w:val="none"/>
          <w:lang w:eastAsia="zh-CN"/>
        </w:rPr>
        <w:t>1．合同经甲乙双方法定代表人或授权代表签字并加盖单位公章后生效。</w:t>
      </w:r>
    </w:p>
    <w:p w14:paraId="5A8F8027">
      <w:pPr>
        <w:spacing w:line="400" w:lineRule="exact"/>
        <w:ind w:firstLine="420" w:firstLineChars="200"/>
        <w:rPr>
          <w:color w:val="auto"/>
          <w:highlight w:val="none"/>
          <w:lang w:eastAsia="zh-CN"/>
        </w:rPr>
      </w:pPr>
      <w:r>
        <w:rPr>
          <w:color w:val="auto"/>
          <w:highlight w:val="none"/>
          <w:lang w:eastAsia="zh-CN"/>
        </w:rPr>
        <w:t>2．合同执行中涉及采购资金和采购内容修改或补充的，需经采购人审批。</w:t>
      </w:r>
    </w:p>
    <w:p w14:paraId="2B8D3CC4">
      <w:pPr>
        <w:spacing w:line="400" w:lineRule="exact"/>
        <w:ind w:left="435"/>
        <w:rPr>
          <w:color w:val="auto"/>
          <w:highlight w:val="none"/>
          <w:lang w:eastAsia="zh-CN"/>
        </w:rPr>
      </w:pPr>
      <w:r>
        <w:rPr>
          <w:color w:val="auto"/>
          <w:highlight w:val="none"/>
          <w:lang w:eastAsia="zh-CN"/>
        </w:rPr>
        <w:t>3．本合同未尽事宜，遵照《</w:t>
      </w:r>
      <w:r>
        <w:rPr>
          <w:rFonts w:hint="eastAsia"/>
          <w:color w:val="auto"/>
          <w:highlight w:val="none"/>
          <w:lang w:eastAsia="zh-CN"/>
        </w:rPr>
        <w:t>民法典</w:t>
      </w:r>
      <w:r>
        <w:rPr>
          <w:color w:val="auto"/>
          <w:highlight w:val="none"/>
          <w:lang w:eastAsia="zh-CN"/>
        </w:rPr>
        <w:t>》有关条文执行。</w:t>
      </w:r>
    </w:p>
    <w:p w14:paraId="1AEB5D95">
      <w:pPr>
        <w:spacing w:line="400" w:lineRule="exact"/>
        <w:ind w:firstLine="412" w:firstLineChars="196"/>
        <w:rPr>
          <w:b/>
          <w:color w:val="auto"/>
          <w:highlight w:val="none"/>
          <w:lang w:eastAsia="zh-CN"/>
        </w:rPr>
      </w:pPr>
      <w:r>
        <w:rPr>
          <w:b/>
          <w:color w:val="auto"/>
          <w:highlight w:val="none"/>
          <w:lang w:eastAsia="zh-CN"/>
        </w:rPr>
        <w:t>第十</w:t>
      </w:r>
      <w:r>
        <w:rPr>
          <w:rFonts w:hint="eastAsia"/>
          <w:b/>
          <w:color w:val="auto"/>
          <w:highlight w:val="none"/>
          <w:lang w:eastAsia="zh-CN"/>
        </w:rPr>
        <w:t>七</w:t>
      </w:r>
      <w:r>
        <w:rPr>
          <w:b/>
          <w:color w:val="auto"/>
          <w:highlight w:val="none"/>
          <w:lang w:eastAsia="zh-CN"/>
        </w:rPr>
        <w:t>条  合同的变更、终止与转让</w:t>
      </w:r>
    </w:p>
    <w:p w14:paraId="5722300E">
      <w:pPr>
        <w:spacing w:line="400" w:lineRule="exact"/>
        <w:ind w:firstLine="420" w:firstLineChars="200"/>
        <w:rPr>
          <w:color w:val="auto"/>
          <w:highlight w:val="none"/>
          <w:lang w:eastAsia="zh-CN"/>
        </w:rPr>
      </w:pPr>
      <w:r>
        <w:rPr>
          <w:color w:val="auto"/>
          <w:highlight w:val="none"/>
          <w:lang w:eastAsia="zh-CN"/>
        </w:rPr>
        <w:t>1．本合同一经签订，甲乙双方不得擅自变更，中止或终止。</w:t>
      </w:r>
    </w:p>
    <w:p w14:paraId="183D70D8">
      <w:pPr>
        <w:spacing w:line="400" w:lineRule="exact"/>
        <w:ind w:left="420"/>
        <w:rPr>
          <w:color w:val="auto"/>
          <w:highlight w:val="none"/>
          <w:lang w:eastAsia="zh-CN"/>
        </w:rPr>
      </w:pPr>
      <w:r>
        <w:rPr>
          <w:color w:val="auto"/>
          <w:highlight w:val="none"/>
          <w:lang w:eastAsia="zh-CN"/>
        </w:rPr>
        <w:t>2. 乙方不得擅自转让</w:t>
      </w:r>
      <w:r>
        <w:rPr>
          <w:rFonts w:hint="eastAsia"/>
          <w:color w:val="auto"/>
          <w:highlight w:val="none"/>
          <w:lang w:eastAsia="zh-CN"/>
        </w:rPr>
        <w:t>（</w:t>
      </w:r>
      <w:r>
        <w:rPr>
          <w:color w:val="auto"/>
          <w:highlight w:val="none"/>
          <w:lang w:eastAsia="zh-CN"/>
        </w:rPr>
        <w:t>无进口资格的供应商委托进口货物除外</w:t>
      </w:r>
      <w:r>
        <w:rPr>
          <w:rFonts w:hint="eastAsia"/>
          <w:color w:val="auto"/>
          <w:highlight w:val="none"/>
          <w:lang w:eastAsia="zh-CN"/>
        </w:rPr>
        <w:t>）</w:t>
      </w:r>
      <w:r>
        <w:rPr>
          <w:color w:val="auto"/>
          <w:highlight w:val="none"/>
          <w:lang w:eastAsia="zh-CN"/>
        </w:rPr>
        <w:t>其应履行的合同义务。</w:t>
      </w:r>
    </w:p>
    <w:p w14:paraId="27D712D9">
      <w:pPr>
        <w:spacing w:line="400" w:lineRule="exact"/>
        <w:ind w:firstLine="412" w:firstLineChars="196"/>
        <w:rPr>
          <w:rFonts w:eastAsia="宋体"/>
          <w:b/>
          <w:color w:val="auto"/>
          <w:highlight w:val="none"/>
          <w:lang w:eastAsia="zh-CN"/>
        </w:rPr>
      </w:pPr>
      <w:r>
        <w:rPr>
          <w:b/>
          <w:color w:val="auto"/>
          <w:highlight w:val="none"/>
          <w:lang w:eastAsia="zh-CN"/>
        </w:rPr>
        <w:t>第十</w:t>
      </w:r>
      <w:r>
        <w:rPr>
          <w:rFonts w:hint="eastAsia"/>
          <w:b/>
          <w:color w:val="auto"/>
          <w:highlight w:val="none"/>
          <w:lang w:eastAsia="zh-CN"/>
        </w:rPr>
        <w:t>八</w:t>
      </w:r>
      <w:r>
        <w:rPr>
          <w:b/>
          <w:color w:val="auto"/>
          <w:highlight w:val="none"/>
          <w:lang w:eastAsia="zh-CN"/>
        </w:rPr>
        <w:t>条  签订本合同依据</w:t>
      </w:r>
      <w:r>
        <w:rPr>
          <w:rFonts w:hint="eastAsia"/>
          <w:b/>
          <w:color w:val="auto"/>
          <w:highlight w:val="none"/>
          <w:lang w:eastAsia="zh-CN"/>
        </w:rPr>
        <w:t>（合同组成部分）</w:t>
      </w:r>
    </w:p>
    <w:p w14:paraId="1913147B">
      <w:pPr>
        <w:spacing w:line="400" w:lineRule="exact"/>
        <w:ind w:left="420"/>
        <w:rPr>
          <w:color w:val="auto"/>
          <w:highlight w:val="none"/>
          <w:lang w:eastAsia="zh-CN"/>
        </w:rPr>
      </w:pPr>
      <w:r>
        <w:rPr>
          <w:color w:val="auto"/>
          <w:highlight w:val="none"/>
          <w:lang w:eastAsia="zh-CN"/>
        </w:rPr>
        <w:t>1．</w:t>
      </w:r>
      <w:r>
        <w:rPr>
          <w:rFonts w:hint="eastAsia"/>
          <w:color w:val="auto"/>
          <w:highlight w:val="none"/>
          <w:lang w:eastAsia="zh-CN"/>
        </w:rPr>
        <w:t>招标文件</w:t>
      </w:r>
      <w:r>
        <w:rPr>
          <w:color w:val="auto"/>
          <w:highlight w:val="none"/>
          <w:lang w:eastAsia="zh-CN"/>
        </w:rPr>
        <w:t>；</w:t>
      </w:r>
    </w:p>
    <w:p w14:paraId="3FA9576B">
      <w:pPr>
        <w:spacing w:line="400" w:lineRule="exact"/>
        <w:ind w:left="225" w:leftChars="107" w:firstLine="210" w:firstLineChars="100"/>
        <w:rPr>
          <w:color w:val="auto"/>
          <w:highlight w:val="none"/>
          <w:lang w:eastAsia="zh-CN"/>
        </w:rPr>
      </w:pPr>
      <w:r>
        <w:rPr>
          <w:color w:val="auto"/>
          <w:highlight w:val="none"/>
          <w:lang w:eastAsia="zh-CN"/>
        </w:rPr>
        <w:t>2．</w:t>
      </w:r>
      <w:r>
        <w:rPr>
          <w:rFonts w:hint="eastAsia"/>
          <w:color w:val="auto"/>
          <w:highlight w:val="none"/>
          <w:lang w:eastAsia="zh-CN"/>
        </w:rPr>
        <w:t>投标</w:t>
      </w:r>
      <w:r>
        <w:rPr>
          <w:color w:val="auto"/>
          <w:highlight w:val="none"/>
          <w:lang w:eastAsia="zh-CN"/>
        </w:rPr>
        <w:t>报价表、技术响应表；</w:t>
      </w:r>
    </w:p>
    <w:p w14:paraId="00553A6C">
      <w:pPr>
        <w:spacing w:line="400" w:lineRule="exact"/>
        <w:ind w:left="225" w:leftChars="107" w:firstLine="210" w:firstLineChars="100"/>
        <w:rPr>
          <w:color w:val="auto"/>
          <w:highlight w:val="none"/>
          <w:lang w:eastAsia="zh-CN"/>
        </w:rPr>
      </w:pPr>
      <w:r>
        <w:rPr>
          <w:color w:val="auto"/>
          <w:highlight w:val="none"/>
          <w:lang w:eastAsia="zh-CN"/>
        </w:rPr>
        <w:t>3．售后服务承诺书；</w:t>
      </w:r>
    </w:p>
    <w:p w14:paraId="60B69380">
      <w:pPr>
        <w:spacing w:line="400" w:lineRule="exact"/>
        <w:ind w:left="225" w:leftChars="107" w:firstLine="210" w:firstLineChars="100"/>
        <w:rPr>
          <w:color w:val="auto"/>
          <w:highlight w:val="none"/>
          <w:lang w:eastAsia="zh-CN"/>
        </w:rPr>
      </w:pPr>
      <w:r>
        <w:rPr>
          <w:color w:val="auto"/>
          <w:highlight w:val="none"/>
          <w:lang w:eastAsia="zh-CN"/>
        </w:rPr>
        <w:t>4．</w:t>
      </w:r>
      <w:r>
        <w:rPr>
          <w:rFonts w:hint="eastAsia"/>
          <w:color w:val="auto"/>
          <w:highlight w:val="none"/>
          <w:lang w:eastAsia="zh-CN"/>
        </w:rPr>
        <w:t>中标</w:t>
      </w:r>
      <w:r>
        <w:rPr>
          <w:color w:val="auto"/>
          <w:highlight w:val="none"/>
          <w:lang w:eastAsia="zh-CN"/>
        </w:rPr>
        <w:t>通知书。</w:t>
      </w:r>
    </w:p>
    <w:p w14:paraId="2139F320">
      <w:pPr>
        <w:tabs>
          <w:tab w:val="left" w:pos="4320"/>
          <w:tab w:val="left" w:pos="4500"/>
        </w:tabs>
        <w:spacing w:line="400" w:lineRule="exact"/>
        <w:ind w:firstLine="420" w:firstLineChars="200"/>
        <w:rPr>
          <w:color w:val="auto"/>
          <w:highlight w:val="none"/>
          <w:lang w:eastAsia="zh-CN"/>
        </w:rPr>
      </w:pPr>
      <w:r>
        <w:rPr>
          <w:color w:val="auto"/>
          <w:highlight w:val="none"/>
          <w:lang w:eastAsia="zh-CN"/>
        </w:rPr>
        <w:t>本合同一式伍份，甲方执贰份，乙方执贰份，采购代理机构壹份。本合同经甲乙双方签字盖章后生效，补充协议含售后服务承诺书等，与本合同具有同等法律效力。</w:t>
      </w:r>
    </w:p>
    <w:p w14:paraId="4143816E">
      <w:pPr>
        <w:pStyle w:val="16"/>
        <w:ind w:firstLine="422"/>
        <w:rPr>
          <w:rFonts w:ascii="Arial" w:hAnsi="Arial"/>
          <w:color w:val="auto"/>
          <w:highlight w:val="none"/>
          <w:lang w:eastAsia="zh-CN"/>
        </w:rPr>
      </w:pPr>
    </w:p>
    <w:p w14:paraId="788E8C28">
      <w:pPr>
        <w:tabs>
          <w:tab w:val="left" w:pos="4320"/>
          <w:tab w:val="left" w:pos="4500"/>
        </w:tabs>
        <w:spacing w:line="400" w:lineRule="exact"/>
        <w:rPr>
          <w:color w:val="auto"/>
          <w:highlight w:val="none"/>
          <w:u w:val="single"/>
          <w:lang w:eastAsia="zh-CN"/>
        </w:rPr>
      </w:pPr>
      <w:r>
        <w:rPr>
          <w:color w:val="auto"/>
          <w:highlight w:val="none"/>
          <w:lang w:eastAsia="zh-CN"/>
        </w:rPr>
        <w:t>甲方名称（公章）：</w:t>
      </w:r>
      <w:r>
        <w:rPr>
          <w:color w:val="auto"/>
          <w:highlight w:val="none"/>
          <w:u w:val="single"/>
          <w:lang w:eastAsia="zh-CN"/>
        </w:rPr>
        <w:t xml:space="preserve">                      </w:t>
      </w:r>
      <w:r>
        <w:rPr>
          <w:color w:val="auto"/>
          <w:highlight w:val="none"/>
          <w:lang w:eastAsia="zh-CN"/>
        </w:rPr>
        <w:t xml:space="preserve">     乙方名称（公章）：</w:t>
      </w:r>
      <w:r>
        <w:rPr>
          <w:color w:val="auto"/>
          <w:highlight w:val="none"/>
          <w:u w:val="single"/>
          <w:lang w:eastAsia="zh-CN"/>
        </w:rPr>
        <w:t xml:space="preserve">                           </w:t>
      </w:r>
    </w:p>
    <w:p w14:paraId="647F495D">
      <w:pPr>
        <w:spacing w:line="400" w:lineRule="exact"/>
        <w:ind w:left="4620" w:hanging="4620" w:hangingChars="2200"/>
        <w:rPr>
          <w:color w:val="auto"/>
          <w:highlight w:val="none"/>
          <w:u w:val="single"/>
          <w:lang w:eastAsia="zh-CN"/>
        </w:rPr>
      </w:pPr>
      <w:r>
        <w:rPr>
          <w:color w:val="auto"/>
          <w:highlight w:val="none"/>
          <w:lang w:eastAsia="zh-CN"/>
        </w:rPr>
        <w:t>法定代表人：</w:t>
      </w:r>
      <w:r>
        <w:rPr>
          <w:color w:val="auto"/>
          <w:highlight w:val="none"/>
          <w:u w:val="single"/>
          <w:lang w:eastAsia="zh-CN"/>
        </w:rPr>
        <w:t xml:space="preserve">                           </w:t>
      </w:r>
      <w:r>
        <w:rPr>
          <w:color w:val="auto"/>
          <w:highlight w:val="none"/>
          <w:lang w:eastAsia="zh-CN"/>
        </w:rPr>
        <w:t xml:space="preserve">     法定代表人签字：</w:t>
      </w:r>
      <w:r>
        <w:rPr>
          <w:color w:val="auto"/>
          <w:highlight w:val="none"/>
          <w:u w:val="single"/>
          <w:lang w:eastAsia="zh-CN"/>
        </w:rPr>
        <w:t xml:space="preserve">                               </w:t>
      </w:r>
    </w:p>
    <w:p w14:paraId="1B2975D5">
      <w:pPr>
        <w:tabs>
          <w:tab w:val="left" w:pos="4680"/>
        </w:tabs>
        <w:spacing w:line="400" w:lineRule="exact"/>
        <w:rPr>
          <w:color w:val="auto"/>
          <w:highlight w:val="none"/>
          <w:u w:val="single"/>
        </w:rPr>
      </w:pPr>
      <w:r>
        <w:rPr>
          <w:color w:val="auto"/>
          <w:highlight w:val="none"/>
        </w:rPr>
        <w:t>委托代理人：</w:t>
      </w:r>
      <w:r>
        <w:rPr>
          <w:color w:val="auto"/>
          <w:highlight w:val="none"/>
          <w:u w:val="single"/>
        </w:rPr>
        <w:t xml:space="preserve">                           </w:t>
      </w:r>
      <w:r>
        <w:rPr>
          <w:color w:val="auto"/>
          <w:highlight w:val="none"/>
        </w:rPr>
        <w:t xml:space="preserve">     委托代理人：</w:t>
      </w:r>
      <w:r>
        <w:rPr>
          <w:color w:val="auto"/>
          <w:highlight w:val="none"/>
          <w:u w:val="single"/>
        </w:rPr>
        <w:t xml:space="preserve">                                 </w:t>
      </w:r>
    </w:p>
    <w:p w14:paraId="191BF0CE">
      <w:pPr>
        <w:tabs>
          <w:tab w:val="left" w:pos="5040"/>
        </w:tabs>
        <w:spacing w:line="400" w:lineRule="exact"/>
        <w:rPr>
          <w:color w:val="auto"/>
          <w:highlight w:val="none"/>
          <w:u w:val="single"/>
          <w:lang w:eastAsia="zh-CN"/>
        </w:rPr>
      </w:pPr>
      <w:r>
        <w:rPr>
          <w:color w:val="auto"/>
          <w:highlight w:val="none"/>
          <w:lang w:eastAsia="zh-CN"/>
        </w:rPr>
        <w:t>电  话：</w:t>
      </w:r>
      <w:r>
        <w:rPr>
          <w:color w:val="auto"/>
          <w:highlight w:val="none"/>
          <w:u w:val="single"/>
          <w:lang w:eastAsia="zh-CN"/>
        </w:rPr>
        <w:t xml:space="preserve">                               </w:t>
      </w:r>
      <w:r>
        <w:rPr>
          <w:color w:val="auto"/>
          <w:highlight w:val="none"/>
          <w:lang w:eastAsia="zh-CN"/>
        </w:rPr>
        <w:t xml:space="preserve">     电   话： </w:t>
      </w:r>
      <w:r>
        <w:rPr>
          <w:color w:val="auto"/>
          <w:highlight w:val="none"/>
          <w:u w:val="single"/>
          <w:lang w:eastAsia="zh-CN"/>
        </w:rPr>
        <w:t xml:space="preserve">                                  </w:t>
      </w:r>
    </w:p>
    <w:p w14:paraId="6F293826">
      <w:pPr>
        <w:tabs>
          <w:tab w:val="left" w:pos="5040"/>
        </w:tabs>
        <w:spacing w:line="400" w:lineRule="exact"/>
        <w:rPr>
          <w:color w:val="auto"/>
          <w:highlight w:val="none"/>
          <w:lang w:eastAsia="zh-CN"/>
        </w:rPr>
      </w:pPr>
      <w:r>
        <w:rPr>
          <w:color w:val="auto"/>
          <w:highlight w:val="none"/>
          <w:lang w:eastAsia="zh-CN"/>
        </w:rPr>
        <w:t>开户名称：</w:t>
      </w:r>
      <w:r>
        <w:rPr>
          <w:color w:val="auto"/>
          <w:highlight w:val="none"/>
          <w:u w:val="single"/>
          <w:lang w:eastAsia="zh-CN"/>
        </w:rPr>
        <w:t xml:space="preserve">                             </w:t>
      </w:r>
      <w:r>
        <w:rPr>
          <w:color w:val="auto"/>
          <w:highlight w:val="none"/>
          <w:lang w:eastAsia="zh-CN"/>
        </w:rPr>
        <w:t xml:space="preserve">     开户名称：</w:t>
      </w:r>
      <w:r>
        <w:rPr>
          <w:color w:val="auto"/>
          <w:highlight w:val="none"/>
          <w:u w:val="single"/>
          <w:lang w:eastAsia="zh-CN"/>
        </w:rPr>
        <w:t xml:space="preserve">                                   </w:t>
      </w:r>
      <w:r>
        <w:rPr>
          <w:color w:val="auto"/>
          <w:highlight w:val="none"/>
          <w:lang w:eastAsia="zh-CN"/>
        </w:rPr>
        <w:t xml:space="preserve">     </w:t>
      </w:r>
    </w:p>
    <w:p w14:paraId="71737DC0">
      <w:pPr>
        <w:tabs>
          <w:tab w:val="left" w:pos="5040"/>
        </w:tabs>
        <w:spacing w:line="400" w:lineRule="exact"/>
        <w:rPr>
          <w:color w:val="auto"/>
          <w:highlight w:val="none"/>
          <w:lang w:eastAsia="zh-CN"/>
        </w:rPr>
      </w:pPr>
      <w:r>
        <w:rPr>
          <w:color w:val="auto"/>
          <w:highlight w:val="none"/>
          <w:lang w:eastAsia="zh-CN"/>
        </w:rPr>
        <w:t>开户银行：</w:t>
      </w:r>
      <w:r>
        <w:rPr>
          <w:color w:val="auto"/>
          <w:highlight w:val="none"/>
          <w:u w:val="single"/>
          <w:lang w:eastAsia="zh-CN"/>
        </w:rPr>
        <w:t xml:space="preserve">                             </w:t>
      </w:r>
      <w:r>
        <w:rPr>
          <w:color w:val="auto"/>
          <w:highlight w:val="none"/>
          <w:lang w:eastAsia="zh-CN"/>
        </w:rPr>
        <w:t xml:space="preserve">     开户银行：</w:t>
      </w:r>
      <w:r>
        <w:rPr>
          <w:color w:val="auto"/>
          <w:highlight w:val="none"/>
          <w:u w:val="single"/>
          <w:lang w:eastAsia="zh-CN"/>
        </w:rPr>
        <w:t xml:space="preserve">                                   </w:t>
      </w:r>
      <w:r>
        <w:rPr>
          <w:color w:val="auto"/>
          <w:highlight w:val="none"/>
          <w:lang w:eastAsia="zh-CN"/>
        </w:rPr>
        <w:t xml:space="preserve">     </w:t>
      </w:r>
    </w:p>
    <w:p w14:paraId="57F4E467">
      <w:pPr>
        <w:tabs>
          <w:tab w:val="left" w:pos="5040"/>
        </w:tabs>
        <w:spacing w:line="400" w:lineRule="exact"/>
        <w:rPr>
          <w:color w:val="auto"/>
          <w:highlight w:val="none"/>
          <w:lang w:eastAsia="zh-CN"/>
        </w:rPr>
      </w:pPr>
      <w:r>
        <w:rPr>
          <w:color w:val="auto"/>
          <w:highlight w:val="none"/>
          <w:lang w:eastAsia="zh-CN"/>
        </w:rPr>
        <w:t>银行账号：</w:t>
      </w:r>
      <w:r>
        <w:rPr>
          <w:color w:val="auto"/>
          <w:highlight w:val="none"/>
          <w:u w:val="single"/>
          <w:lang w:eastAsia="zh-CN"/>
        </w:rPr>
        <w:t xml:space="preserve">                             </w:t>
      </w:r>
      <w:r>
        <w:rPr>
          <w:color w:val="auto"/>
          <w:highlight w:val="none"/>
          <w:lang w:eastAsia="zh-CN"/>
        </w:rPr>
        <w:t xml:space="preserve">     银行账号：</w:t>
      </w:r>
      <w:r>
        <w:rPr>
          <w:color w:val="auto"/>
          <w:highlight w:val="none"/>
          <w:u w:val="single"/>
          <w:lang w:eastAsia="zh-CN"/>
        </w:rPr>
        <w:t xml:space="preserve">                                  </w:t>
      </w:r>
      <w:r>
        <w:rPr>
          <w:color w:val="auto"/>
          <w:highlight w:val="none"/>
          <w:lang w:eastAsia="zh-CN"/>
        </w:rPr>
        <w:t xml:space="preserve">     </w:t>
      </w:r>
    </w:p>
    <w:p w14:paraId="6F222B2B">
      <w:pPr>
        <w:tabs>
          <w:tab w:val="left" w:pos="5040"/>
        </w:tabs>
        <w:spacing w:line="400" w:lineRule="exact"/>
        <w:rPr>
          <w:color w:val="auto"/>
          <w:highlight w:val="none"/>
          <w:lang w:eastAsia="zh-CN"/>
        </w:rPr>
      </w:pPr>
      <w:r>
        <w:rPr>
          <w:color w:val="auto"/>
          <w:highlight w:val="none"/>
          <w:lang w:eastAsia="zh-CN"/>
        </w:rPr>
        <w:t>日    期：</w:t>
      </w:r>
      <w:r>
        <w:rPr>
          <w:color w:val="auto"/>
          <w:highlight w:val="none"/>
          <w:u w:val="single"/>
          <w:lang w:eastAsia="zh-CN"/>
        </w:rPr>
        <w:t xml:space="preserve">                            </w:t>
      </w:r>
      <w:r>
        <w:rPr>
          <w:color w:val="auto"/>
          <w:highlight w:val="none"/>
          <w:lang w:eastAsia="zh-CN"/>
        </w:rPr>
        <w:t xml:space="preserve">      日    期：</w:t>
      </w:r>
      <w:r>
        <w:rPr>
          <w:color w:val="auto"/>
          <w:highlight w:val="none"/>
          <w:u w:val="single"/>
          <w:lang w:eastAsia="zh-CN"/>
        </w:rPr>
        <w:t xml:space="preserve">                                  </w:t>
      </w:r>
    </w:p>
    <w:p w14:paraId="40EC2692">
      <w:pPr>
        <w:rPr>
          <w:color w:val="auto"/>
          <w:highlight w:val="none"/>
          <w:lang w:eastAsia="zh-CN"/>
        </w:rPr>
      </w:pPr>
    </w:p>
    <w:p w14:paraId="28411A00">
      <w:pPr>
        <w:rPr>
          <w:color w:val="auto"/>
          <w:highlight w:val="none"/>
          <w:lang w:eastAsia="zh-CN"/>
        </w:rPr>
      </w:pPr>
    </w:p>
    <w:p w14:paraId="0FBC1455">
      <w:pPr>
        <w:rPr>
          <w:color w:val="auto"/>
          <w:highlight w:val="none"/>
          <w:lang w:eastAsia="zh-CN"/>
        </w:rPr>
      </w:pPr>
    </w:p>
    <w:p w14:paraId="5A057CA5">
      <w:pPr>
        <w:pStyle w:val="4"/>
        <w:rPr>
          <w:rFonts w:ascii="Arial" w:hAnsi="Arial" w:cs="Arial"/>
          <w:color w:val="auto"/>
          <w:highlight w:val="none"/>
          <w:lang w:eastAsia="zh-CN"/>
        </w:rPr>
      </w:pPr>
    </w:p>
    <w:p w14:paraId="6FB33589">
      <w:pPr>
        <w:rPr>
          <w:color w:val="auto"/>
          <w:highlight w:val="none"/>
          <w:lang w:eastAsia="zh-CN"/>
        </w:rPr>
      </w:pPr>
    </w:p>
    <w:p w14:paraId="750A97DA">
      <w:pPr>
        <w:rPr>
          <w:color w:val="auto"/>
          <w:highlight w:val="none"/>
          <w:lang w:eastAsia="zh-CN"/>
        </w:rPr>
      </w:pPr>
    </w:p>
    <w:p w14:paraId="032DE3AD">
      <w:pPr>
        <w:tabs>
          <w:tab w:val="left" w:pos="5040"/>
        </w:tabs>
        <w:spacing w:line="380" w:lineRule="exact"/>
        <w:rPr>
          <w:rFonts w:ascii="宋体" w:hAnsi="宋体" w:cs="宋体"/>
          <w:color w:val="auto"/>
          <w:highlight w:val="none"/>
          <w:lang w:eastAsia="zh-CN"/>
        </w:rPr>
      </w:pPr>
      <w:r>
        <w:rPr>
          <w:rFonts w:hint="eastAsia" w:ascii="宋体" w:hAnsi="宋体" w:cs="宋体"/>
          <w:color w:val="auto"/>
          <w:highlight w:val="none"/>
          <w:lang w:eastAsia="zh-CN"/>
        </w:rPr>
        <w:t xml:space="preserve">  </w:t>
      </w:r>
    </w:p>
    <w:p w14:paraId="3403EBAE">
      <w:pPr>
        <w:widowControl w:val="0"/>
        <w:spacing w:line="360" w:lineRule="auto"/>
        <w:ind w:firstLine="400" w:firstLineChars="200"/>
        <w:rPr>
          <w:rFonts w:ascii="宋体" w:hAnsi="宋体" w:eastAsia="宋体" w:cs="宋体"/>
          <w:color w:val="auto"/>
          <w:sz w:val="20"/>
          <w:szCs w:val="20"/>
          <w:highlight w:val="none"/>
          <w:lang w:eastAsia="zh-CN"/>
        </w:rPr>
        <w:sectPr>
          <w:footerReference r:id="rId10" w:type="default"/>
          <w:pgSz w:w="11906" w:h="16839"/>
          <w:pgMar w:top="1417" w:right="1417" w:bottom="1417" w:left="1417" w:header="0" w:footer="1097" w:gutter="0"/>
          <w:cols w:space="720" w:num="1"/>
        </w:sectPr>
      </w:pPr>
    </w:p>
    <w:p w14:paraId="620D32D9">
      <w:pPr>
        <w:pStyle w:val="7"/>
        <w:widowControl w:val="0"/>
        <w:spacing w:line="360" w:lineRule="auto"/>
        <w:ind w:firstLine="420" w:firstLineChars="200"/>
        <w:rPr>
          <w:color w:val="auto"/>
          <w:highlight w:val="none"/>
          <w:lang w:eastAsia="zh-CN"/>
        </w:rPr>
      </w:pPr>
    </w:p>
    <w:p w14:paraId="7F2548AD">
      <w:pPr>
        <w:pStyle w:val="7"/>
        <w:widowControl w:val="0"/>
        <w:spacing w:line="360" w:lineRule="auto"/>
        <w:ind w:firstLine="420" w:firstLineChars="200"/>
        <w:rPr>
          <w:color w:val="auto"/>
          <w:highlight w:val="none"/>
          <w:lang w:eastAsia="zh-CN"/>
        </w:rPr>
      </w:pPr>
    </w:p>
    <w:p w14:paraId="76175F4E">
      <w:pPr>
        <w:widowControl w:val="0"/>
        <w:spacing w:line="360" w:lineRule="auto"/>
        <w:jc w:val="center"/>
        <w:outlineLvl w:val="0"/>
        <w:rPr>
          <w:rFonts w:ascii="宋体" w:hAnsi="宋体" w:eastAsia="宋体" w:cs="宋体"/>
          <w:color w:val="auto"/>
          <w:sz w:val="31"/>
          <w:szCs w:val="31"/>
          <w:highlight w:val="none"/>
          <w:lang w:eastAsia="zh-CN"/>
        </w:rPr>
      </w:pPr>
      <w:bookmarkStart w:id="23" w:name="bookmark6"/>
      <w:bookmarkEnd w:id="23"/>
      <w:bookmarkStart w:id="24" w:name="_Toc20031"/>
      <w:r>
        <w:rPr>
          <w:rFonts w:ascii="宋体" w:hAnsi="宋体" w:eastAsia="宋体" w:cs="宋体"/>
          <w:b/>
          <w:bCs/>
          <w:color w:val="auto"/>
          <w:sz w:val="31"/>
          <w:szCs w:val="31"/>
          <w:highlight w:val="none"/>
          <w:lang w:eastAsia="zh-CN"/>
        </w:rPr>
        <w:t>第六章</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响应文件（格式）</w:t>
      </w:r>
      <w:bookmarkEnd w:id="24"/>
    </w:p>
    <w:p w14:paraId="41696604">
      <w:pPr>
        <w:widowControl w:val="0"/>
        <w:kinsoku/>
        <w:wordWrap w:val="0"/>
        <w:spacing w:before="120" w:beforeLines="50" w:after="50" w:line="360" w:lineRule="auto"/>
        <w:jc w:val="center"/>
        <w:rPr>
          <w:rFonts w:ascii="宋体" w:hAnsi="宋体" w:cs="宋体"/>
          <w:b/>
          <w:color w:val="auto"/>
          <w:sz w:val="36"/>
          <w:szCs w:val="36"/>
          <w:highlight w:val="none"/>
          <w:lang w:eastAsia="zh-CN"/>
        </w:rPr>
      </w:pPr>
    </w:p>
    <w:p w14:paraId="3D8308C4">
      <w:pPr>
        <w:pStyle w:val="12"/>
        <w:widowControl w:val="0"/>
        <w:kinsoku/>
        <w:wordWrap w:val="0"/>
        <w:autoSpaceDE/>
        <w:autoSpaceDN/>
        <w:adjustRightInd/>
        <w:snapToGrid/>
        <w:spacing w:line="360" w:lineRule="auto"/>
        <w:textAlignment w:val="auto"/>
        <w:rPr>
          <w:rFonts w:hAnsi="宋体" w:cs="宋体"/>
          <w:b/>
          <w:color w:val="auto"/>
          <w:sz w:val="32"/>
          <w:highlight w:val="none"/>
          <w:lang w:eastAsia="zh-CN"/>
        </w:rPr>
      </w:pPr>
      <w:bookmarkStart w:id="25" w:name="_Toc18351"/>
      <w:bookmarkStart w:id="26" w:name="_Toc497927069"/>
      <w:bookmarkStart w:id="27" w:name="_Toc21496"/>
      <w:r>
        <w:rPr>
          <w:rFonts w:hint="eastAsia" w:hAnsi="宋体" w:cs="宋体"/>
          <w:b/>
          <w:color w:val="auto"/>
          <w:sz w:val="32"/>
          <w:highlight w:val="none"/>
          <w:lang w:eastAsia="zh-CN"/>
        </w:rPr>
        <w:t>一、响应文件袋（盒、箱）标记</w:t>
      </w:r>
      <w:bookmarkEnd w:id="25"/>
      <w:bookmarkEnd w:id="26"/>
      <w:bookmarkEnd w:id="27"/>
    </w:p>
    <w:p w14:paraId="2218C229">
      <w:pPr>
        <w:widowControl w:val="0"/>
        <w:kinsoku/>
        <w:wordWrap w:val="0"/>
        <w:spacing w:before="120" w:beforeLines="50" w:after="50" w:line="360" w:lineRule="auto"/>
        <w:jc w:val="center"/>
        <w:rPr>
          <w:rFonts w:ascii="宋体" w:hAnsi="宋体" w:cs="宋体"/>
          <w:b/>
          <w:color w:val="auto"/>
          <w:sz w:val="36"/>
          <w:szCs w:val="36"/>
          <w:highlight w:val="none"/>
          <w:lang w:eastAsia="zh-CN"/>
        </w:rPr>
      </w:pPr>
    </w:p>
    <w:p w14:paraId="2838FDAE">
      <w:pPr>
        <w:widowControl w:val="0"/>
        <w:kinsoku/>
        <w:wordWrap w:val="0"/>
        <w:spacing w:before="120" w:beforeLines="50" w:after="50" w:line="360" w:lineRule="auto"/>
        <w:jc w:val="center"/>
        <w:rPr>
          <w:rFonts w:ascii="宋体" w:hAnsi="宋体" w:cs="宋体"/>
          <w:b/>
          <w:color w:val="auto"/>
          <w:sz w:val="36"/>
          <w:szCs w:val="36"/>
          <w:highlight w:val="none"/>
          <w:lang w:eastAsia="zh-CN"/>
        </w:rPr>
      </w:pPr>
      <w:r>
        <w:rPr>
          <w:rFonts w:hint="eastAsia" w:ascii="宋体" w:hAnsi="宋体" w:cs="宋体"/>
          <w:b/>
          <w:color w:val="auto"/>
          <w:sz w:val="36"/>
          <w:szCs w:val="36"/>
          <w:highlight w:val="none"/>
          <w:lang w:eastAsia="zh-CN"/>
        </w:rPr>
        <w:t>响 应 文 件</w:t>
      </w:r>
    </w:p>
    <w:p w14:paraId="4FE6175F">
      <w:pPr>
        <w:widowControl w:val="0"/>
        <w:kinsoku/>
        <w:wordWrap w:val="0"/>
        <w:spacing w:before="120" w:beforeLines="50" w:after="50" w:line="360" w:lineRule="auto"/>
        <w:ind w:firstLine="480" w:firstLineChars="150"/>
        <w:rPr>
          <w:rFonts w:ascii="宋体" w:hAnsi="宋体" w:eastAsia="宋体" w:cs="宋体"/>
          <w:b/>
          <w:color w:val="auto"/>
          <w:sz w:val="28"/>
          <w:szCs w:val="28"/>
          <w:highlight w:val="none"/>
          <w:lang w:eastAsia="zh-CN"/>
        </w:rPr>
      </w:pPr>
      <w:r>
        <w:rPr>
          <w:rFonts w:hint="eastAsia" w:ascii="宋体" w:hAnsi="宋体" w:cs="宋体"/>
          <w:color w:val="auto"/>
          <w:sz w:val="32"/>
          <w:szCs w:val="32"/>
          <w:highlight w:val="none"/>
          <w:lang w:eastAsia="zh-CN"/>
        </w:rPr>
        <w:t xml:space="preserve">                      </w:t>
      </w:r>
      <w:r>
        <w:rPr>
          <w:rFonts w:hint="eastAsia" w:ascii="宋体" w:hAnsi="宋体" w:cs="宋体"/>
          <w:b/>
          <w:bCs/>
          <w:color w:val="auto"/>
          <w:sz w:val="32"/>
          <w:szCs w:val="32"/>
          <w:highlight w:val="none"/>
          <w:lang w:eastAsia="zh-CN"/>
        </w:rPr>
        <w:t xml:space="preserve"> </w:t>
      </w:r>
    </w:p>
    <w:p w14:paraId="723CEF8F">
      <w:pPr>
        <w:widowControl w:val="0"/>
        <w:kinsoku/>
        <w:wordWrap w:val="0"/>
        <w:spacing w:before="120" w:beforeLines="50" w:after="50" w:line="360" w:lineRule="auto"/>
        <w:ind w:firstLine="420" w:firstLineChars="150"/>
        <w:rPr>
          <w:rFonts w:ascii="宋体" w:hAnsi="宋体" w:cs="宋体"/>
          <w:b/>
          <w:color w:val="auto"/>
          <w:sz w:val="28"/>
          <w:szCs w:val="28"/>
          <w:highlight w:val="none"/>
          <w:lang w:eastAsia="zh-CN"/>
        </w:rPr>
      </w:pPr>
    </w:p>
    <w:p w14:paraId="58D864EF">
      <w:pPr>
        <w:widowControl w:val="0"/>
        <w:kinsoku/>
        <w:wordWrap w:val="0"/>
        <w:spacing w:before="120" w:beforeLines="50" w:after="50" w:line="360" w:lineRule="auto"/>
        <w:ind w:firstLine="420" w:firstLineChars="150"/>
        <w:rPr>
          <w:rFonts w:ascii="宋体" w:hAnsi="宋体" w:cs="宋体"/>
          <w:b/>
          <w:color w:val="auto"/>
          <w:sz w:val="28"/>
          <w:szCs w:val="28"/>
          <w:highlight w:val="none"/>
          <w:lang w:eastAsia="zh-CN"/>
        </w:rPr>
      </w:pPr>
    </w:p>
    <w:p w14:paraId="575A94A5">
      <w:pPr>
        <w:widowControl w:val="0"/>
        <w:kinsoku/>
        <w:wordWrap w:val="0"/>
        <w:spacing w:before="120" w:beforeLines="50" w:after="50" w:line="360" w:lineRule="auto"/>
        <w:ind w:firstLine="1681" w:firstLineChars="600"/>
        <w:rPr>
          <w:rFonts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项目名称：</w:t>
      </w:r>
      <w:r>
        <w:rPr>
          <w:rFonts w:hint="eastAsia" w:ascii="宋体" w:hAnsi="宋体" w:cs="宋体"/>
          <w:b/>
          <w:bCs/>
          <w:color w:val="auto"/>
          <w:sz w:val="28"/>
          <w:szCs w:val="28"/>
          <w:highlight w:val="none"/>
          <w:u w:val="single"/>
          <w:lang w:eastAsia="zh-CN"/>
        </w:rPr>
        <w:t xml:space="preserve">                    </w:t>
      </w:r>
    </w:p>
    <w:p w14:paraId="1593CEB4">
      <w:pPr>
        <w:widowControl w:val="0"/>
        <w:kinsoku/>
        <w:wordWrap w:val="0"/>
        <w:spacing w:before="120" w:beforeLines="50" w:after="50" w:line="360" w:lineRule="auto"/>
        <w:ind w:firstLine="1681" w:firstLineChars="600"/>
        <w:rPr>
          <w:rFonts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lang w:eastAsia="zh-CN"/>
        </w:rPr>
        <w:t>项目编号：</w:t>
      </w:r>
      <w:r>
        <w:rPr>
          <w:rFonts w:hint="eastAsia" w:ascii="宋体" w:hAnsi="宋体" w:eastAsia="宋体" w:cs="宋体"/>
          <w:b/>
          <w:color w:val="auto"/>
          <w:sz w:val="28"/>
          <w:szCs w:val="28"/>
          <w:highlight w:val="none"/>
          <w:u w:val="single"/>
          <w:lang w:eastAsia="zh-CN"/>
        </w:rPr>
        <w:t xml:space="preserve">                    </w:t>
      </w:r>
    </w:p>
    <w:p w14:paraId="65AD1538">
      <w:pPr>
        <w:widowControl w:val="0"/>
        <w:kinsoku/>
        <w:wordWrap w:val="0"/>
        <w:spacing w:line="360" w:lineRule="auto"/>
        <w:rPr>
          <w:rFonts w:ascii="宋体" w:hAnsi="宋体" w:cs="宋体"/>
          <w:b/>
          <w:color w:val="auto"/>
          <w:highlight w:val="none"/>
          <w:lang w:eastAsia="zh-CN"/>
        </w:rPr>
      </w:pPr>
    </w:p>
    <w:p w14:paraId="781C719B">
      <w:pPr>
        <w:pStyle w:val="24"/>
        <w:wordWrap w:val="0"/>
        <w:spacing w:line="360" w:lineRule="auto"/>
        <w:rPr>
          <w:rFonts w:ascii="宋体" w:hAnsi="宋体" w:cs="宋体"/>
          <w:b/>
          <w:color w:val="auto"/>
          <w:sz w:val="28"/>
          <w:szCs w:val="28"/>
          <w:highlight w:val="none"/>
        </w:rPr>
      </w:pPr>
    </w:p>
    <w:p w14:paraId="54501DE1">
      <w:pPr>
        <w:widowControl w:val="0"/>
        <w:kinsoku/>
        <w:wordWrap w:val="0"/>
        <w:spacing w:before="120" w:beforeLines="50" w:after="50" w:line="360" w:lineRule="auto"/>
        <w:rPr>
          <w:rFonts w:ascii="宋体" w:hAnsi="宋体" w:cs="宋体"/>
          <w:b/>
          <w:color w:val="auto"/>
          <w:sz w:val="28"/>
          <w:szCs w:val="28"/>
          <w:highlight w:val="none"/>
          <w:u w:val="single"/>
          <w:lang w:eastAsia="zh-CN"/>
        </w:rPr>
      </w:pPr>
      <w:r>
        <w:rPr>
          <w:rFonts w:hint="eastAsia" w:ascii="宋体" w:hAnsi="宋体" w:cs="宋体"/>
          <w:b/>
          <w:color w:val="auto"/>
          <w:sz w:val="28"/>
          <w:szCs w:val="28"/>
          <w:highlight w:val="none"/>
          <w:lang w:eastAsia="zh-CN"/>
        </w:rPr>
        <w:t>采购代理机构：</w:t>
      </w:r>
      <w:r>
        <w:rPr>
          <w:rFonts w:hint="eastAsia" w:ascii="宋体" w:hAnsi="宋体" w:cs="宋体"/>
          <w:b/>
          <w:color w:val="auto"/>
          <w:sz w:val="28"/>
          <w:szCs w:val="28"/>
          <w:highlight w:val="none"/>
          <w:u w:val="single"/>
          <w:lang w:eastAsia="zh-CN"/>
        </w:rPr>
        <w:t xml:space="preserve"> 大华建设项目管理有限公司   </w:t>
      </w:r>
    </w:p>
    <w:p w14:paraId="786DABF1">
      <w:pPr>
        <w:pStyle w:val="9"/>
        <w:widowControl w:val="0"/>
        <w:kinsoku/>
        <w:wordWrap w:val="0"/>
        <w:spacing w:line="360" w:lineRule="auto"/>
        <w:ind w:left="0" w:leftChars="0"/>
        <w:rPr>
          <w:rFonts w:ascii="宋体" w:hAnsi="宋体" w:cs="宋体"/>
          <w:bCs/>
          <w:color w:val="auto"/>
          <w:sz w:val="28"/>
          <w:szCs w:val="28"/>
          <w:highlight w:val="none"/>
          <w:lang w:eastAsia="zh-CN"/>
        </w:rPr>
      </w:pPr>
      <w:bookmarkStart w:id="28" w:name="_Toc20319_WPSOffice_Level2"/>
      <w:bookmarkStart w:id="29" w:name="_Toc4932_WPSOffice_Level2"/>
      <w:r>
        <w:rPr>
          <w:rFonts w:hint="eastAsia" w:ascii="宋体" w:hAnsi="宋体" w:cs="宋体"/>
          <w:bCs/>
          <w:color w:val="auto"/>
          <w:sz w:val="28"/>
          <w:szCs w:val="28"/>
          <w:highlight w:val="none"/>
          <w:lang w:eastAsia="zh-CN"/>
        </w:rPr>
        <w:t>供应商[公章(CA签章)、自然人除外]：</w:t>
      </w:r>
      <w:r>
        <w:rPr>
          <w:rFonts w:hint="eastAsia" w:ascii="宋体" w:hAnsi="宋体" w:cs="宋体"/>
          <w:bCs/>
          <w:color w:val="auto"/>
          <w:sz w:val="28"/>
          <w:szCs w:val="28"/>
          <w:highlight w:val="none"/>
          <w:u w:val="single"/>
          <w:lang w:eastAsia="zh-CN"/>
        </w:rPr>
        <w:t xml:space="preserve">                     </w:t>
      </w:r>
      <w:bookmarkEnd w:id="28"/>
      <w:bookmarkEnd w:id="29"/>
    </w:p>
    <w:p w14:paraId="71276D12">
      <w:pPr>
        <w:pStyle w:val="12"/>
        <w:widowControl w:val="0"/>
        <w:kinsoku/>
        <w:wordWrap w:val="0"/>
        <w:spacing w:line="360" w:lineRule="auto"/>
        <w:rPr>
          <w:rFonts w:hAnsi="宋体" w:cs="宋体"/>
          <w:color w:val="auto"/>
          <w:sz w:val="28"/>
          <w:szCs w:val="28"/>
          <w:highlight w:val="none"/>
          <w:u w:val="single"/>
          <w:lang w:eastAsia="zh-CN"/>
        </w:rPr>
      </w:pPr>
      <w:bookmarkStart w:id="30" w:name="_Toc9622_WPSOffice_Level2"/>
      <w:bookmarkStart w:id="31" w:name="_Toc32056_WPSOffice_Level2"/>
      <w:r>
        <w:rPr>
          <w:rFonts w:hint="eastAsia" w:hAnsi="宋体" w:cs="宋体"/>
          <w:color w:val="auto"/>
          <w:sz w:val="28"/>
          <w:szCs w:val="28"/>
          <w:highlight w:val="none"/>
          <w:lang w:eastAsia="zh-CN"/>
        </w:rPr>
        <w:t>法定代表人、负责人、自然人或相应的委托代理人签字[或盖章(CA签章)]（属自然人的应在签名处加盖大拇指指印或个人CA签章）：</w:t>
      </w:r>
      <w:r>
        <w:rPr>
          <w:rFonts w:hint="eastAsia" w:hAnsi="宋体" w:cs="宋体"/>
          <w:color w:val="auto"/>
          <w:sz w:val="28"/>
          <w:szCs w:val="28"/>
          <w:highlight w:val="none"/>
          <w:u w:val="single"/>
          <w:lang w:eastAsia="zh-CN"/>
        </w:rPr>
        <w:t xml:space="preserve">          </w:t>
      </w:r>
    </w:p>
    <w:p w14:paraId="5B4B756D">
      <w:pPr>
        <w:pStyle w:val="9"/>
        <w:widowControl w:val="0"/>
        <w:kinsoku/>
        <w:wordWrap w:val="0"/>
        <w:spacing w:line="360" w:lineRule="auto"/>
        <w:ind w:left="0" w:leftChars="0"/>
        <w:rPr>
          <w:rFonts w:ascii="宋体" w:hAnsi="宋体" w:cs="宋体"/>
          <w:bCs/>
          <w:color w:val="auto"/>
          <w:sz w:val="28"/>
          <w:szCs w:val="28"/>
          <w:highlight w:val="none"/>
          <w:u w:val="single"/>
          <w:lang w:eastAsia="zh-CN"/>
        </w:rPr>
      </w:pPr>
      <w:r>
        <w:rPr>
          <w:rFonts w:hint="eastAsia" w:ascii="宋体" w:hAnsi="宋体" w:cs="宋体"/>
          <w:bCs/>
          <w:color w:val="auto"/>
          <w:sz w:val="28"/>
          <w:szCs w:val="28"/>
          <w:highlight w:val="none"/>
          <w:lang w:eastAsia="zh-CN"/>
        </w:rPr>
        <w:t>联系电话：</w:t>
      </w:r>
      <w:bookmarkEnd w:id="30"/>
      <w:bookmarkEnd w:id="31"/>
      <w:r>
        <w:rPr>
          <w:rFonts w:hint="eastAsia" w:ascii="宋体" w:hAnsi="宋体" w:cs="宋体"/>
          <w:bCs/>
          <w:color w:val="auto"/>
          <w:sz w:val="28"/>
          <w:szCs w:val="28"/>
          <w:highlight w:val="none"/>
          <w:u w:val="single"/>
          <w:lang w:eastAsia="zh-CN"/>
        </w:rPr>
        <w:t xml:space="preserve">                                                </w:t>
      </w:r>
    </w:p>
    <w:p w14:paraId="43F5EC0D">
      <w:pPr>
        <w:pStyle w:val="9"/>
        <w:widowControl w:val="0"/>
        <w:kinsoku/>
        <w:wordWrap w:val="0"/>
        <w:spacing w:line="360" w:lineRule="auto"/>
        <w:ind w:left="0" w:leftChars="0"/>
        <w:rPr>
          <w:rFonts w:ascii="宋体" w:hAnsi="宋体" w:cs="宋体"/>
          <w:bCs/>
          <w:color w:val="auto"/>
          <w:sz w:val="28"/>
          <w:szCs w:val="28"/>
          <w:highlight w:val="none"/>
          <w:lang w:eastAsia="zh-CN"/>
        </w:rPr>
      </w:pPr>
      <w:bookmarkStart w:id="32" w:name="_Toc26465_WPSOffice_Level2"/>
      <w:bookmarkStart w:id="33" w:name="_Toc15933_WPSOffice_Level2"/>
      <w:r>
        <w:rPr>
          <w:rFonts w:hint="eastAsia" w:ascii="宋体" w:hAnsi="宋体" w:cs="宋体"/>
          <w:bCs/>
          <w:color w:val="auto"/>
          <w:sz w:val="28"/>
          <w:szCs w:val="28"/>
          <w:highlight w:val="none"/>
          <w:lang w:eastAsia="zh-CN"/>
        </w:rPr>
        <w:t>日期：</w:t>
      </w:r>
      <w:r>
        <w:rPr>
          <w:rFonts w:hint="eastAsia" w:ascii="宋体" w:hAnsi="宋体" w:cs="宋体"/>
          <w:bCs/>
          <w:color w:val="auto"/>
          <w:sz w:val="28"/>
          <w:szCs w:val="28"/>
          <w:highlight w:val="none"/>
          <w:u w:val="single"/>
          <w:lang w:eastAsia="zh-CN"/>
        </w:rPr>
        <w:t xml:space="preserve">              </w:t>
      </w:r>
      <w:r>
        <w:rPr>
          <w:rFonts w:hint="eastAsia" w:ascii="宋体" w:hAnsi="宋体" w:cs="宋体"/>
          <w:bCs/>
          <w:color w:val="auto"/>
          <w:sz w:val="28"/>
          <w:szCs w:val="28"/>
          <w:highlight w:val="none"/>
          <w:lang w:eastAsia="zh-CN"/>
        </w:rPr>
        <w:t>年</w:t>
      </w:r>
      <w:r>
        <w:rPr>
          <w:rFonts w:hint="eastAsia" w:ascii="宋体" w:hAnsi="宋体" w:cs="宋体"/>
          <w:bCs/>
          <w:color w:val="auto"/>
          <w:sz w:val="28"/>
          <w:szCs w:val="28"/>
          <w:highlight w:val="none"/>
          <w:u w:val="single"/>
          <w:lang w:eastAsia="zh-CN"/>
        </w:rPr>
        <w:t xml:space="preserve">           </w:t>
      </w:r>
      <w:r>
        <w:rPr>
          <w:rFonts w:hint="eastAsia" w:ascii="宋体" w:hAnsi="宋体" w:cs="宋体"/>
          <w:bCs/>
          <w:color w:val="auto"/>
          <w:sz w:val="28"/>
          <w:szCs w:val="28"/>
          <w:highlight w:val="none"/>
          <w:lang w:eastAsia="zh-CN"/>
        </w:rPr>
        <w:t>月</w:t>
      </w:r>
      <w:r>
        <w:rPr>
          <w:rFonts w:hint="eastAsia" w:ascii="宋体" w:hAnsi="宋体" w:cs="宋体"/>
          <w:bCs/>
          <w:color w:val="auto"/>
          <w:sz w:val="28"/>
          <w:szCs w:val="28"/>
          <w:highlight w:val="none"/>
          <w:u w:val="single"/>
          <w:lang w:eastAsia="zh-CN"/>
        </w:rPr>
        <w:t xml:space="preserve">           </w:t>
      </w:r>
      <w:r>
        <w:rPr>
          <w:rFonts w:hint="eastAsia" w:ascii="宋体" w:hAnsi="宋体" w:cs="宋体"/>
          <w:bCs/>
          <w:color w:val="auto"/>
          <w:sz w:val="28"/>
          <w:szCs w:val="28"/>
          <w:highlight w:val="none"/>
          <w:lang w:eastAsia="zh-CN"/>
        </w:rPr>
        <w:t>日</w:t>
      </w:r>
      <w:bookmarkEnd w:id="32"/>
      <w:bookmarkEnd w:id="33"/>
    </w:p>
    <w:p w14:paraId="29F68C9D">
      <w:pPr>
        <w:widowControl w:val="0"/>
        <w:spacing w:line="360" w:lineRule="auto"/>
        <w:ind w:firstLine="620" w:firstLineChars="200"/>
        <w:rPr>
          <w:rFonts w:ascii="宋体" w:hAnsi="宋体" w:eastAsia="宋体" w:cs="宋体"/>
          <w:color w:val="auto"/>
          <w:sz w:val="31"/>
          <w:szCs w:val="31"/>
          <w:highlight w:val="none"/>
          <w:lang w:eastAsia="zh-CN"/>
        </w:rPr>
        <w:sectPr>
          <w:footerReference r:id="rId11" w:type="default"/>
          <w:pgSz w:w="11906" w:h="16839"/>
          <w:pgMar w:top="1417" w:right="1417" w:bottom="1417" w:left="1417" w:header="0" w:footer="1097" w:gutter="0"/>
          <w:cols w:space="720" w:num="1"/>
        </w:sectPr>
      </w:pPr>
    </w:p>
    <w:p w14:paraId="3243816C">
      <w:pPr>
        <w:widowControl w:val="0"/>
        <w:spacing w:line="360" w:lineRule="auto"/>
        <w:ind w:firstLine="622" w:firstLineChars="200"/>
        <w:rPr>
          <w:rFonts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eastAsia="zh-CN"/>
        </w:rPr>
        <w:t>二</w:t>
      </w:r>
      <w:r>
        <w:rPr>
          <w:rFonts w:ascii="宋体" w:hAnsi="宋体" w:eastAsia="宋体" w:cs="宋体"/>
          <w:b/>
          <w:bCs/>
          <w:color w:val="auto"/>
          <w:sz w:val="31"/>
          <w:szCs w:val="31"/>
          <w:highlight w:val="none"/>
          <w:lang w:eastAsia="zh-CN"/>
        </w:rPr>
        <w:t>、响应文件组成</w:t>
      </w:r>
    </w:p>
    <w:p w14:paraId="3A02322F">
      <w:pPr>
        <w:pStyle w:val="7"/>
        <w:widowControl w:val="0"/>
        <w:spacing w:line="360" w:lineRule="auto"/>
        <w:ind w:firstLine="420" w:firstLineChars="200"/>
        <w:rPr>
          <w:color w:val="auto"/>
          <w:highlight w:val="none"/>
          <w:lang w:eastAsia="zh-CN"/>
        </w:rPr>
      </w:pPr>
    </w:p>
    <w:p w14:paraId="1D12CA7D">
      <w:pPr>
        <w:pStyle w:val="7"/>
        <w:widowControl w:val="0"/>
        <w:spacing w:line="360" w:lineRule="auto"/>
        <w:ind w:firstLine="420" w:firstLineChars="200"/>
        <w:rPr>
          <w:color w:val="auto"/>
          <w:highlight w:val="none"/>
          <w:lang w:eastAsia="zh-CN"/>
        </w:rPr>
      </w:pPr>
    </w:p>
    <w:p w14:paraId="0A68BE59">
      <w:pPr>
        <w:pStyle w:val="7"/>
        <w:widowControl w:val="0"/>
        <w:spacing w:line="360" w:lineRule="auto"/>
        <w:ind w:firstLine="420" w:firstLineChars="200"/>
        <w:rPr>
          <w:color w:val="auto"/>
          <w:highlight w:val="none"/>
          <w:lang w:eastAsia="zh-CN"/>
        </w:rPr>
      </w:pPr>
    </w:p>
    <w:p w14:paraId="487B98AB">
      <w:pPr>
        <w:pStyle w:val="7"/>
        <w:widowControl w:val="0"/>
        <w:spacing w:line="360" w:lineRule="auto"/>
        <w:ind w:firstLine="420" w:firstLineChars="200"/>
        <w:rPr>
          <w:color w:val="auto"/>
          <w:highlight w:val="none"/>
          <w:lang w:eastAsia="zh-CN"/>
        </w:rPr>
      </w:pPr>
    </w:p>
    <w:p w14:paraId="35C9239C">
      <w:pPr>
        <w:widowControl w:val="0"/>
        <w:spacing w:line="360" w:lineRule="auto"/>
        <w:ind w:firstLine="482" w:firstLineChars="200"/>
        <w:rPr>
          <w:rFonts w:ascii="宋体" w:hAnsi="宋体" w:eastAsia="宋体" w:cs="宋体"/>
          <w:color w:val="auto"/>
          <w:sz w:val="31"/>
          <w:szCs w:val="31"/>
          <w:highlight w:val="none"/>
          <w:lang w:eastAsia="zh-CN"/>
        </w:rPr>
      </w:pPr>
      <w:r>
        <w:rPr>
          <w:rFonts w:ascii="宋体" w:hAnsi="宋体" w:eastAsia="宋体" w:cs="宋体"/>
          <w:b/>
          <w:bCs/>
          <w:color w:val="auto"/>
          <w:sz w:val="24"/>
          <w:szCs w:val="24"/>
          <w:highlight w:val="none"/>
          <w:lang w:eastAsia="zh-CN"/>
        </w:rPr>
        <w:t>（一）</w:t>
      </w:r>
      <w:r>
        <w:rPr>
          <w:rFonts w:ascii="宋体" w:hAnsi="宋体" w:eastAsia="宋体" w:cs="宋体"/>
          <w:b/>
          <w:bCs/>
          <w:color w:val="auto"/>
          <w:sz w:val="31"/>
          <w:szCs w:val="31"/>
          <w:highlight w:val="none"/>
          <w:lang w:eastAsia="zh-CN"/>
        </w:rPr>
        <w:t>资格性响应证明材料</w:t>
      </w:r>
    </w:p>
    <w:p w14:paraId="01C77DAC">
      <w:pPr>
        <w:pStyle w:val="7"/>
        <w:widowControl w:val="0"/>
        <w:spacing w:line="360" w:lineRule="auto"/>
        <w:ind w:firstLine="420" w:firstLineChars="200"/>
        <w:rPr>
          <w:color w:val="auto"/>
          <w:highlight w:val="none"/>
          <w:lang w:eastAsia="zh-CN"/>
        </w:rPr>
      </w:pPr>
    </w:p>
    <w:p w14:paraId="6D31719B">
      <w:pPr>
        <w:pStyle w:val="7"/>
        <w:widowControl w:val="0"/>
        <w:spacing w:line="360" w:lineRule="auto"/>
        <w:ind w:firstLine="420" w:firstLineChars="200"/>
        <w:rPr>
          <w:color w:val="auto"/>
          <w:highlight w:val="none"/>
          <w:lang w:eastAsia="zh-CN"/>
        </w:rPr>
      </w:pPr>
    </w:p>
    <w:p w14:paraId="25A1A481">
      <w:pPr>
        <w:pStyle w:val="7"/>
        <w:widowControl w:val="0"/>
        <w:spacing w:line="360" w:lineRule="auto"/>
        <w:ind w:firstLine="420" w:firstLineChars="200"/>
        <w:rPr>
          <w:color w:val="auto"/>
          <w:highlight w:val="none"/>
          <w:lang w:eastAsia="zh-CN"/>
        </w:rPr>
      </w:pPr>
    </w:p>
    <w:p w14:paraId="7DD6661C">
      <w:pPr>
        <w:pStyle w:val="7"/>
        <w:widowControl w:val="0"/>
        <w:spacing w:line="360" w:lineRule="auto"/>
        <w:ind w:firstLine="420" w:firstLineChars="200"/>
        <w:rPr>
          <w:color w:val="auto"/>
          <w:highlight w:val="none"/>
          <w:lang w:eastAsia="zh-CN"/>
        </w:rPr>
      </w:pPr>
    </w:p>
    <w:p w14:paraId="703C6169">
      <w:pPr>
        <w:pStyle w:val="7"/>
        <w:widowControl w:val="0"/>
        <w:spacing w:line="360" w:lineRule="auto"/>
        <w:ind w:firstLine="420" w:firstLineChars="200"/>
        <w:rPr>
          <w:color w:val="auto"/>
          <w:highlight w:val="none"/>
          <w:lang w:eastAsia="zh-CN"/>
        </w:rPr>
      </w:pPr>
    </w:p>
    <w:p w14:paraId="6BC77FF8">
      <w:pPr>
        <w:pStyle w:val="7"/>
        <w:widowControl w:val="0"/>
        <w:spacing w:line="360" w:lineRule="auto"/>
        <w:ind w:firstLine="420" w:firstLineChars="200"/>
        <w:rPr>
          <w:color w:val="auto"/>
          <w:highlight w:val="none"/>
          <w:lang w:eastAsia="zh-CN"/>
        </w:rPr>
      </w:pPr>
    </w:p>
    <w:p w14:paraId="518EA87B">
      <w:pPr>
        <w:widowControl w:val="0"/>
        <w:spacing w:line="360" w:lineRule="auto"/>
        <w:ind w:firstLine="482" w:firstLineChars="200"/>
        <w:rPr>
          <w:rFonts w:ascii="宋体" w:hAnsi="宋体" w:eastAsia="宋体" w:cs="宋体"/>
          <w:color w:val="auto"/>
          <w:sz w:val="31"/>
          <w:szCs w:val="31"/>
          <w:highlight w:val="none"/>
          <w:lang w:eastAsia="zh-CN"/>
        </w:rPr>
      </w:pPr>
      <w:r>
        <w:rPr>
          <w:rFonts w:ascii="宋体" w:hAnsi="宋体" w:eastAsia="宋体" w:cs="宋体"/>
          <w:b/>
          <w:bCs/>
          <w:color w:val="auto"/>
          <w:sz w:val="24"/>
          <w:szCs w:val="24"/>
          <w:highlight w:val="none"/>
          <w:lang w:eastAsia="zh-CN"/>
        </w:rPr>
        <w:t>（二）</w:t>
      </w:r>
      <w:r>
        <w:rPr>
          <w:rFonts w:ascii="宋体" w:hAnsi="宋体" w:eastAsia="宋体" w:cs="宋体"/>
          <w:b/>
          <w:bCs/>
          <w:color w:val="auto"/>
          <w:sz w:val="31"/>
          <w:szCs w:val="31"/>
          <w:highlight w:val="none"/>
          <w:lang w:eastAsia="zh-CN"/>
        </w:rPr>
        <w:t>符合性响应证明材料</w:t>
      </w:r>
    </w:p>
    <w:p w14:paraId="1AFEABF4">
      <w:pPr>
        <w:pStyle w:val="7"/>
        <w:widowControl w:val="0"/>
        <w:spacing w:line="360" w:lineRule="auto"/>
        <w:ind w:firstLine="420" w:firstLineChars="200"/>
        <w:rPr>
          <w:color w:val="auto"/>
          <w:highlight w:val="none"/>
          <w:lang w:eastAsia="zh-CN"/>
        </w:rPr>
      </w:pPr>
    </w:p>
    <w:p w14:paraId="77310930">
      <w:pPr>
        <w:pStyle w:val="7"/>
        <w:widowControl w:val="0"/>
        <w:spacing w:line="360" w:lineRule="auto"/>
        <w:ind w:firstLine="420" w:firstLineChars="200"/>
        <w:rPr>
          <w:color w:val="auto"/>
          <w:highlight w:val="none"/>
          <w:lang w:eastAsia="zh-CN"/>
        </w:rPr>
      </w:pPr>
    </w:p>
    <w:p w14:paraId="47922A85">
      <w:pPr>
        <w:pStyle w:val="7"/>
        <w:widowControl w:val="0"/>
        <w:spacing w:line="360" w:lineRule="auto"/>
        <w:ind w:firstLine="420" w:firstLineChars="200"/>
        <w:rPr>
          <w:color w:val="auto"/>
          <w:highlight w:val="none"/>
          <w:lang w:eastAsia="zh-CN"/>
        </w:rPr>
      </w:pPr>
    </w:p>
    <w:p w14:paraId="7531F558">
      <w:pPr>
        <w:pStyle w:val="7"/>
        <w:widowControl w:val="0"/>
        <w:spacing w:line="360" w:lineRule="auto"/>
        <w:ind w:firstLine="420" w:firstLineChars="200"/>
        <w:rPr>
          <w:color w:val="auto"/>
          <w:highlight w:val="none"/>
          <w:lang w:eastAsia="zh-CN"/>
        </w:rPr>
      </w:pPr>
    </w:p>
    <w:p w14:paraId="554B0709">
      <w:pPr>
        <w:pStyle w:val="7"/>
        <w:widowControl w:val="0"/>
        <w:spacing w:line="360" w:lineRule="auto"/>
        <w:ind w:firstLine="420" w:firstLineChars="200"/>
        <w:rPr>
          <w:color w:val="auto"/>
          <w:highlight w:val="none"/>
          <w:lang w:eastAsia="zh-CN"/>
        </w:rPr>
      </w:pPr>
    </w:p>
    <w:p w14:paraId="367A1F9C">
      <w:pPr>
        <w:pStyle w:val="7"/>
        <w:widowControl w:val="0"/>
        <w:spacing w:line="360" w:lineRule="auto"/>
        <w:ind w:firstLine="420" w:firstLineChars="200"/>
        <w:rPr>
          <w:color w:val="auto"/>
          <w:highlight w:val="none"/>
          <w:lang w:eastAsia="zh-CN"/>
        </w:rPr>
      </w:pPr>
    </w:p>
    <w:p w14:paraId="0AF823BB">
      <w:pPr>
        <w:widowControl w:val="0"/>
        <w:spacing w:line="360" w:lineRule="auto"/>
        <w:ind w:firstLine="482" w:firstLineChars="200"/>
        <w:rPr>
          <w:rFonts w:ascii="宋体" w:hAnsi="宋体" w:eastAsia="宋体" w:cs="宋体"/>
          <w:color w:val="auto"/>
          <w:sz w:val="31"/>
          <w:szCs w:val="31"/>
          <w:highlight w:val="none"/>
          <w:lang w:eastAsia="zh-CN"/>
        </w:rPr>
      </w:pPr>
      <w:r>
        <w:rPr>
          <w:rFonts w:ascii="宋体" w:hAnsi="宋体" w:eastAsia="宋体" w:cs="宋体"/>
          <w:b/>
          <w:bCs/>
          <w:color w:val="auto"/>
          <w:sz w:val="24"/>
          <w:szCs w:val="24"/>
          <w:highlight w:val="none"/>
          <w:lang w:eastAsia="zh-CN"/>
        </w:rPr>
        <w:t>（三）</w:t>
      </w:r>
      <w:r>
        <w:rPr>
          <w:rFonts w:ascii="宋体" w:hAnsi="宋体" w:eastAsia="宋体" w:cs="宋体"/>
          <w:b/>
          <w:bCs/>
          <w:color w:val="auto"/>
          <w:sz w:val="31"/>
          <w:szCs w:val="31"/>
          <w:highlight w:val="none"/>
          <w:lang w:eastAsia="zh-CN"/>
        </w:rPr>
        <w:t>其它有效证明材料</w:t>
      </w:r>
    </w:p>
    <w:p w14:paraId="2C6E5292">
      <w:pPr>
        <w:widowControl w:val="0"/>
        <w:spacing w:line="360" w:lineRule="auto"/>
        <w:ind w:firstLine="620" w:firstLineChars="200"/>
        <w:rPr>
          <w:rFonts w:ascii="宋体" w:hAnsi="宋体" w:eastAsia="宋体" w:cs="宋体"/>
          <w:color w:val="auto"/>
          <w:sz w:val="31"/>
          <w:szCs w:val="31"/>
          <w:highlight w:val="none"/>
          <w:lang w:eastAsia="zh-CN"/>
        </w:rPr>
        <w:sectPr>
          <w:footerReference r:id="rId12" w:type="default"/>
          <w:pgSz w:w="11906" w:h="16839"/>
          <w:pgMar w:top="1417" w:right="1417" w:bottom="1417" w:left="1417" w:header="0" w:footer="1097" w:gutter="0"/>
          <w:cols w:space="720" w:num="1"/>
        </w:sectPr>
      </w:pPr>
    </w:p>
    <w:p w14:paraId="5B31BF89">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（一）资格性响应证明材料目录</w:t>
      </w:r>
    </w:p>
    <w:p w14:paraId="355B0B46">
      <w:pPr>
        <w:pStyle w:val="7"/>
        <w:widowControl w:val="0"/>
        <w:spacing w:line="360" w:lineRule="auto"/>
        <w:ind w:firstLine="420" w:firstLineChars="200"/>
        <w:rPr>
          <w:color w:val="auto"/>
          <w:highlight w:val="none"/>
          <w:lang w:eastAsia="zh-CN"/>
        </w:rPr>
      </w:pPr>
    </w:p>
    <w:p w14:paraId="6E37E476">
      <w:pPr>
        <w:pStyle w:val="7"/>
        <w:widowControl w:val="0"/>
        <w:spacing w:line="360" w:lineRule="auto"/>
        <w:ind w:firstLine="420" w:firstLineChars="200"/>
        <w:rPr>
          <w:color w:val="auto"/>
          <w:highlight w:val="none"/>
          <w:lang w:eastAsia="zh-CN"/>
        </w:rPr>
      </w:pPr>
    </w:p>
    <w:p w14:paraId="6A22F912">
      <w:pPr>
        <w:widowControl w:val="0"/>
        <w:spacing w:line="48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1.供应商相应的法定代表人(负责人、 自然人)身份证正反两面复印件</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6C3340DD">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.供应商的授权委托书原件、委托代理人身份证正反面复印件</w:t>
      </w:r>
      <w:r>
        <w:rPr>
          <w:rFonts w:ascii="宋体" w:hAnsi="宋体" w:eastAsia="宋体" w:cs="宋体"/>
          <w:b/>
          <w:bCs/>
          <w:color w:val="auto"/>
          <w:highlight w:val="none"/>
          <w:lang w:eastAsia="zh-CN"/>
        </w:rPr>
        <w:t>（委托代理时必须提供）</w:t>
      </w:r>
      <w:r>
        <w:rPr>
          <w:rFonts w:ascii="宋体" w:hAnsi="宋体" w:eastAsia="宋体" w:cs="宋体"/>
          <w:color w:val="auto"/>
          <w:highlight w:val="none"/>
          <w:lang w:eastAsia="zh-CN"/>
        </w:rPr>
        <w:t>；</w:t>
      </w:r>
    </w:p>
    <w:p w14:paraId="1418A125">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.供应商的法人或者其他组织营业执照等证明文件复印件</w:t>
      </w:r>
      <w:r>
        <w:rPr>
          <w:rFonts w:ascii="宋体" w:hAnsi="宋体" w:eastAsia="宋体" w:cs="宋体"/>
          <w:b/>
          <w:bCs/>
          <w:color w:val="auto"/>
          <w:highlight w:val="none"/>
          <w:lang w:eastAsia="zh-CN"/>
        </w:rPr>
        <w:t>（必须提供， 自然人除外）</w:t>
      </w:r>
      <w:r>
        <w:rPr>
          <w:rFonts w:ascii="宋体" w:hAnsi="宋体" w:eastAsia="宋体" w:cs="宋体"/>
          <w:color w:val="auto"/>
          <w:highlight w:val="none"/>
          <w:lang w:eastAsia="zh-CN"/>
        </w:rPr>
        <w:t>；</w:t>
      </w:r>
    </w:p>
    <w:p w14:paraId="07B0D9BA">
      <w:pPr>
        <w:widowControl w:val="0"/>
        <w:spacing w:line="48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注：①法人包括企业法人、机关法人、事业单位法人和社会团体法人；其他组织主要包括合伙 企业、非企业专业服务机构、个体工商户、农村承包经营户。②如供应商为企业（包括合伙企业）， 应提供市场监督管理部门（或行政审批部门）注册的有效“企业法人营业执照 ”或“营业执照；供 应商为事业单位，应提供有效的“事业单位法人证书 ”；供应商为非企业专业服务机构的，应提供 执业许可证等证明文件；供应商为个体工商户，应提供有效的“个体工商户营业执照 ”。③如供应 商为企业法人的分支机构的，除应提供营业执照复印件外，还应提供其所属的总公司授权其参加政 府采购活动的授权文件或授权其独立开展经营业务活动的证明材料复印件。</w:t>
      </w:r>
    </w:p>
    <w:p w14:paraId="1D16B5D2">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.供应商 202</w:t>
      </w:r>
      <w:r>
        <w:rPr>
          <w:rFonts w:hint="eastAsia" w:ascii="宋体" w:hAnsi="宋体" w:eastAsia="宋体" w:cs="宋体"/>
          <w:b w:val="0"/>
          <w:bCs w:val="0"/>
          <w:color w:val="auto"/>
          <w:highlight w:val="none"/>
          <w:lang w:eastAsia="zh-CN"/>
        </w:rPr>
        <w:t>4</w:t>
      </w:r>
      <w:r>
        <w:rPr>
          <w:rFonts w:ascii="宋体" w:hAnsi="宋体" w:eastAsia="宋体" w:cs="宋体"/>
          <w:b w:val="0"/>
          <w:bCs w:val="0"/>
          <w:color w:val="auto"/>
          <w:highlight w:val="none"/>
          <w:lang w:eastAsia="zh-CN"/>
        </w:rPr>
        <w:t xml:space="preserve"> 年的财务状况报告</w:t>
      </w:r>
      <w:r>
        <w:rPr>
          <w:rFonts w:hint="eastAsia" w:ascii="宋体" w:hAnsi="宋体" w:eastAsia="宋体" w:cs="宋体"/>
          <w:b w:val="0"/>
          <w:bCs w:val="0"/>
          <w:color w:val="auto"/>
          <w:highlight w:val="none"/>
          <w:lang w:eastAsia="zh-CN"/>
        </w:rPr>
        <w:t>复印件</w:t>
      </w:r>
      <w:r>
        <w:rPr>
          <w:rFonts w:ascii="宋体" w:hAnsi="宋体" w:eastAsia="宋体" w:cs="宋体"/>
          <w:b w:val="0"/>
          <w:bCs w:val="0"/>
          <w:color w:val="auto"/>
          <w:highlight w:val="none"/>
          <w:lang w:eastAsia="zh-CN"/>
        </w:rPr>
        <w:t>（可以是财务报表或</w:t>
      </w:r>
      <w:r>
        <w:rPr>
          <w:rFonts w:hint="eastAsia" w:ascii="宋体" w:hAnsi="宋体" w:eastAsia="宋体" w:cs="宋体"/>
          <w:b w:val="0"/>
          <w:bCs w:val="0"/>
          <w:color w:val="auto"/>
          <w:highlight w:val="none"/>
          <w:lang w:eastAsia="zh-CN"/>
        </w:rPr>
        <w:t>2025年以来</w:t>
      </w:r>
      <w:r>
        <w:rPr>
          <w:rFonts w:ascii="宋体" w:hAnsi="宋体" w:eastAsia="宋体" w:cs="宋体"/>
          <w:b w:val="0"/>
          <w:bCs w:val="0"/>
          <w:color w:val="auto"/>
          <w:highlight w:val="none"/>
          <w:lang w:eastAsia="zh-CN"/>
        </w:rPr>
        <w:t>银行出具的资信证明等）复印件</w:t>
      </w:r>
      <w:r>
        <w:rPr>
          <w:rFonts w:ascii="宋体" w:hAnsi="宋体" w:eastAsia="宋体" w:cs="宋体"/>
          <w:b/>
          <w:bCs/>
          <w:color w:val="auto"/>
          <w:highlight w:val="none"/>
          <w:lang w:eastAsia="zh-CN"/>
        </w:rPr>
        <w:t>（必须提供）；</w:t>
      </w:r>
    </w:p>
    <w:p w14:paraId="63A8FD28">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b w:val="0"/>
          <w:bCs w:val="0"/>
          <w:color w:val="auto"/>
          <w:highlight w:val="none"/>
          <w:lang w:eastAsia="zh-CN"/>
        </w:rPr>
        <w:t>5</w:t>
      </w:r>
      <w:r>
        <w:rPr>
          <w:rFonts w:ascii="宋体" w:hAnsi="宋体" w:eastAsia="宋体" w:cs="宋体"/>
          <w:b w:val="0"/>
          <w:bCs w:val="0"/>
          <w:color w:val="auto"/>
          <w:highlight w:val="none"/>
          <w:lang w:eastAsia="zh-CN"/>
        </w:rPr>
        <w:t>.供应商 2024 年以来任意一个月依法缴纳税收的相关材料复印件</w:t>
      </w:r>
      <w:r>
        <w:rPr>
          <w:rFonts w:ascii="宋体" w:hAnsi="宋体" w:eastAsia="宋体" w:cs="宋体"/>
          <w:b/>
          <w:bCs/>
          <w:color w:val="auto"/>
          <w:highlight w:val="none"/>
          <w:lang w:eastAsia="zh-CN"/>
        </w:rPr>
        <w:t>（必须提供）；</w:t>
      </w:r>
    </w:p>
    <w:p w14:paraId="1ABB8EAA">
      <w:pPr>
        <w:widowControl w:val="0"/>
        <w:spacing w:line="480" w:lineRule="auto"/>
        <w:ind w:firstLine="420" w:firstLineChars="200"/>
        <w:rPr>
          <w:rFonts w:ascii="宋体" w:hAnsi="宋体" w:eastAsia="宋体" w:cs="宋体"/>
          <w:color w:val="auto"/>
          <w:highlight w:val="none"/>
          <w:lang w:eastAsia="zh-CN"/>
        </w:rPr>
      </w:pPr>
      <w:r>
        <w:rPr>
          <w:rFonts w:hint="eastAsia" w:ascii="宋体" w:hAnsi="宋体" w:eastAsia="宋体" w:cs="宋体"/>
          <w:color w:val="auto"/>
          <w:highlight w:val="none"/>
          <w:lang w:eastAsia="zh-CN"/>
        </w:rPr>
        <w:t>6</w:t>
      </w:r>
      <w:r>
        <w:rPr>
          <w:rFonts w:ascii="宋体" w:hAnsi="宋体" w:eastAsia="宋体" w:cs="宋体"/>
          <w:color w:val="auto"/>
          <w:highlight w:val="none"/>
          <w:lang w:eastAsia="zh-CN"/>
        </w:rPr>
        <w:t>.供应商参加政府采购活动前 3 年内在经营活动中没有重大违法记录及有关信用信息的书面声明</w:t>
      </w:r>
      <w:r>
        <w:rPr>
          <w:rFonts w:ascii="宋体" w:hAnsi="宋体" w:eastAsia="宋体" w:cs="宋体"/>
          <w:b/>
          <w:bCs/>
          <w:color w:val="auto"/>
          <w:highlight w:val="none"/>
          <w:lang w:eastAsia="zh-CN"/>
        </w:rPr>
        <w:t>（必须提供）</w:t>
      </w:r>
      <w:r>
        <w:rPr>
          <w:rFonts w:ascii="宋体" w:hAnsi="宋体" w:eastAsia="宋体" w:cs="宋体"/>
          <w:color w:val="auto"/>
          <w:highlight w:val="none"/>
          <w:lang w:eastAsia="zh-CN"/>
        </w:rPr>
        <w:t>；</w:t>
      </w:r>
    </w:p>
    <w:p w14:paraId="2DA1C429">
      <w:pPr>
        <w:widowControl w:val="0"/>
        <w:spacing w:line="48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w:t>
      </w:r>
      <w:r>
        <w:rPr>
          <w:rFonts w:ascii="宋体" w:hAnsi="宋体" w:eastAsia="宋体" w:cs="宋体"/>
          <w:color w:val="auto"/>
          <w:highlight w:val="none"/>
          <w:lang w:eastAsia="zh-CN"/>
        </w:rPr>
        <w:t>.供应商参加本项目无围标串标行为的承诺函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0C9011E6">
      <w:pPr>
        <w:widowControl w:val="0"/>
        <w:spacing w:line="360" w:lineRule="auto"/>
        <w:ind w:firstLine="420" w:firstLineChars="200"/>
        <w:rPr>
          <w:rFonts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w:t>
      </w:r>
      <w:r>
        <w:rPr>
          <w:rFonts w:ascii="宋体" w:hAnsi="宋体" w:eastAsia="宋体" w:cs="宋体"/>
          <w:color w:val="auto"/>
          <w:highlight w:val="none"/>
          <w:lang w:eastAsia="zh-CN"/>
        </w:rPr>
        <w:t>本项目的特定资格要求：</w:t>
      </w:r>
      <w:r>
        <w:rPr>
          <w:rFonts w:hint="eastAsia" w:ascii="宋体" w:hAnsi="宋体" w:eastAsia="宋体" w:cs="宋体"/>
          <w:color w:val="auto"/>
          <w:highlight w:val="none"/>
          <w:lang w:eastAsia="zh-CN"/>
        </w:rPr>
        <w:t>供应商所投产品为进口设备的：代理商须出具制造商（经销商）针对本项目的授权书原件扫描件；提供经销商授权的代理商还须出具制造商给经销商的授权书原件扫描件</w:t>
      </w:r>
      <w:r>
        <w:rPr>
          <w:rFonts w:ascii="宋体" w:hAnsi="宋体" w:eastAsia="宋体" w:cs="宋体"/>
          <w:b/>
          <w:bCs/>
          <w:color w:val="auto"/>
          <w:highlight w:val="none"/>
          <w:lang w:eastAsia="zh-CN"/>
        </w:rPr>
        <w:t>（</w:t>
      </w:r>
      <w:r>
        <w:rPr>
          <w:rFonts w:hint="eastAsia" w:ascii="宋体" w:hAnsi="宋体" w:eastAsia="宋体" w:cs="宋体"/>
          <w:b/>
          <w:bCs/>
          <w:color w:val="auto"/>
          <w:highlight w:val="none"/>
          <w:lang w:eastAsia="zh-CN"/>
        </w:rPr>
        <w:t>供应商所投产品为进口设备的必须提供</w:t>
      </w:r>
      <w:r>
        <w:rPr>
          <w:rFonts w:ascii="宋体" w:hAnsi="宋体" w:eastAsia="宋体" w:cs="宋体"/>
          <w:b/>
          <w:bCs/>
          <w:color w:val="auto"/>
          <w:highlight w:val="none"/>
          <w:lang w:eastAsia="zh-CN"/>
        </w:rPr>
        <w:t>）</w:t>
      </w:r>
      <w:r>
        <w:rPr>
          <w:rFonts w:hint="eastAsia" w:ascii="宋体" w:hAnsi="宋体" w:eastAsia="宋体" w:cs="宋体"/>
          <w:b/>
          <w:bCs/>
          <w:color w:val="auto"/>
          <w:highlight w:val="none"/>
          <w:lang w:eastAsia="zh-CN"/>
        </w:rPr>
        <w:t>。</w:t>
      </w:r>
    </w:p>
    <w:p w14:paraId="6E621D83">
      <w:pPr>
        <w:pStyle w:val="17"/>
        <w:rPr>
          <w:rFonts w:hint="eastAsia"/>
          <w:color w:val="auto"/>
          <w:highlight w:val="none"/>
          <w:lang w:eastAsia="zh-CN"/>
        </w:rPr>
      </w:pPr>
    </w:p>
    <w:p w14:paraId="1D7A08B4">
      <w:pPr>
        <w:pStyle w:val="17"/>
        <w:rPr>
          <w:color w:val="auto"/>
          <w:highlight w:val="none"/>
          <w:lang w:eastAsia="zh-CN"/>
        </w:rPr>
      </w:pPr>
    </w:p>
    <w:p w14:paraId="059BFA85">
      <w:pPr>
        <w:widowControl w:val="0"/>
        <w:spacing w:line="360" w:lineRule="auto"/>
        <w:ind w:firstLine="400" w:firstLineChars="200"/>
        <w:rPr>
          <w:rFonts w:ascii="宋体" w:hAnsi="宋体" w:eastAsia="宋体" w:cs="宋体"/>
          <w:color w:val="auto"/>
          <w:sz w:val="20"/>
          <w:szCs w:val="20"/>
          <w:highlight w:val="none"/>
          <w:lang w:eastAsia="zh-CN"/>
        </w:rPr>
        <w:sectPr>
          <w:footerReference r:id="rId13" w:type="default"/>
          <w:pgSz w:w="11906" w:h="16839"/>
          <w:pgMar w:top="1417" w:right="1417" w:bottom="1417" w:left="1417" w:header="0" w:footer="1097" w:gutter="0"/>
          <w:cols w:space="720" w:num="1"/>
        </w:sectPr>
      </w:pPr>
    </w:p>
    <w:p w14:paraId="785E2BEA">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1</w:t>
      </w:r>
      <w:r>
        <w:rPr>
          <w:rFonts w:ascii="宋体" w:hAnsi="宋体" w:eastAsia="宋体" w:cs="宋体"/>
          <w:b/>
          <w:bCs/>
          <w:color w:val="auto"/>
          <w:sz w:val="28"/>
          <w:szCs w:val="28"/>
          <w:highlight w:val="none"/>
          <w:lang w:eastAsia="zh-CN"/>
        </w:rPr>
        <w:t>.</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供应商相应的法定代表人(负责人、自然人)身份证正反两面复印件（必须提供）</w:t>
      </w:r>
    </w:p>
    <w:p w14:paraId="6AB45F3A">
      <w:pPr>
        <w:pStyle w:val="7"/>
        <w:widowControl w:val="0"/>
        <w:spacing w:line="360" w:lineRule="auto"/>
        <w:ind w:firstLine="420" w:firstLineChars="200"/>
        <w:rPr>
          <w:color w:val="auto"/>
          <w:highlight w:val="none"/>
          <w:lang w:eastAsia="zh-CN"/>
        </w:rPr>
      </w:pPr>
    </w:p>
    <w:p w14:paraId="2FBE4C49">
      <w:pPr>
        <w:pStyle w:val="7"/>
        <w:widowControl w:val="0"/>
        <w:spacing w:line="360" w:lineRule="auto"/>
        <w:ind w:firstLine="420" w:firstLineChars="200"/>
        <w:rPr>
          <w:color w:val="auto"/>
          <w:highlight w:val="none"/>
          <w:lang w:eastAsia="zh-CN"/>
        </w:rPr>
      </w:pPr>
    </w:p>
    <w:p w14:paraId="5CA6FD76">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2</w:t>
      </w:r>
      <w:r>
        <w:rPr>
          <w:rFonts w:ascii="宋体" w:hAnsi="宋体" w:eastAsia="宋体" w:cs="宋体"/>
          <w:b/>
          <w:bCs/>
          <w:color w:val="auto"/>
          <w:sz w:val="28"/>
          <w:szCs w:val="28"/>
          <w:highlight w:val="none"/>
          <w:lang w:eastAsia="zh-CN"/>
        </w:rPr>
        <w:t>.供应商的授权委托书原件、委托代理人身份证正反面复印件</w:t>
      </w:r>
      <w:r>
        <w:rPr>
          <w:rFonts w:hint="eastAsia" w:eastAsia="宋体"/>
          <w:color w:val="auto"/>
          <w:highlight w:val="none"/>
          <w:lang w:val="en-US" w:eastAsia="zh-CN"/>
        </w:rPr>
        <w:t xml:space="preserve"> </w:t>
      </w:r>
      <w:r>
        <w:rPr>
          <w:rFonts w:ascii="宋体" w:hAnsi="宋体" w:eastAsia="宋体" w:cs="宋体"/>
          <w:b/>
          <w:bCs/>
          <w:color w:val="auto"/>
          <w:sz w:val="28"/>
          <w:szCs w:val="28"/>
          <w:highlight w:val="none"/>
          <w:lang w:eastAsia="zh-CN"/>
        </w:rPr>
        <w:t>（委托代理时必须提供）</w:t>
      </w:r>
    </w:p>
    <w:p w14:paraId="7113FC85">
      <w:pPr>
        <w:pStyle w:val="7"/>
        <w:widowControl w:val="0"/>
        <w:spacing w:line="360" w:lineRule="auto"/>
        <w:ind w:firstLine="420" w:firstLineChars="200"/>
        <w:rPr>
          <w:color w:val="auto"/>
          <w:highlight w:val="none"/>
          <w:lang w:eastAsia="zh-CN"/>
        </w:rPr>
      </w:pPr>
    </w:p>
    <w:p w14:paraId="79064C89">
      <w:pPr>
        <w:pStyle w:val="7"/>
        <w:widowControl w:val="0"/>
        <w:spacing w:line="360" w:lineRule="auto"/>
        <w:ind w:firstLine="420" w:firstLineChars="200"/>
        <w:rPr>
          <w:color w:val="auto"/>
          <w:highlight w:val="none"/>
          <w:lang w:eastAsia="zh-CN"/>
        </w:rPr>
      </w:pPr>
    </w:p>
    <w:p w14:paraId="4FF84455">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5168EEE9">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授权委托书（格式一）</w:t>
      </w:r>
    </w:p>
    <w:p w14:paraId="6CCA743D">
      <w:pPr>
        <w:widowControl w:val="0"/>
        <w:spacing w:line="360" w:lineRule="auto"/>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bCs/>
          <w:color w:val="auto"/>
          <w:highlight w:val="none"/>
          <w:lang w:eastAsia="zh-CN"/>
        </w:rPr>
        <w:t>致</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u w:val="single"/>
          <w:lang w:eastAsia="zh-CN"/>
        </w:rPr>
        <w:t>大华建设项目管理有限公司</w:t>
      </w:r>
    </w:p>
    <w:p w14:paraId="5CEA16ED">
      <w:pPr>
        <w:widowControl w:val="0"/>
        <w:spacing w:line="360" w:lineRule="auto"/>
        <w:ind w:firstLine="420" w:firstLineChars="200"/>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我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（姓名）系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（供应商名称）的法定代表 人（负责人），现授权委托本单位在职职工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（姓名） 以我公司名义参加</w:t>
      </w:r>
      <w:r>
        <w:rPr>
          <w:rFonts w:hint="eastAsia" w:asciiTheme="minorEastAsia" w:hAnsiTheme="minorEastAsia" w:eastAsiaTheme="minorEastAsia" w:cstheme="minorEastAsia"/>
          <w:color w:val="auto"/>
          <w:highlight w:val="none"/>
          <w:u w:val="single"/>
          <w:lang w:eastAsia="zh-CN"/>
        </w:rPr>
        <w:t xml:space="preserve">      （项目名称及项目编号）        </w:t>
      </w:r>
      <w:r>
        <w:rPr>
          <w:rFonts w:hint="eastAsia" w:asciiTheme="minorEastAsia" w:hAnsiTheme="minorEastAsia" w:eastAsiaTheme="minorEastAsia" w:cstheme="minorEastAsia"/>
          <w:color w:val="auto"/>
          <w:highlight w:val="none"/>
          <w:lang w:eastAsia="zh-CN"/>
        </w:rPr>
        <w:t xml:space="preserve"> 项目的谈判活动，并代表我方全权办理针对上述项目的谈判、签约等具 体事务和签署相关文件。</w:t>
      </w:r>
    </w:p>
    <w:p w14:paraId="4880E92D">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我方对被授权人的签字事项负全部责任。</w:t>
      </w:r>
    </w:p>
    <w:p w14:paraId="3E82BE35">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 xml:space="preserve">授权委托代理期限：从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年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月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日起至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年</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月 </w:t>
      </w:r>
      <w:r>
        <w:rPr>
          <w:rFonts w:hint="eastAsia" w:asciiTheme="minorEastAsia" w:hAnsiTheme="minorEastAsia" w:eastAsiaTheme="minorEastAsia" w:cstheme="minorEastAsia"/>
          <w:color w:val="auto"/>
          <w:highlight w:val="none"/>
          <w:u w:val="single"/>
          <w:lang w:eastAsia="zh-CN"/>
        </w:rPr>
        <w:t xml:space="preserve">     </w:t>
      </w:r>
      <w:r>
        <w:rPr>
          <w:rFonts w:hint="eastAsia" w:asciiTheme="minorEastAsia" w:hAnsiTheme="minorEastAsia" w:eastAsiaTheme="minorEastAsia" w:cstheme="minorEastAsia"/>
          <w:color w:val="auto"/>
          <w:highlight w:val="none"/>
          <w:lang w:eastAsia="zh-CN"/>
        </w:rPr>
        <w:t xml:space="preserve"> 日止。</w:t>
      </w:r>
    </w:p>
    <w:p w14:paraId="02B483D9">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代理人无转委托权,特此委托。</w:t>
      </w:r>
    </w:p>
    <w:p w14:paraId="0F436FE1">
      <w:pPr>
        <w:widowControl w:val="0"/>
        <w:spacing w:line="360" w:lineRule="auto"/>
        <w:ind w:firstLine="420" w:firstLineChars="200"/>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我已在下面签字， 以资证明。</w:t>
      </w:r>
    </w:p>
    <w:p w14:paraId="146017B0">
      <w:pPr>
        <w:pStyle w:val="7"/>
        <w:widowControl w:val="0"/>
        <w:spacing w:line="360" w:lineRule="auto"/>
        <w:ind w:firstLine="420" w:firstLineChars="200"/>
        <w:rPr>
          <w:color w:val="auto"/>
          <w:highlight w:val="none"/>
          <w:lang w:eastAsia="zh-CN"/>
        </w:rPr>
      </w:pPr>
    </w:p>
    <w:p w14:paraId="60CADD1F">
      <w:pPr>
        <w:widowControl w:val="0"/>
        <w:spacing w:line="360" w:lineRule="auto"/>
        <w:ind w:firstLine="480" w:firstLineChars="200"/>
        <w:rPr>
          <w:rFonts w:ascii="宋体" w:hAnsi="宋体" w:eastAsia="宋体" w:cs="宋体"/>
          <w:color w:val="auto"/>
          <w:sz w:val="24"/>
          <w:szCs w:val="24"/>
          <w:highlight w:val="none"/>
          <w:lang w:eastAsia="zh-CN"/>
        </w:rPr>
      </w:pPr>
    </w:p>
    <w:p w14:paraId="2C24E2D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供应商（CA 证书签章）：</w:t>
      </w:r>
    </w:p>
    <w:p w14:paraId="3ABD03BA">
      <w:pPr>
        <w:pStyle w:val="7"/>
        <w:widowControl w:val="0"/>
        <w:spacing w:line="360" w:lineRule="auto"/>
        <w:ind w:firstLine="420" w:firstLineChars="200"/>
        <w:rPr>
          <w:color w:val="auto"/>
          <w:highlight w:val="none"/>
          <w:lang w:eastAsia="zh-CN"/>
        </w:rPr>
      </w:pPr>
    </w:p>
    <w:p w14:paraId="09F7864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法定代表人（负责人）签字（或个人 CA 证书签章）：</w:t>
      </w:r>
    </w:p>
    <w:p w14:paraId="639D42E9">
      <w:pPr>
        <w:pStyle w:val="7"/>
        <w:widowControl w:val="0"/>
        <w:spacing w:line="360" w:lineRule="auto"/>
        <w:ind w:firstLine="420" w:firstLineChars="200"/>
        <w:rPr>
          <w:color w:val="auto"/>
          <w:highlight w:val="none"/>
          <w:lang w:eastAsia="zh-CN"/>
        </w:rPr>
      </w:pPr>
    </w:p>
    <w:p w14:paraId="175677B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年      月     日</w:t>
      </w:r>
    </w:p>
    <w:p w14:paraId="5862D69A">
      <w:pPr>
        <w:widowControl w:val="0"/>
        <w:spacing w:line="360" w:lineRule="auto"/>
        <w:ind w:firstLine="482" w:firstLineChars="200"/>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附：委托代理人身份证正反面复印件以及由社保经办机构出具的供应商为委托代 理人交纳社保证明复印件（委托代理时必须提供）。</w:t>
      </w:r>
    </w:p>
    <w:p w14:paraId="07BBE4B6">
      <w:pPr>
        <w:widowControl w:val="0"/>
        <w:spacing w:line="360" w:lineRule="auto"/>
        <w:ind w:firstLine="480" w:firstLineChars="200"/>
        <w:rPr>
          <w:rFonts w:ascii="宋体" w:hAnsi="宋体" w:eastAsia="宋体" w:cs="宋体"/>
          <w:color w:val="auto"/>
          <w:sz w:val="24"/>
          <w:szCs w:val="24"/>
          <w:highlight w:val="none"/>
          <w:lang w:eastAsia="zh-CN"/>
        </w:rPr>
        <w:sectPr>
          <w:footerReference r:id="rId14" w:type="default"/>
          <w:pgSz w:w="11906" w:h="16839"/>
          <w:pgMar w:top="1417" w:right="1417" w:bottom="1417" w:left="1417" w:header="0" w:footer="1097" w:gutter="0"/>
          <w:cols w:space="720" w:num="1"/>
        </w:sectPr>
      </w:pPr>
    </w:p>
    <w:p w14:paraId="0235368E">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授权委托书（格式二）</w:t>
      </w:r>
    </w:p>
    <w:p w14:paraId="0E55C87D">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致</w:t>
      </w:r>
      <w:r>
        <w:rPr>
          <w:rFonts w:ascii="宋体" w:hAnsi="宋体" w:eastAsia="宋体" w:cs="宋体"/>
          <w:color w:val="auto"/>
          <w:highlight w:val="none"/>
          <w:lang w:eastAsia="zh-CN"/>
        </w:rPr>
        <w:t>：</w:t>
      </w:r>
      <w:r>
        <w:rPr>
          <w:rFonts w:hint="eastAsia" w:ascii="宋体" w:hAnsi="宋体" w:eastAsia="宋体" w:cs="宋体"/>
          <w:color w:val="auto"/>
          <w:highlight w:val="none"/>
          <w:u w:val="single"/>
          <w:lang w:eastAsia="zh-CN"/>
        </w:rPr>
        <w:t>大华建设项目管理有限公司</w:t>
      </w:r>
    </w:p>
    <w:p w14:paraId="4DBE9F98">
      <w:pPr>
        <w:widowControl w:val="0"/>
        <w:tabs>
          <w:tab w:val="left" w:pos="118"/>
        </w:tabs>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我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（姓名）系自然人，现授权委托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（姓 名） 以本人名义参加 </w:t>
      </w:r>
      <w:r>
        <w:rPr>
          <w:rFonts w:ascii="宋体" w:hAnsi="宋体" w:eastAsia="宋体" w:cs="宋体"/>
          <w:color w:val="auto"/>
          <w:highlight w:val="none"/>
          <w:u w:val="single"/>
          <w:lang w:eastAsia="zh-CN"/>
        </w:rPr>
        <w:tab/>
      </w:r>
      <w:r>
        <w:rPr>
          <w:rFonts w:ascii="宋体" w:hAnsi="宋体" w:eastAsia="宋体" w:cs="宋体"/>
          <w:color w:val="auto"/>
          <w:highlight w:val="none"/>
          <w:u w:val="single"/>
          <w:lang w:eastAsia="zh-CN"/>
        </w:rPr>
        <w:t xml:space="preserve">（项目名称及项目编号）        </w:t>
      </w:r>
      <w:r>
        <w:rPr>
          <w:rFonts w:ascii="宋体" w:hAnsi="宋体" w:eastAsia="宋体" w:cs="宋体"/>
          <w:color w:val="auto"/>
          <w:highlight w:val="none"/>
          <w:lang w:eastAsia="zh-CN"/>
        </w:rPr>
        <w:t xml:space="preserve"> 项目的谈判活动，并代表本人全权办理针对上述项目的谈判、签 约等具体事务和签署相关文件。</w:t>
      </w:r>
    </w:p>
    <w:p w14:paraId="175E365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本人对被授权人的签字事项负全部责任。</w:t>
      </w:r>
    </w:p>
    <w:p w14:paraId="752ABF8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授权委托代理期限：从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年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月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日起至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年</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月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日止。</w:t>
      </w:r>
    </w:p>
    <w:p w14:paraId="092EEE5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代理人无转委托权,特此委托。</w:t>
      </w:r>
    </w:p>
    <w:p w14:paraId="03384FB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我已在下面签字， 以资证明。</w:t>
      </w:r>
    </w:p>
    <w:p w14:paraId="1EE34B0D">
      <w:pPr>
        <w:pStyle w:val="7"/>
        <w:widowControl w:val="0"/>
        <w:spacing w:line="360" w:lineRule="auto"/>
        <w:ind w:firstLine="420" w:firstLineChars="200"/>
        <w:rPr>
          <w:color w:val="auto"/>
          <w:highlight w:val="none"/>
          <w:lang w:eastAsia="zh-CN"/>
        </w:rPr>
      </w:pPr>
    </w:p>
    <w:p w14:paraId="0982D481">
      <w:pPr>
        <w:pStyle w:val="7"/>
        <w:widowControl w:val="0"/>
        <w:spacing w:line="360" w:lineRule="auto"/>
        <w:ind w:firstLine="420" w:firstLineChars="200"/>
        <w:rPr>
          <w:color w:val="auto"/>
          <w:highlight w:val="none"/>
          <w:lang w:eastAsia="zh-CN"/>
        </w:rPr>
      </w:pPr>
    </w:p>
    <w:p w14:paraId="38EEE60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自然人签字（或个人 CA 证书签章）：</w:t>
      </w:r>
      <w:r>
        <w:rPr>
          <w:rFonts w:ascii="宋体" w:hAnsi="宋体" w:eastAsia="宋体" w:cs="宋体"/>
          <w:color w:val="auto"/>
          <w:highlight w:val="none"/>
          <w:u w:val="single"/>
          <w:lang w:eastAsia="zh-CN"/>
        </w:rPr>
        <w:t xml:space="preserve">                   </w:t>
      </w:r>
    </w:p>
    <w:p w14:paraId="0FBC3864">
      <w:pPr>
        <w:pStyle w:val="7"/>
        <w:widowControl w:val="0"/>
        <w:spacing w:line="360" w:lineRule="auto"/>
        <w:ind w:firstLine="420" w:firstLineChars="200"/>
        <w:rPr>
          <w:color w:val="auto"/>
          <w:highlight w:val="none"/>
          <w:lang w:eastAsia="zh-CN"/>
        </w:rPr>
      </w:pPr>
    </w:p>
    <w:p w14:paraId="338119AB">
      <w:pPr>
        <w:pStyle w:val="7"/>
        <w:widowControl w:val="0"/>
        <w:spacing w:line="360" w:lineRule="auto"/>
        <w:ind w:firstLine="420" w:firstLineChars="200"/>
        <w:rPr>
          <w:color w:val="auto"/>
          <w:highlight w:val="none"/>
          <w:lang w:eastAsia="zh-CN"/>
        </w:rPr>
      </w:pPr>
    </w:p>
    <w:p w14:paraId="08749F6C">
      <w:pPr>
        <w:widowControl w:val="0"/>
        <w:tabs>
          <w:tab w:val="left" w:pos="1260"/>
        </w:tabs>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u w:val="single"/>
          <w:lang w:eastAsia="zh-CN"/>
        </w:rPr>
        <w:tab/>
      </w:r>
      <w:r>
        <w:rPr>
          <w:rFonts w:ascii="宋体" w:hAnsi="宋体" w:eastAsia="宋体" w:cs="宋体"/>
          <w:color w:val="auto"/>
          <w:highlight w:val="none"/>
          <w:lang w:eastAsia="zh-CN"/>
        </w:rPr>
        <w:t xml:space="preserve"> 年</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月</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日</w:t>
      </w:r>
    </w:p>
    <w:p w14:paraId="51CDA3A3">
      <w:pPr>
        <w:pStyle w:val="7"/>
        <w:widowControl w:val="0"/>
        <w:spacing w:line="360" w:lineRule="auto"/>
        <w:ind w:firstLine="420" w:firstLineChars="200"/>
        <w:rPr>
          <w:color w:val="auto"/>
          <w:highlight w:val="none"/>
          <w:lang w:eastAsia="zh-CN"/>
        </w:rPr>
      </w:pPr>
    </w:p>
    <w:p w14:paraId="0F4F9869">
      <w:pPr>
        <w:pStyle w:val="7"/>
        <w:widowControl w:val="0"/>
        <w:spacing w:line="360" w:lineRule="auto"/>
        <w:ind w:firstLine="420" w:firstLineChars="200"/>
        <w:rPr>
          <w:color w:val="auto"/>
          <w:highlight w:val="none"/>
          <w:lang w:eastAsia="zh-CN"/>
        </w:rPr>
      </w:pPr>
    </w:p>
    <w:p w14:paraId="79CF8130">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附：委托代理人身份证正反面复印件（委托代理时必须提供）。</w:t>
      </w:r>
    </w:p>
    <w:p w14:paraId="1EC368FB">
      <w:pPr>
        <w:pStyle w:val="7"/>
        <w:widowControl w:val="0"/>
        <w:spacing w:line="360" w:lineRule="auto"/>
        <w:ind w:firstLine="420" w:firstLineChars="200"/>
        <w:rPr>
          <w:color w:val="auto"/>
          <w:highlight w:val="none"/>
          <w:lang w:eastAsia="zh-CN"/>
        </w:rPr>
      </w:pPr>
    </w:p>
    <w:p w14:paraId="7475806D">
      <w:pPr>
        <w:pStyle w:val="7"/>
        <w:widowControl w:val="0"/>
        <w:spacing w:line="360" w:lineRule="auto"/>
        <w:ind w:firstLine="420" w:firstLineChars="200"/>
        <w:rPr>
          <w:color w:val="auto"/>
          <w:highlight w:val="none"/>
          <w:lang w:eastAsia="zh-CN"/>
        </w:rPr>
      </w:pPr>
    </w:p>
    <w:p w14:paraId="6E69AF52">
      <w:pPr>
        <w:pStyle w:val="7"/>
        <w:widowControl w:val="0"/>
        <w:spacing w:line="360" w:lineRule="auto"/>
        <w:ind w:firstLine="420" w:firstLineChars="200"/>
        <w:rPr>
          <w:color w:val="auto"/>
          <w:highlight w:val="none"/>
          <w:lang w:eastAsia="zh-CN"/>
        </w:rPr>
      </w:pPr>
    </w:p>
    <w:p w14:paraId="0840DBB3">
      <w:pPr>
        <w:pStyle w:val="7"/>
        <w:widowControl w:val="0"/>
        <w:spacing w:line="360" w:lineRule="auto"/>
        <w:ind w:firstLine="420" w:firstLineChars="200"/>
        <w:rPr>
          <w:color w:val="auto"/>
          <w:highlight w:val="none"/>
          <w:lang w:eastAsia="zh-CN"/>
        </w:rPr>
      </w:pPr>
    </w:p>
    <w:p w14:paraId="2E1A69C5">
      <w:pPr>
        <w:pStyle w:val="7"/>
        <w:widowControl w:val="0"/>
        <w:spacing w:line="360" w:lineRule="auto"/>
        <w:ind w:firstLine="420" w:firstLineChars="200"/>
        <w:rPr>
          <w:color w:val="auto"/>
          <w:highlight w:val="none"/>
          <w:lang w:eastAsia="zh-CN"/>
        </w:rPr>
      </w:pPr>
    </w:p>
    <w:p w14:paraId="54D6066C">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3</w:t>
      </w:r>
      <w:r>
        <w:rPr>
          <w:rFonts w:ascii="宋体" w:hAnsi="宋体" w:eastAsia="宋体" w:cs="宋体"/>
          <w:b/>
          <w:bCs/>
          <w:color w:val="auto"/>
          <w:sz w:val="28"/>
          <w:szCs w:val="28"/>
          <w:highlight w:val="none"/>
          <w:lang w:eastAsia="zh-CN"/>
        </w:rPr>
        <w:t>.供应商的法人或者其他组织营业执照等证明文件复印件（必须提供，</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自</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然人除外）</w:t>
      </w:r>
    </w:p>
    <w:p w14:paraId="2BEAAAB5">
      <w:pPr>
        <w:widowControl w:val="0"/>
        <w:spacing w:line="360" w:lineRule="auto"/>
        <w:ind w:firstLine="402" w:firstLineChars="200"/>
        <w:jc w:val="both"/>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注：①法人包括企业法人、机关法人、事业单位法人和社会团体法人；其他组织主要包括合伙</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企业、非企业专业服务机构、个体工商户、农村承包经营户。②如供应商为企业（包括合伙企业），</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应提供市场监督管理部门（或行政审批部门）注册的有效“企业法人营业执照</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”或“营业执照；供</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应商为事业单位，应提供有效的“事业单位法人证书</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”；供应商为非企业专业服务机构的，应提供</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执业许可证等证明文件；供应商为个体工商户，应提供有效的“个体工商户营业执照</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”。③如供应</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商为企业法人的分支机构的，除应提供营业执照复印件外，还应提供其所属的总公司授权其参加政</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府采购活动的授权文件或授权其独立开展经营业务活动的证明材料复印件。</w:t>
      </w:r>
    </w:p>
    <w:p w14:paraId="7303DC22">
      <w:pPr>
        <w:widowControl w:val="0"/>
        <w:spacing w:line="360" w:lineRule="auto"/>
        <w:ind w:firstLine="400" w:firstLineChars="200"/>
        <w:rPr>
          <w:rFonts w:ascii="宋体" w:hAnsi="宋体" w:eastAsia="宋体" w:cs="宋体"/>
          <w:color w:val="auto"/>
          <w:sz w:val="20"/>
          <w:szCs w:val="20"/>
          <w:highlight w:val="none"/>
          <w:lang w:eastAsia="zh-CN"/>
        </w:rPr>
        <w:sectPr>
          <w:footerReference r:id="rId15" w:type="default"/>
          <w:pgSz w:w="11906" w:h="16839"/>
          <w:pgMar w:top="1417" w:right="1417" w:bottom="1417" w:left="1417" w:header="0" w:footer="1097" w:gutter="0"/>
          <w:cols w:space="720" w:num="1"/>
        </w:sectPr>
      </w:pPr>
    </w:p>
    <w:p w14:paraId="69980D0A">
      <w:pPr>
        <w:widowControl w:val="0"/>
        <w:spacing w:line="360" w:lineRule="auto"/>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4</w:t>
      </w:r>
      <w:r>
        <w:rPr>
          <w:rFonts w:ascii="宋体" w:hAnsi="宋体" w:eastAsia="宋体" w:cs="宋体"/>
          <w:b/>
          <w:bCs/>
          <w:color w:val="auto"/>
          <w:sz w:val="28"/>
          <w:szCs w:val="28"/>
          <w:highlight w:val="none"/>
          <w:lang w:eastAsia="zh-CN"/>
        </w:rPr>
        <w:t>.供应商20</w:t>
      </w:r>
      <w:r>
        <w:rPr>
          <w:rFonts w:hint="eastAsia" w:ascii="宋体" w:hAnsi="宋体" w:eastAsia="宋体" w:cs="宋体"/>
          <w:b/>
          <w:bCs/>
          <w:color w:val="auto"/>
          <w:sz w:val="28"/>
          <w:szCs w:val="28"/>
          <w:highlight w:val="none"/>
          <w:lang w:val="en-US" w:eastAsia="zh-CN"/>
        </w:rPr>
        <w:t>24</w:t>
      </w:r>
      <w:r>
        <w:rPr>
          <w:rFonts w:ascii="宋体" w:hAnsi="宋体" w:eastAsia="宋体" w:cs="宋体"/>
          <w:b/>
          <w:bCs/>
          <w:color w:val="auto"/>
          <w:sz w:val="28"/>
          <w:szCs w:val="28"/>
          <w:highlight w:val="none"/>
          <w:lang w:eastAsia="zh-CN"/>
        </w:rPr>
        <w:t>年的财务状况报告</w:t>
      </w:r>
      <w:r>
        <w:rPr>
          <w:rFonts w:hint="eastAsia" w:ascii="宋体" w:hAnsi="宋体" w:eastAsia="宋体" w:cs="宋体"/>
          <w:b/>
          <w:bCs/>
          <w:color w:val="auto"/>
          <w:sz w:val="28"/>
          <w:szCs w:val="28"/>
          <w:highlight w:val="none"/>
          <w:lang w:eastAsia="zh-CN"/>
        </w:rPr>
        <w:t>复印件</w:t>
      </w:r>
      <w:r>
        <w:rPr>
          <w:rFonts w:ascii="宋体" w:hAnsi="宋体" w:eastAsia="宋体" w:cs="宋体"/>
          <w:b/>
          <w:bCs/>
          <w:color w:val="auto"/>
          <w:sz w:val="28"/>
          <w:szCs w:val="28"/>
          <w:highlight w:val="none"/>
          <w:lang w:eastAsia="zh-CN"/>
        </w:rPr>
        <w:t>（可以是财务报表或</w:t>
      </w:r>
      <w:r>
        <w:rPr>
          <w:rFonts w:hint="eastAsia" w:ascii="宋体" w:hAnsi="宋体" w:eastAsia="宋体" w:cs="宋体"/>
          <w:b/>
          <w:bCs/>
          <w:color w:val="auto"/>
          <w:sz w:val="28"/>
          <w:szCs w:val="28"/>
          <w:highlight w:val="none"/>
          <w:lang w:eastAsia="zh-CN"/>
        </w:rPr>
        <w:t>2025年以来</w:t>
      </w:r>
      <w:r>
        <w:rPr>
          <w:rFonts w:ascii="宋体" w:hAnsi="宋体" w:eastAsia="宋体" w:cs="宋体"/>
          <w:b/>
          <w:bCs/>
          <w:color w:val="auto"/>
          <w:sz w:val="28"/>
          <w:szCs w:val="28"/>
          <w:highlight w:val="none"/>
          <w:lang w:eastAsia="zh-CN"/>
        </w:rPr>
        <w:t>银行出具的资信证明等）复印件（必须提供）；</w:t>
      </w:r>
    </w:p>
    <w:p w14:paraId="6D24E14C">
      <w:pPr>
        <w:pStyle w:val="7"/>
        <w:widowControl w:val="0"/>
        <w:spacing w:line="360" w:lineRule="auto"/>
        <w:ind w:firstLine="420" w:firstLineChars="200"/>
        <w:rPr>
          <w:color w:val="auto"/>
          <w:highlight w:val="none"/>
          <w:lang w:eastAsia="zh-CN"/>
        </w:rPr>
      </w:pPr>
    </w:p>
    <w:p w14:paraId="757CBB79">
      <w:pPr>
        <w:pStyle w:val="7"/>
        <w:widowControl w:val="0"/>
        <w:spacing w:line="360" w:lineRule="auto"/>
        <w:ind w:firstLine="420" w:firstLineChars="200"/>
        <w:rPr>
          <w:color w:val="auto"/>
          <w:highlight w:val="none"/>
          <w:lang w:eastAsia="zh-CN"/>
        </w:rPr>
      </w:pPr>
    </w:p>
    <w:p w14:paraId="3A183996">
      <w:pPr>
        <w:pStyle w:val="7"/>
        <w:widowControl w:val="0"/>
        <w:spacing w:line="360" w:lineRule="auto"/>
        <w:ind w:firstLine="420" w:firstLineChars="200"/>
        <w:rPr>
          <w:color w:val="auto"/>
          <w:highlight w:val="none"/>
          <w:lang w:eastAsia="zh-CN"/>
        </w:rPr>
      </w:pPr>
    </w:p>
    <w:p w14:paraId="41BDEA57">
      <w:pPr>
        <w:widowControl w:val="0"/>
        <w:spacing w:line="360" w:lineRule="auto"/>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5</w:t>
      </w:r>
      <w:r>
        <w:rPr>
          <w:rFonts w:ascii="宋体" w:hAnsi="宋体" w:eastAsia="宋体" w:cs="宋体"/>
          <w:b/>
          <w:bCs/>
          <w:color w:val="auto"/>
          <w:sz w:val="28"/>
          <w:szCs w:val="28"/>
          <w:highlight w:val="none"/>
          <w:lang w:eastAsia="zh-CN"/>
        </w:rPr>
        <w:t>.供应商 2024 年以来任意一个月依法缴纳税收的相关材料复印件（必须提供）</w:t>
      </w:r>
    </w:p>
    <w:p w14:paraId="5BE79426">
      <w:pPr>
        <w:pStyle w:val="7"/>
        <w:widowControl w:val="0"/>
        <w:spacing w:line="360" w:lineRule="auto"/>
        <w:ind w:firstLine="420" w:firstLineChars="200"/>
        <w:rPr>
          <w:color w:val="auto"/>
          <w:highlight w:val="none"/>
          <w:lang w:eastAsia="zh-CN"/>
        </w:rPr>
      </w:pPr>
    </w:p>
    <w:p w14:paraId="532EF788">
      <w:pPr>
        <w:pStyle w:val="7"/>
        <w:widowControl w:val="0"/>
        <w:spacing w:line="360" w:lineRule="auto"/>
        <w:ind w:firstLine="420" w:firstLineChars="200"/>
        <w:rPr>
          <w:color w:val="auto"/>
          <w:highlight w:val="none"/>
          <w:lang w:eastAsia="zh-CN"/>
        </w:rPr>
      </w:pPr>
    </w:p>
    <w:p w14:paraId="45E62984">
      <w:pPr>
        <w:pStyle w:val="7"/>
        <w:widowControl w:val="0"/>
        <w:spacing w:line="360" w:lineRule="auto"/>
        <w:ind w:firstLine="420" w:firstLineChars="200"/>
        <w:rPr>
          <w:color w:val="auto"/>
          <w:highlight w:val="none"/>
          <w:lang w:eastAsia="zh-CN"/>
        </w:rPr>
      </w:pPr>
    </w:p>
    <w:p w14:paraId="1AAEBA68">
      <w:pPr>
        <w:pStyle w:val="7"/>
        <w:widowControl w:val="0"/>
        <w:spacing w:line="360" w:lineRule="auto"/>
        <w:ind w:firstLine="420" w:firstLineChars="200"/>
        <w:rPr>
          <w:color w:val="auto"/>
          <w:highlight w:val="none"/>
          <w:lang w:eastAsia="zh-CN"/>
        </w:rPr>
      </w:pPr>
    </w:p>
    <w:p w14:paraId="05164778">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6</w:t>
      </w:r>
      <w:r>
        <w:rPr>
          <w:rFonts w:ascii="宋体" w:hAnsi="宋体" w:eastAsia="宋体" w:cs="宋体"/>
          <w:b/>
          <w:bCs/>
          <w:color w:val="auto"/>
          <w:sz w:val="28"/>
          <w:szCs w:val="28"/>
          <w:highlight w:val="none"/>
          <w:lang w:eastAsia="zh-CN"/>
        </w:rPr>
        <w:t>.供应商参加政府采购活动前</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3</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年内在经营活动中没有重大违法记录及有关信用信息的书面声明（必须提供）</w:t>
      </w:r>
    </w:p>
    <w:p w14:paraId="1A487166">
      <w:pPr>
        <w:pStyle w:val="7"/>
        <w:widowControl w:val="0"/>
        <w:spacing w:line="360" w:lineRule="auto"/>
        <w:ind w:firstLine="420" w:firstLineChars="200"/>
        <w:rPr>
          <w:color w:val="auto"/>
          <w:highlight w:val="none"/>
          <w:lang w:eastAsia="zh-CN"/>
        </w:rPr>
      </w:pPr>
    </w:p>
    <w:p w14:paraId="2365C178">
      <w:pPr>
        <w:pStyle w:val="7"/>
        <w:widowControl w:val="0"/>
        <w:spacing w:line="360" w:lineRule="auto"/>
        <w:ind w:firstLine="420" w:firstLineChars="200"/>
        <w:rPr>
          <w:color w:val="auto"/>
          <w:highlight w:val="none"/>
          <w:lang w:eastAsia="zh-CN"/>
        </w:rPr>
      </w:pPr>
    </w:p>
    <w:p w14:paraId="4F20411D">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79068FFF">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声</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明（格式）</w:t>
      </w:r>
    </w:p>
    <w:p w14:paraId="5A146122">
      <w:pPr>
        <w:widowControl w:val="0"/>
        <w:spacing w:line="360" w:lineRule="auto"/>
        <w:rPr>
          <w:rFonts w:ascii="宋体" w:hAnsi="宋体" w:eastAsia="宋体" w:cs="宋体"/>
          <w:color w:val="auto"/>
          <w:highlight w:val="none"/>
          <w:lang w:eastAsia="zh-CN"/>
        </w:rPr>
      </w:pPr>
      <w:r>
        <w:rPr>
          <w:rFonts w:ascii="宋体" w:hAnsi="宋体" w:eastAsia="宋体" w:cs="宋体"/>
          <w:b/>
          <w:bCs/>
          <w:color w:val="auto"/>
          <w:highlight w:val="none"/>
          <w:lang w:eastAsia="zh-CN"/>
        </w:rPr>
        <w:t>致</w:t>
      </w:r>
      <w:r>
        <w:rPr>
          <w:rFonts w:ascii="宋体" w:hAnsi="宋体" w:eastAsia="宋体" w:cs="宋体"/>
          <w:color w:val="auto"/>
          <w:highlight w:val="none"/>
          <w:lang w:eastAsia="zh-CN"/>
        </w:rPr>
        <w:t>：</w:t>
      </w:r>
      <w:r>
        <w:rPr>
          <w:rFonts w:hint="eastAsia" w:ascii="宋体" w:hAnsi="宋体" w:eastAsia="宋体" w:cs="宋体"/>
          <w:color w:val="auto"/>
          <w:highlight w:val="none"/>
          <w:u w:val="single"/>
          <w:lang w:eastAsia="zh-CN"/>
        </w:rPr>
        <w:t>大华建设项目管理有限公司</w:t>
      </w:r>
    </w:p>
    <w:p w14:paraId="0FE1EF1A">
      <w:pPr>
        <w:widowControl w:val="0"/>
        <w:spacing w:line="360" w:lineRule="auto"/>
        <w:ind w:firstLine="420" w:firstLineChars="200"/>
        <w:jc w:val="both"/>
        <w:rPr>
          <w:rFonts w:ascii="宋体" w:hAnsi="宋体" w:eastAsia="宋体" w:cs="宋体"/>
          <w:color w:val="auto"/>
          <w:highlight w:val="none"/>
          <w:lang w:eastAsia="zh-CN"/>
        </w:rPr>
      </w:pPr>
    </w:p>
    <w:p w14:paraId="091537A4">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我（公司）郑重声明，在参加本项目政府采购活动前 3 年内在经营活动中没有重大违法记录（重 大违法记录是指供应商因违法经营受到刑事处罚或者责令停产停业、吊销许可证或者执照、较大数 额罚款等行政处罚），未被列入失信被执行人、重大税收违法案件当事人名单、政府采购严重违法 失信行为记录名单，完全符合《中华人民共和国政府采购法》第二十二条规定的供应商资格条件， 我方对此声明负全部法律责任。</w:t>
      </w:r>
    </w:p>
    <w:p w14:paraId="0D0E5155">
      <w:pPr>
        <w:pStyle w:val="7"/>
        <w:widowControl w:val="0"/>
        <w:spacing w:line="360" w:lineRule="auto"/>
        <w:ind w:firstLine="420" w:firstLineChars="200"/>
        <w:rPr>
          <w:color w:val="auto"/>
          <w:highlight w:val="none"/>
          <w:lang w:eastAsia="zh-CN"/>
        </w:rPr>
      </w:pPr>
    </w:p>
    <w:p w14:paraId="714EAE8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11B2B07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自然人)或委托代理人签字</w:t>
      </w:r>
      <w:r>
        <w:rPr>
          <w:rFonts w:ascii="宋体" w:hAnsi="宋体" w:eastAsia="宋体" w:cs="宋体"/>
          <w:b/>
          <w:bCs/>
          <w:color w:val="auto"/>
          <w:highlight w:val="none"/>
          <w:lang w:eastAsia="zh-CN"/>
        </w:rPr>
        <w:t>（或个人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2FDA411A">
      <w:pPr>
        <w:widowControl w:val="0"/>
        <w:spacing w:line="360" w:lineRule="auto"/>
        <w:ind w:firstLine="400" w:firstLineChars="200"/>
        <w:rPr>
          <w:color w:val="auto"/>
          <w:highlight w:val="none"/>
          <w:lang w:eastAsia="zh-CN"/>
        </w:rPr>
      </w:pPr>
      <w:r>
        <w:rPr>
          <w:rFonts w:ascii="宋体" w:hAnsi="宋体" w:eastAsia="宋体" w:cs="宋体"/>
          <w:color w:val="auto"/>
          <w:sz w:val="20"/>
          <w:szCs w:val="20"/>
          <w:highlight w:val="none"/>
          <w:lang w:eastAsia="zh-CN"/>
        </w:rPr>
        <w:t>日          期：</w:t>
      </w:r>
    </w:p>
    <w:p w14:paraId="7A08E8E4">
      <w:pPr>
        <w:pStyle w:val="7"/>
        <w:widowControl w:val="0"/>
        <w:spacing w:line="360" w:lineRule="auto"/>
        <w:ind w:firstLine="420" w:firstLineChars="200"/>
        <w:rPr>
          <w:color w:val="auto"/>
          <w:highlight w:val="none"/>
          <w:lang w:eastAsia="zh-CN"/>
        </w:rPr>
      </w:pPr>
    </w:p>
    <w:p w14:paraId="64A2F968">
      <w:pPr>
        <w:widowControl w:val="0"/>
        <w:spacing w:line="360" w:lineRule="auto"/>
        <w:ind w:firstLine="402" w:firstLineChars="200"/>
        <w:jc w:val="both"/>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注：供应商参加政府采购活动前</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3</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年内在经营活动中没有重大违法记录及有关信用信息的书面声明须由法定代表人(负责人、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自然人)或相应的委托代理人签字（或个人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证书签章）并加盖供应商</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37DA729A">
      <w:pPr>
        <w:widowControl w:val="0"/>
        <w:spacing w:line="360" w:lineRule="auto"/>
        <w:ind w:firstLine="400" w:firstLineChars="200"/>
        <w:rPr>
          <w:rFonts w:ascii="宋体" w:hAnsi="宋体" w:eastAsia="宋体" w:cs="宋体"/>
          <w:color w:val="auto"/>
          <w:sz w:val="20"/>
          <w:szCs w:val="20"/>
          <w:highlight w:val="none"/>
          <w:lang w:eastAsia="zh-CN"/>
        </w:rPr>
        <w:sectPr>
          <w:footerReference r:id="rId16" w:type="default"/>
          <w:pgSz w:w="11906" w:h="16839"/>
          <w:pgMar w:top="1417" w:right="1417" w:bottom="1417" w:left="1417" w:header="0" w:footer="1097" w:gutter="0"/>
          <w:cols w:space="720" w:num="1"/>
        </w:sectPr>
      </w:pPr>
    </w:p>
    <w:p w14:paraId="01C937EE">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7.</w:t>
      </w:r>
      <w:r>
        <w:rPr>
          <w:rFonts w:ascii="宋体" w:hAnsi="宋体" w:eastAsia="宋体" w:cs="宋体"/>
          <w:b/>
          <w:bCs/>
          <w:color w:val="auto"/>
          <w:sz w:val="28"/>
          <w:szCs w:val="28"/>
          <w:highlight w:val="none"/>
          <w:lang w:eastAsia="zh-CN"/>
        </w:rPr>
        <w:t>供应商参加本项目无围标串标行为的承诺函（必须提供）</w:t>
      </w:r>
      <w:r>
        <w:rPr>
          <w:rFonts w:ascii="宋体" w:hAnsi="宋体" w:eastAsia="宋体" w:cs="宋体"/>
          <w:color w:val="auto"/>
          <w:sz w:val="28"/>
          <w:szCs w:val="28"/>
          <w:highlight w:val="none"/>
          <w:lang w:eastAsia="zh-CN"/>
        </w:rPr>
        <w:t xml:space="preserve"> </w:t>
      </w:r>
    </w:p>
    <w:p w14:paraId="3BCC01B7">
      <w:pPr>
        <w:widowControl w:val="0"/>
        <w:spacing w:line="360" w:lineRule="auto"/>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5C4B5E35">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供应商参加本项目无围标串标行为的承诺函（格式）</w:t>
      </w:r>
    </w:p>
    <w:p w14:paraId="761D134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一、我（公司）承诺无下列相互串通的情形：</w:t>
      </w:r>
    </w:p>
    <w:p w14:paraId="6BE770D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1.不同供应商的响应文件由同一单位或者个人编制；</w:t>
      </w:r>
    </w:p>
    <w:p w14:paraId="7B586DA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2.不同供应商委托同一单位或者个人办理谈判事宜；</w:t>
      </w:r>
    </w:p>
    <w:p w14:paraId="7203CC9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3.不同的供应商的响应文件载明的项目管理员为同一个人；</w:t>
      </w:r>
    </w:p>
    <w:p w14:paraId="444264D3">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4.不同供应商的响应文件异常一致或谈判报价呈规律性差异；</w:t>
      </w:r>
    </w:p>
    <w:p w14:paraId="385DE1A5">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5.不同供应商的响应文件相互混装；</w:t>
      </w:r>
    </w:p>
    <w:p w14:paraId="660068C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二、我（公司）承诺无下列恶意串通的情形：</w:t>
      </w:r>
    </w:p>
    <w:p w14:paraId="6A1C487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1.供应商直接或者间接从采购人或者采购代理机构处获得其他供应商的相关信息并修改其响 应文件或者响应文件；</w:t>
      </w:r>
    </w:p>
    <w:p w14:paraId="767A11A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2.供应商按照采购人或者采购代理机构的授意撤换、修改响应文件或者响应文件；</w:t>
      </w:r>
    </w:p>
    <w:p w14:paraId="1B8528E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3.供应商之间协商报价、技术方案等响应文件或者响应文件的实质性内容；</w:t>
      </w:r>
    </w:p>
    <w:p w14:paraId="5227A97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4.属于同一集团、协会、商会等组织成员的供应商按照该组织要求协同参加政府采购活动；</w:t>
      </w:r>
    </w:p>
    <w:p w14:paraId="7055737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5.供应商之间事先约定一致抬高或者压低谈判报价,或者在采购项目中事先约定轮流以高价位 或者低价位成交，或者事先约定由某一特定供应商成交，然后再参加采购；</w:t>
      </w:r>
    </w:p>
    <w:p w14:paraId="4A4AD2A1">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6.供应商之间商定部分供应商放弃参加政府采购活动或者放弃成交；</w:t>
      </w:r>
    </w:p>
    <w:p w14:paraId="55550AA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7.供应商与采购人或者采购代理机构之间、供应商相互之间，为谋求特定供应商成交或者排斥 其他供应商的其他串通行为。</w:t>
      </w:r>
    </w:p>
    <w:p w14:paraId="41DDA65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以上情形一经核查属实，我方愿意承担一切后果，并不再寻求任何旨在减轻或免除法律责任的 辩解。</w:t>
      </w:r>
    </w:p>
    <w:p w14:paraId="475F31CC">
      <w:pPr>
        <w:pStyle w:val="7"/>
        <w:widowControl w:val="0"/>
        <w:spacing w:line="360" w:lineRule="auto"/>
        <w:ind w:firstLine="420" w:firstLineChars="200"/>
        <w:rPr>
          <w:color w:val="auto"/>
          <w:highlight w:val="none"/>
          <w:lang w:eastAsia="zh-CN"/>
        </w:rPr>
      </w:pPr>
    </w:p>
    <w:p w14:paraId="3788962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0801588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自然人)或委托代理人签字</w:t>
      </w:r>
      <w:r>
        <w:rPr>
          <w:rFonts w:ascii="宋体" w:hAnsi="宋体" w:eastAsia="宋体" w:cs="宋体"/>
          <w:b/>
          <w:bCs/>
          <w:color w:val="auto"/>
          <w:highlight w:val="none"/>
          <w:lang w:eastAsia="zh-CN"/>
        </w:rPr>
        <w:t>（或个人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42976AF6">
      <w:pPr>
        <w:widowControl w:val="0"/>
        <w:spacing w:line="360" w:lineRule="auto"/>
        <w:ind w:firstLine="420" w:firstLineChars="200"/>
        <w:rPr>
          <w:color w:val="auto"/>
          <w:highlight w:val="none"/>
          <w:lang w:eastAsia="zh-CN"/>
        </w:rPr>
      </w:pPr>
      <w:r>
        <w:rPr>
          <w:rFonts w:ascii="宋体" w:hAnsi="宋体" w:eastAsia="宋体" w:cs="宋体"/>
          <w:color w:val="auto"/>
          <w:highlight w:val="none"/>
          <w:lang w:eastAsia="zh-CN"/>
        </w:rPr>
        <w:t>日          期：</w:t>
      </w:r>
    </w:p>
    <w:p w14:paraId="46D4315D">
      <w:pPr>
        <w:pStyle w:val="7"/>
        <w:widowControl w:val="0"/>
        <w:spacing w:line="360" w:lineRule="auto"/>
        <w:ind w:firstLine="420" w:firstLineChars="200"/>
        <w:rPr>
          <w:color w:val="auto"/>
          <w:highlight w:val="none"/>
          <w:lang w:eastAsia="zh-CN"/>
        </w:rPr>
      </w:pPr>
    </w:p>
    <w:p w14:paraId="733C623D">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注：供应商参加本项目无围标串标行为的承诺函须由法定代表人(负责人、自然人)或相应的委托代</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理人签字（或个人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证书签章）并加盖供应商公章（CA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73DEBF97">
      <w:pPr>
        <w:widowControl w:val="0"/>
        <w:spacing w:line="360" w:lineRule="auto"/>
        <w:ind w:firstLine="400" w:firstLineChars="200"/>
        <w:rPr>
          <w:rFonts w:ascii="宋体" w:hAnsi="宋体" w:eastAsia="宋体" w:cs="宋体"/>
          <w:color w:val="auto"/>
          <w:sz w:val="20"/>
          <w:szCs w:val="20"/>
          <w:highlight w:val="none"/>
          <w:lang w:eastAsia="zh-CN"/>
        </w:rPr>
        <w:sectPr>
          <w:footerReference r:id="rId17" w:type="default"/>
          <w:pgSz w:w="11906" w:h="16839"/>
          <w:pgMar w:top="1417" w:right="1417" w:bottom="1417" w:left="1417" w:header="0" w:footer="1097" w:gutter="0"/>
          <w:cols w:space="720" w:num="1"/>
        </w:sectPr>
      </w:pPr>
    </w:p>
    <w:p w14:paraId="6D055BB8">
      <w:pPr>
        <w:widowControl w:val="0"/>
        <w:spacing w:line="360" w:lineRule="auto"/>
        <w:rPr>
          <w:rFonts w:ascii="宋体" w:hAnsi="宋体" w:eastAsia="宋体" w:cs="宋体"/>
          <w:color w:val="auto"/>
          <w:highlight w:val="none"/>
          <w:lang w:val="en-US" w:eastAsia="zh-CN"/>
        </w:rPr>
      </w:pP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lang w:eastAsia="zh-CN"/>
        </w:rPr>
        <w:t>本项目的特定资格要求：供应商所投产品为进口设备的：代理商须出具制造商（经销商）针对本项目的授权书原件扫描件；提供经销商授权的代理商还须出具制造商给经销商的授权书原件扫描件（供应商所投产品为进口设备的必须提供）</w:t>
      </w:r>
      <w:r>
        <w:rPr>
          <w:rFonts w:hint="eastAsia" w:ascii="宋体" w:hAnsi="宋体" w:eastAsia="宋体" w:cs="宋体"/>
          <w:b/>
          <w:bCs/>
          <w:color w:val="auto"/>
          <w:highlight w:val="none"/>
          <w:lang w:eastAsia="zh-CN"/>
        </w:rPr>
        <w:t>。</w:t>
      </w:r>
    </w:p>
    <w:p w14:paraId="3963DECC">
      <w:pPr>
        <w:rPr>
          <w:rFonts w:ascii="宋体" w:hAnsi="宋体" w:eastAsia="宋体" w:cs="宋体"/>
          <w:b/>
          <w:bCs/>
          <w:color w:val="auto"/>
          <w:sz w:val="31"/>
          <w:szCs w:val="31"/>
          <w:highlight w:val="none"/>
          <w:lang w:eastAsia="zh-CN"/>
        </w:rPr>
      </w:pPr>
      <w:r>
        <w:rPr>
          <w:rFonts w:ascii="宋体" w:hAnsi="宋体" w:eastAsia="宋体" w:cs="宋体"/>
          <w:b/>
          <w:bCs/>
          <w:color w:val="auto"/>
          <w:sz w:val="31"/>
          <w:szCs w:val="31"/>
          <w:highlight w:val="none"/>
          <w:lang w:eastAsia="zh-CN"/>
        </w:rPr>
        <w:br w:type="page"/>
      </w:r>
    </w:p>
    <w:p w14:paraId="3F94E2A7">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（二）符合性响应证明材料目录</w:t>
      </w:r>
    </w:p>
    <w:p w14:paraId="0BDD3D7C">
      <w:pPr>
        <w:pStyle w:val="7"/>
        <w:widowControl w:val="0"/>
        <w:spacing w:line="360" w:lineRule="auto"/>
        <w:ind w:firstLine="420" w:firstLineChars="200"/>
        <w:rPr>
          <w:color w:val="auto"/>
          <w:highlight w:val="none"/>
          <w:lang w:eastAsia="zh-CN"/>
        </w:rPr>
      </w:pPr>
    </w:p>
    <w:p w14:paraId="1E3EEBB5">
      <w:pPr>
        <w:pStyle w:val="7"/>
        <w:widowControl w:val="0"/>
        <w:spacing w:line="360" w:lineRule="auto"/>
        <w:ind w:firstLine="420" w:firstLineChars="200"/>
        <w:rPr>
          <w:color w:val="auto"/>
          <w:highlight w:val="none"/>
          <w:lang w:eastAsia="zh-CN"/>
        </w:rPr>
      </w:pPr>
    </w:p>
    <w:p w14:paraId="17254F59">
      <w:pPr>
        <w:widowControl w:val="0"/>
        <w:spacing w:line="360" w:lineRule="auto"/>
        <w:ind w:firstLine="420" w:firstLineChars="200"/>
        <w:rPr>
          <w:rFonts w:ascii="宋体" w:hAnsi="宋体" w:eastAsia="宋体" w:cs="宋体"/>
          <w:b/>
          <w:bCs/>
          <w:color w:val="auto"/>
          <w:highlight w:val="none"/>
          <w:lang w:eastAsia="zh-CN"/>
        </w:rPr>
      </w:pPr>
      <w:r>
        <w:rPr>
          <w:rFonts w:ascii="宋体" w:hAnsi="宋体" w:eastAsia="宋体" w:cs="宋体"/>
          <w:color w:val="auto"/>
          <w:highlight w:val="none"/>
          <w:lang w:eastAsia="zh-CN"/>
        </w:rPr>
        <w:t>1.响应函</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195670E9">
      <w:pPr>
        <w:widowControl w:val="0"/>
        <w:spacing w:line="360" w:lineRule="auto"/>
        <w:ind w:firstLine="420" w:firstLineChars="200"/>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2.</w:t>
      </w:r>
      <w:r>
        <w:rPr>
          <w:rFonts w:ascii="宋体" w:hAnsi="宋体" w:eastAsia="宋体" w:cs="宋体"/>
          <w:color w:val="auto"/>
          <w:highlight w:val="none"/>
          <w:lang w:eastAsia="zh-CN"/>
        </w:rPr>
        <w:t>谈判报价表</w:t>
      </w:r>
      <w:r>
        <w:rPr>
          <w:rFonts w:ascii="宋体" w:hAnsi="宋体" w:eastAsia="宋体" w:cs="宋体"/>
          <w:b/>
          <w:bCs/>
          <w:color w:val="auto"/>
          <w:highlight w:val="none"/>
          <w:lang w:eastAsia="zh-CN"/>
        </w:rPr>
        <w:t>（必须提供）；</w:t>
      </w:r>
    </w:p>
    <w:p w14:paraId="63B599C6">
      <w:pPr>
        <w:widowControl w:val="0"/>
        <w:spacing w:line="360" w:lineRule="auto"/>
        <w:ind w:firstLine="420" w:firstLineChars="200"/>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3</w:t>
      </w:r>
      <w:r>
        <w:rPr>
          <w:rFonts w:ascii="宋体" w:hAnsi="宋体" w:eastAsia="宋体" w:cs="宋体"/>
          <w:color w:val="auto"/>
          <w:highlight w:val="none"/>
          <w:lang w:eastAsia="zh-CN"/>
        </w:rPr>
        <w:t>.技术响应表</w:t>
      </w:r>
      <w:r>
        <w:rPr>
          <w:rFonts w:ascii="宋体" w:hAnsi="宋体" w:eastAsia="宋体" w:cs="宋体"/>
          <w:b/>
          <w:bCs/>
          <w:color w:val="auto"/>
          <w:highlight w:val="none"/>
          <w:lang w:eastAsia="zh-CN"/>
        </w:rPr>
        <w:t>（必须提供）；</w:t>
      </w:r>
    </w:p>
    <w:p w14:paraId="658F37B5">
      <w:pPr>
        <w:widowControl w:val="0"/>
        <w:spacing w:line="360" w:lineRule="auto"/>
        <w:ind w:firstLine="420" w:firstLineChars="200"/>
        <w:rPr>
          <w:rFonts w:ascii="宋体" w:hAnsi="宋体" w:eastAsia="宋体" w:cs="宋体"/>
          <w:b/>
          <w:bCs/>
          <w:color w:val="auto"/>
          <w:highlight w:val="none"/>
          <w:lang w:eastAsia="zh-CN"/>
        </w:rPr>
      </w:pPr>
      <w:r>
        <w:rPr>
          <w:rFonts w:hint="eastAsia" w:ascii="宋体" w:hAnsi="宋体" w:eastAsia="宋体" w:cs="宋体"/>
          <w:color w:val="auto"/>
          <w:highlight w:val="none"/>
          <w:lang w:eastAsia="zh-CN"/>
        </w:rPr>
        <w:t>4</w:t>
      </w:r>
      <w:r>
        <w:rPr>
          <w:rFonts w:ascii="宋体" w:hAnsi="宋体" w:eastAsia="宋体" w:cs="宋体"/>
          <w:color w:val="auto"/>
          <w:highlight w:val="none"/>
          <w:lang w:eastAsia="zh-CN"/>
        </w:rPr>
        <w:t>.商务响应表</w:t>
      </w:r>
      <w:r>
        <w:rPr>
          <w:rFonts w:ascii="宋体" w:hAnsi="宋体" w:eastAsia="宋体" w:cs="宋体"/>
          <w:b/>
          <w:bCs/>
          <w:color w:val="auto"/>
          <w:highlight w:val="none"/>
          <w:lang w:eastAsia="zh-CN"/>
        </w:rPr>
        <w:t>（必须提供）；</w:t>
      </w:r>
    </w:p>
    <w:p w14:paraId="22A902BB">
      <w:pPr>
        <w:widowControl w:val="0"/>
        <w:spacing w:line="360" w:lineRule="auto"/>
        <w:ind w:firstLine="420" w:firstLineChars="200"/>
        <w:rPr>
          <w:rFonts w:hint="eastAsia" w:ascii="宋体" w:hAnsi="宋体" w:eastAsia="宋体" w:cs="宋体"/>
          <w:b/>
          <w:bCs/>
          <w:color w:val="auto"/>
          <w:highlight w:val="none"/>
          <w:lang w:eastAsia="zh-CN"/>
        </w:rPr>
      </w:pPr>
      <w:r>
        <w:rPr>
          <w:rFonts w:hint="eastAsia" w:ascii="宋体" w:hAnsi="宋体" w:eastAsia="宋体" w:cs="宋体"/>
          <w:color w:val="auto"/>
          <w:highlight w:val="none"/>
          <w:lang w:eastAsia="zh-CN"/>
        </w:rPr>
        <w:t>5</w:t>
      </w:r>
      <w:r>
        <w:rPr>
          <w:rFonts w:ascii="宋体" w:hAnsi="宋体" w:eastAsia="宋体" w:cs="宋体"/>
          <w:color w:val="auto"/>
          <w:highlight w:val="none"/>
          <w:lang w:eastAsia="zh-CN"/>
        </w:rPr>
        <w:t>.售后服务承诺书</w:t>
      </w:r>
      <w:r>
        <w:rPr>
          <w:rFonts w:ascii="宋体" w:hAnsi="宋体" w:eastAsia="宋体" w:cs="宋体"/>
          <w:b/>
          <w:bCs/>
          <w:color w:val="auto"/>
          <w:highlight w:val="none"/>
          <w:lang w:eastAsia="zh-CN"/>
        </w:rPr>
        <w:t>（必须提供）</w:t>
      </w:r>
      <w:r>
        <w:rPr>
          <w:rFonts w:hint="eastAsia" w:ascii="宋体" w:hAnsi="宋体" w:eastAsia="宋体" w:cs="宋体"/>
          <w:b/>
          <w:bCs/>
          <w:color w:val="auto"/>
          <w:highlight w:val="none"/>
          <w:lang w:eastAsia="zh-CN"/>
        </w:rPr>
        <w:t>；</w:t>
      </w:r>
    </w:p>
    <w:p w14:paraId="6F573365">
      <w:pPr>
        <w:widowControl w:val="0"/>
        <w:spacing w:line="360" w:lineRule="auto"/>
        <w:ind w:firstLine="420" w:firstLineChars="200"/>
        <w:rPr>
          <w:rFonts w:ascii="宋体" w:hAnsi="宋体" w:eastAsia="宋体" w:cs="宋体"/>
          <w:b/>
          <w:bCs/>
          <w:color w:val="auto"/>
          <w:sz w:val="20"/>
          <w:szCs w:val="20"/>
          <w:highlight w:val="none"/>
          <w:lang w:eastAsia="zh-CN"/>
        </w:rPr>
      </w:pPr>
      <w:r>
        <w:rPr>
          <w:rFonts w:hint="eastAsia" w:ascii="宋体" w:hAnsi="宋体" w:eastAsia="宋体" w:cs="宋体"/>
          <w:b w:val="0"/>
          <w:bCs w:val="0"/>
          <w:color w:val="auto"/>
          <w:highlight w:val="none"/>
          <w:lang w:val="en-US" w:eastAsia="zh-CN"/>
        </w:rPr>
        <w:t>6.</w:t>
      </w:r>
      <w:r>
        <w:rPr>
          <w:rFonts w:ascii="宋体" w:hAnsi="宋体" w:eastAsia="宋体" w:cs="宋体"/>
          <w:b w:val="0"/>
          <w:bCs w:val="0"/>
          <w:color w:val="auto"/>
          <w:sz w:val="20"/>
          <w:szCs w:val="20"/>
          <w:highlight w:val="none"/>
          <w:lang w:eastAsia="zh-CN"/>
        </w:rPr>
        <w:t xml:space="preserve"> </w:t>
      </w:r>
      <w:r>
        <w:rPr>
          <w:rFonts w:ascii="宋体" w:hAnsi="宋体" w:eastAsia="宋体" w:cs="宋体"/>
          <w:color w:val="auto"/>
          <w:sz w:val="20"/>
          <w:szCs w:val="20"/>
          <w:highlight w:val="none"/>
          <w:lang w:eastAsia="zh-CN"/>
        </w:rPr>
        <w:t>“采购需求 ”需提供的有效证明文件</w:t>
      </w:r>
      <w:r>
        <w:rPr>
          <w:rFonts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eastAsia="zh-CN"/>
        </w:rPr>
        <w:t>按采购需求要求提供</w:t>
      </w:r>
      <w:r>
        <w:rPr>
          <w:rFonts w:ascii="宋体" w:hAnsi="宋体" w:eastAsia="宋体" w:cs="宋体"/>
          <w:b/>
          <w:bCs/>
          <w:color w:val="auto"/>
          <w:sz w:val="20"/>
          <w:szCs w:val="20"/>
          <w:highlight w:val="none"/>
          <w:lang w:eastAsia="zh-CN"/>
        </w:rPr>
        <w:t>）</w:t>
      </w:r>
      <w:r>
        <w:rPr>
          <w:rFonts w:hint="eastAsia" w:ascii="宋体" w:hAnsi="宋体" w:eastAsia="宋体" w:cs="宋体"/>
          <w:b/>
          <w:bCs/>
          <w:color w:val="auto"/>
          <w:sz w:val="20"/>
          <w:szCs w:val="20"/>
          <w:highlight w:val="none"/>
          <w:lang w:eastAsia="zh-CN"/>
        </w:rPr>
        <w:t>。</w:t>
      </w:r>
    </w:p>
    <w:p w14:paraId="781C0FB7">
      <w:pPr>
        <w:widowControl w:val="0"/>
        <w:spacing w:line="360" w:lineRule="auto"/>
        <w:ind w:firstLine="422" w:firstLineChars="200"/>
        <w:rPr>
          <w:rFonts w:hint="default" w:ascii="宋体" w:hAnsi="宋体" w:eastAsia="宋体" w:cs="宋体"/>
          <w:b/>
          <w:bCs/>
          <w:color w:val="auto"/>
          <w:highlight w:val="none"/>
          <w:lang w:val="en-US" w:eastAsia="zh-CN"/>
        </w:rPr>
      </w:pPr>
    </w:p>
    <w:p w14:paraId="043D717C">
      <w:pPr>
        <w:widowControl w:val="0"/>
        <w:spacing w:line="360" w:lineRule="auto"/>
        <w:ind w:firstLine="402" w:firstLineChars="200"/>
        <w:rPr>
          <w:rFonts w:ascii="宋体" w:hAnsi="宋体" w:eastAsia="宋体" w:cs="宋体"/>
          <w:b/>
          <w:bCs/>
          <w:color w:val="auto"/>
          <w:sz w:val="20"/>
          <w:szCs w:val="20"/>
          <w:highlight w:val="none"/>
          <w:lang w:eastAsia="zh-CN"/>
        </w:rPr>
        <w:sectPr>
          <w:footerReference r:id="rId18" w:type="default"/>
          <w:pgSz w:w="11906" w:h="16839"/>
          <w:pgMar w:top="1417" w:right="1417" w:bottom="1417" w:left="1417" w:header="0" w:footer="1097" w:gutter="0"/>
          <w:cols w:space="720" w:num="1"/>
        </w:sectPr>
      </w:pPr>
    </w:p>
    <w:p w14:paraId="2D4AAEBB">
      <w:pPr>
        <w:widowControl w:val="0"/>
        <w:spacing w:line="360" w:lineRule="auto"/>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1.响应函（必须提供）</w:t>
      </w:r>
    </w:p>
    <w:p w14:paraId="05654319">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响</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应</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函</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（格</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式）</w:t>
      </w:r>
    </w:p>
    <w:p w14:paraId="2AD8945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致：</w:t>
      </w:r>
      <w:r>
        <w:rPr>
          <w:rFonts w:hint="eastAsia" w:ascii="宋体" w:hAnsi="宋体" w:eastAsia="宋体" w:cs="宋体"/>
          <w:color w:val="auto"/>
          <w:highlight w:val="none"/>
          <w:u w:val="single"/>
          <w:lang w:eastAsia="zh-CN"/>
        </w:rPr>
        <w:t>大华建设项目管理有限公司</w:t>
      </w:r>
    </w:p>
    <w:p w14:paraId="612AA92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根据贵方项目谈判文件，项目编号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，签字代表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（姓名）经正式授 权并代表供应商</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供应商单位名称），提交响应文件。</w:t>
      </w:r>
    </w:p>
    <w:p w14:paraId="1E9529D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据此函，签字代表宣布同意如下：</w:t>
      </w:r>
    </w:p>
    <w:p w14:paraId="1693DEC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1.按谈判文件采购需求和谈判报价表：</w:t>
      </w:r>
    </w:p>
    <w:p w14:paraId="37346058">
      <w:pPr>
        <w:widowControl w:val="0"/>
        <w:spacing w:line="360" w:lineRule="auto"/>
        <w:ind w:firstLine="422" w:firstLineChars="200"/>
        <w:rPr>
          <w:rFonts w:ascii="宋体" w:hAnsi="宋体" w:eastAsia="宋体" w:cs="宋体"/>
          <w:color w:val="auto"/>
          <w:highlight w:val="none"/>
          <w:lang w:eastAsia="zh-CN"/>
        </w:rPr>
      </w:pPr>
      <w:r>
        <w:rPr>
          <w:rFonts w:ascii="宋体" w:hAnsi="宋体" w:eastAsia="宋体" w:cs="宋体"/>
          <w:b/>
          <w:bCs/>
          <w:color w:val="auto"/>
          <w:highlight w:val="none"/>
          <w:lang w:eastAsia="zh-CN"/>
        </w:rPr>
        <w:t>谈判报价（大写）</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元人民币(¥</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w:t>
      </w:r>
    </w:p>
    <w:p w14:paraId="5166DC2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2.我方承诺已具备谈判文件规定的供应商资格条件。</w:t>
      </w:r>
    </w:p>
    <w:p w14:paraId="5A544E80">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3.我方已详细审核谈判文件，包括修改文件（如有的话）和有关附件，将自行承担因对全部谈 判文件理解不正确或误解而产生的相应后果。</w:t>
      </w:r>
    </w:p>
    <w:p w14:paraId="7B6771F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4.响应文件有效期为自响应文件提交截止时间之日起 90 天。</w:t>
      </w:r>
    </w:p>
    <w:p w14:paraId="55C53D4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5.如我方成交：</w:t>
      </w:r>
    </w:p>
    <w:p w14:paraId="48F4C92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（1）我方承诺在收到成交通知书后，在成交通知书规定的期限内与采购人签订合同。</w:t>
      </w:r>
    </w:p>
    <w:p w14:paraId="19C0D6E4">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（2）我方承诺按照谈判文件规定提交履约担保。</w:t>
      </w:r>
    </w:p>
    <w:p w14:paraId="5FD0CD49">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（3）我方承诺本响应文件至本项目合同履行完毕止均保持有效，按谈判文件及政府采购法律、 法规的规定履行合同责任和义务。</w:t>
      </w:r>
    </w:p>
    <w:p w14:paraId="1198164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与本响应有关的正式通讯地址为：</w:t>
      </w:r>
    </w:p>
    <w:p w14:paraId="00F602D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地址：</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邮编：</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邮箱：</w:t>
      </w:r>
    </w:p>
    <w:p w14:paraId="7A88F9A6">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办公电话：</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传真：</w:t>
      </w:r>
      <w:r>
        <w:rPr>
          <w:rFonts w:ascii="宋体" w:hAnsi="宋体" w:eastAsia="宋体" w:cs="宋体"/>
          <w:color w:val="auto"/>
          <w:highlight w:val="none"/>
          <w:u w:val="single"/>
          <w:lang w:eastAsia="zh-CN"/>
        </w:rPr>
        <w:t xml:space="preserve">                                  </w:t>
      </w:r>
    </w:p>
    <w:p w14:paraId="44CD05AC">
      <w:pPr>
        <w:widowControl w:val="0"/>
        <w:spacing w:line="360" w:lineRule="auto"/>
        <w:ind w:firstLine="420" w:firstLineChars="200"/>
        <w:rPr>
          <w:rFonts w:ascii="宋体" w:hAnsi="宋体" w:eastAsia="宋体" w:cs="宋体"/>
          <w:color w:val="auto"/>
          <w:highlight w:val="none"/>
          <w:u w:val="single"/>
          <w:lang w:eastAsia="zh-CN"/>
        </w:rPr>
      </w:pPr>
      <w:r>
        <w:rPr>
          <w:rFonts w:ascii="宋体" w:hAnsi="宋体" w:eastAsia="宋体" w:cs="宋体"/>
          <w:color w:val="auto"/>
          <w:highlight w:val="none"/>
          <w:lang w:eastAsia="zh-CN"/>
        </w:rPr>
        <w:t>委托代理人联系电话：</w:t>
      </w:r>
      <w:r>
        <w:rPr>
          <w:rFonts w:ascii="宋体" w:hAnsi="宋体" w:eastAsia="宋体" w:cs="宋体"/>
          <w:color w:val="auto"/>
          <w:highlight w:val="none"/>
          <w:u w:val="single"/>
          <w:lang w:eastAsia="zh-CN"/>
        </w:rPr>
        <w:t xml:space="preserve">                                  </w:t>
      </w:r>
    </w:p>
    <w:p w14:paraId="16C3F3C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开户名称：</w:t>
      </w:r>
      <w:r>
        <w:rPr>
          <w:rFonts w:ascii="宋体" w:hAnsi="宋体" w:eastAsia="宋体" w:cs="宋体"/>
          <w:color w:val="auto"/>
          <w:highlight w:val="none"/>
          <w:u w:val="single"/>
          <w:lang w:eastAsia="zh-CN"/>
        </w:rPr>
        <w:t xml:space="preserve">                                  </w:t>
      </w:r>
    </w:p>
    <w:p w14:paraId="46AD7972">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开户银行：</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账号：</w:t>
      </w:r>
      <w:r>
        <w:rPr>
          <w:rFonts w:ascii="宋体" w:hAnsi="宋体" w:eastAsia="宋体" w:cs="宋体"/>
          <w:color w:val="auto"/>
          <w:highlight w:val="none"/>
          <w:u w:val="single"/>
          <w:lang w:eastAsia="zh-CN"/>
        </w:rPr>
        <w:t xml:space="preserve">                                          </w:t>
      </w:r>
    </w:p>
    <w:p w14:paraId="5E395781">
      <w:pPr>
        <w:pStyle w:val="7"/>
        <w:widowControl w:val="0"/>
        <w:spacing w:line="360" w:lineRule="auto"/>
        <w:ind w:firstLine="420" w:firstLineChars="200"/>
        <w:rPr>
          <w:color w:val="auto"/>
          <w:highlight w:val="none"/>
          <w:lang w:eastAsia="zh-CN"/>
        </w:rPr>
      </w:pPr>
    </w:p>
    <w:p w14:paraId="78DD531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供应商（CA 证书签章）：</w:t>
      </w:r>
    </w:p>
    <w:p w14:paraId="726827B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自然人)或相应的委托代理人签字（或个人 CA 证书签章）：</w:t>
      </w:r>
    </w:p>
    <w:p w14:paraId="577E6BD7">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响应日期：</w:t>
      </w:r>
    </w:p>
    <w:p w14:paraId="219E3740">
      <w:pPr>
        <w:widowControl w:val="0"/>
        <w:spacing w:line="360" w:lineRule="auto"/>
        <w:ind w:firstLine="400" w:firstLineChars="200"/>
        <w:rPr>
          <w:rFonts w:ascii="宋体" w:hAnsi="宋体" w:eastAsia="宋体" w:cs="宋体"/>
          <w:color w:val="auto"/>
          <w:sz w:val="20"/>
          <w:szCs w:val="20"/>
          <w:highlight w:val="none"/>
          <w:lang w:eastAsia="zh-CN"/>
        </w:rPr>
      </w:pPr>
    </w:p>
    <w:p w14:paraId="61218F75">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注：1.未按照本响应函（格式）要求填报的应函将被视为非实质性响应竞争性谈判文件要求， 从而导致该响应被拒绝。</w:t>
      </w:r>
    </w:p>
    <w:p w14:paraId="52B50953">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2.供应商必须按本响应函（格式）要求注明清楚联系方式（包括地址、邮编、邮箱、 电 话等），从而确保成交结果等相关信息能及时通知到位。</w:t>
      </w:r>
    </w:p>
    <w:p w14:paraId="3E43217C">
      <w:pPr>
        <w:widowControl w:val="0"/>
        <w:spacing w:line="360" w:lineRule="auto"/>
        <w:ind w:firstLine="400" w:firstLineChars="200"/>
        <w:rPr>
          <w:rFonts w:ascii="宋体" w:hAnsi="宋体" w:eastAsia="宋体" w:cs="宋体"/>
          <w:color w:val="auto"/>
          <w:highlight w:val="none"/>
          <w:lang w:eastAsia="zh-CN"/>
        </w:rPr>
      </w:pPr>
      <w:r>
        <w:rPr>
          <w:rFonts w:ascii="宋体" w:hAnsi="宋体" w:eastAsia="宋体" w:cs="宋体"/>
          <w:color w:val="auto"/>
          <w:sz w:val="20"/>
          <w:szCs w:val="20"/>
          <w:highlight w:val="none"/>
          <w:lang w:eastAsia="zh-CN"/>
        </w:rPr>
        <w:t>3.响应函须由法定代表人(负责人、自然人)或相应的委托代理人签字（或个人 CA 证书签 章）并加盖供应商公章（CA 证书签章）</w:t>
      </w:r>
      <w:r>
        <w:rPr>
          <w:rFonts w:ascii="宋体" w:hAnsi="宋体" w:eastAsia="宋体" w:cs="宋体"/>
          <w:color w:val="auto"/>
          <w:highlight w:val="none"/>
          <w:lang w:eastAsia="zh-CN"/>
        </w:rPr>
        <w:t>。</w:t>
      </w:r>
    </w:p>
    <w:p w14:paraId="756BFA5C">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2.</w:t>
      </w:r>
      <w:r>
        <w:rPr>
          <w:rFonts w:ascii="宋体" w:hAnsi="宋体" w:eastAsia="宋体" w:cs="宋体"/>
          <w:b/>
          <w:bCs/>
          <w:color w:val="auto"/>
          <w:sz w:val="28"/>
          <w:szCs w:val="28"/>
          <w:highlight w:val="none"/>
          <w:lang w:eastAsia="zh-CN"/>
        </w:rPr>
        <w:t>谈判报价表（必须提供）</w:t>
      </w:r>
    </w:p>
    <w:p w14:paraId="2AABDB68">
      <w:pPr>
        <w:pStyle w:val="7"/>
        <w:widowControl w:val="0"/>
        <w:spacing w:line="360" w:lineRule="auto"/>
        <w:ind w:firstLine="420" w:firstLineChars="200"/>
        <w:rPr>
          <w:color w:val="auto"/>
          <w:highlight w:val="none"/>
          <w:lang w:eastAsia="zh-CN"/>
        </w:rPr>
      </w:pPr>
    </w:p>
    <w:p w14:paraId="51C62341">
      <w:pPr>
        <w:pStyle w:val="7"/>
        <w:widowControl w:val="0"/>
        <w:spacing w:line="360" w:lineRule="auto"/>
        <w:ind w:firstLine="420" w:firstLineChars="200"/>
        <w:rPr>
          <w:color w:val="auto"/>
          <w:highlight w:val="none"/>
          <w:lang w:eastAsia="zh-CN"/>
        </w:rPr>
      </w:pPr>
    </w:p>
    <w:p w14:paraId="58C92F16">
      <w:pPr>
        <w:widowControl w:val="0"/>
        <w:spacing w:line="360" w:lineRule="auto"/>
        <w:ind w:firstLine="602" w:firstLineChars="200"/>
        <w:rPr>
          <w:rFonts w:ascii="宋体" w:hAnsi="宋体" w:eastAsia="宋体" w:cs="宋体"/>
          <w:color w:val="auto"/>
          <w:sz w:val="30"/>
          <w:szCs w:val="30"/>
          <w:highlight w:val="none"/>
          <w:lang w:eastAsia="zh-CN"/>
        </w:rPr>
      </w:pPr>
      <w:r>
        <w:rPr>
          <w:rFonts w:ascii="宋体" w:hAnsi="宋体" w:eastAsia="宋体" w:cs="宋体"/>
          <w:b/>
          <w:bCs/>
          <w:color w:val="auto"/>
          <w:sz w:val="30"/>
          <w:szCs w:val="30"/>
          <w:highlight w:val="none"/>
          <w:lang w:eastAsia="zh-CN"/>
        </w:rPr>
        <w:t>附件：</w:t>
      </w:r>
    </w:p>
    <w:p w14:paraId="54DB1243">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谈判报价表（格式）</w:t>
      </w:r>
    </w:p>
    <w:p w14:paraId="4390F352">
      <w:pPr>
        <w:widowControl w:val="0"/>
        <w:spacing w:line="360" w:lineRule="auto"/>
        <w:ind w:firstLine="420" w:firstLineChars="200"/>
        <w:rPr>
          <w:color w:val="auto"/>
          <w:highlight w:val="none"/>
          <w:lang w:eastAsia="zh-CN"/>
        </w:rPr>
      </w:pPr>
    </w:p>
    <w:tbl>
      <w:tblPr>
        <w:tblStyle w:val="22"/>
        <w:tblW w:w="94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1084"/>
        <w:gridCol w:w="1384"/>
        <w:gridCol w:w="945"/>
        <w:gridCol w:w="1207"/>
        <w:gridCol w:w="606"/>
        <w:gridCol w:w="528"/>
        <w:gridCol w:w="959"/>
        <w:gridCol w:w="2300"/>
      </w:tblGrid>
      <w:tr w14:paraId="55629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480" w:type="dxa"/>
            <w:textDirection w:val="tbRlV"/>
            <w:vAlign w:val="center"/>
          </w:tcPr>
          <w:p w14:paraId="371ED42B">
            <w:pPr>
              <w:pStyle w:val="23"/>
              <w:widowControl w:val="0"/>
              <w:spacing w:line="360" w:lineRule="auto"/>
              <w:jc w:val="center"/>
              <w:rPr>
                <w:color w:val="auto"/>
                <w:sz w:val="21"/>
                <w:szCs w:val="21"/>
                <w:highlight w:val="none"/>
              </w:rPr>
            </w:pPr>
            <w:r>
              <w:rPr>
                <w:color w:val="auto"/>
                <w:sz w:val="21"/>
                <w:szCs w:val="21"/>
                <w:highlight w:val="none"/>
              </w:rPr>
              <w:t>项 号</w:t>
            </w:r>
          </w:p>
        </w:tc>
        <w:tc>
          <w:tcPr>
            <w:tcW w:w="1084" w:type="dxa"/>
          </w:tcPr>
          <w:p w14:paraId="0BAE61A0">
            <w:pPr>
              <w:widowControl w:val="0"/>
              <w:spacing w:line="360" w:lineRule="auto"/>
              <w:ind w:firstLine="420" w:firstLineChars="200"/>
              <w:rPr>
                <w:color w:val="auto"/>
                <w:highlight w:val="none"/>
              </w:rPr>
            </w:pPr>
          </w:p>
          <w:p w14:paraId="057462AD">
            <w:pPr>
              <w:pStyle w:val="23"/>
              <w:widowControl w:val="0"/>
              <w:spacing w:line="360" w:lineRule="auto"/>
              <w:jc w:val="center"/>
              <w:rPr>
                <w:color w:val="auto"/>
                <w:sz w:val="21"/>
                <w:szCs w:val="21"/>
                <w:highlight w:val="none"/>
              </w:rPr>
            </w:pPr>
            <w:r>
              <w:rPr>
                <w:color w:val="auto"/>
                <w:sz w:val="21"/>
                <w:szCs w:val="21"/>
                <w:highlight w:val="none"/>
              </w:rPr>
              <w:t>标的名称</w:t>
            </w:r>
          </w:p>
        </w:tc>
        <w:tc>
          <w:tcPr>
            <w:tcW w:w="1384" w:type="dxa"/>
            <w:vAlign w:val="center"/>
          </w:tcPr>
          <w:p w14:paraId="33014410">
            <w:pPr>
              <w:spacing w:line="340" w:lineRule="exact"/>
              <w:jc w:val="center"/>
              <w:rPr>
                <w:color w:val="auto"/>
                <w:highlight w:val="none"/>
              </w:rPr>
            </w:pPr>
            <w:r>
              <w:rPr>
                <w:rFonts w:hint="eastAsia" w:ascii="宋体" w:hAnsi="宋体" w:eastAsia="宋体" w:cs="Times New Roman"/>
                <w:color w:val="auto"/>
                <w:highlight w:val="none"/>
              </w:rPr>
              <w:t>品牌</w:t>
            </w:r>
          </w:p>
        </w:tc>
        <w:tc>
          <w:tcPr>
            <w:tcW w:w="945" w:type="dxa"/>
            <w:vAlign w:val="center"/>
          </w:tcPr>
          <w:p w14:paraId="41CF6DEF">
            <w:pPr>
              <w:spacing w:line="340" w:lineRule="exact"/>
              <w:jc w:val="center"/>
              <w:rPr>
                <w:color w:val="auto"/>
                <w:highlight w:val="none"/>
              </w:rPr>
            </w:pPr>
            <w:r>
              <w:rPr>
                <w:rFonts w:hint="eastAsia" w:ascii="宋体" w:hAnsi="宋体" w:eastAsia="宋体" w:cs="Times New Roman"/>
                <w:color w:val="auto"/>
                <w:highlight w:val="none"/>
              </w:rPr>
              <w:t>规格型号</w:t>
            </w:r>
          </w:p>
        </w:tc>
        <w:tc>
          <w:tcPr>
            <w:tcW w:w="1207" w:type="dxa"/>
            <w:vAlign w:val="center"/>
          </w:tcPr>
          <w:p w14:paraId="63E7E341">
            <w:pPr>
              <w:spacing w:line="340" w:lineRule="exact"/>
              <w:jc w:val="center"/>
              <w:rPr>
                <w:color w:val="auto"/>
                <w:highlight w:val="none"/>
              </w:rPr>
            </w:pPr>
            <w:r>
              <w:rPr>
                <w:rFonts w:hint="eastAsia" w:ascii="宋体" w:hAnsi="宋体" w:eastAsia="宋体" w:cs="Times New Roman"/>
                <w:color w:val="auto"/>
                <w:highlight w:val="none"/>
              </w:rPr>
              <w:t>生产厂家、原产地</w:t>
            </w:r>
          </w:p>
        </w:tc>
        <w:tc>
          <w:tcPr>
            <w:tcW w:w="606" w:type="dxa"/>
            <w:textDirection w:val="tbRlV"/>
            <w:vAlign w:val="center"/>
          </w:tcPr>
          <w:p w14:paraId="11266465">
            <w:pPr>
              <w:pStyle w:val="23"/>
              <w:widowControl w:val="0"/>
              <w:spacing w:line="360" w:lineRule="auto"/>
              <w:jc w:val="center"/>
              <w:rPr>
                <w:color w:val="auto"/>
                <w:sz w:val="21"/>
                <w:szCs w:val="21"/>
                <w:highlight w:val="none"/>
              </w:rPr>
            </w:pPr>
            <w:r>
              <w:rPr>
                <w:color w:val="auto"/>
                <w:sz w:val="21"/>
                <w:szCs w:val="21"/>
                <w:highlight w:val="none"/>
              </w:rPr>
              <w:t>数 量 ①</w:t>
            </w:r>
          </w:p>
        </w:tc>
        <w:tc>
          <w:tcPr>
            <w:tcW w:w="528" w:type="dxa"/>
            <w:textDirection w:val="tbRlV"/>
            <w:vAlign w:val="center"/>
          </w:tcPr>
          <w:p w14:paraId="04EBEDAB">
            <w:pPr>
              <w:pStyle w:val="23"/>
              <w:widowControl w:val="0"/>
              <w:spacing w:line="360" w:lineRule="auto"/>
              <w:jc w:val="center"/>
              <w:rPr>
                <w:color w:val="auto"/>
                <w:sz w:val="21"/>
                <w:szCs w:val="21"/>
                <w:highlight w:val="none"/>
              </w:rPr>
            </w:pPr>
            <w:r>
              <w:rPr>
                <w:color w:val="auto"/>
                <w:sz w:val="21"/>
                <w:szCs w:val="21"/>
                <w:highlight w:val="none"/>
              </w:rPr>
              <w:t>单 位</w:t>
            </w:r>
          </w:p>
        </w:tc>
        <w:tc>
          <w:tcPr>
            <w:tcW w:w="959" w:type="dxa"/>
          </w:tcPr>
          <w:p w14:paraId="4AC666BE">
            <w:pPr>
              <w:pStyle w:val="23"/>
              <w:widowControl w:val="0"/>
              <w:spacing w:line="360" w:lineRule="auto"/>
              <w:jc w:val="center"/>
              <w:rPr>
                <w:color w:val="auto"/>
                <w:sz w:val="21"/>
                <w:szCs w:val="21"/>
                <w:highlight w:val="none"/>
              </w:rPr>
            </w:pPr>
            <w:r>
              <w:rPr>
                <w:color w:val="auto"/>
                <w:sz w:val="21"/>
                <w:szCs w:val="21"/>
                <w:highlight w:val="none"/>
              </w:rPr>
              <w:t>单价</w:t>
            </w:r>
          </w:p>
          <w:p w14:paraId="4FDA58D7">
            <w:pPr>
              <w:pStyle w:val="23"/>
              <w:widowControl w:val="0"/>
              <w:spacing w:line="360" w:lineRule="auto"/>
              <w:jc w:val="center"/>
              <w:rPr>
                <w:color w:val="auto"/>
                <w:sz w:val="21"/>
                <w:szCs w:val="21"/>
                <w:highlight w:val="none"/>
              </w:rPr>
            </w:pPr>
            <w:r>
              <w:rPr>
                <w:color w:val="auto"/>
                <w:sz w:val="21"/>
                <w:szCs w:val="21"/>
                <w:highlight w:val="none"/>
              </w:rPr>
              <w:t>（元）</w:t>
            </w:r>
          </w:p>
          <w:p w14:paraId="549D6340">
            <w:pPr>
              <w:pStyle w:val="23"/>
              <w:widowControl w:val="0"/>
              <w:spacing w:line="360" w:lineRule="auto"/>
              <w:jc w:val="center"/>
              <w:rPr>
                <w:color w:val="auto"/>
                <w:sz w:val="21"/>
                <w:szCs w:val="21"/>
                <w:highlight w:val="none"/>
              </w:rPr>
            </w:pPr>
            <w:r>
              <w:rPr>
                <w:color w:val="auto"/>
                <w:sz w:val="21"/>
                <w:szCs w:val="21"/>
                <w:highlight w:val="none"/>
              </w:rPr>
              <w:t>②</w:t>
            </w:r>
          </w:p>
        </w:tc>
        <w:tc>
          <w:tcPr>
            <w:tcW w:w="2300" w:type="dxa"/>
          </w:tcPr>
          <w:p w14:paraId="081A9627">
            <w:pPr>
              <w:pStyle w:val="23"/>
              <w:widowControl w:val="0"/>
              <w:spacing w:line="360" w:lineRule="auto"/>
              <w:jc w:val="center"/>
              <w:rPr>
                <w:color w:val="auto"/>
                <w:sz w:val="21"/>
                <w:szCs w:val="21"/>
                <w:highlight w:val="none"/>
                <w:lang w:eastAsia="zh-CN"/>
              </w:rPr>
            </w:pPr>
            <w:r>
              <w:rPr>
                <w:color w:val="auto"/>
                <w:sz w:val="21"/>
                <w:szCs w:val="21"/>
                <w:highlight w:val="none"/>
                <w:lang w:eastAsia="zh-CN"/>
              </w:rPr>
              <w:t>单项合计=数量× 单价</w:t>
            </w:r>
          </w:p>
          <w:p w14:paraId="41151FF1">
            <w:pPr>
              <w:pStyle w:val="23"/>
              <w:widowControl w:val="0"/>
              <w:spacing w:line="360" w:lineRule="auto"/>
              <w:jc w:val="center"/>
              <w:rPr>
                <w:color w:val="auto"/>
                <w:sz w:val="21"/>
                <w:szCs w:val="21"/>
                <w:highlight w:val="none"/>
                <w:lang w:eastAsia="zh-CN"/>
              </w:rPr>
            </w:pPr>
            <w:r>
              <w:rPr>
                <w:color w:val="auto"/>
                <w:sz w:val="21"/>
                <w:szCs w:val="21"/>
                <w:highlight w:val="none"/>
                <w:lang w:eastAsia="zh-CN"/>
              </w:rPr>
              <w:t>③ = ①×②</w:t>
            </w:r>
          </w:p>
        </w:tc>
      </w:tr>
      <w:tr w14:paraId="65C27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0" w:type="dxa"/>
          </w:tcPr>
          <w:p w14:paraId="09375EB0">
            <w:pPr>
              <w:pStyle w:val="23"/>
              <w:widowControl w:val="0"/>
              <w:spacing w:line="360" w:lineRule="auto"/>
              <w:jc w:val="center"/>
              <w:rPr>
                <w:color w:val="auto"/>
                <w:sz w:val="21"/>
                <w:szCs w:val="21"/>
                <w:highlight w:val="none"/>
              </w:rPr>
            </w:pPr>
            <w:r>
              <w:rPr>
                <w:color w:val="auto"/>
                <w:sz w:val="21"/>
                <w:szCs w:val="21"/>
                <w:highlight w:val="none"/>
              </w:rPr>
              <w:t>1</w:t>
            </w:r>
          </w:p>
        </w:tc>
        <w:tc>
          <w:tcPr>
            <w:tcW w:w="1084" w:type="dxa"/>
          </w:tcPr>
          <w:p w14:paraId="29E20248">
            <w:pPr>
              <w:widowControl w:val="0"/>
              <w:spacing w:line="360" w:lineRule="auto"/>
              <w:ind w:firstLine="420" w:firstLineChars="200"/>
              <w:rPr>
                <w:color w:val="auto"/>
                <w:highlight w:val="none"/>
              </w:rPr>
            </w:pPr>
          </w:p>
        </w:tc>
        <w:tc>
          <w:tcPr>
            <w:tcW w:w="1384" w:type="dxa"/>
          </w:tcPr>
          <w:p w14:paraId="2F065AD4">
            <w:pPr>
              <w:widowControl w:val="0"/>
              <w:spacing w:line="360" w:lineRule="auto"/>
              <w:ind w:firstLine="420" w:firstLineChars="200"/>
              <w:rPr>
                <w:color w:val="auto"/>
                <w:highlight w:val="none"/>
              </w:rPr>
            </w:pPr>
          </w:p>
        </w:tc>
        <w:tc>
          <w:tcPr>
            <w:tcW w:w="945" w:type="dxa"/>
          </w:tcPr>
          <w:p w14:paraId="065581D9">
            <w:pPr>
              <w:widowControl w:val="0"/>
              <w:spacing w:line="360" w:lineRule="auto"/>
              <w:ind w:firstLine="420" w:firstLineChars="200"/>
              <w:rPr>
                <w:color w:val="auto"/>
                <w:highlight w:val="none"/>
              </w:rPr>
            </w:pPr>
          </w:p>
        </w:tc>
        <w:tc>
          <w:tcPr>
            <w:tcW w:w="1207" w:type="dxa"/>
          </w:tcPr>
          <w:p w14:paraId="18B02DDD">
            <w:pPr>
              <w:widowControl w:val="0"/>
              <w:spacing w:line="360" w:lineRule="auto"/>
              <w:ind w:firstLine="420" w:firstLineChars="200"/>
              <w:rPr>
                <w:color w:val="auto"/>
                <w:highlight w:val="none"/>
              </w:rPr>
            </w:pPr>
          </w:p>
        </w:tc>
        <w:tc>
          <w:tcPr>
            <w:tcW w:w="606" w:type="dxa"/>
          </w:tcPr>
          <w:p w14:paraId="27A3C1CA">
            <w:pPr>
              <w:widowControl w:val="0"/>
              <w:spacing w:line="360" w:lineRule="auto"/>
              <w:ind w:firstLine="420" w:firstLineChars="200"/>
              <w:rPr>
                <w:color w:val="auto"/>
                <w:highlight w:val="none"/>
              </w:rPr>
            </w:pPr>
          </w:p>
        </w:tc>
        <w:tc>
          <w:tcPr>
            <w:tcW w:w="528" w:type="dxa"/>
          </w:tcPr>
          <w:p w14:paraId="1707B59A">
            <w:pPr>
              <w:widowControl w:val="0"/>
              <w:spacing w:line="360" w:lineRule="auto"/>
              <w:ind w:firstLine="420" w:firstLineChars="200"/>
              <w:rPr>
                <w:color w:val="auto"/>
                <w:highlight w:val="none"/>
              </w:rPr>
            </w:pPr>
          </w:p>
        </w:tc>
        <w:tc>
          <w:tcPr>
            <w:tcW w:w="959" w:type="dxa"/>
          </w:tcPr>
          <w:p w14:paraId="2FC387FF">
            <w:pPr>
              <w:widowControl w:val="0"/>
              <w:spacing w:line="360" w:lineRule="auto"/>
              <w:ind w:firstLine="420" w:firstLineChars="200"/>
              <w:rPr>
                <w:color w:val="auto"/>
                <w:highlight w:val="none"/>
              </w:rPr>
            </w:pPr>
          </w:p>
        </w:tc>
        <w:tc>
          <w:tcPr>
            <w:tcW w:w="2300" w:type="dxa"/>
          </w:tcPr>
          <w:p w14:paraId="12717568">
            <w:pPr>
              <w:widowControl w:val="0"/>
              <w:spacing w:line="360" w:lineRule="auto"/>
              <w:ind w:firstLine="420" w:firstLineChars="200"/>
              <w:rPr>
                <w:color w:val="auto"/>
                <w:highlight w:val="none"/>
              </w:rPr>
            </w:pPr>
          </w:p>
        </w:tc>
      </w:tr>
      <w:tr w14:paraId="26E28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0" w:type="dxa"/>
          </w:tcPr>
          <w:p w14:paraId="16D70E28">
            <w:pPr>
              <w:pStyle w:val="23"/>
              <w:widowControl w:val="0"/>
              <w:spacing w:line="360" w:lineRule="auto"/>
              <w:jc w:val="center"/>
              <w:rPr>
                <w:color w:val="auto"/>
                <w:sz w:val="21"/>
                <w:szCs w:val="21"/>
                <w:highlight w:val="none"/>
              </w:rPr>
            </w:pPr>
            <w:r>
              <w:rPr>
                <w:color w:val="auto"/>
                <w:sz w:val="21"/>
                <w:szCs w:val="21"/>
                <w:highlight w:val="none"/>
              </w:rPr>
              <w:t>2</w:t>
            </w:r>
          </w:p>
        </w:tc>
        <w:tc>
          <w:tcPr>
            <w:tcW w:w="1084" w:type="dxa"/>
          </w:tcPr>
          <w:p w14:paraId="2695428E">
            <w:pPr>
              <w:widowControl w:val="0"/>
              <w:spacing w:line="360" w:lineRule="auto"/>
              <w:ind w:firstLine="420" w:firstLineChars="200"/>
              <w:rPr>
                <w:color w:val="auto"/>
                <w:highlight w:val="none"/>
              </w:rPr>
            </w:pPr>
          </w:p>
        </w:tc>
        <w:tc>
          <w:tcPr>
            <w:tcW w:w="1384" w:type="dxa"/>
          </w:tcPr>
          <w:p w14:paraId="58608E7F">
            <w:pPr>
              <w:widowControl w:val="0"/>
              <w:spacing w:line="360" w:lineRule="auto"/>
              <w:ind w:firstLine="420" w:firstLineChars="200"/>
              <w:rPr>
                <w:color w:val="auto"/>
                <w:highlight w:val="none"/>
              </w:rPr>
            </w:pPr>
          </w:p>
        </w:tc>
        <w:tc>
          <w:tcPr>
            <w:tcW w:w="945" w:type="dxa"/>
          </w:tcPr>
          <w:p w14:paraId="27CE5E3B">
            <w:pPr>
              <w:widowControl w:val="0"/>
              <w:spacing w:line="360" w:lineRule="auto"/>
              <w:ind w:firstLine="420" w:firstLineChars="200"/>
              <w:rPr>
                <w:color w:val="auto"/>
                <w:highlight w:val="none"/>
              </w:rPr>
            </w:pPr>
          </w:p>
        </w:tc>
        <w:tc>
          <w:tcPr>
            <w:tcW w:w="1207" w:type="dxa"/>
          </w:tcPr>
          <w:p w14:paraId="29BB6D27">
            <w:pPr>
              <w:widowControl w:val="0"/>
              <w:spacing w:line="360" w:lineRule="auto"/>
              <w:ind w:firstLine="420" w:firstLineChars="200"/>
              <w:rPr>
                <w:color w:val="auto"/>
                <w:highlight w:val="none"/>
              </w:rPr>
            </w:pPr>
          </w:p>
        </w:tc>
        <w:tc>
          <w:tcPr>
            <w:tcW w:w="606" w:type="dxa"/>
          </w:tcPr>
          <w:p w14:paraId="152B54A6">
            <w:pPr>
              <w:widowControl w:val="0"/>
              <w:spacing w:line="360" w:lineRule="auto"/>
              <w:ind w:firstLine="420" w:firstLineChars="200"/>
              <w:rPr>
                <w:color w:val="auto"/>
                <w:highlight w:val="none"/>
              </w:rPr>
            </w:pPr>
          </w:p>
        </w:tc>
        <w:tc>
          <w:tcPr>
            <w:tcW w:w="528" w:type="dxa"/>
          </w:tcPr>
          <w:p w14:paraId="0583F569">
            <w:pPr>
              <w:widowControl w:val="0"/>
              <w:spacing w:line="360" w:lineRule="auto"/>
              <w:ind w:firstLine="420" w:firstLineChars="200"/>
              <w:rPr>
                <w:color w:val="auto"/>
                <w:highlight w:val="none"/>
              </w:rPr>
            </w:pPr>
          </w:p>
        </w:tc>
        <w:tc>
          <w:tcPr>
            <w:tcW w:w="959" w:type="dxa"/>
          </w:tcPr>
          <w:p w14:paraId="74A59DA7">
            <w:pPr>
              <w:widowControl w:val="0"/>
              <w:spacing w:line="360" w:lineRule="auto"/>
              <w:ind w:firstLine="420" w:firstLineChars="200"/>
              <w:rPr>
                <w:color w:val="auto"/>
                <w:highlight w:val="none"/>
              </w:rPr>
            </w:pPr>
          </w:p>
        </w:tc>
        <w:tc>
          <w:tcPr>
            <w:tcW w:w="2300" w:type="dxa"/>
          </w:tcPr>
          <w:p w14:paraId="58FE5F53">
            <w:pPr>
              <w:widowControl w:val="0"/>
              <w:spacing w:line="360" w:lineRule="auto"/>
              <w:ind w:firstLine="420" w:firstLineChars="200"/>
              <w:rPr>
                <w:color w:val="auto"/>
                <w:highlight w:val="none"/>
              </w:rPr>
            </w:pPr>
          </w:p>
        </w:tc>
      </w:tr>
      <w:tr w14:paraId="56EA8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193" w:type="dxa"/>
            <w:gridSpan w:val="8"/>
          </w:tcPr>
          <w:p w14:paraId="13540269">
            <w:pPr>
              <w:pStyle w:val="23"/>
              <w:widowControl w:val="0"/>
              <w:spacing w:line="360" w:lineRule="auto"/>
              <w:ind w:firstLine="420" w:firstLineChars="200"/>
              <w:rPr>
                <w:color w:val="auto"/>
                <w:sz w:val="21"/>
                <w:szCs w:val="21"/>
                <w:highlight w:val="none"/>
              </w:rPr>
            </w:pPr>
            <w:r>
              <w:rPr>
                <w:color w:val="auto"/>
                <w:sz w:val="21"/>
                <w:szCs w:val="21"/>
                <w:highlight w:val="none"/>
              </w:rPr>
              <w:t>合计金额</w:t>
            </w:r>
          </w:p>
        </w:tc>
        <w:tc>
          <w:tcPr>
            <w:tcW w:w="2300" w:type="dxa"/>
          </w:tcPr>
          <w:p w14:paraId="4C9FDF99">
            <w:pPr>
              <w:widowControl w:val="0"/>
              <w:spacing w:line="360" w:lineRule="auto"/>
              <w:ind w:firstLine="420" w:firstLineChars="200"/>
              <w:rPr>
                <w:color w:val="auto"/>
                <w:highlight w:val="none"/>
              </w:rPr>
            </w:pPr>
          </w:p>
        </w:tc>
      </w:tr>
      <w:tr w14:paraId="63A47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493" w:type="dxa"/>
            <w:gridSpan w:val="9"/>
          </w:tcPr>
          <w:p w14:paraId="20DD05D5">
            <w:pPr>
              <w:pStyle w:val="23"/>
              <w:widowControl w:val="0"/>
              <w:spacing w:line="360" w:lineRule="auto"/>
              <w:ind w:firstLine="420" w:firstLineChars="200"/>
              <w:rPr>
                <w:color w:val="auto"/>
                <w:sz w:val="21"/>
                <w:szCs w:val="21"/>
                <w:highlight w:val="none"/>
                <w:lang w:eastAsia="zh-CN"/>
              </w:rPr>
            </w:pPr>
            <w:r>
              <w:rPr>
                <w:color w:val="auto"/>
                <w:sz w:val="21"/>
                <w:szCs w:val="21"/>
                <w:highlight w:val="none"/>
                <w:lang w:eastAsia="zh-CN"/>
              </w:rPr>
              <w:t xml:space="preserve">谈判报价（大写）： </w:t>
            </w:r>
            <w:r>
              <w:rPr>
                <w:color w:val="auto"/>
                <w:sz w:val="21"/>
                <w:szCs w:val="21"/>
                <w:highlight w:val="none"/>
                <w:u w:val="single"/>
                <w:lang w:eastAsia="zh-CN"/>
              </w:rPr>
              <w:t xml:space="preserve">                  </w:t>
            </w:r>
            <w:r>
              <w:rPr>
                <w:color w:val="auto"/>
                <w:sz w:val="21"/>
                <w:szCs w:val="21"/>
                <w:highlight w:val="none"/>
                <w:lang w:eastAsia="zh-CN"/>
              </w:rPr>
              <w:t xml:space="preserve"> 元人民币 (￥ </w:t>
            </w:r>
            <w:r>
              <w:rPr>
                <w:color w:val="auto"/>
                <w:sz w:val="21"/>
                <w:szCs w:val="21"/>
                <w:highlight w:val="none"/>
                <w:u w:val="single"/>
                <w:lang w:eastAsia="zh-CN"/>
              </w:rPr>
              <w:t xml:space="preserve">                   </w:t>
            </w:r>
            <w:r>
              <w:rPr>
                <w:color w:val="auto"/>
                <w:sz w:val="21"/>
                <w:szCs w:val="21"/>
                <w:highlight w:val="none"/>
                <w:lang w:eastAsia="zh-CN"/>
              </w:rPr>
              <w:t xml:space="preserve"> )</w:t>
            </w:r>
          </w:p>
        </w:tc>
      </w:tr>
      <w:tr w14:paraId="57E4D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9493" w:type="dxa"/>
            <w:gridSpan w:val="9"/>
          </w:tcPr>
          <w:p w14:paraId="3838F969">
            <w:pPr>
              <w:pStyle w:val="23"/>
              <w:widowControl w:val="0"/>
              <w:spacing w:line="360" w:lineRule="auto"/>
              <w:ind w:firstLine="420" w:firstLineChars="200"/>
              <w:rPr>
                <w:color w:val="auto"/>
                <w:sz w:val="21"/>
                <w:szCs w:val="21"/>
                <w:highlight w:val="none"/>
                <w:lang w:eastAsia="zh-CN"/>
              </w:rPr>
            </w:pPr>
            <w:r>
              <w:rPr>
                <w:color w:val="auto"/>
                <w:sz w:val="21"/>
                <w:szCs w:val="21"/>
                <w:highlight w:val="none"/>
                <w:lang w:eastAsia="zh-CN"/>
              </w:rPr>
              <w:t>其中：属于财政部《节能产品政府采购品目清单》内产品的总金额为人民币（大写）：        元(￥           ) ;</w:t>
            </w:r>
          </w:p>
          <w:p w14:paraId="2D40828E">
            <w:pPr>
              <w:pStyle w:val="23"/>
              <w:widowControl w:val="0"/>
              <w:spacing w:line="360" w:lineRule="auto"/>
              <w:ind w:firstLine="420" w:firstLineChars="200"/>
              <w:rPr>
                <w:color w:val="auto"/>
                <w:sz w:val="21"/>
                <w:szCs w:val="21"/>
                <w:highlight w:val="none"/>
                <w:lang w:eastAsia="zh-CN"/>
              </w:rPr>
            </w:pPr>
            <w:r>
              <w:rPr>
                <w:color w:val="auto"/>
                <w:sz w:val="21"/>
                <w:szCs w:val="21"/>
                <w:highlight w:val="none"/>
                <w:lang w:eastAsia="zh-CN"/>
              </w:rPr>
              <w:t>属于财政部《环境标志产品政府采购品目清单》 内产品的总金额为人民币大写 ： 元 (￥   ) 。</w:t>
            </w:r>
          </w:p>
          <w:p w14:paraId="78914E72">
            <w:pPr>
              <w:pStyle w:val="23"/>
              <w:widowControl w:val="0"/>
              <w:spacing w:line="360" w:lineRule="auto"/>
              <w:ind w:firstLine="422" w:firstLineChars="200"/>
              <w:rPr>
                <w:color w:val="auto"/>
                <w:sz w:val="21"/>
                <w:szCs w:val="21"/>
                <w:highlight w:val="none"/>
                <w:lang w:eastAsia="zh-CN"/>
              </w:rPr>
            </w:pPr>
            <w:r>
              <w:rPr>
                <w:b/>
                <w:bCs/>
                <w:color w:val="auto"/>
                <w:sz w:val="21"/>
                <w:szCs w:val="21"/>
                <w:highlight w:val="none"/>
                <w:lang w:eastAsia="zh-CN"/>
              </w:rPr>
              <w:t>备注：若不属于财政部《节能产品政府采购品目清单》及《环境标志产品政府采购品目清单》内</w:t>
            </w:r>
            <w:r>
              <w:rPr>
                <w:color w:val="auto"/>
                <w:sz w:val="21"/>
                <w:szCs w:val="21"/>
                <w:highlight w:val="none"/>
                <w:lang w:eastAsia="zh-CN"/>
              </w:rPr>
              <w:t xml:space="preserve"> </w:t>
            </w:r>
            <w:r>
              <w:rPr>
                <w:b/>
                <w:bCs/>
                <w:color w:val="auto"/>
                <w:sz w:val="21"/>
                <w:szCs w:val="21"/>
                <w:highlight w:val="none"/>
                <w:lang w:eastAsia="zh-CN"/>
              </w:rPr>
              <w:t>产品的，则该处填写“无”字样。</w:t>
            </w:r>
          </w:p>
        </w:tc>
      </w:tr>
      <w:tr w14:paraId="65FD5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9493" w:type="dxa"/>
            <w:gridSpan w:val="9"/>
          </w:tcPr>
          <w:p w14:paraId="32BFD220">
            <w:pPr>
              <w:pStyle w:val="23"/>
              <w:widowControl w:val="0"/>
              <w:spacing w:line="360" w:lineRule="auto"/>
              <w:ind w:firstLine="420" w:firstLineChars="200"/>
              <w:jc w:val="both"/>
              <w:rPr>
                <w:color w:val="auto"/>
                <w:sz w:val="21"/>
                <w:szCs w:val="21"/>
                <w:highlight w:val="none"/>
                <w:lang w:eastAsia="zh-CN"/>
              </w:rPr>
            </w:pPr>
            <w:r>
              <w:rPr>
                <w:color w:val="auto"/>
                <w:sz w:val="21"/>
                <w:szCs w:val="21"/>
                <w:highlight w:val="none"/>
                <w:lang w:eastAsia="zh-CN"/>
              </w:rPr>
              <w:t>说明：供应商谈判报价应包括本次采购范围内货物价款、货物随配标准附件、包装、运输、装卸、 保险、税金、货到位以及安装、安装所需辅材、调试、检验、售后服务、培训、保修、验收及其他所有成本费用的总和，供应商应综合考虑在报价中。</w:t>
            </w:r>
          </w:p>
        </w:tc>
      </w:tr>
    </w:tbl>
    <w:p w14:paraId="5FB8FAE4">
      <w:pPr>
        <w:pStyle w:val="7"/>
        <w:widowControl w:val="0"/>
        <w:spacing w:line="360" w:lineRule="auto"/>
        <w:ind w:firstLine="420" w:firstLineChars="200"/>
        <w:rPr>
          <w:color w:val="auto"/>
          <w:highlight w:val="none"/>
          <w:lang w:eastAsia="zh-CN"/>
        </w:rPr>
      </w:pPr>
    </w:p>
    <w:p w14:paraId="180981C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供应商</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64A8954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法定代表人(负责人、 自然人)或委托代理人签字</w:t>
      </w:r>
      <w:r>
        <w:rPr>
          <w:rFonts w:ascii="宋体" w:hAnsi="宋体" w:eastAsia="宋体" w:cs="宋体"/>
          <w:b/>
          <w:bCs/>
          <w:color w:val="auto"/>
          <w:highlight w:val="none"/>
          <w:lang w:eastAsia="zh-CN"/>
        </w:rPr>
        <w:t>（或个人</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CA</w:t>
      </w:r>
      <w:r>
        <w:rPr>
          <w:rFonts w:ascii="宋体" w:hAnsi="宋体" w:eastAsia="宋体" w:cs="宋体"/>
          <w:color w:val="auto"/>
          <w:highlight w:val="none"/>
          <w:lang w:eastAsia="zh-CN"/>
        </w:rPr>
        <w:t xml:space="preserve"> </w:t>
      </w:r>
      <w:r>
        <w:rPr>
          <w:rFonts w:ascii="宋体" w:hAnsi="宋体" w:eastAsia="宋体" w:cs="宋体"/>
          <w:b/>
          <w:bCs/>
          <w:color w:val="auto"/>
          <w:highlight w:val="none"/>
          <w:lang w:eastAsia="zh-CN"/>
        </w:rPr>
        <w:t>证书签章）</w:t>
      </w:r>
      <w:r>
        <w:rPr>
          <w:rFonts w:ascii="宋体" w:hAnsi="宋体" w:eastAsia="宋体" w:cs="宋体"/>
          <w:color w:val="auto"/>
          <w:highlight w:val="none"/>
          <w:lang w:eastAsia="zh-CN"/>
        </w:rPr>
        <w:t>：</w:t>
      </w:r>
    </w:p>
    <w:p w14:paraId="31E9795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日          期：</w:t>
      </w:r>
    </w:p>
    <w:p w14:paraId="352B77A9">
      <w:pPr>
        <w:pStyle w:val="7"/>
        <w:widowControl w:val="0"/>
        <w:spacing w:line="360" w:lineRule="auto"/>
        <w:ind w:firstLine="420" w:firstLineChars="200"/>
        <w:rPr>
          <w:color w:val="auto"/>
          <w:highlight w:val="none"/>
          <w:lang w:eastAsia="zh-CN"/>
        </w:rPr>
      </w:pPr>
    </w:p>
    <w:p w14:paraId="5C1CB9E1">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w:t>
      </w:r>
    </w:p>
    <w:p w14:paraId="23E93B9F">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1.</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供应商必须就“采购需求</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”中的全部内容作完整唯一报价，响应文件只允许有一个报价方案，有选择的或有条件的报价将不予接受。</w:t>
      </w:r>
    </w:p>
    <w:p w14:paraId="4106F3EB">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2.供应商应如实填写谈判报价表的各项内容，否则，响应无效。</w:t>
      </w:r>
    </w:p>
    <w:p w14:paraId="00C1556D">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3.谈判报价表由多页构成时，须由法定代表人(负责人、自然人)或相应的委托代理人签字（或个人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证书签章）加盖供应商公章（CA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20CCCAB0">
      <w:pPr>
        <w:widowControl w:val="0"/>
        <w:spacing w:line="360" w:lineRule="auto"/>
        <w:ind w:firstLine="400" w:firstLineChars="200"/>
        <w:rPr>
          <w:rFonts w:ascii="宋体" w:hAnsi="宋体" w:eastAsia="宋体" w:cs="宋体"/>
          <w:color w:val="auto"/>
          <w:sz w:val="20"/>
          <w:szCs w:val="20"/>
          <w:highlight w:val="none"/>
          <w:lang w:eastAsia="zh-CN"/>
        </w:rPr>
        <w:sectPr>
          <w:footerReference r:id="rId19" w:type="default"/>
          <w:pgSz w:w="11906" w:h="16839"/>
          <w:pgMar w:top="1417" w:right="1417" w:bottom="1417" w:left="1417" w:header="0" w:footer="1097" w:gutter="0"/>
          <w:cols w:space="720" w:num="1"/>
        </w:sectPr>
      </w:pPr>
    </w:p>
    <w:p w14:paraId="1402A789">
      <w:pPr>
        <w:widowControl w:val="0"/>
        <w:spacing w:line="360" w:lineRule="auto"/>
        <w:rPr>
          <w:rFonts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lang w:eastAsia="zh-CN"/>
        </w:rPr>
        <w:t>3</w:t>
      </w:r>
      <w:r>
        <w:rPr>
          <w:rFonts w:ascii="宋体" w:hAnsi="宋体" w:eastAsia="宋体" w:cs="宋体"/>
          <w:b/>
          <w:bCs/>
          <w:color w:val="auto"/>
          <w:sz w:val="28"/>
          <w:szCs w:val="28"/>
          <w:highlight w:val="none"/>
          <w:lang w:eastAsia="zh-CN"/>
        </w:rPr>
        <w:t>.技术响应表（必须提供）</w:t>
      </w:r>
    </w:p>
    <w:p w14:paraId="70D1F7B0">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2FB60D3D">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技术响应表（格式）</w:t>
      </w:r>
    </w:p>
    <w:p w14:paraId="33329D5B">
      <w:pPr>
        <w:widowControl w:val="0"/>
        <w:spacing w:line="360" w:lineRule="auto"/>
        <w:ind w:firstLine="420" w:firstLineChars="200"/>
        <w:rPr>
          <w:color w:val="auto"/>
          <w:highlight w:val="none"/>
          <w:lang w:eastAsia="zh-CN"/>
        </w:rPr>
      </w:pPr>
    </w:p>
    <w:tbl>
      <w:tblPr>
        <w:tblStyle w:val="2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078"/>
        <w:gridCol w:w="2605"/>
        <w:gridCol w:w="2638"/>
        <w:gridCol w:w="1471"/>
      </w:tblGrid>
      <w:tr w14:paraId="3FF10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734" w:type="dxa"/>
          </w:tcPr>
          <w:p w14:paraId="749DAC89">
            <w:pPr>
              <w:widowControl w:val="0"/>
              <w:spacing w:line="360" w:lineRule="auto"/>
              <w:ind w:firstLine="420" w:firstLineChars="200"/>
              <w:rPr>
                <w:color w:val="auto"/>
                <w:highlight w:val="none"/>
                <w:lang w:eastAsia="zh-CN"/>
              </w:rPr>
            </w:pPr>
          </w:p>
          <w:p w14:paraId="74542DCB">
            <w:pPr>
              <w:pStyle w:val="23"/>
              <w:widowControl w:val="0"/>
              <w:spacing w:line="360" w:lineRule="auto"/>
              <w:rPr>
                <w:color w:val="auto"/>
                <w:highlight w:val="none"/>
              </w:rPr>
            </w:pPr>
            <w:r>
              <w:rPr>
                <w:color w:val="auto"/>
                <w:highlight w:val="none"/>
              </w:rPr>
              <w:t>项号</w:t>
            </w:r>
          </w:p>
        </w:tc>
        <w:tc>
          <w:tcPr>
            <w:tcW w:w="1078" w:type="dxa"/>
          </w:tcPr>
          <w:p w14:paraId="7968B08C">
            <w:pPr>
              <w:widowControl w:val="0"/>
              <w:spacing w:line="360" w:lineRule="auto"/>
              <w:ind w:firstLine="420" w:firstLineChars="200"/>
              <w:rPr>
                <w:color w:val="auto"/>
                <w:highlight w:val="none"/>
              </w:rPr>
            </w:pPr>
          </w:p>
          <w:p w14:paraId="4EF64B8F">
            <w:pPr>
              <w:pStyle w:val="23"/>
              <w:widowControl w:val="0"/>
              <w:spacing w:line="360" w:lineRule="auto"/>
              <w:jc w:val="center"/>
              <w:rPr>
                <w:color w:val="auto"/>
                <w:highlight w:val="none"/>
              </w:rPr>
            </w:pPr>
            <w:r>
              <w:rPr>
                <w:color w:val="auto"/>
                <w:highlight w:val="none"/>
              </w:rPr>
              <w:t>标的名称</w:t>
            </w:r>
          </w:p>
        </w:tc>
        <w:tc>
          <w:tcPr>
            <w:tcW w:w="2605" w:type="dxa"/>
            <w:vAlign w:val="center"/>
          </w:tcPr>
          <w:p w14:paraId="349D9136">
            <w:pPr>
              <w:pStyle w:val="23"/>
              <w:widowControl w:val="0"/>
              <w:spacing w:line="360" w:lineRule="auto"/>
              <w:jc w:val="center"/>
              <w:rPr>
                <w:color w:val="auto"/>
                <w:highlight w:val="none"/>
                <w:lang w:eastAsia="zh-CN"/>
              </w:rPr>
            </w:pPr>
            <w:r>
              <w:rPr>
                <w:rFonts w:ascii="Times New Roman" w:hAnsi="Times New Roman"/>
                <w:color w:val="auto"/>
                <w:szCs w:val="21"/>
                <w:highlight w:val="none"/>
                <w:lang w:eastAsia="zh-CN"/>
              </w:rPr>
              <w:t>竞争性谈判文件第三章 采购需求的“技术要求”</w:t>
            </w:r>
          </w:p>
        </w:tc>
        <w:tc>
          <w:tcPr>
            <w:tcW w:w="2638" w:type="dxa"/>
            <w:vAlign w:val="center"/>
          </w:tcPr>
          <w:p w14:paraId="64BF2B9E">
            <w:pPr>
              <w:pStyle w:val="23"/>
              <w:widowControl w:val="0"/>
              <w:spacing w:line="360" w:lineRule="auto"/>
              <w:jc w:val="center"/>
              <w:rPr>
                <w:color w:val="auto"/>
                <w:highlight w:val="none"/>
              </w:rPr>
            </w:pPr>
            <w:r>
              <w:rPr>
                <w:rFonts w:hint="eastAsia"/>
                <w:color w:val="auto"/>
                <w:highlight w:val="none"/>
              </w:rPr>
              <w:t>响应文件的响应情况</w:t>
            </w:r>
          </w:p>
        </w:tc>
        <w:tc>
          <w:tcPr>
            <w:tcW w:w="1471" w:type="dxa"/>
            <w:vAlign w:val="center"/>
          </w:tcPr>
          <w:p w14:paraId="2C44C9DB">
            <w:pPr>
              <w:pStyle w:val="23"/>
              <w:widowControl w:val="0"/>
              <w:spacing w:line="360" w:lineRule="auto"/>
              <w:jc w:val="center"/>
              <w:rPr>
                <w:color w:val="auto"/>
                <w:highlight w:val="none"/>
              </w:rPr>
            </w:pPr>
            <w:r>
              <w:rPr>
                <w:color w:val="auto"/>
                <w:highlight w:val="none"/>
              </w:rPr>
              <w:t>偏离情况说明</w:t>
            </w:r>
          </w:p>
        </w:tc>
      </w:tr>
      <w:tr w14:paraId="6A9D0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34" w:type="dxa"/>
          </w:tcPr>
          <w:p w14:paraId="096EA6C6">
            <w:pPr>
              <w:pStyle w:val="23"/>
              <w:widowControl w:val="0"/>
              <w:spacing w:line="360" w:lineRule="auto"/>
              <w:ind w:firstLine="400" w:firstLineChars="200"/>
              <w:rPr>
                <w:color w:val="auto"/>
                <w:highlight w:val="none"/>
              </w:rPr>
            </w:pPr>
            <w:r>
              <w:rPr>
                <w:color w:val="auto"/>
                <w:highlight w:val="none"/>
              </w:rPr>
              <w:t>1</w:t>
            </w:r>
          </w:p>
        </w:tc>
        <w:tc>
          <w:tcPr>
            <w:tcW w:w="1078" w:type="dxa"/>
          </w:tcPr>
          <w:p w14:paraId="1D061D5B">
            <w:pPr>
              <w:widowControl w:val="0"/>
              <w:spacing w:line="360" w:lineRule="auto"/>
              <w:ind w:firstLine="420" w:firstLineChars="200"/>
              <w:rPr>
                <w:color w:val="auto"/>
                <w:highlight w:val="none"/>
              </w:rPr>
            </w:pPr>
          </w:p>
        </w:tc>
        <w:tc>
          <w:tcPr>
            <w:tcW w:w="2605" w:type="dxa"/>
          </w:tcPr>
          <w:p w14:paraId="6D6E47FE">
            <w:pPr>
              <w:widowControl w:val="0"/>
              <w:spacing w:line="360" w:lineRule="auto"/>
              <w:ind w:firstLine="420" w:firstLineChars="200"/>
              <w:rPr>
                <w:color w:val="auto"/>
                <w:highlight w:val="none"/>
              </w:rPr>
            </w:pPr>
          </w:p>
        </w:tc>
        <w:tc>
          <w:tcPr>
            <w:tcW w:w="2638" w:type="dxa"/>
          </w:tcPr>
          <w:p w14:paraId="63081A5F">
            <w:pPr>
              <w:widowControl w:val="0"/>
              <w:spacing w:line="360" w:lineRule="auto"/>
              <w:ind w:firstLine="420" w:firstLineChars="200"/>
              <w:rPr>
                <w:color w:val="auto"/>
                <w:highlight w:val="none"/>
              </w:rPr>
            </w:pPr>
          </w:p>
        </w:tc>
        <w:tc>
          <w:tcPr>
            <w:tcW w:w="1471" w:type="dxa"/>
          </w:tcPr>
          <w:p w14:paraId="24FB624A">
            <w:pPr>
              <w:widowControl w:val="0"/>
              <w:spacing w:line="360" w:lineRule="auto"/>
              <w:ind w:firstLine="420" w:firstLineChars="200"/>
              <w:rPr>
                <w:color w:val="auto"/>
                <w:highlight w:val="none"/>
              </w:rPr>
            </w:pPr>
          </w:p>
        </w:tc>
      </w:tr>
      <w:tr w14:paraId="06BD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34" w:type="dxa"/>
          </w:tcPr>
          <w:p w14:paraId="19463368">
            <w:pPr>
              <w:pStyle w:val="23"/>
              <w:widowControl w:val="0"/>
              <w:spacing w:line="360" w:lineRule="auto"/>
              <w:ind w:firstLine="400" w:firstLineChars="200"/>
              <w:rPr>
                <w:color w:val="auto"/>
                <w:highlight w:val="none"/>
              </w:rPr>
            </w:pPr>
            <w:r>
              <w:rPr>
                <w:color w:val="auto"/>
                <w:highlight w:val="none"/>
              </w:rPr>
              <w:t>2</w:t>
            </w:r>
          </w:p>
        </w:tc>
        <w:tc>
          <w:tcPr>
            <w:tcW w:w="1078" w:type="dxa"/>
          </w:tcPr>
          <w:p w14:paraId="3E42B395">
            <w:pPr>
              <w:widowControl w:val="0"/>
              <w:spacing w:line="360" w:lineRule="auto"/>
              <w:ind w:firstLine="420" w:firstLineChars="200"/>
              <w:rPr>
                <w:color w:val="auto"/>
                <w:highlight w:val="none"/>
              </w:rPr>
            </w:pPr>
          </w:p>
        </w:tc>
        <w:tc>
          <w:tcPr>
            <w:tcW w:w="2605" w:type="dxa"/>
          </w:tcPr>
          <w:p w14:paraId="72505C42">
            <w:pPr>
              <w:widowControl w:val="0"/>
              <w:spacing w:line="360" w:lineRule="auto"/>
              <w:ind w:firstLine="420" w:firstLineChars="200"/>
              <w:rPr>
                <w:color w:val="auto"/>
                <w:highlight w:val="none"/>
              </w:rPr>
            </w:pPr>
          </w:p>
        </w:tc>
        <w:tc>
          <w:tcPr>
            <w:tcW w:w="2638" w:type="dxa"/>
          </w:tcPr>
          <w:p w14:paraId="269670C3">
            <w:pPr>
              <w:widowControl w:val="0"/>
              <w:spacing w:line="360" w:lineRule="auto"/>
              <w:ind w:firstLine="420" w:firstLineChars="200"/>
              <w:rPr>
                <w:color w:val="auto"/>
                <w:highlight w:val="none"/>
              </w:rPr>
            </w:pPr>
          </w:p>
        </w:tc>
        <w:tc>
          <w:tcPr>
            <w:tcW w:w="1471" w:type="dxa"/>
          </w:tcPr>
          <w:p w14:paraId="065FB6E2">
            <w:pPr>
              <w:widowControl w:val="0"/>
              <w:spacing w:line="360" w:lineRule="auto"/>
              <w:ind w:firstLine="420" w:firstLineChars="200"/>
              <w:rPr>
                <w:color w:val="auto"/>
                <w:highlight w:val="none"/>
              </w:rPr>
            </w:pPr>
          </w:p>
        </w:tc>
      </w:tr>
      <w:tr w14:paraId="61A3D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734" w:type="dxa"/>
          </w:tcPr>
          <w:p w14:paraId="06AC978C">
            <w:pPr>
              <w:pStyle w:val="23"/>
              <w:widowControl w:val="0"/>
              <w:spacing w:line="360" w:lineRule="auto"/>
              <w:ind w:firstLine="400" w:firstLineChars="200"/>
              <w:rPr>
                <w:color w:val="auto"/>
                <w:highlight w:val="none"/>
              </w:rPr>
            </w:pPr>
            <w:r>
              <w:rPr>
                <w:color w:val="auto"/>
                <w:highlight w:val="none"/>
              </w:rPr>
              <w:t>...</w:t>
            </w:r>
          </w:p>
        </w:tc>
        <w:tc>
          <w:tcPr>
            <w:tcW w:w="1078" w:type="dxa"/>
          </w:tcPr>
          <w:p w14:paraId="581F8D7E">
            <w:pPr>
              <w:widowControl w:val="0"/>
              <w:spacing w:line="360" w:lineRule="auto"/>
              <w:ind w:firstLine="420" w:firstLineChars="200"/>
              <w:rPr>
                <w:color w:val="auto"/>
                <w:highlight w:val="none"/>
              </w:rPr>
            </w:pPr>
          </w:p>
        </w:tc>
        <w:tc>
          <w:tcPr>
            <w:tcW w:w="2605" w:type="dxa"/>
          </w:tcPr>
          <w:p w14:paraId="103A0586">
            <w:pPr>
              <w:widowControl w:val="0"/>
              <w:spacing w:line="360" w:lineRule="auto"/>
              <w:ind w:firstLine="420" w:firstLineChars="200"/>
              <w:rPr>
                <w:color w:val="auto"/>
                <w:highlight w:val="none"/>
              </w:rPr>
            </w:pPr>
          </w:p>
        </w:tc>
        <w:tc>
          <w:tcPr>
            <w:tcW w:w="2638" w:type="dxa"/>
          </w:tcPr>
          <w:p w14:paraId="3C02F11C">
            <w:pPr>
              <w:widowControl w:val="0"/>
              <w:spacing w:line="360" w:lineRule="auto"/>
              <w:ind w:firstLine="420" w:firstLineChars="200"/>
              <w:rPr>
                <w:color w:val="auto"/>
                <w:highlight w:val="none"/>
              </w:rPr>
            </w:pPr>
          </w:p>
        </w:tc>
        <w:tc>
          <w:tcPr>
            <w:tcW w:w="1471" w:type="dxa"/>
          </w:tcPr>
          <w:p w14:paraId="2E725442">
            <w:pPr>
              <w:widowControl w:val="0"/>
              <w:spacing w:line="360" w:lineRule="auto"/>
              <w:ind w:firstLine="420" w:firstLineChars="200"/>
              <w:rPr>
                <w:color w:val="auto"/>
                <w:highlight w:val="none"/>
              </w:rPr>
            </w:pPr>
          </w:p>
        </w:tc>
      </w:tr>
      <w:tr w14:paraId="50F69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734" w:type="dxa"/>
          </w:tcPr>
          <w:p w14:paraId="51A2371E">
            <w:pPr>
              <w:widowControl w:val="0"/>
              <w:spacing w:line="360" w:lineRule="auto"/>
              <w:ind w:firstLine="420" w:firstLineChars="200"/>
              <w:rPr>
                <w:color w:val="auto"/>
                <w:highlight w:val="none"/>
              </w:rPr>
            </w:pPr>
          </w:p>
        </w:tc>
        <w:tc>
          <w:tcPr>
            <w:tcW w:w="1078" w:type="dxa"/>
          </w:tcPr>
          <w:p w14:paraId="76F53861">
            <w:pPr>
              <w:widowControl w:val="0"/>
              <w:spacing w:line="360" w:lineRule="auto"/>
              <w:ind w:firstLine="420" w:firstLineChars="200"/>
              <w:rPr>
                <w:color w:val="auto"/>
                <w:highlight w:val="none"/>
              </w:rPr>
            </w:pPr>
          </w:p>
        </w:tc>
        <w:tc>
          <w:tcPr>
            <w:tcW w:w="2605" w:type="dxa"/>
          </w:tcPr>
          <w:p w14:paraId="363ABC61">
            <w:pPr>
              <w:widowControl w:val="0"/>
              <w:spacing w:line="360" w:lineRule="auto"/>
              <w:ind w:firstLine="420" w:firstLineChars="200"/>
              <w:rPr>
                <w:color w:val="auto"/>
                <w:highlight w:val="none"/>
              </w:rPr>
            </w:pPr>
          </w:p>
        </w:tc>
        <w:tc>
          <w:tcPr>
            <w:tcW w:w="2638" w:type="dxa"/>
          </w:tcPr>
          <w:p w14:paraId="04C09AC9">
            <w:pPr>
              <w:widowControl w:val="0"/>
              <w:spacing w:line="360" w:lineRule="auto"/>
              <w:ind w:firstLine="420" w:firstLineChars="200"/>
              <w:rPr>
                <w:color w:val="auto"/>
                <w:highlight w:val="none"/>
              </w:rPr>
            </w:pPr>
          </w:p>
        </w:tc>
        <w:tc>
          <w:tcPr>
            <w:tcW w:w="1471" w:type="dxa"/>
          </w:tcPr>
          <w:p w14:paraId="1CAB0DC9">
            <w:pPr>
              <w:widowControl w:val="0"/>
              <w:spacing w:line="360" w:lineRule="auto"/>
              <w:ind w:firstLine="420" w:firstLineChars="200"/>
              <w:rPr>
                <w:color w:val="auto"/>
                <w:highlight w:val="none"/>
              </w:rPr>
            </w:pPr>
          </w:p>
        </w:tc>
      </w:tr>
    </w:tbl>
    <w:p w14:paraId="45B186C7">
      <w:pPr>
        <w:pStyle w:val="12"/>
        <w:spacing w:line="360" w:lineRule="exact"/>
        <w:rPr>
          <w:rFonts w:hAnsi="宋体" w:cs="宋体"/>
          <w:bCs/>
          <w:color w:val="auto"/>
          <w:highlight w:val="none"/>
        </w:rPr>
      </w:pPr>
      <w:r>
        <w:rPr>
          <w:rFonts w:hint="eastAsia" w:hAnsi="宋体" w:cs="宋体"/>
          <w:bCs/>
          <w:color w:val="auto"/>
          <w:highlight w:val="none"/>
        </w:rPr>
        <w:t>注：</w:t>
      </w:r>
    </w:p>
    <w:p w14:paraId="49367B89">
      <w:pPr>
        <w:pStyle w:val="12"/>
        <w:spacing w:line="360" w:lineRule="exact"/>
        <w:ind w:firstLine="420" w:firstLineChars="200"/>
        <w:rPr>
          <w:rFonts w:hAnsi="宋体" w:eastAsia="宋体" w:cs="宋体"/>
          <w:color w:val="auto"/>
          <w:highlight w:val="none"/>
          <w:lang w:eastAsia="zh-CN"/>
        </w:rPr>
      </w:pPr>
      <w:r>
        <w:rPr>
          <w:rFonts w:hint="eastAsia" w:hAnsi="宋体" w:eastAsia="宋体" w:cs="宋体"/>
          <w:bCs/>
          <w:color w:val="auto"/>
          <w:highlight w:val="none"/>
          <w:lang w:eastAsia="zh-CN"/>
        </w:rPr>
        <w:t>1.</w:t>
      </w:r>
      <w:r>
        <w:rPr>
          <w:rFonts w:hint="eastAsia" w:hAnsi="宋体" w:eastAsia="宋体" w:cs="宋体"/>
          <w:color w:val="auto"/>
          <w:highlight w:val="none"/>
          <w:lang w:eastAsia="zh-CN"/>
        </w:rPr>
        <w:t xml:space="preserve">供应商应根据提供货物的性能指标承诺（即：谈判报价表）、对照“采购需求”详细注明响应情况，并按格式填写此表，当所提供货物的技术参数性能指标等承诺出现“正偏离”情况时，应详细填写偏离情况说明及提供相应有效的证明材料，否则，谈判小组有权不予认定“正偏离”情况。      </w:t>
      </w:r>
    </w:p>
    <w:p w14:paraId="5A209665">
      <w:pPr>
        <w:pStyle w:val="7"/>
        <w:widowControl w:val="0"/>
        <w:spacing w:line="360" w:lineRule="auto"/>
        <w:ind w:firstLine="420" w:firstLineChars="200"/>
        <w:rPr>
          <w:rFonts w:ascii="宋体" w:hAnsi="宋体" w:eastAsia="宋体" w:cs="宋体"/>
          <w:bCs/>
          <w:color w:val="auto"/>
          <w:highlight w:val="none"/>
          <w:lang w:eastAsia="zh-CN"/>
        </w:rPr>
      </w:pPr>
      <w:r>
        <w:rPr>
          <w:rFonts w:hint="eastAsia" w:ascii="宋体" w:hAnsi="宋体" w:eastAsia="宋体" w:cs="宋体"/>
          <w:bCs/>
          <w:color w:val="auto"/>
          <w:highlight w:val="none"/>
          <w:lang w:eastAsia="zh-CN"/>
        </w:rPr>
        <w:t>2.如果采购需求为小于或小于等于、大于或大于等于、以上、以下、以内、届满、不满、超过、以外某个数值标准时，响应文件承诺不得直接复制采购需求，响应文件承诺内容应当写明竞标货物具体参数或商务响应承诺的具体数值，否则按竞标无效处理。</w:t>
      </w:r>
    </w:p>
    <w:p w14:paraId="0318D489">
      <w:pPr>
        <w:pStyle w:val="7"/>
        <w:widowControl w:val="0"/>
        <w:spacing w:line="360" w:lineRule="auto"/>
        <w:ind w:firstLine="420" w:firstLineChars="200"/>
        <w:rPr>
          <w:color w:val="auto"/>
          <w:highlight w:val="none"/>
          <w:lang w:eastAsia="zh-CN"/>
        </w:rPr>
      </w:pPr>
      <w:r>
        <w:rPr>
          <w:rFonts w:hint="eastAsia" w:ascii="宋体" w:hAnsi="宋体" w:eastAsia="宋体" w:cs="宋体"/>
          <w:bCs/>
          <w:color w:val="auto"/>
          <w:highlight w:val="none"/>
          <w:lang w:eastAsia="zh-CN"/>
        </w:rPr>
        <w:t>3.响应情况偏离表须</w:t>
      </w:r>
      <w:r>
        <w:rPr>
          <w:rFonts w:hint="eastAsia" w:ascii="宋体" w:hAnsi="宋体" w:eastAsia="宋体" w:cs="宋体"/>
          <w:color w:val="auto"/>
          <w:highlight w:val="none"/>
          <w:lang w:eastAsia="zh-CN"/>
        </w:rPr>
        <w:t>加盖供应商CA签章（自然人签字或加盖个人CA签章）。当本表由多页构成时，需逐页加盖供应商CA签章（属自然人的须逐页签字或加盖个人CA签章）。</w:t>
      </w:r>
    </w:p>
    <w:p w14:paraId="135FD1C4">
      <w:pPr>
        <w:pStyle w:val="7"/>
        <w:widowControl w:val="0"/>
        <w:spacing w:line="360" w:lineRule="auto"/>
        <w:ind w:firstLine="420" w:firstLineChars="200"/>
        <w:rPr>
          <w:color w:val="auto"/>
          <w:highlight w:val="none"/>
          <w:lang w:eastAsia="zh-CN"/>
        </w:rPr>
      </w:pPr>
    </w:p>
    <w:p w14:paraId="5645C5D5">
      <w:pPr>
        <w:pStyle w:val="7"/>
        <w:widowControl w:val="0"/>
        <w:spacing w:line="360" w:lineRule="auto"/>
        <w:ind w:firstLine="420" w:firstLineChars="200"/>
        <w:rPr>
          <w:color w:val="auto"/>
          <w:highlight w:val="none"/>
          <w:lang w:eastAsia="zh-CN"/>
        </w:rPr>
      </w:pPr>
    </w:p>
    <w:p w14:paraId="72FAA0D4">
      <w:pPr>
        <w:pStyle w:val="7"/>
        <w:widowControl w:val="0"/>
        <w:spacing w:line="360" w:lineRule="auto"/>
        <w:ind w:firstLine="420" w:firstLineChars="200"/>
        <w:rPr>
          <w:color w:val="auto"/>
          <w:highlight w:val="none"/>
          <w:lang w:eastAsia="zh-CN"/>
        </w:rPr>
      </w:pPr>
    </w:p>
    <w:p w14:paraId="53C6EC23">
      <w:pPr>
        <w:pStyle w:val="7"/>
        <w:widowControl w:val="0"/>
        <w:spacing w:line="360" w:lineRule="auto"/>
        <w:ind w:firstLine="420" w:firstLineChars="200"/>
        <w:rPr>
          <w:color w:val="auto"/>
          <w:highlight w:val="none"/>
          <w:lang w:eastAsia="zh-CN"/>
        </w:rPr>
      </w:pPr>
    </w:p>
    <w:p w14:paraId="485AFE14">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供应商</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r>
        <w:rPr>
          <w:rFonts w:ascii="宋体" w:hAnsi="宋体" w:eastAsia="宋体" w:cs="宋体"/>
          <w:color w:val="auto"/>
          <w:sz w:val="20"/>
          <w:szCs w:val="20"/>
          <w:highlight w:val="none"/>
          <w:lang w:eastAsia="zh-CN"/>
        </w:rPr>
        <w:t>：</w:t>
      </w:r>
    </w:p>
    <w:p w14:paraId="6ABC03F1">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法定代表人(负责人、 自然人)或委托代理人签字</w:t>
      </w:r>
      <w:r>
        <w:rPr>
          <w:rFonts w:ascii="宋体" w:hAnsi="宋体" w:eastAsia="宋体" w:cs="宋体"/>
          <w:b/>
          <w:bCs/>
          <w:color w:val="auto"/>
          <w:sz w:val="20"/>
          <w:szCs w:val="20"/>
          <w:highlight w:val="none"/>
          <w:lang w:eastAsia="zh-CN"/>
        </w:rPr>
        <w:t>（或个人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r>
        <w:rPr>
          <w:rFonts w:ascii="宋体" w:hAnsi="宋体" w:eastAsia="宋体" w:cs="宋体"/>
          <w:color w:val="auto"/>
          <w:sz w:val="20"/>
          <w:szCs w:val="20"/>
          <w:highlight w:val="none"/>
          <w:lang w:eastAsia="zh-CN"/>
        </w:rPr>
        <w:t>：</w:t>
      </w:r>
    </w:p>
    <w:p w14:paraId="12CFBDCB">
      <w:pPr>
        <w:widowControl w:val="0"/>
        <w:spacing w:line="360" w:lineRule="auto"/>
        <w:ind w:firstLine="400" w:firstLineChars="200"/>
        <w:rPr>
          <w:color w:val="auto"/>
          <w:highlight w:val="none"/>
          <w:lang w:eastAsia="zh-CN"/>
        </w:rPr>
      </w:pPr>
      <w:r>
        <w:rPr>
          <w:rFonts w:ascii="宋体" w:hAnsi="宋体" w:eastAsia="宋体" w:cs="宋体"/>
          <w:color w:val="auto"/>
          <w:sz w:val="20"/>
          <w:szCs w:val="20"/>
          <w:highlight w:val="none"/>
          <w:lang w:eastAsia="zh-CN"/>
        </w:rPr>
        <w:t>日          期：</w:t>
      </w:r>
    </w:p>
    <w:p w14:paraId="31F3CE74">
      <w:pPr>
        <w:pStyle w:val="7"/>
        <w:widowControl w:val="0"/>
        <w:spacing w:line="360" w:lineRule="auto"/>
        <w:ind w:firstLine="420" w:firstLineChars="200"/>
        <w:rPr>
          <w:color w:val="auto"/>
          <w:highlight w:val="none"/>
          <w:lang w:eastAsia="zh-CN"/>
        </w:rPr>
      </w:pPr>
    </w:p>
    <w:p w14:paraId="7658A40A">
      <w:pPr>
        <w:pStyle w:val="7"/>
        <w:widowControl w:val="0"/>
        <w:spacing w:line="360" w:lineRule="auto"/>
        <w:ind w:firstLine="420" w:firstLineChars="200"/>
        <w:rPr>
          <w:color w:val="auto"/>
          <w:highlight w:val="none"/>
          <w:lang w:eastAsia="zh-CN"/>
        </w:rPr>
      </w:pPr>
    </w:p>
    <w:p w14:paraId="305BD79F">
      <w:pPr>
        <w:widowControl w:val="0"/>
        <w:spacing w:line="360" w:lineRule="auto"/>
        <w:ind w:firstLine="402" w:firstLineChars="200"/>
        <w:rPr>
          <w:rFonts w:ascii="宋体" w:hAnsi="宋体" w:eastAsia="宋体" w:cs="宋体"/>
          <w:color w:val="auto"/>
          <w:sz w:val="20"/>
          <w:szCs w:val="20"/>
          <w:highlight w:val="none"/>
          <w:lang w:eastAsia="zh-CN"/>
        </w:rPr>
      </w:pPr>
      <w:r>
        <w:rPr>
          <w:rFonts w:ascii="宋体" w:hAnsi="宋体" w:eastAsia="宋体" w:cs="宋体"/>
          <w:b/>
          <w:bCs/>
          <w:color w:val="auto"/>
          <w:sz w:val="20"/>
          <w:szCs w:val="20"/>
          <w:highlight w:val="none"/>
          <w:lang w:eastAsia="zh-CN"/>
        </w:rPr>
        <w:t>注：技术响应表须由法定代表人(负责人、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自然人)或相应的委托代理人签字（或个人CA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书签章）并加盖供应商公章（CA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1D232022">
      <w:pPr>
        <w:widowControl w:val="0"/>
        <w:spacing w:line="360" w:lineRule="auto"/>
        <w:ind w:firstLine="400" w:firstLineChars="200"/>
        <w:rPr>
          <w:rFonts w:ascii="宋体" w:hAnsi="宋体" w:eastAsia="宋体" w:cs="宋体"/>
          <w:color w:val="auto"/>
          <w:sz w:val="20"/>
          <w:szCs w:val="20"/>
          <w:highlight w:val="none"/>
          <w:lang w:eastAsia="zh-CN"/>
        </w:rPr>
        <w:sectPr>
          <w:headerReference r:id="rId20" w:type="default"/>
          <w:footerReference r:id="rId21" w:type="default"/>
          <w:pgSz w:w="11906" w:h="16839"/>
          <w:pgMar w:top="1417" w:right="1417" w:bottom="1417" w:left="1417" w:header="1180" w:footer="1407" w:gutter="0"/>
          <w:cols w:space="720" w:num="1"/>
        </w:sectPr>
      </w:pPr>
    </w:p>
    <w:p w14:paraId="1E196E6A">
      <w:pPr>
        <w:widowControl w:val="0"/>
        <w:spacing w:line="360" w:lineRule="auto"/>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4.商务响应表（必须提供）</w:t>
      </w:r>
      <w:r>
        <w:rPr>
          <w:rFonts w:ascii="宋体" w:hAnsi="宋体" w:eastAsia="宋体" w:cs="宋体"/>
          <w:color w:val="auto"/>
          <w:sz w:val="28"/>
          <w:szCs w:val="28"/>
          <w:highlight w:val="none"/>
          <w:lang w:eastAsia="zh-CN"/>
        </w:rPr>
        <w:t xml:space="preserve"> </w:t>
      </w:r>
    </w:p>
    <w:p w14:paraId="354B99FF">
      <w:pPr>
        <w:widowControl w:val="0"/>
        <w:spacing w:line="360" w:lineRule="auto"/>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50FAEDE0">
      <w:pPr>
        <w:widowControl w:val="0"/>
        <w:spacing w:line="360" w:lineRule="auto"/>
        <w:jc w:val="center"/>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商务响应表（格式）</w:t>
      </w:r>
    </w:p>
    <w:tbl>
      <w:tblPr>
        <w:tblStyle w:val="22"/>
        <w:tblW w:w="87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17"/>
        <w:gridCol w:w="3184"/>
        <w:gridCol w:w="2908"/>
        <w:gridCol w:w="1086"/>
      </w:tblGrid>
      <w:tr w14:paraId="494FE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617" w:type="dxa"/>
            <w:vAlign w:val="center"/>
          </w:tcPr>
          <w:p w14:paraId="526A8D62">
            <w:pPr>
              <w:pStyle w:val="23"/>
              <w:widowControl w:val="0"/>
              <w:spacing w:line="360" w:lineRule="auto"/>
              <w:ind w:firstLine="402" w:firstLineChars="200"/>
              <w:jc w:val="center"/>
              <w:rPr>
                <w:color w:val="auto"/>
                <w:highlight w:val="none"/>
              </w:rPr>
            </w:pPr>
            <w:r>
              <w:rPr>
                <w:b/>
                <w:bCs/>
                <w:color w:val="auto"/>
                <w:highlight w:val="none"/>
              </w:rPr>
              <w:t>项目</w:t>
            </w:r>
          </w:p>
        </w:tc>
        <w:tc>
          <w:tcPr>
            <w:tcW w:w="3184" w:type="dxa"/>
            <w:vAlign w:val="center"/>
          </w:tcPr>
          <w:p w14:paraId="73DD8A9F">
            <w:pPr>
              <w:pStyle w:val="23"/>
              <w:widowControl w:val="0"/>
              <w:spacing w:line="360" w:lineRule="auto"/>
              <w:jc w:val="center"/>
              <w:rPr>
                <w:color w:val="auto"/>
                <w:highlight w:val="none"/>
                <w:lang w:eastAsia="zh-CN"/>
              </w:rPr>
            </w:pPr>
            <w:r>
              <w:rPr>
                <w:b/>
                <w:bCs/>
                <w:color w:val="auto"/>
                <w:highlight w:val="none"/>
                <w:lang w:eastAsia="zh-CN"/>
              </w:rPr>
              <w:t>竞争性谈判文件的“商务要求</w:t>
            </w:r>
            <w:r>
              <w:rPr>
                <w:color w:val="auto"/>
                <w:highlight w:val="none"/>
                <w:lang w:eastAsia="zh-CN"/>
              </w:rPr>
              <w:t xml:space="preserve"> </w:t>
            </w:r>
            <w:r>
              <w:rPr>
                <w:b/>
                <w:bCs/>
                <w:color w:val="auto"/>
                <w:highlight w:val="none"/>
                <w:lang w:eastAsia="zh-CN"/>
              </w:rPr>
              <w:t>”</w:t>
            </w:r>
          </w:p>
        </w:tc>
        <w:tc>
          <w:tcPr>
            <w:tcW w:w="2908" w:type="dxa"/>
            <w:vAlign w:val="center"/>
          </w:tcPr>
          <w:p w14:paraId="295BE397">
            <w:pPr>
              <w:pStyle w:val="23"/>
              <w:widowControl w:val="0"/>
              <w:spacing w:line="360" w:lineRule="auto"/>
              <w:jc w:val="center"/>
              <w:rPr>
                <w:color w:val="auto"/>
                <w:highlight w:val="none"/>
                <w:lang w:eastAsia="zh-CN"/>
              </w:rPr>
            </w:pPr>
            <w:r>
              <w:rPr>
                <w:b/>
                <w:bCs/>
                <w:color w:val="auto"/>
                <w:highlight w:val="none"/>
                <w:lang w:eastAsia="zh-CN"/>
              </w:rPr>
              <w:t>对应“商务要求</w:t>
            </w:r>
            <w:r>
              <w:rPr>
                <w:color w:val="auto"/>
                <w:highlight w:val="none"/>
                <w:lang w:eastAsia="zh-CN"/>
              </w:rPr>
              <w:t xml:space="preserve"> </w:t>
            </w:r>
            <w:r>
              <w:rPr>
                <w:b/>
                <w:bCs/>
                <w:color w:val="auto"/>
                <w:highlight w:val="none"/>
                <w:lang w:eastAsia="zh-CN"/>
              </w:rPr>
              <w:t>”，</w:t>
            </w:r>
            <w:r>
              <w:rPr>
                <w:color w:val="auto"/>
                <w:highlight w:val="none"/>
                <w:lang w:eastAsia="zh-CN"/>
              </w:rPr>
              <w:t xml:space="preserve"> </w:t>
            </w:r>
            <w:r>
              <w:rPr>
                <w:b/>
                <w:bCs/>
                <w:color w:val="auto"/>
                <w:highlight w:val="none"/>
                <w:lang w:eastAsia="zh-CN"/>
              </w:rPr>
              <w:t>供应商</w:t>
            </w:r>
            <w:r>
              <w:rPr>
                <w:color w:val="auto"/>
                <w:highlight w:val="none"/>
                <w:lang w:eastAsia="zh-CN"/>
              </w:rPr>
              <w:t xml:space="preserve"> </w:t>
            </w:r>
            <w:r>
              <w:rPr>
                <w:b/>
                <w:bCs/>
                <w:color w:val="auto"/>
                <w:highlight w:val="none"/>
                <w:lang w:eastAsia="zh-CN"/>
              </w:rPr>
              <w:t>的详细响应情况</w:t>
            </w:r>
          </w:p>
        </w:tc>
        <w:tc>
          <w:tcPr>
            <w:tcW w:w="1086" w:type="dxa"/>
            <w:vAlign w:val="center"/>
          </w:tcPr>
          <w:p w14:paraId="13C43D9C">
            <w:pPr>
              <w:pStyle w:val="23"/>
              <w:widowControl w:val="0"/>
              <w:spacing w:line="360" w:lineRule="auto"/>
              <w:jc w:val="center"/>
              <w:rPr>
                <w:color w:val="auto"/>
                <w:highlight w:val="none"/>
              </w:rPr>
            </w:pPr>
            <w:r>
              <w:rPr>
                <w:b/>
                <w:bCs/>
                <w:color w:val="auto"/>
                <w:highlight w:val="none"/>
              </w:rPr>
              <w:t>偏离情况说明</w:t>
            </w:r>
          </w:p>
        </w:tc>
      </w:tr>
      <w:tr w14:paraId="02AC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617" w:type="dxa"/>
            <w:vAlign w:val="center"/>
          </w:tcPr>
          <w:p w14:paraId="71596293">
            <w:pPr>
              <w:spacing w:line="560" w:lineRule="exact"/>
              <w:jc w:val="left"/>
              <w:rPr>
                <w:color w:val="auto"/>
                <w:highlight w:val="none"/>
                <w:lang w:eastAsia="zh-CN"/>
              </w:rPr>
            </w:pPr>
            <w:r>
              <w:rPr>
                <w:rFonts w:hint="eastAsia" w:ascii="Times New Roman" w:hAnsi="Times New Roman"/>
                <w:color w:val="auto"/>
                <w:highlight w:val="none"/>
                <w:lang w:eastAsia="zh-CN"/>
              </w:rPr>
              <w:t>（一）</w:t>
            </w:r>
            <w:r>
              <w:rPr>
                <w:rFonts w:ascii="Times New Roman" w:hAnsi="Times New Roman"/>
                <w:color w:val="auto"/>
                <w:highlight w:val="none"/>
                <w:lang w:eastAsia="zh-CN"/>
              </w:rPr>
              <w:t>采购标的交付地点</w:t>
            </w:r>
            <w:r>
              <w:rPr>
                <w:rFonts w:hint="eastAsia" w:ascii="Times New Roman" w:hAnsi="Times New Roman" w:eastAsia="宋体"/>
                <w:color w:val="auto"/>
                <w:highlight w:val="none"/>
                <w:lang w:eastAsia="zh-CN"/>
              </w:rPr>
              <w:t>和</w:t>
            </w:r>
            <w:r>
              <w:rPr>
                <w:rFonts w:hint="eastAsia" w:ascii="Times New Roman" w:hAnsi="Times New Roman"/>
                <w:color w:val="auto"/>
                <w:highlight w:val="none"/>
                <w:lang w:eastAsia="zh-CN"/>
              </w:rPr>
              <w:t>交付时间</w:t>
            </w:r>
          </w:p>
        </w:tc>
        <w:tc>
          <w:tcPr>
            <w:tcW w:w="3184" w:type="dxa"/>
          </w:tcPr>
          <w:p w14:paraId="15AEE1CF">
            <w:pPr>
              <w:widowControl w:val="0"/>
              <w:spacing w:line="360" w:lineRule="auto"/>
              <w:ind w:firstLine="420" w:firstLineChars="200"/>
              <w:rPr>
                <w:color w:val="auto"/>
                <w:highlight w:val="none"/>
                <w:lang w:eastAsia="zh-CN"/>
              </w:rPr>
            </w:pPr>
          </w:p>
        </w:tc>
        <w:tc>
          <w:tcPr>
            <w:tcW w:w="2908" w:type="dxa"/>
          </w:tcPr>
          <w:p w14:paraId="47FEDD29">
            <w:pPr>
              <w:widowControl w:val="0"/>
              <w:spacing w:line="360" w:lineRule="auto"/>
              <w:ind w:firstLine="420" w:firstLineChars="200"/>
              <w:rPr>
                <w:color w:val="auto"/>
                <w:highlight w:val="none"/>
                <w:lang w:eastAsia="zh-CN"/>
              </w:rPr>
            </w:pPr>
          </w:p>
        </w:tc>
        <w:tc>
          <w:tcPr>
            <w:tcW w:w="1086" w:type="dxa"/>
          </w:tcPr>
          <w:p w14:paraId="41B238B1">
            <w:pPr>
              <w:widowControl w:val="0"/>
              <w:spacing w:line="360" w:lineRule="auto"/>
              <w:ind w:firstLine="420" w:firstLineChars="200"/>
              <w:rPr>
                <w:color w:val="auto"/>
                <w:highlight w:val="none"/>
                <w:lang w:eastAsia="zh-CN"/>
              </w:rPr>
            </w:pPr>
          </w:p>
        </w:tc>
      </w:tr>
      <w:tr w14:paraId="38D7F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617" w:type="dxa"/>
            <w:vAlign w:val="center"/>
          </w:tcPr>
          <w:p w14:paraId="604D95AC">
            <w:pPr>
              <w:spacing w:line="560" w:lineRule="exact"/>
              <w:jc w:val="left"/>
              <w:rPr>
                <w:color w:val="auto"/>
                <w:highlight w:val="none"/>
                <w:lang w:eastAsia="zh-CN"/>
              </w:rPr>
            </w:pPr>
            <w:r>
              <w:rPr>
                <w:rFonts w:ascii="Times New Roman" w:hAnsi="Times New Roman"/>
                <w:bCs/>
                <w:color w:val="auto"/>
                <w:highlight w:val="none"/>
                <w:lang w:eastAsia="zh-CN"/>
              </w:rPr>
              <w:t>（</w:t>
            </w:r>
            <w:r>
              <w:rPr>
                <w:rFonts w:hint="eastAsia" w:ascii="Times New Roman" w:hAnsi="Times New Roman" w:eastAsia="宋体"/>
                <w:bCs/>
                <w:color w:val="auto"/>
                <w:highlight w:val="none"/>
                <w:lang w:eastAsia="zh-CN"/>
              </w:rPr>
              <w:t>二</w:t>
            </w:r>
            <w:r>
              <w:rPr>
                <w:rFonts w:ascii="Times New Roman" w:hAnsi="Times New Roman"/>
                <w:bCs/>
                <w:color w:val="auto"/>
                <w:highlight w:val="none"/>
                <w:lang w:eastAsia="zh-CN"/>
              </w:rPr>
              <w:t>）付款条件（进度和方式）</w:t>
            </w:r>
          </w:p>
        </w:tc>
        <w:tc>
          <w:tcPr>
            <w:tcW w:w="3184" w:type="dxa"/>
          </w:tcPr>
          <w:p w14:paraId="3C43256E">
            <w:pPr>
              <w:widowControl w:val="0"/>
              <w:spacing w:line="360" w:lineRule="auto"/>
              <w:ind w:firstLine="420" w:firstLineChars="200"/>
              <w:rPr>
                <w:color w:val="auto"/>
                <w:highlight w:val="none"/>
                <w:lang w:eastAsia="zh-CN"/>
              </w:rPr>
            </w:pPr>
          </w:p>
        </w:tc>
        <w:tc>
          <w:tcPr>
            <w:tcW w:w="2908" w:type="dxa"/>
          </w:tcPr>
          <w:p w14:paraId="76F94572">
            <w:pPr>
              <w:widowControl w:val="0"/>
              <w:spacing w:line="360" w:lineRule="auto"/>
              <w:ind w:firstLine="420" w:firstLineChars="200"/>
              <w:rPr>
                <w:color w:val="auto"/>
                <w:highlight w:val="none"/>
                <w:lang w:eastAsia="zh-CN"/>
              </w:rPr>
            </w:pPr>
          </w:p>
        </w:tc>
        <w:tc>
          <w:tcPr>
            <w:tcW w:w="1086" w:type="dxa"/>
          </w:tcPr>
          <w:p w14:paraId="6DF1246A">
            <w:pPr>
              <w:widowControl w:val="0"/>
              <w:spacing w:line="360" w:lineRule="auto"/>
              <w:ind w:firstLine="420" w:firstLineChars="200"/>
              <w:rPr>
                <w:color w:val="auto"/>
                <w:highlight w:val="none"/>
                <w:lang w:eastAsia="zh-CN"/>
              </w:rPr>
            </w:pPr>
          </w:p>
        </w:tc>
      </w:tr>
      <w:tr w14:paraId="4F41A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17" w:type="dxa"/>
            <w:vAlign w:val="center"/>
          </w:tcPr>
          <w:p w14:paraId="2C2240D8">
            <w:pPr>
              <w:spacing w:line="560" w:lineRule="exact"/>
              <w:jc w:val="left"/>
              <w:rPr>
                <w:color w:val="auto"/>
                <w:highlight w:val="none"/>
              </w:rPr>
            </w:pPr>
            <w:r>
              <w:rPr>
                <w:rFonts w:ascii="Times New Roman" w:hAnsi="Times New Roman"/>
                <w:bCs/>
                <w:color w:val="auto"/>
                <w:highlight w:val="none"/>
              </w:rPr>
              <w:t>（</w:t>
            </w:r>
            <w:r>
              <w:rPr>
                <w:rFonts w:hint="eastAsia" w:ascii="Times New Roman" w:hAnsi="Times New Roman"/>
                <w:bCs/>
                <w:color w:val="auto"/>
                <w:highlight w:val="none"/>
                <w:lang w:eastAsia="zh-CN"/>
              </w:rPr>
              <w:t>三</w:t>
            </w:r>
            <w:r>
              <w:rPr>
                <w:rFonts w:ascii="Times New Roman" w:hAnsi="Times New Roman"/>
                <w:bCs/>
                <w:color w:val="auto"/>
                <w:highlight w:val="none"/>
              </w:rPr>
              <w:t>）售后服务</w:t>
            </w:r>
          </w:p>
        </w:tc>
        <w:tc>
          <w:tcPr>
            <w:tcW w:w="3184" w:type="dxa"/>
          </w:tcPr>
          <w:p w14:paraId="4E1DC823">
            <w:pPr>
              <w:widowControl w:val="0"/>
              <w:spacing w:line="360" w:lineRule="auto"/>
              <w:ind w:firstLine="420" w:firstLineChars="200"/>
              <w:rPr>
                <w:color w:val="auto"/>
                <w:highlight w:val="none"/>
              </w:rPr>
            </w:pPr>
          </w:p>
        </w:tc>
        <w:tc>
          <w:tcPr>
            <w:tcW w:w="2908" w:type="dxa"/>
          </w:tcPr>
          <w:p w14:paraId="160F7DFF">
            <w:pPr>
              <w:widowControl w:val="0"/>
              <w:spacing w:line="360" w:lineRule="auto"/>
              <w:ind w:firstLine="420" w:firstLineChars="200"/>
              <w:rPr>
                <w:color w:val="auto"/>
                <w:highlight w:val="none"/>
              </w:rPr>
            </w:pPr>
          </w:p>
        </w:tc>
        <w:tc>
          <w:tcPr>
            <w:tcW w:w="1086" w:type="dxa"/>
          </w:tcPr>
          <w:p w14:paraId="2C115822">
            <w:pPr>
              <w:widowControl w:val="0"/>
              <w:spacing w:line="360" w:lineRule="auto"/>
              <w:ind w:firstLine="420" w:firstLineChars="200"/>
              <w:rPr>
                <w:color w:val="auto"/>
                <w:highlight w:val="none"/>
              </w:rPr>
            </w:pPr>
          </w:p>
        </w:tc>
      </w:tr>
      <w:tr w14:paraId="67C1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617" w:type="dxa"/>
            <w:vAlign w:val="center"/>
          </w:tcPr>
          <w:p w14:paraId="3438D208">
            <w:pPr>
              <w:spacing w:line="560" w:lineRule="exact"/>
              <w:jc w:val="left"/>
              <w:rPr>
                <w:rFonts w:hint="eastAsia" w:ascii="Times New Roman" w:hAnsi="Times New Roman" w:eastAsia="宋体"/>
                <w:bCs/>
                <w:color w:val="auto"/>
                <w:highlight w:val="none"/>
                <w:lang w:eastAsia="zh-CN"/>
              </w:rPr>
            </w:pPr>
            <w:r>
              <w:rPr>
                <w:rFonts w:ascii="Times New Roman" w:hAnsi="Times New Roman"/>
                <w:bCs/>
                <w:color w:val="auto"/>
                <w:highlight w:val="none"/>
              </w:rPr>
              <w:t>（</w:t>
            </w:r>
            <w:r>
              <w:rPr>
                <w:rFonts w:hint="eastAsia" w:ascii="Times New Roman" w:hAnsi="Times New Roman" w:eastAsia="宋体"/>
                <w:bCs/>
                <w:color w:val="auto"/>
                <w:highlight w:val="none"/>
                <w:lang w:eastAsia="zh-CN"/>
              </w:rPr>
              <w:t>四</w:t>
            </w:r>
            <w:r>
              <w:rPr>
                <w:rFonts w:ascii="Times New Roman" w:hAnsi="Times New Roman"/>
                <w:bCs/>
                <w:color w:val="auto"/>
                <w:highlight w:val="none"/>
              </w:rPr>
              <w:t>）</w:t>
            </w:r>
            <w:r>
              <w:rPr>
                <w:rFonts w:hint="eastAsia" w:ascii="Times New Roman" w:hAnsi="Times New Roman" w:eastAsia="宋体"/>
                <w:bCs/>
                <w:color w:val="auto"/>
                <w:highlight w:val="none"/>
                <w:lang w:eastAsia="zh-CN"/>
              </w:rPr>
              <w:t>验收</w:t>
            </w:r>
          </w:p>
        </w:tc>
        <w:tc>
          <w:tcPr>
            <w:tcW w:w="3184" w:type="dxa"/>
          </w:tcPr>
          <w:p w14:paraId="60A9E694">
            <w:pPr>
              <w:widowControl w:val="0"/>
              <w:spacing w:line="360" w:lineRule="auto"/>
              <w:ind w:firstLine="420" w:firstLineChars="200"/>
              <w:rPr>
                <w:color w:val="auto"/>
                <w:highlight w:val="none"/>
              </w:rPr>
            </w:pPr>
          </w:p>
        </w:tc>
        <w:tc>
          <w:tcPr>
            <w:tcW w:w="2908" w:type="dxa"/>
          </w:tcPr>
          <w:p w14:paraId="4C89FAE5">
            <w:pPr>
              <w:widowControl w:val="0"/>
              <w:spacing w:line="360" w:lineRule="auto"/>
              <w:ind w:firstLine="420" w:firstLineChars="200"/>
              <w:rPr>
                <w:color w:val="auto"/>
                <w:highlight w:val="none"/>
              </w:rPr>
            </w:pPr>
          </w:p>
        </w:tc>
        <w:tc>
          <w:tcPr>
            <w:tcW w:w="1086" w:type="dxa"/>
          </w:tcPr>
          <w:p w14:paraId="699004C0">
            <w:pPr>
              <w:widowControl w:val="0"/>
              <w:spacing w:line="360" w:lineRule="auto"/>
              <w:ind w:firstLine="420" w:firstLineChars="200"/>
              <w:rPr>
                <w:color w:val="auto"/>
                <w:highlight w:val="none"/>
              </w:rPr>
            </w:pPr>
          </w:p>
        </w:tc>
      </w:tr>
      <w:tr w14:paraId="595B7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617" w:type="dxa"/>
            <w:vAlign w:val="center"/>
          </w:tcPr>
          <w:p w14:paraId="28480CE1">
            <w:pPr>
              <w:spacing w:line="560" w:lineRule="exact"/>
              <w:jc w:val="left"/>
              <w:rPr>
                <w:color w:val="auto"/>
                <w:highlight w:val="none"/>
              </w:rPr>
            </w:pPr>
            <w:r>
              <w:rPr>
                <w:rFonts w:ascii="Times New Roman" w:hAnsi="Times New Roman"/>
                <w:bCs/>
                <w:color w:val="auto"/>
                <w:highlight w:val="none"/>
              </w:rPr>
              <w:t>（</w:t>
            </w:r>
            <w:r>
              <w:rPr>
                <w:rFonts w:hint="eastAsia" w:ascii="Times New Roman" w:hAnsi="Times New Roman" w:eastAsia="宋体"/>
                <w:bCs/>
                <w:color w:val="auto"/>
                <w:highlight w:val="none"/>
                <w:lang w:eastAsia="zh-CN"/>
              </w:rPr>
              <w:t>五</w:t>
            </w:r>
            <w:r>
              <w:rPr>
                <w:rFonts w:ascii="Times New Roman" w:hAnsi="Times New Roman"/>
                <w:bCs/>
                <w:color w:val="auto"/>
                <w:highlight w:val="none"/>
              </w:rPr>
              <w:t>）</w:t>
            </w:r>
            <w:r>
              <w:rPr>
                <w:rFonts w:hint="eastAsia" w:ascii="Times New Roman" w:hAnsi="Times New Roman" w:eastAsia="宋体"/>
                <w:bCs/>
                <w:color w:val="auto"/>
                <w:highlight w:val="none"/>
                <w:lang w:eastAsia="zh-CN"/>
              </w:rPr>
              <w:t>其他</w:t>
            </w:r>
          </w:p>
        </w:tc>
        <w:tc>
          <w:tcPr>
            <w:tcW w:w="3184" w:type="dxa"/>
          </w:tcPr>
          <w:p w14:paraId="78A64666">
            <w:pPr>
              <w:widowControl w:val="0"/>
              <w:spacing w:line="360" w:lineRule="auto"/>
              <w:ind w:firstLine="420" w:firstLineChars="200"/>
              <w:rPr>
                <w:color w:val="auto"/>
                <w:highlight w:val="none"/>
              </w:rPr>
            </w:pPr>
          </w:p>
        </w:tc>
        <w:tc>
          <w:tcPr>
            <w:tcW w:w="2908" w:type="dxa"/>
          </w:tcPr>
          <w:p w14:paraId="1ACEA554">
            <w:pPr>
              <w:widowControl w:val="0"/>
              <w:spacing w:line="360" w:lineRule="auto"/>
              <w:ind w:firstLine="420" w:firstLineChars="200"/>
              <w:rPr>
                <w:color w:val="auto"/>
                <w:highlight w:val="none"/>
              </w:rPr>
            </w:pPr>
          </w:p>
        </w:tc>
        <w:tc>
          <w:tcPr>
            <w:tcW w:w="1086" w:type="dxa"/>
          </w:tcPr>
          <w:p w14:paraId="1BFEF36C">
            <w:pPr>
              <w:widowControl w:val="0"/>
              <w:spacing w:line="360" w:lineRule="auto"/>
              <w:ind w:firstLine="420" w:firstLineChars="200"/>
              <w:rPr>
                <w:color w:val="auto"/>
                <w:highlight w:val="none"/>
              </w:rPr>
            </w:pPr>
          </w:p>
        </w:tc>
      </w:tr>
      <w:tr w14:paraId="1F6E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617" w:type="dxa"/>
          </w:tcPr>
          <w:p w14:paraId="55DE966E">
            <w:pPr>
              <w:widowControl w:val="0"/>
              <w:rPr>
                <w:color w:val="auto"/>
                <w:highlight w:val="none"/>
              </w:rPr>
            </w:pPr>
            <w:r>
              <w:rPr>
                <w:color w:val="auto"/>
                <w:highlight w:val="none"/>
              </w:rPr>
              <w:t>……</w:t>
            </w:r>
          </w:p>
        </w:tc>
        <w:tc>
          <w:tcPr>
            <w:tcW w:w="3184" w:type="dxa"/>
          </w:tcPr>
          <w:p w14:paraId="1E88A7F2">
            <w:pPr>
              <w:widowControl w:val="0"/>
              <w:rPr>
                <w:color w:val="auto"/>
                <w:highlight w:val="none"/>
              </w:rPr>
            </w:pPr>
            <w:r>
              <w:rPr>
                <w:color w:val="auto"/>
                <w:highlight w:val="none"/>
              </w:rPr>
              <w:t>……</w:t>
            </w:r>
          </w:p>
        </w:tc>
        <w:tc>
          <w:tcPr>
            <w:tcW w:w="2908" w:type="dxa"/>
          </w:tcPr>
          <w:p w14:paraId="10BC506F">
            <w:pPr>
              <w:widowControl w:val="0"/>
              <w:rPr>
                <w:color w:val="auto"/>
                <w:highlight w:val="none"/>
              </w:rPr>
            </w:pPr>
            <w:bookmarkStart w:id="34" w:name="_Toc2572"/>
            <w:r>
              <w:rPr>
                <w:color w:val="auto"/>
                <w:highlight w:val="none"/>
              </w:rPr>
              <w:t>……</w:t>
            </w:r>
            <w:bookmarkEnd w:id="34"/>
          </w:p>
        </w:tc>
        <w:tc>
          <w:tcPr>
            <w:tcW w:w="1086" w:type="dxa"/>
          </w:tcPr>
          <w:p w14:paraId="592FB046">
            <w:pPr>
              <w:widowControl w:val="0"/>
              <w:rPr>
                <w:color w:val="auto"/>
                <w:highlight w:val="none"/>
              </w:rPr>
            </w:pPr>
            <w:r>
              <w:rPr>
                <w:color w:val="auto"/>
                <w:highlight w:val="none"/>
              </w:rPr>
              <w:t>……</w:t>
            </w:r>
          </w:p>
        </w:tc>
      </w:tr>
    </w:tbl>
    <w:p w14:paraId="1E73D9EA">
      <w:pPr>
        <w:widowControl w:val="0"/>
        <w:spacing w:line="360" w:lineRule="auto"/>
        <w:ind w:firstLine="420" w:firstLineChars="200"/>
        <w:rPr>
          <w:rFonts w:ascii="宋体" w:hAnsi="宋体" w:eastAsia="宋体" w:cs="宋体"/>
          <w:color w:val="auto"/>
          <w:sz w:val="20"/>
          <w:szCs w:val="20"/>
          <w:highlight w:val="none"/>
          <w:lang w:eastAsia="zh-CN"/>
        </w:rPr>
      </w:pPr>
      <w:r>
        <w:rPr>
          <w:rFonts w:hint="eastAsia" w:ascii="宋体" w:hAnsi="宋体"/>
          <w:color w:val="auto"/>
          <w:highlight w:val="none"/>
          <w:lang w:eastAsia="zh-CN"/>
        </w:rPr>
        <w:t>注：供应商应对照竞争性谈判</w:t>
      </w:r>
      <w:r>
        <w:rPr>
          <w:rFonts w:ascii="宋体" w:hAnsi="宋体"/>
          <w:color w:val="auto"/>
          <w:highlight w:val="none"/>
          <w:lang w:eastAsia="zh-CN"/>
        </w:rPr>
        <w:t>文件</w:t>
      </w:r>
      <w:r>
        <w:rPr>
          <w:rFonts w:hint="eastAsia" w:ascii="宋体" w:hAnsi="宋体"/>
          <w:color w:val="auto"/>
          <w:highlight w:val="none"/>
          <w:lang w:eastAsia="zh-CN"/>
        </w:rPr>
        <w:t>中商务要求的内容逐条响应，并在“偏离情况”栏注明“正偏离”、“负偏离”或“无偏离”</w:t>
      </w:r>
    </w:p>
    <w:p w14:paraId="4221B3DF">
      <w:pPr>
        <w:widowControl w:val="0"/>
        <w:spacing w:line="360" w:lineRule="auto"/>
        <w:ind w:firstLine="400" w:firstLineChars="200"/>
        <w:rPr>
          <w:rFonts w:ascii="宋体" w:hAnsi="宋体" w:eastAsia="宋体" w:cs="宋体"/>
          <w:color w:val="auto"/>
          <w:sz w:val="20"/>
          <w:szCs w:val="20"/>
          <w:highlight w:val="none"/>
          <w:lang w:eastAsia="zh-CN"/>
        </w:rPr>
      </w:pPr>
    </w:p>
    <w:p w14:paraId="708B82E8">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供应商</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r>
        <w:rPr>
          <w:rFonts w:ascii="宋体" w:hAnsi="宋体" w:eastAsia="宋体" w:cs="宋体"/>
          <w:color w:val="auto"/>
          <w:sz w:val="20"/>
          <w:szCs w:val="20"/>
          <w:highlight w:val="none"/>
          <w:lang w:eastAsia="zh-CN"/>
        </w:rPr>
        <w:t>：</w:t>
      </w:r>
    </w:p>
    <w:p w14:paraId="1EC64B43">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法定代表人(负责人、 自然人)或委托代理人签字</w:t>
      </w:r>
      <w:r>
        <w:rPr>
          <w:rFonts w:ascii="宋体" w:hAnsi="宋体" w:eastAsia="宋体" w:cs="宋体"/>
          <w:b/>
          <w:bCs/>
          <w:color w:val="auto"/>
          <w:sz w:val="20"/>
          <w:szCs w:val="20"/>
          <w:highlight w:val="none"/>
          <w:lang w:eastAsia="zh-CN"/>
        </w:rPr>
        <w:t>（或个人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r>
        <w:rPr>
          <w:rFonts w:ascii="宋体" w:hAnsi="宋体" w:eastAsia="宋体" w:cs="宋体"/>
          <w:color w:val="auto"/>
          <w:sz w:val="20"/>
          <w:szCs w:val="20"/>
          <w:highlight w:val="none"/>
          <w:lang w:eastAsia="zh-CN"/>
        </w:rPr>
        <w:t>：</w:t>
      </w:r>
    </w:p>
    <w:p w14:paraId="334E9902">
      <w:pPr>
        <w:widowControl w:val="0"/>
        <w:spacing w:line="360" w:lineRule="auto"/>
        <w:ind w:firstLine="400" w:firstLineChars="200"/>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日          期：</w:t>
      </w:r>
    </w:p>
    <w:p w14:paraId="0B01A627">
      <w:pPr>
        <w:widowControl w:val="0"/>
        <w:spacing w:line="360" w:lineRule="auto"/>
        <w:ind w:firstLine="402" w:firstLineChars="200"/>
        <w:rPr>
          <w:rFonts w:ascii="宋体" w:hAnsi="宋体" w:eastAsia="宋体" w:cs="宋体"/>
          <w:b/>
          <w:bCs/>
          <w:color w:val="auto"/>
          <w:sz w:val="28"/>
          <w:szCs w:val="28"/>
          <w:highlight w:val="none"/>
          <w:lang w:eastAsia="zh-CN"/>
        </w:rPr>
      </w:pPr>
      <w:r>
        <w:rPr>
          <w:rFonts w:ascii="宋体" w:hAnsi="宋体" w:eastAsia="宋体" w:cs="宋体"/>
          <w:b/>
          <w:bCs/>
          <w:color w:val="auto"/>
          <w:sz w:val="20"/>
          <w:szCs w:val="20"/>
          <w:highlight w:val="none"/>
          <w:lang w:eastAsia="zh-CN"/>
        </w:rPr>
        <w:t>注：商务响应表须由法定代表人(负责人、</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自然人)或相应的委托代理人签字（或个人CA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书签章）并加盖供应商公章（CA</w:t>
      </w:r>
      <w:r>
        <w:rPr>
          <w:rFonts w:ascii="宋体" w:hAnsi="宋体" w:eastAsia="宋体" w:cs="宋体"/>
          <w:color w:val="auto"/>
          <w:sz w:val="20"/>
          <w:szCs w:val="20"/>
          <w:highlight w:val="none"/>
          <w:lang w:eastAsia="zh-CN"/>
        </w:rPr>
        <w:t xml:space="preserve"> </w:t>
      </w:r>
      <w:r>
        <w:rPr>
          <w:rFonts w:ascii="宋体" w:hAnsi="宋体" w:eastAsia="宋体" w:cs="宋体"/>
          <w:b/>
          <w:bCs/>
          <w:color w:val="auto"/>
          <w:sz w:val="20"/>
          <w:szCs w:val="20"/>
          <w:highlight w:val="none"/>
          <w:lang w:eastAsia="zh-CN"/>
        </w:rPr>
        <w:t>证书签章）。</w:t>
      </w:r>
    </w:p>
    <w:p w14:paraId="20CAFE33">
      <w:pPr>
        <w:widowControl w:val="0"/>
        <w:spacing w:line="360" w:lineRule="auto"/>
        <w:rPr>
          <w:rFonts w:ascii="宋体" w:hAnsi="宋体" w:eastAsia="宋体" w:cs="宋体"/>
          <w:b/>
          <w:bCs/>
          <w:color w:val="auto"/>
          <w:sz w:val="28"/>
          <w:szCs w:val="28"/>
          <w:highlight w:val="none"/>
          <w:lang w:eastAsia="zh-CN"/>
        </w:rPr>
      </w:pPr>
    </w:p>
    <w:p w14:paraId="401F9662">
      <w:pPr>
        <w:rPr>
          <w:rFonts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76FDCC58">
      <w:pPr>
        <w:widowControl w:val="0"/>
        <w:spacing w:line="360" w:lineRule="auto"/>
        <w:rPr>
          <w:rFonts w:ascii="宋体" w:hAnsi="宋体" w:eastAsia="宋体" w:cs="宋体"/>
          <w:b/>
          <w:bCs/>
          <w:color w:val="auto"/>
          <w:sz w:val="31"/>
          <w:szCs w:val="31"/>
          <w:highlight w:val="none"/>
          <w:lang w:eastAsia="zh-CN"/>
        </w:rPr>
      </w:pPr>
      <w:r>
        <w:rPr>
          <w:rFonts w:hint="eastAsia" w:ascii="宋体" w:hAnsi="宋体" w:eastAsia="宋体" w:cs="宋体"/>
          <w:b/>
          <w:bCs/>
          <w:color w:val="auto"/>
          <w:sz w:val="28"/>
          <w:szCs w:val="28"/>
          <w:highlight w:val="none"/>
          <w:lang w:eastAsia="zh-CN"/>
        </w:rPr>
        <w:t>5</w:t>
      </w:r>
      <w:r>
        <w:rPr>
          <w:rFonts w:ascii="宋体" w:hAnsi="宋体" w:eastAsia="宋体" w:cs="宋体"/>
          <w:b/>
          <w:bCs/>
          <w:color w:val="auto"/>
          <w:sz w:val="28"/>
          <w:szCs w:val="28"/>
          <w:highlight w:val="none"/>
          <w:lang w:eastAsia="zh-CN"/>
        </w:rPr>
        <w:t>.售后服务承诺书（必须提供）</w:t>
      </w:r>
    </w:p>
    <w:p w14:paraId="2D43E4B2">
      <w:pPr>
        <w:widowControl w:val="0"/>
        <w:spacing w:line="360" w:lineRule="auto"/>
        <w:ind w:firstLine="1556" w:firstLineChars="5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售后服务承诺书（格式，内容自拟）</w:t>
      </w:r>
    </w:p>
    <w:p w14:paraId="2D836B7D">
      <w:pPr>
        <w:pStyle w:val="7"/>
        <w:widowControl w:val="0"/>
        <w:spacing w:line="360" w:lineRule="auto"/>
        <w:ind w:firstLine="420" w:firstLineChars="200"/>
        <w:rPr>
          <w:color w:val="auto"/>
          <w:highlight w:val="none"/>
          <w:lang w:eastAsia="zh-CN"/>
        </w:rPr>
      </w:pPr>
    </w:p>
    <w:p w14:paraId="75754D52">
      <w:pPr>
        <w:widowControl w:val="0"/>
        <w:spacing w:line="360" w:lineRule="auto"/>
        <w:ind w:firstLine="480" w:firstLineChars="200"/>
        <w:outlineLvl w:val="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供应商(CA 证书签章)：</w:t>
      </w:r>
    </w:p>
    <w:p w14:paraId="3E880561">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法定代表人或相应的委托代理人签字（或个人 CA 证书签章）：</w:t>
      </w:r>
    </w:p>
    <w:p w14:paraId="618664CD">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日     期：</w:t>
      </w:r>
    </w:p>
    <w:p w14:paraId="628E18A2">
      <w:pPr>
        <w:pStyle w:val="7"/>
        <w:widowControl w:val="0"/>
        <w:spacing w:line="360" w:lineRule="auto"/>
        <w:ind w:firstLine="420" w:firstLineChars="200"/>
        <w:rPr>
          <w:color w:val="auto"/>
          <w:highlight w:val="none"/>
          <w:lang w:eastAsia="zh-CN"/>
        </w:rPr>
      </w:pPr>
    </w:p>
    <w:p w14:paraId="6309D166">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注：售后服务承诺书须由法定代表人或相应的委托代理人签字（或个人</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CA</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证书</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签章）并加盖投供应商公章（CA</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证书签章）。</w:t>
      </w:r>
    </w:p>
    <w:p w14:paraId="1180A82F">
      <w:pPr>
        <w:widowControl w:val="0"/>
        <w:spacing w:line="360" w:lineRule="auto"/>
        <w:ind w:firstLine="480" w:firstLineChars="200"/>
        <w:rPr>
          <w:rFonts w:ascii="宋体" w:hAnsi="宋体" w:eastAsia="宋体" w:cs="宋体"/>
          <w:color w:val="auto"/>
          <w:sz w:val="24"/>
          <w:szCs w:val="24"/>
          <w:highlight w:val="none"/>
          <w:lang w:eastAsia="zh-CN"/>
        </w:rPr>
      </w:pPr>
    </w:p>
    <w:p w14:paraId="3D271A9B">
      <w:pPr>
        <w:widowControl w:val="0"/>
        <w:spacing w:line="360" w:lineRule="auto"/>
        <w:ind w:firstLine="480" w:firstLineChars="200"/>
        <w:rPr>
          <w:rFonts w:ascii="宋体" w:hAnsi="宋体" w:eastAsia="宋体" w:cs="宋体"/>
          <w:color w:val="auto"/>
          <w:sz w:val="24"/>
          <w:szCs w:val="24"/>
          <w:highlight w:val="none"/>
          <w:lang w:eastAsia="zh-CN"/>
        </w:rPr>
      </w:pPr>
    </w:p>
    <w:p w14:paraId="73B65A01">
      <w:pPr>
        <w:widowControl w:val="0"/>
        <w:spacing w:line="360" w:lineRule="auto"/>
        <w:ind w:firstLine="480" w:firstLineChars="200"/>
        <w:rPr>
          <w:rFonts w:ascii="宋体" w:hAnsi="宋体" w:eastAsia="宋体" w:cs="宋体"/>
          <w:color w:val="auto"/>
          <w:sz w:val="24"/>
          <w:szCs w:val="24"/>
          <w:highlight w:val="none"/>
          <w:lang w:eastAsia="zh-CN"/>
        </w:rPr>
      </w:pPr>
    </w:p>
    <w:p w14:paraId="63DF3D30">
      <w:pPr>
        <w:widowControl w:val="0"/>
        <w:spacing w:line="360" w:lineRule="auto"/>
        <w:ind w:firstLine="480" w:firstLineChars="200"/>
        <w:rPr>
          <w:rFonts w:ascii="宋体" w:hAnsi="宋体" w:eastAsia="宋体" w:cs="宋体"/>
          <w:color w:val="auto"/>
          <w:sz w:val="24"/>
          <w:szCs w:val="24"/>
          <w:highlight w:val="none"/>
          <w:lang w:eastAsia="zh-CN"/>
        </w:rPr>
      </w:pPr>
    </w:p>
    <w:p w14:paraId="33C484FD">
      <w:pPr>
        <w:widowControl w:val="0"/>
        <w:spacing w:line="360" w:lineRule="auto"/>
        <w:ind w:firstLine="480" w:firstLineChars="200"/>
        <w:rPr>
          <w:rFonts w:ascii="宋体" w:hAnsi="宋体" w:eastAsia="宋体" w:cs="宋体"/>
          <w:color w:val="auto"/>
          <w:sz w:val="24"/>
          <w:szCs w:val="24"/>
          <w:highlight w:val="none"/>
          <w:lang w:eastAsia="zh-CN"/>
        </w:rPr>
      </w:pPr>
    </w:p>
    <w:p w14:paraId="090D7015">
      <w:pPr>
        <w:widowControl w:val="0"/>
        <w:spacing w:line="360" w:lineRule="auto"/>
        <w:ind w:firstLine="480" w:firstLineChars="200"/>
        <w:rPr>
          <w:rFonts w:ascii="宋体" w:hAnsi="宋体" w:eastAsia="宋体" w:cs="宋体"/>
          <w:color w:val="auto"/>
          <w:sz w:val="24"/>
          <w:szCs w:val="24"/>
          <w:highlight w:val="none"/>
          <w:lang w:eastAsia="zh-CN"/>
        </w:rPr>
      </w:pPr>
    </w:p>
    <w:p w14:paraId="6ED4A614">
      <w:pPr>
        <w:widowControl w:val="0"/>
        <w:spacing w:line="360" w:lineRule="auto"/>
        <w:rPr>
          <w:rFonts w:hint="eastAsia" w:ascii="宋体" w:hAnsi="宋体" w:eastAsia="宋体" w:cs="宋体"/>
          <w:b/>
          <w:bCs/>
          <w:color w:val="auto"/>
          <w:sz w:val="28"/>
          <w:szCs w:val="28"/>
          <w:highlight w:val="none"/>
          <w:lang w:eastAsia="zh-CN"/>
        </w:rPr>
        <w:sectPr>
          <w:headerReference r:id="rId22" w:type="default"/>
          <w:footerReference r:id="rId23" w:type="default"/>
          <w:pgSz w:w="11906" w:h="16839"/>
          <w:pgMar w:top="1417" w:right="1417" w:bottom="1417" w:left="1417" w:header="1180" w:footer="1407" w:gutter="0"/>
          <w:cols w:space="720" w:num="1"/>
        </w:sectPr>
      </w:pP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“采购需求 ”需提供的有效证明文件（按采购需求要求提供）</w:t>
      </w:r>
    </w:p>
    <w:p w14:paraId="457DC26D">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（三）其它有效证明材料目录</w:t>
      </w:r>
    </w:p>
    <w:p w14:paraId="63CB48EF">
      <w:pPr>
        <w:widowControl w:val="0"/>
        <w:spacing w:line="360" w:lineRule="auto"/>
        <w:ind w:firstLine="400" w:firstLineChars="200"/>
        <w:rPr>
          <w:rFonts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1.</w:t>
      </w:r>
      <w:r>
        <w:rPr>
          <w:rFonts w:ascii="宋体" w:hAnsi="宋体" w:eastAsia="宋体" w:cs="宋体"/>
          <w:color w:val="auto"/>
          <w:sz w:val="20"/>
          <w:szCs w:val="20"/>
          <w:highlight w:val="none"/>
          <w:lang w:eastAsia="zh-CN"/>
        </w:rPr>
        <w:t>增值售后服务方案（包括但不限于：①故障出现解决方案；②免费技术培训方案； ③免费保修期外维修方案；④其它优惠方案等）</w:t>
      </w:r>
      <w:r>
        <w:rPr>
          <w:rFonts w:ascii="宋体" w:hAnsi="宋体" w:eastAsia="宋体" w:cs="宋体"/>
          <w:b/>
          <w:bCs/>
          <w:color w:val="auto"/>
          <w:sz w:val="20"/>
          <w:szCs w:val="20"/>
          <w:highlight w:val="none"/>
          <w:lang w:eastAsia="zh-CN"/>
        </w:rPr>
        <w:t>（如有，请提供）；</w:t>
      </w:r>
    </w:p>
    <w:p w14:paraId="39A3B418">
      <w:pPr>
        <w:widowControl w:val="0"/>
        <w:spacing w:line="360" w:lineRule="auto"/>
        <w:ind w:firstLine="400" w:firstLineChars="200"/>
        <w:rPr>
          <w:rFonts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lang w:eastAsia="zh-CN"/>
        </w:rPr>
        <w:t>竞标供应商为生产厂家的，供应商的生产制造设备清单及专业技术能力说明</w:t>
      </w:r>
      <w:r>
        <w:rPr>
          <w:rFonts w:hint="eastAsia" w:ascii="宋体" w:hAnsi="宋体" w:eastAsia="宋体" w:cs="宋体"/>
          <w:b/>
          <w:bCs/>
          <w:color w:val="auto"/>
          <w:sz w:val="20"/>
          <w:szCs w:val="20"/>
          <w:highlight w:val="none"/>
          <w:lang w:eastAsia="zh-CN"/>
        </w:rPr>
        <w:t>（如有，请提供）</w:t>
      </w:r>
      <w:r>
        <w:rPr>
          <w:rFonts w:hint="eastAsia" w:ascii="宋体" w:hAnsi="宋体" w:eastAsia="宋体" w:cs="宋体"/>
          <w:color w:val="auto"/>
          <w:sz w:val="20"/>
          <w:szCs w:val="20"/>
          <w:highlight w:val="none"/>
          <w:lang w:eastAsia="zh-CN"/>
        </w:rPr>
        <w:t>；</w:t>
      </w:r>
    </w:p>
    <w:p w14:paraId="615710CC">
      <w:pPr>
        <w:widowControl w:val="0"/>
        <w:spacing w:line="360" w:lineRule="auto"/>
        <w:ind w:firstLine="400" w:firstLineChars="200"/>
        <w:rPr>
          <w:rFonts w:ascii="宋体" w:hAnsi="宋体" w:eastAsia="宋体" w:cs="宋体"/>
          <w:color w:val="auto"/>
          <w:sz w:val="20"/>
          <w:szCs w:val="20"/>
          <w:highlight w:val="none"/>
          <w:lang w:eastAsia="zh-CN"/>
        </w:rPr>
      </w:pPr>
      <w:r>
        <w:rPr>
          <w:rFonts w:hint="eastAsia" w:ascii="宋体" w:hAnsi="宋体" w:eastAsia="宋体" w:cs="宋体"/>
          <w:b w:val="0"/>
          <w:bCs w:val="0"/>
          <w:color w:val="auto"/>
          <w:sz w:val="20"/>
          <w:szCs w:val="20"/>
          <w:highlight w:val="none"/>
          <w:lang w:val="en-US" w:eastAsia="zh-CN"/>
        </w:rPr>
        <w:t>3.</w:t>
      </w:r>
      <w:r>
        <w:rPr>
          <w:rFonts w:ascii="宋体" w:hAnsi="宋体" w:eastAsia="宋体" w:cs="宋体"/>
          <w:b w:val="0"/>
          <w:bCs w:val="0"/>
          <w:color w:val="auto"/>
          <w:sz w:val="20"/>
          <w:szCs w:val="20"/>
          <w:highlight w:val="none"/>
          <w:lang w:eastAsia="zh-CN"/>
        </w:rPr>
        <w:t>节能、环保方面的证书复印件（若采购货物含有政府强制采购的节能产品时，</w:t>
      </w:r>
      <w:r>
        <w:rPr>
          <w:rFonts w:hint="eastAsia" w:ascii="宋体" w:hAnsi="宋体" w:eastAsia="宋体" w:cs="宋体"/>
          <w:b w:val="0"/>
          <w:bCs w:val="0"/>
          <w:color w:val="auto"/>
          <w:sz w:val="20"/>
          <w:szCs w:val="20"/>
          <w:highlight w:val="none"/>
          <w:lang w:eastAsia="zh-CN"/>
        </w:rPr>
        <w:t>竞标</w:t>
      </w:r>
      <w:r>
        <w:rPr>
          <w:rFonts w:ascii="宋体" w:hAnsi="宋体" w:eastAsia="宋体" w:cs="宋体"/>
          <w:b w:val="0"/>
          <w:bCs w:val="0"/>
          <w:color w:val="auto"/>
          <w:sz w:val="20"/>
          <w:szCs w:val="20"/>
          <w:highlight w:val="none"/>
          <w:lang w:eastAsia="zh-CN"/>
        </w:rPr>
        <w:t>供应商必须提供所投产品国家确定的认证机构出具的、处于有效期之内的节能产品认证证书复印件并加盖投供应商公章）；</w:t>
      </w:r>
    </w:p>
    <w:p w14:paraId="2AA50DB7">
      <w:pPr>
        <w:widowControl w:val="0"/>
        <w:spacing w:line="360" w:lineRule="auto"/>
        <w:ind w:firstLine="400" w:firstLineChars="200"/>
        <w:rPr>
          <w:rFonts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4.</w:t>
      </w:r>
      <w:r>
        <w:rPr>
          <w:rFonts w:hint="eastAsia" w:ascii="宋体" w:hAnsi="宋体" w:eastAsia="宋体" w:cs="宋体"/>
          <w:color w:val="auto"/>
          <w:sz w:val="20"/>
          <w:szCs w:val="20"/>
          <w:highlight w:val="none"/>
          <w:lang w:eastAsia="zh-CN"/>
        </w:rPr>
        <w:t>竞标</w:t>
      </w:r>
      <w:r>
        <w:rPr>
          <w:rFonts w:ascii="宋体" w:hAnsi="宋体" w:eastAsia="宋体" w:cs="宋体"/>
          <w:color w:val="auto"/>
          <w:sz w:val="20"/>
          <w:szCs w:val="20"/>
          <w:highlight w:val="none"/>
          <w:lang w:eastAsia="zh-CN"/>
        </w:rPr>
        <w:t>供应商具有同类产品的销售业绩的相关证明材料（无不良记录， 以中标、成交通知书或签订的销售合同为准，并能清晰反映所销售的货物名称、种类、金额）</w:t>
      </w:r>
      <w:r>
        <w:rPr>
          <w:rFonts w:ascii="宋体" w:hAnsi="宋体" w:eastAsia="宋体" w:cs="宋体"/>
          <w:b/>
          <w:bCs/>
          <w:color w:val="auto"/>
          <w:sz w:val="20"/>
          <w:szCs w:val="20"/>
          <w:highlight w:val="none"/>
          <w:lang w:eastAsia="zh-CN"/>
        </w:rPr>
        <w:t>（如有，请提供）；</w:t>
      </w:r>
    </w:p>
    <w:p w14:paraId="7E81975C">
      <w:pPr>
        <w:widowControl w:val="0"/>
        <w:spacing w:line="360" w:lineRule="auto"/>
        <w:ind w:firstLine="400" w:firstLineChars="200"/>
        <w:rPr>
          <w:rFonts w:ascii="宋体" w:hAnsi="宋体" w:eastAsia="宋体" w:cs="宋体"/>
          <w:b/>
          <w:bCs/>
          <w:color w:val="auto"/>
          <w:sz w:val="20"/>
          <w:szCs w:val="20"/>
          <w:highlight w:val="none"/>
          <w:lang w:eastAsia="zh-CN"/>
        </w:rPr>
      </w:pP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lang w:eastAsia="zh-CN"/>
        </w:rPr>
        <w:t>竞标</w:t>
      </w:r>
      <w:r>
        <w:rPr>
          <w:rFonts w:ascii="宋体" w:hAnsi="宋体" w:eastAsia="宋体" w:cs="宋体"/>
          <w:b w:val="0"/>
          <w:bCs w:val="0"/>
          <w:color w:val="auto"/>
          <w:sz w:val="20"/>
          <w:szCs w:val="20"/>
          <w:highlight w:val="none"/>
          <w:lang w:eastAsia="zh-CN"/>
        </w:rPr>
        <w:t>供应商相关获奖证书、认证证书等复印件</w:t>
      </w:r>
      <w:r>
        <w:rPr>
          <w:rFonts w:ascii="宋体" w:hAnsi="宋体" w:eastAsia="宋体" w:cs="宋体"/>
          <w:b/>
          <w:bCs/>
          <w:color w:val="auto"/>
          <w:sz w:val="20"/>
          <w:szCs w:val="20"/>
          <w:highlight w:val="none"/>
          <w:lang w:eastAsia="zh-CN"/>
        </w:rPr>
        <w:t>（如有，请提供）；</w:t>
      </w:r>
    </w:p>
    <w:p w14:paraId="52C24D26">
      <w:pPr>
        <w:widowControl w:val="0"/>
        <w:spacing w:line="360" w:lineRule="auto"/>
        <w:ind w:firstLine="400" w:firstLineChars="200"/>
        <w:rPr>
          <w:rFonts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6.</w:t>
      </w:r>
      <w:r>
        <w:rPr>
          <w:rFonts w:ascii="宋体" w:hAnsi="宋体" w:eastAsia="宋体" w:cs="宋体"/>
          <w:color w:val="auto"/>
          <w:sz w:val="20"/>
          <w:szCs w:val="20"/>
          <w:highlight w:val="none"/>
          <w:lang w:eastAsia="zh-CN"/>
        </w:rPr>
        <w:t xml:space="preserve"> 中小企业声明函【如供应商提供的货物由小型、微型企业（中小微型企业划分标准按照《国家统计局关于印发《统计上大中小微型企业划分办法〔2017〕》的通知》（国统 字〔2017〕213 号）执行）制造的，供应商应如实声明并对出具声明函的真实性负责。成交结果将同时公告该企业《中小企业声明函》，接受社会监督。】</w:t>
      </w:r>
      <w:r>
        <w:rPr>
          <w:rFonts w:ascii="宋体" w:hAnsi="宋体" w:eastAsia="宋体" w:cs="宋体"/>
          <w:b/>
          <w:bCs/>
          <w:color w:val="auto"/>
          <w:sz w:val="20"/>
          <w:szCs w:val="20"/>
          <w:highlight w:val="none"/>
          <w:lang w:eastAsia="zh-CN"/>
        </w:rPr>
        <w:t>（格式见附件，如有，请提供）</w:t>
      </w:r>
    </w:p>
    <w:p w14:paraId="3EE7E211">
      <w:pPr>
        <w:widowControl w:val="0"/>
        <w:spacing w:line="360" w:lineRule="auto"/>
        <w:ind w:firstLine="400" w:firstLineChars="200"/>
        <w:rPr>
          <w:rFonts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7.</w:t>
      </w:r>
      <w:r>
        <w:rPr>
          <w:rFonts w:ascii="宋体" w:hAnsi="宋体" w:eastAsia="宋体" w:cs="宋体"/>
          <w:color w:val="auto"/>
          <w:sz w:val="20"/>
          <w:szCs w:val="20"/>
          <w:highlight w:val="none"/>
          <w:lang w:eastAsia="zh-CN"/>
        </w:rPr>
        <w:t>属于监狱企业的，应当提供由省级以上监狱管理局、戒毒管理局(含新疆生产建设兵团)出具的属于监狱企业的证明文件</w:t>
      </w:r>
      <w:r>
        <w:rPr>
          <w:rFonts w:ascii="宋体" w:hAnsi="宋体" w:eastAsia="宋体" w:cs="宋体"/>
          <w:b/>
          <w:bCs/>
          <w:color w:val="auto"/>
          <w:sz w:val="20"/>
          <w:szCs w:val="20"/>
          <w:highlight w:val="none"/>
          <w:lang w:eastAsia="zh-CN"/>
        </w:rPr>
        <w:t>（如有，请提供）；</w:t>
      </w:r>
    </w:p>
    <w:p w14:paraId="007F297F">
      <w:pPr>
        <w:widowControl w:val="0"/>
        <w:spacing w:line="360" w:lineRule="auto"/>
        <w:ind w:firstLine="400" w:firstLineChars="200"/>
        <w:rPr>
          <w:rFonts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8.</w:t>
      </w:r>
      <w:r>
        <w:rPr>
          <w:rFonts w:ascii="宋体" w:hAnsi="宋体" w:eastAsia="宋体" w:cs="宋体"/>
          <w:color w:val="auto"/>
          <w:sz w:val="20"/>
          <w:szCs w:val="20"/>
          <w:highlight w:val="none"/>
          <w:lang w:eastAsia="zh-CN"/>
        </w:rPr>
        <w:t>符合条件的残疾人福利性单位在参加政府采购活动时，提供《残疾人福利性单位声明函》，并对声明的真实性负责</w:t>
      </w:r>
      <w:r>
        <w:rPr>
          <w:rFonts w:ascii="宋体" w:hAnsi="宋体" w:eastAsia="宋体" w:cs="宋体"/>
          <w:b/>
          <w:bCs/>
          <w:color w:val="auto"/>
          <w:sz w:val="20"/>
          <w:szCs w:val="20"/>
          <w:highlight w:val="none"/>
          <w:lang w:eastAsia="zh-CN"/>
        </w:rPr>
        <w:t>（如有，请提供）；</w:t>
      </w:r>
    </w:p>
    <w:p w14:paraId="60CC4D6F">
      <w:pPr>
        <w:widowControl w:val="0"/>
        <w:spacing w:line="360" w:lineRule="auto"/>
        <w:ind w:firstLine="400" w:firstLineChars="200"/>
        <w:rPr>
          <w:rFonts w:ascii="宋体" w:hAnsi="宋体" w:eastAsia="宋体" w:cs="宋体"/>
          <w:b/>
          <w:bCs/>
          <w:color w:val="auto"/>
          <w:sz w:val="20"/>
          <w:szCs w:val="20"/>
          <w:highlight w:val="none"/>
          <w:lang w:eastAsia="zh-CN"/>
        </w:rPr>
      </w:pPr>
      <w:r>
        <w:rPr>
          <w:rFonts w:hint="eastAsia" w:ascii="宋体" w:hAnsi="宋体" w:eastAsia="宋体" w:cs="宋体"/>
          <w:color w:val="auto"/>
          <w:sz w:val="20"/>
          <w:szCs w:val="20"/>
          <w:highlight w:val="none"/>
          <w:lang w:val="en-US" w:eastAsia="zh-CN"/>
        </w:rPr>
        <w:t>9.</w:t>
      </w:r>
      <w:r>
        <w:rPr>
          <w:rFonts w:ascii="宋体" w:hAnsi="宋体" w:eastAsia="宋体" w:cs="宋体"/>
          <w:color w:val="auto"/>
          <w:sz w:val="20"/>
          <w:szCs w:val="20"/>
          <w:highlight w:val="none"/>
          <w:lang w:eastAsia="zh-CN"/>
        </w:rPr>
        <w:t>供应商可结合本项目的评审办法视自身情况自行提交相关证明材料</w:t>
      </w:r>
      <w:r>
        <w:rPr>
          <w:rFonts w:ascii="宋体" w:hAnsi="宋体" w:eastAsia="宋体" w:cs="宋体"/>
          <w:b/>
          <w:bCs/>
          <w:color w:val="auto"/>
          <w:sz w:val="20"/>
          <w:szCs w:val="20"/>
          <w:highlight w:val="none"/>
          <w:lang w:eastAsia="zh-CN"/>
        </w:rPr>
        <w:t>（如有，请提供）。</w:t>
      </w:r>
    </w:p>
    <w:p w14:paraId="677FEFE7">
      <w:pPr>
        <w:widowControl w:val="0"/>
        <w:spacing w:line="360" w:lineRule="auto"/>
        <w:ind w:firstLine="402" w:firstLineChars="200"/>
        <w:rPr>
          <w:rFonts w:ascii="宋体" w:hAnsi="宋体" w:eastAsia="宋体" w:cs="宋体"/>
          <w:b/>
          <w:bCs/>
          <w:color w:val="auto"/>
          <w:sz w:val="20"/>
          <w:szCs w:val="20"/>
          <w:highlight w:val="none"/>
          <w:lang w:eastAsia="zh-CN"/>
        </w:rPr>
        <w:sectPr>
          <w:headerReference r:id="rId24" w:type="default"/>
          <w:footerReference r:id="rId25" w:type="default"/>
          <w:pgSz w:w="11906" w:h="16839"/>
          <w:pgMar w:top="1417" w:right="1417" w:bottom="1417" w:left="1417" w:header="1180" w:footer="1407" w:gutter="0"/>
          <w:cols w:space="720" w:num="1"/>
        </w:sectPr>
      </w:pPr>
    </w:p>
    <w:p w14:paraId="687B4B6D">
      <w:pPr>
        <w:widowControl w:val="0"/>
        <w:spacing w:line="360" w:lineRule="auto"/>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1.增值售后服务方案（包括但不限于：①故障出现解决方案；②免费</w:t>
      </w:r>
      <w:r>
        <w:rPr>
          <w:rFonts w:ascii="宋体" w:hAnsi="宋体" w:eastAsia="宋体" w:cs="宋体"/>
          <w:color w:val="auto"/>
          <w:sz w:val="28"/>
          <w:szCs w:val="28"/>
          <w:highlight w:val="none"/>
          <w:lang w:eastAsia="zh-CN"/>
        </w:rPr>
        <w:t xml:space="preserve"> </w:t>
      </w:r>
      <w:r>
        <w:rPr>
          <w:rFonts w:ascii="宋体" w:hAnsi="宋体" w:eastAsia="宋体" w:cs="宋体"/>
          <w:b/>
          <w:bCs/>
          <w:color w:val="auto"/>
          <w:sz w:val="28"/>
          <w:szCs w:val="28"/>
          <w:highlight w:val="none"/>
          <w:lang w:eastAsia="zh-CN"/>
        </w:rPr>
        <w:t>技术培训方案；③免费保修期外维修方案；④其它优惠方案等）</w:t>
      </w:r>
    </w:p>
    <w:p w14:paraId="574AE81E">
      <w:pPr>
        <w:pStyle w:val="7"/>
        <w:widowControl w:val="0"/>
        <w:spacing w:line="360" w:lineRule="auto"/>
        <w:ind w:firstLine="420" w:firstLineChars="200"/>
        <w:rPr>
          <w:color w:val="auto"/>
          <w:highlight w:val="none"/>
          <w:lang w:eastAsia="zh-CN"/>
        </w:rPr>
      </w:pPr>
    </w:p>
    <w:p w14:paraId="25DD6FA9">
      <w:pPr>
        <w:widowControl w:val="0"/>
        <w:spacing w:line="360" w:lineRule="auto"/>
        <w:ind w:firstLine="602" w:firstLineChars="200"/>
        <w:rPr>
          <w:rFonts w:ascii="宋体" w:hAnsi="宋体" w:eastAsia="宋体" w:cs="宋体"/>
          <w:color w:val="auto"/>
          <w:sz w:val="30"/>
          <w:szCs w:val="30"/>
          <w:highlight w:val="none"/>
          <w:lang w:eastAsia="zh-CN"/>
        </w:rPr>
      </w:pPr>
      <w:r>
        <w:rPr>
          <w:rFonts w:ascii="宋体" w:hAnsi="宋体" w:eastAsia="宋体" w:cs="宋体"/>
          <w:b/>
          <w:bCs/>
          <w:color w:val="auto"/>
          <w:sz w:val="30"/>
          <w:szCs w:val="30"/>
          <w:highlight w:val="none"/>
          <w:lang w:eastAsia="zh-CN"/>
        </w:rPr>
        <w:t>附件：</w:t>
      </w:r>
    </w:p>
    <w:p w14:paraId="06261FA9">
      <w:pPr>
        <w:widowControl w:val="0"/>
        <w:spacing w:line="360" w:lineRule="auto"/>
        <w:ind w:firstLine="56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28"/>
          <w:szCs w:val="28"/>
          <w:highlight w:val="none"/>
          <w:lang w:eastAsia="zh-CN"/>
        </w:rPr>
        <w:t>增值售后服务方案</w:t>
      </w:r>
      <w:r>
        <w:rPr>
          <w:rFonts w:ascii="宋体" w:hAnsi="宋体" w:eastAsia="宋体" w:cs="宋体"/>
          <w:b/>
          <w:bCs/>
          <w:color w:val="auto"/>
          <w:sz w:val="31"/>
          <w:szCs w:val="31"/>
          <w:highlight w:val="none"/>
          <w:lang w:eastAsia="zh-CN"/>
        </w:rPr>
        <w:t>（格式）</w:t>
      </w:r>
    </w:p>
    <w:p w14:paraId="03CFA5C3">
      <w:pPr>
        <w:pStyle w:val="7"/>
        <w:widowControl w:val="0"/>
        <w:spacing w:line="360" w:lineRule="auto"/>
        <w:ind w:firstLine="420" w:firstLineChars="200"/>
        <w:rPr>
          <w:color w:val="auto"/>
          <w:highlight w:val="none"/>
          <w:lang w:eastAsia="zh-CN"/>
        </w:rPr>
      </w:pPr>
    </w:p>
    <w:p w14:paraId="5C579008">
      <w:pPr>
        <w:pStyle w:val="7"/>
        <w:widowControl w:val="0"/>
        <w:spacing w:line="360" w:lineRule="auto"/>
        <w:ind w:firstLine="420" w:firstLineChars="200"/>
        <w:rPr>
          <w:color w:val="auto"/>
          <w:highlight w:val="none"/>
          <w:lang w:eastAsia="zh-CN"/>
        </w:rPr>
      </w:pPr>
    </w:p>
    <w:p w14:paraId="649DAC7D">
      <w:pPr>
        <w:pStyle w:val="7"/>
        <w:widowControl w:val="0"/>
        <w:spacing w:line="360" w:lineRule="auto"/>
        <w:ind w:firstLine="420" w:firstLineChars="200"/>
        <w:rPr>
          <w:color w:val="auto"/>
          <w:highlight w:val="none"/>
          <w:lang w:eastAsia="zh-CN"/>
        </w:rPr>
      </w:pPr>
    </w:p>
    <w:p w14:paraId="39E4CDC8">
      <w:pPr>
        <w:widowControl w:val="0"/>
        <w:spacing w:line="360" w:lineRule="auto"/>
        <w:ind w:firstLine="560" w:firstLineChars="20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一、</w:t>
      </w:r>
      <w:r>
        <w:rPr>
          <w:rFonts w:ascii="宋体" w:hAnsi="宋体" w:eastAsia="宋体" w:cs="宋体"/>
          <w:b/>
          <w:bCs/>
          <w:color w:val="auto"/>
          <w:sz w:val="28"/>
          <w:szCs w:val="28"/>
          <w:highlight w:val="none"/>
          <w:lang w:eastAsia="zh-CN"/>
        </w:rPr>
        <w:t>故障出现解决方案</w:t>
      </w:r>
    </w:p>
    <w:p w14:paraId="0D88C756">
      <w:pPr>
        <w:pStyle w:val="7"/>
        <w:widowControl w:val="0"/>
        <w:spacing w:line="360" w:lineRule="auto"/>
        <w:ind w:firstLine="420" w:firstLineChars="200"/>
        <w:rPr>
          <w:color w:val="auto"/>
          <w:highlight w:val="none"/>
          <w:lang w:eastAsia="zh-CN"/>
        </w:rPr>
      </w:pPr>
    </w:p>
    <w:p w14:paraId="7B1E914A">
      <w:pPr>
        <w:pStyle w:val="7"/>
        <w:widowControl w:val="0"/>
        <w:spacing w:line="360" w:lineRule="auto"/>
        <w:ind w:firstLine="420" w:firstLineChars="200"/>
        <w:rPr>
          <w:color w:val="auto"/>
          <w:highlight w:val="none"/>
          <w:lang w:eastAsia="zh-CN"/>
        </w:rPr>
      </w:pPr>
    </w:p>
    <w:p w14:paraId="77B5B403">
      <w:pPr>
        <w:pStyle w:val="7"/>
        <w:widowControl w:val="0"/>
        <w:spacing w:line="360" w:lineRule="auto"/>
        <w:ind w:firstLine="420" w:firstLineChars="200"/>
        <w:rPr>
          <w:color w:val="auto"/>
          <w:highlight w:val="none"/>
          <w:lang w:eastAsia="zh-CN"/>
        </w:rPr>
      </w:pPr>
    </w:p>
    <w:p w14:paraId="26FBBBBB">
      <w:pPr>
        <w:widowControl w:val="0"/>
        <w:spacing w:line="360" w:lineRule="auto"/>
        <w:ind w:firstLine="560" w:firstLineChars="20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二、</w:t>
      </w:r>
      <w:r>
        <w:rPr>
          <w:rFonts w:ascii="宋体" w:hAnsi="宋体" w:eastAsia="宋体" w:cs="宋体"/>
          <w:b/>
          <w:bCs/>
          <w:color w:val="auto"/>
          <w:sz w:val="28"/>
          <w:szCs w:val="28"/>
          <w:highlight w:val="none"/>
          <w:lang w:eastAsia="zh-CN"/>
        </w:rPr>
        <w:t>免费技术培训方案</w:t>
      </w:r>
    </w:p>
    <w:p w14:paraId="7D34B338">
      <w:pPr>
        <w:pStyle w:val="7"/>
        <w:widowControl w:val="0"/>
        <w:spacing w:line="360" w:lineRule="auto"/>
        <w:ind w:firstLine="420" w:firstLineChars="200"/>
        <w:rPr>
          <w:color w:val="auto"/>
          <w:highlight w:val="none"/>
          <w:lang w:eastAsia="zh-CN"/>
        </w:rPr>
      </w:pPr>
    </w:p>
    <w:p w14:paraId="5975E9D8">
      <w:pPr>
        <w:pStyle w:val="7"/>
        <w:widowControl w:val="0"/>
        <w:spacing w:line="360" w:lineRule="auto"/>
        <w:ind w:firstLine="420" w:firstLineChars="200"/>
        <w:rPr>
          <w:color w:val="auto"/>
          <w:highlight w:val="none"/>
          <w:lang w:eastAsia="zh-CN"/>
        </w:rPr>
      </w:pPr>
    </w:p>
    <w:p w14:paraId="44C2DD6E">
      <w:pPr>
        <w:widowControl w:val="0"/>
        <w:spacing w:line="360" w:lineRule="auto"/>
        <w:ind w:firstLine="560" w:firstLineChars="20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三、</w:t>
      </w:r>
      <w:r>
        <w:rPr>
          <w:rFonts w:ascii="宋体" w:hAnsi="宋体" w:eastAsia="宋体" w:cs="宋体"/>
          <w:b/>
          <w:bCs/>
          <w:color w:val="auto"/>
          <w:sz w:val="28"/>
          <w:szCs w:val="28"/>
          <w:highlight w:val="none"/>
          <w:lang w:eastAsia="zh-CN"/>
        </w:rPr>
        <w:t>免费保修期外维修方案</w:t>
      </w:r>
    </w:p>
    <w:p w14:paraId="3810DA46">
      <w:pPr>
        <w:pStyle w:val="7"/>
        <w:widowControl w:val="0"/>
        <w:spacing w:line="360" w:lineRule="auto"/>
        <w:ind w:firstLine="420" w:firstLineChars="200"/>
        <w:rPr>
          <w:color w:val="auto"/>
          <w:highlight w:val="none"/>
          <w:lang w:eastAsia="zh-CN"/>
        </w:rPr>
      </w:pPr>
    </w:p>
    <w:p w14:paraId="343438D6">
      <w:pPr>
        <w:pStyle w:val="7"/>
        <w:widowControl w:val="0"/>
        <w:spacing w:line="360" w:lineRule="auto"/>
        <w:ind w:firstLine="420" w:firstLineChars="200"/>
        <w:rPr>
          <w:color w:val="auto"/>
          <w:highlight w:val="none"/>
          <w:lang w:eastAsia="zh-CN"/>
        </w:rPr>
      </w:pPr>
    </w:p>
    <w:p w14:paraId="182ECB0A">
      <w:pPr>
        <w:widowControl w:val="0"/>
        <w:spacing w:line="360" w:lineRule="auto"/>
        <w:ind w:firstLine="560" w:firstLineChars="20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lang w:eastAsia="zh-CN"/>
        </w:rPr>
        <w:t>四、</w:t>
      </w:r>
      <w:r>
        <w:rPr>
          <w:rFonts w:ascii="宋体" w:hAnsi="宋体" w:eastAsia="宋体" w:cs="宋体"/>
          <w:b/>
          <w:bCs/>
          <w:color w:val="auto"/>
          <w:sz w:val="28"/>
          <w:szCs w:val="28"/>
          <w:highlight w:val="none"/>
          <w:lang w:eastAsia="zh-CN"/>
        </w:rPr>
        <w:t>其它优惠方案</w:t>
      </w:r>
    </w:p>
    <w:p w14:paraId="75B602F3">
      <w:pPr>
        <w:pStyle w:val="7"/>
        <w:widowControl w:val="0"/>
        <w:spacing w:line="360" w:lineRule="auto"/>
        <w:ind w:firstLine="420" w:firstLineChars="200"/>
        <w:rPr>
          <w:color w:val="auto"/>
          <w:highlight w:val="none"/>
          <w:lang w:eastAsia="zh-CN"/>
        </w:rPr>
      </w:pPr>
    </w:p>
    <w:p w14:paraId="3D82694F">
      <w:pPr>
        <w:pStyle w:val="7"/>
        <w:widowControl w:val="0"/>
        <w:spacing w:line="360" w:lineRule="auto"/>
        <w:ind w:firstLine="420" w:firstLineChars="200"/>
        <w:rPr>
          <w:color w:val="auto"/>
          <w:highlight w:val="none"/>
          <w:lang w:eastAsia="zh-CN"/>
        </w:rPr>
      </w:pPr>
    </w:p>
    <w:p w14:paraId="5BF8F04B">
      <w:pPr>
        <w:pStyle w:val="7"/>
        <w:widowControl w:val="0"/>
        <w:spacing w:line="360" w:lineRule="auto"/>
        <w:ind w:firstLine="420" w:firstLineChars="200"/>
        <w:rPr>
          <w:color w:val="auto"/>
          <w:highlight w:val="none"/>
          <w:lang w:eastAsia="zh-CN"/>
        </w:rPr>
      </w:pPr>
    </w:p>
    <w:p w14:paraId="5A04FF76">
      <w:pPr>
        <w:widowControl w:val="0"/>
        <w:spacing w:line="360" w:lineRule="auto"/>
        <w:ind w:firstLine="562" w:firstLineChars="200"/>
        <w:rPr>
          <w:rFonts w:ascii="宋体" w:hAnsi="宋体" w:eastAsia="宋体" w:cs="宋体"/>
          <w:color w:val="auto"/>
          <w:sz w:val="28"/>
          <w:szCs w:val="28"/>
          <w:highlight w:val="none"/>
          <w:lang w:eastAsia="zh-CN"/>
        </w:rPr>
      </w:pPr>
      <w:r>
        <w:rPr>
          <w:rFonts w:ascii="宋体" w:hAnsi="宋体" w:eastAsia="宋体" w:cs="宋体"/>
          <w:b/>
          <w:bCs/>
          <w:color w:val="auto"/>
          <w:sz w:val="28"/>
          <w:szCs w:val="28"/>
          <w:highlight w:val="none"/>
          <w:lang w:eastAsia="zh-CN"/>
        </w:rPr>
        <w:t>……</w:t>
      </w:r>
    </w:p>
    <w:p w14:paraId="487B8A8A">
      <w:pPr>
        <w:pStyle w:val="7"/>
        <w:widowControl w:val="0"/>
        <w:spacing w:line="360" w:lineRule="auto"/>
        <w:ind w:firstLine="420" w:firstLineChars="200"/>
        <w:rPr>
          <w:color w:val="auto"/>
          <w:highlight w:val="none"/>
          <w:lang w:eastAsia="zh-CN"/>
        </w:rPr>
      </w:pPr>
    </w:p>
    <w:p w14:paraId="6A37E62B">
      <w:pPr>
        <w:widowControl w:val="0"/>
        <w:spacing w:line="360" w:lineRule="auto"/>
        <w:ind w:firstLine="480" w:firstLineChars="200"/>
        <w:outlineLvl w:val="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供应商(CA 证书签章)：</w:t>
      </w:r>
    </w:p>
    <w:p w14:paraId="5BEDE7C6">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法定代表人或相应的委托代理人签字（或个人 CA 证书签章）：</w:t>
      </w:r>
    </w:p>
    <w:p w14:paraId="6782ECBF">
      <w:pPr>
        <w:widowControl w:val="0"/>
        <w:spacing w:line="360" w:lineRule="auto"/>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日     期：</w:t>
      </w:r>
    </w:p>
    <w:p w14:paraId="79B3B463">
      <w:pPr>
        <w:pStyle w:val="7"/>
        <w:widowControl w:val="0"/>
        <w:spacing w:line="360" w:lineRule="auto"/>
        <w:ind w:firstLine="420" w:firstLineChars="200"/>
        <w:rPr>
          <w:color w:val="auto"/>
          <w:highlight w:val="none"/>
          <w:lang w:eastAsia="zh-CN"/>
        </w:rPr>
      </w:pPr>
    </w:p>
    <w:p w14:paraId="1DC4F69B">
      <w:pPr>
        <w:widowControl w:val="0"/>
        <w:spacing w:line="360" w:lineRule="auto"/>
        <w:ind w:firstLine="482" w:firstLineChars="200"/>
        <w:rPr>
          <w:rFonts w:ascii="宋体" w:hAnsi="宋体" w:eastAsia="宋体" w:cs="宋体"/>
          <w:color w:val="auto"/>
          <w:sz w:val="24"/>
          <w:szCs w:val="24"/>
          <w:highlight w:val="none"/>
          <w:lang w:eastAsia="zh-CN"/>
        </w:rPr>
      </w:pPr>
      <w:r>
        <w:rPr>
          <w:rFonts w:ascii="宋体" w:hAnsi="宋体" w:eastAsia="宋体" w:cs="宋体"/>
          <w:b/>
          <w:bCs/>
          <w:color w:val="auto"/>
          <w:sz w:val="24"/>
          <w:szCs w:val="24"/>
          <w:highlight w:val="none"/>
          <w:lang w:eastAsia="zh-CN"/>
        </w:rPr>
        <w:t>注：售后服务承诺书须由法定代表人或相应的委托代理人签字（或个人</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CA</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证书签章）并加盖投供应商公章（CA</w:t>
      </w:r>
      <w:r>
        <w:rPr>
          <w:rFonts w:ascii="宋体" w:hAnsi="宋体" w:eastAsia="宋体" w:cs="宋体"/>
          <w:color w:val="auto"/>
          <w:sz w:val="24"/>
          <w:szCs w:val="24"/>
          <w:highlight w:val="none"/>
          <w:lang w:eastAsia="zh-CN"/>
        </w:rPr>
        <w:t xml:space="preserve"> </w:t>
      </w:r>
      <w:r>
        <w:rPr>
          <w:rFonts w:ascii="宋体" w:hAnsi="宋体" w:eastAsia="宋体" w:cs="宋体"/>
          <w:b/>
          <w:bCs/>
          <w:color w:val="auto"/>
          <w:sz w:val="24"/>
          <w:szCs w:val="24"/>
          <w:highlight w:val="none"/>
          <w:lang w:eastAsia="zh-CN"/>
        </w:rPr>
        <w:t>证书签章）。</w:t>
      </w:r>
    </w:p>
    <w:p w14:paraId="734E7D49">
      <w:pPr>
        <w:widowControl w:val="0"/>
        <w:spacing w:line="360" w:lineRule="auto"/>
        <w:ind w:firstLine="480" w:firstLineChars="200"/>
        <w:rPr>
          <w:rFonts w:ascii="宋体" w:hAnsi="宋体" w:eastAsia="宋体" w:cs="宋体"/>
          <w:color w:val="auto"/>
          <w:sz w:val="24"/>
          <w:szCs w:val="24"/>
          <w:highlight w:val="none"/>
          <w:lang w:eastAsia="zh-CN"/>
        </w:rPr>
        <w:sectPr>
          <w:headerReference r:id="rId26" w:type="default"/>
          <w:footerReference r:id="rId27" w:type="default"/>
          <w:pgSz w:w="11906" w:h="16839"/>
          <w:pgMar w:top="1417" w:right="1417" w:bottom="1417" w:left="1417" w:header="1180" w:footer="1407" w:gutter="0"/>
          <w:cols w:space="720" w:num="1"/>
        </w:sectPr>
      </w:pPr>
    </w:p>
    <w:p w14:paraId="54328E33">
      <w:pPr>
        <w:widowControl w:val="0"/>
        <w:spacing w:line="360" w:lineRule="auto"/>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2.</w:t>
      </w:r>
      <w:r>
        <w:rPr>
          <w:rFonts w:ascii="宋体" w:hAnsi="宋体" w:eastAsia="宋体" w:cs="宋体"/>
          <w:color w:val="auto"/>
          <w:sz w:val="31"/>
          <w:szCs w:val="31"/>
          <w:highlight w:val="none"/>
          <w:lang w:eastAsia="zh-CN"/>
        </w:rPr>
        <w:t xml:space="preserve"> </w:t>
      </w:r>
      <w:r>
        <w:rPr>
          <w:rFonts w:hint="eastAsia" w:ascii="宋体" w:hAnsi="宋体" w:eastAsia="宋体" w:cs="宋体"/>
          <w:b/>
          <w:bCs/>
          <w:color w:val="auto"/>
          <w:sz w:val="31"/>
          <w:szCs w:val="31"/>
          <w:highlight w:val="none"/>
          <w:lang w:eastAsia="zh-CN"/>
        </w:rPr>
        <w:t>竞标供应商为生产厂家的，供应商的生产制造设备清单及专业技术能力说明</w:t>
      </w:r>
      <w:r>
        <w:rPr>
          <w:rFonts w:ascii="宋体" w:hAnsi="宋体" w:eastAsia="宋体" w:cs="宋体"/>
          <w:b/>
          <w:bCs/>
          <w:color w:val="auto"/>
          <w:sz w:val="31"/>
          <w:szCs w:val="31"/>
          <w:highlight w:val="none"/>
          <w:lang w:eastAsia="zh-CN"/>
        </w:rPr>
        <w:t>（如有，请提供）</w:t>
      </w:r>
    </w:p>
    <w:p w14:paraId="6A897DD5">
      <w:pPr>
        <w:pStyle w:val="7"/>
        <w:widowControl w:val="0"/>
        <w:spacing w:line="360" w:lineRule="auto"/>
        <w:ind w:firstLine="420" w:firstLineChars="200"/>
        <w:rPr>
          <w:color w:val="auto"/>
          <w:highlight w:val="none"/>
          <w:lang w:eastAsia="zh-CN"/>
        </w:rPr>
      </w:pPr>
    </w:p>
    <w:p w14:paraId="40800788">
      <w:pPr>
        <w:pStyle w:val="7"/>
        <w:widowControl w:val="0"/>
        <w:spacing w:line="360" w:lineRule="auto"/>
        <w:ind w:firstLine="420" w:firstLineChars="200"/>
        <w:rPr>
          <w:color w:val="auto"/>
          <w:highlight w:val="none"/>
          <w:lang w:eastAsia="zh-CN"/>
        </w:rPr>
      </w:pPr>
    </w:p>
    <w:p w14:paraId="7103BCB8">
      <w:pPr>
        <w:pStyle w:val="7"/>
        <w:widowControl w:val="0"/>
        <w:spacing w:line="360" w:lineRule="auto"/>
        <w:ind w:firstLine="420" w:firstLineChars="200"/>
        <w:rPr>
          <w:color w:val="auto"/>
          <w:highlight w:val="none"/>
          <w:lang w:eastAsia="zh-CN"/>
        </w:rPr>
      </w:pPr>
    </w:p>
    <w:p w14:paraId="651DB293">
      <w:pPr>
        <w:widowControl w:val="0"/>
        <w:spacing w:line="360" w:lineRule="auto"/>
        <w:jc w:val="both"/>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3.节能、环保方面的证书复印件（若采购货物含有政府强制采购的节能产品时，</w:t>
      </w:r>
      <w:r>
        <w:rPr>
          <w:rFonts w:hint="eastAsia" w:ascii="宋体" w:hAnsi="宋体" w:eastAsia="宋体" w:cs="宋体"/>
          <w:b/>
          <w:bCs/>
          <w:color w:val="auto"/>
          <w:sz w:val="31"/>
          <w:szCs w:val="31"/>
          <w:highlight w:val="none"/>
          <w:lang w:eastAsia="zh-CN"/>
        </w:rPr>
        <w:t>竞标</w:t>
      </w:r>
      <w:r>
        <w:rPr>
          <w:rFonts w:ascii="宋体" w:hAnsi="宋体" w:eastAsia="宋体" w:cs="宋体"/>
          <w:b/>
          <w:bCs/>
          <w:color w:val="auto"/>
          <w:sz w:val="31"/>
          <w:szCs w:val="31"/>
          <w:highlight w:val="none"/>
          <w:lang w:eastAsia="zh-CN"/>
        </w:rPr>
        <w:t>供应商必须提供所投产品国家确定的认证机构出具的、处于有效期之内的节能产品认证证书复印件并加盖投供应商公章）</w:t>
      </w:r>
    </w:p>
    <w:p w14:paraId="3437DBEC">
      <w:pPr>
        <w:pStyle w:val="7"/>
        <w:widowControl w:val="0"/>
        <w:spacing w:line="360" w:lineRule="auto"/>
        <w:ind w:firstLine="420" w:firstLineChars="200"/>
        <w:rPr>
          <w:color w:val="auto"/>
          <w:highlight w:val="none"/>
          <w:lang w:eastAsia="zh-CN"/>
        </w:rPr>
      </w:pPr>
    </w:p>
    <w:p w14:paraId="405B9A93">
      <w:pPr>
        <w:pStyle w:val="7"/>
        <w:widowControl w:val="0"/>
        <w:spacing w:line="360" w:lineRule="auto"/>
        <w:ind w:firstLine="420" w:firstLineChars="200"/>
        <w:rPr>
          <w:color w:val="auto"/>
          <w:highlight w:val="none"/>
          <w:lang w:eastAsia="zh-CN"/>
        </w:rPr>
      </w:pPr>
    </w:p>
    <w:p w14:paraId="27796FA3">
      <w:pPr>
        <w:pStyle w:val="7"/>
        <w:widowControl w:val="0"/>
        <w:spacing w:line="360" w:lineRule="auto"/>
        <w:ind w:firstLine="420" w:firstLineChars="200"/>
        <w:rPr>
          <w:color w:val="auto"/>
          <w:highlight w:val="none"/>
          <w:lang w:eastAsia="zh-CN"/>
        </w:rPr>
      </w:pPr>
    </w:p>
    <w:p w14:paraId="202E4B01">
      <w:pPr>
        <w:pStyle w:val="7"/>
        <w:widowControl w:val="0"/>
        <w:spacing w:line="360" w:lineRule="auto"/>
        <w:ind w:firstLine="420" w:firstLineChars="200"/>
        <w:rPr>
          <w:color w:val="auto"/>
          <w:highlight w:val="none"/>
          <w:lang w:eastAsia="zh-CN"/>
        </w:rPr>
      </w:pPr>
    </w:p>
    <w:p w14:paraId="7E9DC71D">
      <w:pPr>
        <w:widowControl w:val="0"/>
        <w:spacing w:line="360" w:lineRule="auto"/>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4.</w:t>
      </w:r>
      <w:r>
        <w:rPr>
          <w:rFonts w:hint="eastAsia" w:ascii="宋体" w:hAnsi="宋体" w:eastAsia="宋体" w:cs="宋体"/>
          <w:b/>
          <w:bCs/>
          <w:color w:val="auto"/>
          <w:sz w:val="31"/>
          <w:szCs w:val="31"/>
          <w:highlight w:val="none"/>
          <w:lang w:eastAsia="zh-CN"/>
        </w:rPr>
        <w:t>竞标</w:t>
      </w:r>
      <w:r>
        <w:rPr>
          <w:rFonts w:ascii="宋体" w:hAnsi="宋体" w:eastAsia="宋体" w:cs="宋体"/>
          <w:b/>
          <w:bCs/>
          <w:color w:val="auto"/>
          <w:sz w:val="31"/>
          <w:szCs w:val="31"/>
          <w:highlight w:val="none"/>
          <w:lang w:eastAsia="zh-CN"/>
        </w:rPr>
        <w:t>供应商具有同类产品的销售业绩的相关证明材料（无不良记录，以中标、成交通知书或签订的销售合同为准，并能清晰反映所销售的货物名称、种类、金额）（如有，请提供）；</w:t>
      </w:r>
    </w:p>
    <w:p w14:paraId="445590D1">
      <w:pPr>
        <w:pStyle w:val="7"/>
        <w:widowControl w:val="0"/>
        <w:spacing w:line="360" w:lineRule="auto"/>
        <w:ind w:firstLine="420" w:firstLineChars="200"/>
        <w:rPr>
          <w:color w:val="auto"/>
          <w:highlight w:val="none"/>
          <w:lang w:eastAsia="zh-CN"/>
        </w:rPr>
      </w:pPr>
    </w:p>
    <w:p w14:paraId="26B5A303">
      <w:pPr>
        <w:pStyle w:val="7"/>
        <w:widowControl w:val="0"/>
        <w:spacing w:line="360" w:lineRule="auto"/>
        <w:ind w:firstLine="420" w:firstLineChars="200"/>
        <w:rPr>
          <w:color w:val="auto"/>
          <w:highlight w:val="none"/>
          <w:lang w:eastAsia="zh-CN"/>
        </w:rPr>
      </w:pPr>
    </w:p>
    <w:p w14:paraId="7E16390B">
      <w:pPr>
        <w:pStyle w:val="7"/>
        <w:widowControl w:val="0"/>
        <w:spacing w:line="360" w:lineRule="auto"/>
        <w:ind w:firstLine="420" w:firstLineChars="200"/>
        <w:rPr>
          <w:color w:val="auto"/>
          <w:highlight w:val="none"/>
          <w:lang w:eastAsia="zh-CN"/>
        </w:rPr>
      </w:pPr>
    </w:p>
    <w:p w14:paraId="17A1CD43">
      <w:pPr>
        <w:widowControl w:val="0"/>
        <w:spacing w:line="360" w:lineRule="auto"/>
        <w:jc w:val="both"/>
        <w:rPr>
          <w:rFonts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eastAsia="zh-CN"/>
        </w:rPr>
        <w:t>5</w:t>
      </w:r>
      <w:r>
        <w:rPr>
          <w:rFonts w:ascii="宋体" w:hAnsi="宋体" w:eastAsia="宋体" w:cs="宋体"/>
          <w:b/>
          <w:bCs/>
          <w:color w:val="auto"/>
          <w:sz w:val="31"/>
          <w:szCs w:val="31"/>
          <w:highlight w:val="none"/>
          <w:lang w:eastAsia="zh-CN"/>
        </w:rPr>
        <w:t>.</w:t>
      </w:r>
      <w:r>
        <w:rPr>
          <w:rFonts w:hint="eastAsia" w:ascii="宋体" w:hAnsi="宋体" w:eastAsia="宋体" w:cs="宋体"/>
          <w:b/>
          <w:bCs/>
          <w:color w:val="auto"/>
          <w:sz w:val="31"/>
          <w:szCs w:val="31"/>
          <w:highlight w:val="none"/>
          <w:lang w:eastAsia="zh-CN"/>
        </w:rPr>
        <w:t>竞标</w:t>
      </w:r>
      <w:r>
        <w:rPr>
          <w:rFonts w:ascii="宋体" w:hAnsi="宋体" w:eastAsia="宋体" w:cs="宋体"/>
          <w:b/>
          <w:bCs/>
          <w:color w:val="auto"/>
          <w:sz w:val="31"/>
          <w:szCs w:val="31"/>
          <w:highlight w:val="none"/>
          <w:lang w:eastAsia="zh-CN"/>
        </w:rPr>
        <w:t>供应商相关获奖证书、认证证书等复印件（如有，请提供</w:t>
      </w:r>
      <w:r>
        <w:rPr>
          <w:rFonts w:ascii="宋体" w:hAnsi="宋体" w:eastAsia="宋体" w:cs="宋体"/>
          <w:b/>
          <w:bCs/>
          <w:color w:val="auto"/>
          <w:w w:val="87"/>
          <w:sz w:val="31"/>
          <w:szCs w:val="31"/>
          <w:highlight w:val="none"/>
          <w:lang w:eastAsia="zh-CN"/>
        </w:rPr>
        <w:t>）；</w:t>
      </w:r>
    </w:p>
    <w:p w14:paraId="66F1B51B">
      <w:pPr>
        <w:pStyle w:val="7"/>
        <w:widowControl w:val="0"/>
        <w:spacing w:line="360" w:lineRule="auto"/>
        <w:ind w:firstLine="420" w:firstLineChars="200"/>
        <w:rPr>
          <w:color w:val="auto"/>
          <w:highlight w:val="none"/>
          <w:lang w:eastAsia="zh-CN"/>
        </w:rPr>
      </w:pPr>
    </w:p>
    <w:p w14:paraId="3ED4508A">
      <w:pPr>
        <w:pStyle w:val="7"/>
        <w:widowControl w:val="0"/>
        <w:spacing w:line="360" w:lineRule="auto"/>
        <w:ind w:firstLine="420" w:firstLineChars="200"/>
        <w:rPr>
          <w:color w:val="auto"/>
          <w:highlight w:val="none"/>
          <w:lang w:eastAsia="zh-CN"/>
        </w:rPr>
      </w:pPr>
    </w:p>
    <w:p w14:paraId="0091FBD6">
      <w:pPr>
        <w:pStyle w:val="7"/>
        <w:widowControl w:val="0"/>
        <w:spacing w:line="360" w:lineRule="auto"/>
        <w:ind w:firstLine="420" w:firstLineChars="200"/>
        <w:rPr>
          <w:color w:val="auto"/>
          <w:highlight w:val="none"/>
          <w:lang w:eastAsia="zh-CN"/>
        </w:rPr>
      </w:pPr>
    </w:p>
    <w:p w14:paraId="4B477550">
      <w:pPr>
        <w:pStyle w:val="7"/>
        <w:widowControl w:val="0"/>
        <w:spacing w:line="360" w:lineRule="auto"/>
        <w:ind w:firstLine="420" w:firstLineChars="200"/>
        <w:rPr>
          <w:color w:val="auto"/>
          <w:highlight w:val="none"/>
          <w:lang w:eastAsia="zh-CN"/>
        </w:rPr>
      </w:pPr>
    </w:p>
    <w:p w14:paraId="1BD92F25">
      <w:pPr>
        <w:pStyle w:val="7"/>
        <w:widowControl w:val="0"/>
        <w:spacing w:line="360" w:lineRule="auto"/>
        <w:ind w:firstLine="420" w:firstLineChars="200"/>
        <w:rPr>
          <w:color w:val="auto"/>
          <w:highlight w:val="none"/>
          <w:lang w:eastAsia="zh-CN"/>
        </w:rPr>
      </w:pPr>
    </w:p>
    <w:p w14:paraId="198F8334">
      <w:pPr>
        <w:widowControl w:val="0"/>
        <w:spacing w:line="360" w:lineRule="auto"/>
        <w:ind w:firstLine="620" w:firstLineChars="200"/>
        <w:rPr>
          <w:rFonts w:ascii="宋体" w:hAnsi="宋体" w:eastAsia="宋体" w:cs="宋体"/>
          <w:color w:val="auto"/>
          <w:sz w:val="31"/>
          <w:szCs w:val="31"/>
          <w:highlight w:val="none"/>
          <w:lang w:eastAsia="zh-CN"/>
        </w:rPr>
        <w:sectPr>
          <w:headerReference r:id="rId28" w:type="default"/>
          <w:footerReference r:id="rId29" w:type="default"/>
          <w:pgSz w:w="11906" w:h="16839"/>
          <w:pgMar w:top="1417" w:right="1417" w:bottom="1417" w:left="1417" w:header="1180" w:footer="1407" w:gutter="0"/>
          <w:cols w:space="720" w:num="1"/>
        </w:sectPr>
      </w:pPr>
    </w:p>
    <w:p w14:paraId="28924AB0">
      <w:pPr>
        <w:widowControl w:val="0"/>
        <w:spacing w:line="360" w:lineRule="auto"/>
        <w:jc w:val="both"/>
        <w:rPr>
          <w:rFonts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val="en-US" w:eastAsia="zh-CN"/>
        </w:rPr>
        <w:t>6</w:t>
      </w:r>
      <w:r>
        <w:rPr>
          <w:rFonts w:ascii="宋体" w:hAnsi="宋体" w:eastAsia="宋体" w:cs="宋体"/>
          <w:b/>
          <w:bCs/>
          <w:color w:val="auto"/>
          <w:sz w:val="31"/>
          <w:szCs w:val="31"/>
          <w:highlight w:val="none"/>
          <w:lang w:eastAsia="zh-CN"/>
        </w:rPr>
        <w:t>.中小企业声明函【如供应商提供的货物由小型、微型企业中小微型企业划分标准按照《国家统计局关于印发《统计上大中小微型企业划分办法〔2017〕》的通知》（国统字〔2017〕213</w:t>
      </w:r>
      <w:r>
        <w:rPr>
          <w:rFonts w:ascii="宋体" w:hAnsi="宋体" w:eastAsia="宋体" w:cs="宋体"/>
          <w:color w:val="auto"/>
          <w:sz w:val="31"/>
          <w:szCs w:val="31"/>
          <w:highlight w:val="none"/>
          <w:lang w:eastAsia="zh-CN"/>
        </w:rPr>
        <w:t xml:space="preserve"> </w:t>
      </w:r>
      <w:r>
        <w:rPr>
          <w:rFonts w:ascii="宋体" w:hAnsi="宋体" w:eastAsia="宋体" w:cs="宋体"/>
          <w:b/>
          <w:bCs/>
          <w:color w:val="auto"/>
          <w:sz w:val="31"/>
          <w:szCs w:val="31"/>
          <w:highlight w:val="none"/>
          <w:lang w:eastAsia="zh-CN"/>
        </w:rPr>
        <w:t>号）执行）制造的，供应商应如实声明并对出具声明函的真实性负责。成交结果将同时公告该企业《中小企业声明函》，接受社会监督。】（格式见附件，如有，请提供）</w:t>
      </w:r>
    </w:p>
    <w:p w14:paraId="2C17CD89">
      <w:pPr>
        <w:widowControl w:val="0"/>
        <w:spacing w:line="360" w:lineRule="auto"/>
        <w:ind w:firstLine="622" w:firstLineChars="200"/>
        <w:jc w:val="both"/>
        <w:rPr>
          <w:rFonts w:ascii="宋体" w:hAnsi="宋体" w:eastAsia="宋体" w:cs="宋体"/>
          <w:b/>
          <w:bCs/>
          <w:color w:val="auto"/>
          <w:sz w:val="31"/>
          <w:szCs w:val="31"/>
          <w:highlight w:val="none"/>
          <w:lang w:eastAsia="zh-CN"/>
        </w:rPr>
      </w:pPr>
      <w:r>
        <w:rPr>
          <w:rFonts w:hint="eastAsia" w:ascii="宋体" w:hAnsi="宋体" w:eastAsia="宋体" w:cs="宋体"/>
          <w:b/>
          <w:bCs/>
          <w:color w:val="auto"/>
          <w:sz w:val="31"/>
          <w:szCs w:val="31"/>
          <w:highlight w:val="none"/>
          <w:lang w:eastAsia="zh-CN"/>
        </w:rPr>
        <w:t>附件：</w:t>
      </w:r>
    </w:p>
    <w:p w14:paraId="41C2EAA8">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中小企业声明函（货物）（格式）</w:t>
      </w:r>
    </w:p>
    <w:p w14:paraId="7FD2FDE2">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本公司郑重声明，根据《政府采购促进中小企业发展管理办法》 （财库 ﹝2020﹞46 号）的规定，本公司参加</w:t>
      </w:r>
      <w:r>
        <w:rPr>
          <w:rFonts w:ascii="宋体" w:hAnsi="宋体" w:eastAsia="宋体" w:cs="宋体"/>
          <w:color w:val="auto"/>
          <w:highlight w:val="none"/>
          <w:u w:val="single"/>
          <w:lang w:eastAsia="zh-CN"/>
        </w:rPr>
        <w:t>（单位名称）</w:t>
      </w:r>
      <w:r>
        <w:rPr>
          <w:rFonts w:ascii="宋体" w:hAnsi="宋体" w:eastAsia="宋体" w:cs="宋体"/>
          <w:color w:val="auto"/>
          <w:highlight w:val="none"/>
          <w:lang w:eastAsia="zh-CN"/>
        </w:rPr>
        <w:t>的</w:t>
      </w:r>
      <w:r>
        <w:rPr>
          <w:rFonts w:ascii="宋体" w:hAnsi="宋体" w:eastAsia="宋体" w:cs="宋体"/>
          <w:color w:val="auto"/>
          <w:highlight w:val="none"/>
          <w:u w:val="single"/>
          <w:lang w:eastAsia="zh-CN"/>
        </w:rPr>
        <w:t>（项目名称）</w:t>
      </w:r>
      <w:r>
        <w:rPr>
          <w:rFonts w:ascii="宋体" w:hAnsi="宋体" w:eastAsia="宋体" w:cs="宋体"/>
          <w:color w:val="auto"/>
          <w:highlight w:val="none"/>
          <w:lang w:eastAsia="zh-CN"/>
        </w:rPr>
        <w:t>采购活动， 提供的货物全部由符合政策要求的中小企业制造。相关企业（含联合体中的中小 企业、签订分包意向协议的中小企业）的具体情况如下：</w:t>
      </w:r>
    </w:p>
    <w:p w14:paraId="458280DA">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1.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3935C58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 xml:space="preserve">2. </w:t>
      </w:r>
      <w:r>
        <w:rPr>
          <w:rFonts w:ascii="宋体" w:hAnsi="宋体" w:eastAsia="宋体" w:cs="宋体"/>
          <w:color w:val="auto"/>
          <w:highlight w:val="none"/>
          <w:u w:val="single"/>
          <w:lang w:eastAsia="zh-CN"/>
        </w:rPr>
        <w:t xml:space="preserve">（标的名称） </w:t>
      </w:r>
      <w:r>
        <w:rPr>
          <w:rFonts w:ascii="宋体" w:hAnsi="宋体" w:eastAsia="宋体" w:cs="宋体"/>
          <w:color w:val="auto"/>
          <w:highlight w:val="none"/>
          <w:lang w:eastAsia="zh-CN"/>
        </w:rPr>
        <w:t>，属于</w:t>
      </w:r>
      <w:r>
        <w:rPr>
          <w:rFonts w:ascii="宋体" w:hAnsi="宋体" w:eastAsia="宋体" w:cs="宋体"/>
          <w:color w:val="auto"/>
          <w:highlight w:val="none"/>
          <w:u w:val="single"/>
          <w:lang w:eastAsia="zh-CN"/>
        </w:rPr>
        <w:t>（采购文件中明确的所属行业）</w:t>
      </w:r>
      <w:r>
        <w:rPr>
          <w:rFonts w:ascii="宋体" w:hAnsi="宋体" w:eastAsia="宋体" w:cs="宋体"/>
          <w:color w:val="auto"/>
          <w:highlight w:val="none"/>
          <w:lang w:eastAsia="zh-CN"/>
        </w:rPr>
        <w:t>行业；制造商为</w:t>
      </w:r>
      <w:r>
        <w:rPr>
          <w:rFonts w:ascii="宋体" w:hAnsi="宋体" w:eastAsia="宋体" w:cs="宋体"/>
          <w:color w:val="auto"/>
          <w:highlight w:val="none"/>
          <w:u w:val="single"/>
          <w:lang w:eastAsia="zh-CN"/>
        </w:rPr>
        <w:t>（企业名称）</w:t>
      </w:r>
      <w:r>
        <w:rPr>
          <w:rFonts w:ascii="宋体" w:hAnsi="宋体" w:eastAsia="宋体" w:cs="宋体"/>
          <w:color w:val="auto"/>
          <w:highlight w:val="none"/>
          <w:lang w:eastAsia="zh-CN"/>
        </w:rPr>
        <w:t>，从业人员</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人，营业收入为 </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万元，资产总额为</w:t>
      </w:r>
      <w:r>
        <w:rPr>
          <w:rFonts w:ascii="宋体" w:hAnsi="宋体" w:eastAsia="宋体" w:cs="宋体"/>
          <w:color w:val="auto"/>
          <w:highlight w:val="none"/>
          <w:u w:val="single"/>
          <w:lang w:eastAsia="zh-CN"/>
        </w:rPr>
        <w:t xml:space="preserve">     </w:t>
      </w:r>
      <w:r>
        <w:rPr>
          <w:rFonts w:ascii="宋体" w:hAnsi="宋体" w:eastAsia="宋体" w:cs="宋体"/>
          <w:color w:val="auto"/>
          <w:highlight w:val="none"/>
          <w:lang w:eastAsia="zh-CN"/>
        </w:rPr>
        <w:t xml:space="preserve"> 万元， 属于（中型企业、小型企业、微型企业）；</w:t>
      </w:r>
    </w:p>
    <w:p w14:paraId="56AD343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w:t>
      </w:r>
    </w:p>
    <w:p w14:paraId="090F37DD">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以上企业，不属于大企业的分支机构，不存在控股股东为大企业的情形，也 不存在与大企业的负责人为同一人的情形。</w:t>
      </w:r>
    </w:p>
    <w:p w14:paraId="45197D5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本企业对上述声明内容的真实性负责。如有虚假，将依法承担相应责任。</w:t>
      </w:r>
    </w:p>
    <w:p w14:paraId="70FA5133">
      <w:pPr>
        <w:pStyle w:val="7"/>
        <w:widowControl w:val="0"/>
        <w:spacing w:line="360" w:lineRule="auto"/>
        <w:ind w:firstLine="420" w:firstLineChars="200"/>
        <w:rPr>
          <w:color w:val="auto"/>
          <w:highlight w:val="none"/>
          <w:lang w:eastAsia="zh-CN"/>
        </w:rPr>
      </w:pPr>
    </w:p>
    <w:p w14:paraId="27982FCF">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单位名称（CA 证书签章）：</w:t>
      </w:r>
    </w:p>
    <w:p w14:paraId="1779074C">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日期：</w:t>
      </w:r>
    </w:p>
    <w:p w14:paraId="452E30D5">
      <w:pPr>
        <w:widowControl w:val="0"/>
        <w:spacing w:line="360" w:lineRule="auto"/>
        <w:ind w:firstLine="422" w:firstLineChars="200"/>
        <w:rPr>
          <w:rFonts w:ascii="宋体" w:hAnsi="宋体" w:eastAsia="宋体" w:cs="宋体"/>
          <w:b/>
          <w:bCs/>
          <w:color w:val="auto"/>
          <w:highlight w:val="none"/>
          <w:lang w:eastAsia="zh-CN"/>
        </w:rPr>
      </w:pPr>
    </w:p>
    <w:p w14:paraId="1E3FAF58">
      <w:pPr>
        <w:widowControl w:val="0"/>
        <w:spacing w:line="360" w:lineRule="auto"/>
        <w:ind w:firstLine="361" w:firstLineChars="200"/>
        <w:rPr>
          <w:rFonts w:ascii="宋体" w:hAnsi="宋体" w:eastAsia="宋体" w:cs="宋体"/>
          <w:b/>
          <w:bCs/>
          <w:color w:val="auto"/>
          <w:sz w:val="18"/>
          <w:szCs w:val="18"/>
          <w:highlight w:val="none"/>
          <w:lang w:eastAsia="zh-CN"/>
        </w:rPr>
      </w:pPr>
      <w:r>
        <w:rPr>
          <w:rFonts w:ascii="宋体" w:hAnsi="宋体" w:eastAsia="宋体" w:cs="宋体"/>
          <w:b/>
          <w:bCs/>
          <w:color w:val="auto"/>
          <w:sz w:val="18"/>
          <w:szCs w:val="18"/>
          <w:highlight w:val="none"/>
          <w:lang w:eastAsia="zh-CN"/>
        </w:rPr>
        <w:t>注：1.从业人员、营业收入、资产总额填报上一年度数据，无上一年度数据的</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新成立企业可不填报。</w:t>
      </w:r>
    </w:p>
    <w:p w14:paraId="4DEC3D6C">
      <w:pPr>
        <w:widowControl w:val="0"/>
        <w:spacing w:line="360" w:lineRule="auto"/>
        <w:ind w:firstLine="723" w:firstLineChars="400"/>
        <w:rPr>
          <w:rFonts w:ascii="宋体" w:hAnsi="宋体" w:eastAsia="宋体" w:cs="宋体"/>
          <w:color w:val="auto"/>
          <w:sz w:val="18"/>
          <w:szCs w:val="18"/>
          <w:highlight w:val="none"/>
          <w:lang w:eastAsia="zh-CN"/>
        </w:rPr>
      </w:pPr>
      <w:r>
        <w:rPr>
          <w:rFonts w:ascii="宋体" w:hAnsi="宋体" w:eastAsia="宋体" w:cs="宋体"/>
          <w:b/>
          <w:bCs/>
          <w:color w:val="auto"/>
          <w:sz w:val="18"/>
          <w:szCs w:val="18"/>
          <w:highlight w:val="none"/>
          <w:lang w:eastAsia="zh-CN"/>
        </w:rPr>
        <w:t>2.中小企业在政府采购活动过程中，请根据自己的真实情况出具本声明函。</w:t>
      </w:r>
      <w:r>
        <w:rPr>
          <w:rFonts w:ascii="宋体" w:hAnsi="宋体" w:eastAsia="宋体" w:cs="宋体"/>
          <w:color w:val="auto"/>
          <w:sz w:val="18"/>
          <w:szCs w:val="18"/>
          <w:highlight w:val="none"/>
          <w:lang w:eastAsia="zh-CN"/>
        </w:rPr>
        <w:t xml:space="preserve"> </w:t>
      </w:r>
      <w:r>
        <w:rPr>
          <w:rFonts w:ascii="宋体" w:hAnsi="宋体" w:eastAsia="宋体" w:cs="宋体"/>
          <w:b/>
          <w:bCs/>
          <w:color w:val="auto"/>
          <w:sz w:val="18"/>
          <w:szCs w:val="18"/>
          <w:highlight w:val="none"/>
          <w:lang w:eastAsia="zh-CN"/>
        </w:rPr>
        <w:t>依法享受中小企业优惠政策的，采购人或采购代理机构在公告成交结果时，同时公告其《中小企业声明函》，接受社会监督。</w:t>
      </w:r>
    </w:p>
    <w:p w14:paraId="212ABD94">
      <w:pPr>
        <w:widowControl w:val="0"/>
        <w:spacing w:line="360" w:lineRule="auto"/>
        <w:rPr>
          <w:rFonts w:ascii="宋体" w:hAnsi="宋体" w:eastAsia="宋体" w:cs="宋体"/>
          <w:b/>
          <w:bCs/>
          <w:color w:val="auto"/>
          <w:sz w:val="31"/>
          <w:szCs w:val="31"/>
          <w:highlight w:val="none"/>
          <w:lang w:eastAsia="zh-CN"/>
        </w:rPr>
      </w:pPr>
    </w:p>
    <w:p w14:paraId="6B05E009">
      <w:pPr>
        <w:widowControl w:val="0"/>
        <w:spacing w:line="360" w:lineRule="auto"/>
        <w:rPr>
          <w:rFonts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val="en-US" w:eastAsia="zh-CN"/>
        </w:rPr>
        <w:t>7</w:t>
      </w:r>
      <w:r>
        <w:rPr>
          <w:rFonts w:ascii="宋体" w:hAnsi="宋体" w:eastAsia="宋体" w:cs="宋体"/>
          <w:b/>
          <w:bCs/>
          <w:color w:val="auto"/>
          <w:sz w:val="31"/>
          <w:szCs w:val="31"/>
          <w:highlight w:val="none"/>
          <w:lang w:eastAsia="zh-CN"/>
        </w:rPr>
        <w:t>.属于监狱企业的，应当提供由省级以上监狱管理局、戒毒管理局(含新疆生产建设兵团)出具的属于监狱企业的证明文件（如有，请提供）；</w:t>
      </w:r>
    </w:p>
    <w:p w14:paraId="3A14E147">
      <w:pPr>
        <w:pStyle w:val="7"/>
        <w:widowControl w:val="0"/>
        <w:spacing w:line="360" w:lineRule="auto"/>
        <w:ind w:firstLine="420" w:firstLineChars="200"/>
        <w:rPr>
          <w:color w:val="auto"/>
          <w:highlight w:val="none"/>
          <w:lang w:eastAsia="zh-CN"/>
        </w:rPr>
      </w:pPr>
    </w:p>
    <w:p w14:paraId="450A943D">
      <w:pPr>
        <w:pStyle w:val="7"/>
        <w:widowControl w:val="0"/>
        <w:spacing w:line="360" w:lineRule="auto"/>
        <w:ind w:firstLine="420" w:firstLineChars="200"/>
        <w:rPr>
          <w:color w:val="auto"/>
          <w:highlight w:val="none"/>
          <w:lang w:eastAsia="zh-CN"/>
        </w:rPr>
      </w:pPr>
    </w:p>
    <w:p w14:paraId="3D965959">
      <w:pPr>
        <w:widowControl w:val="0"/>
        <w:spacing w:line="360" w:lineRule="auto"/>
        <w:rPr>
          <w:rFonts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val="en-US" w:eastAsia="zh-CN"/>
        </w:rPr>
        <w:t>8</w:t>
      </w:r>
      <w:r>
        <w:rPr>
          <w:rFonts w:ascii="宋体" w:hAnsi="宋体" w:eastAsia="宋体" w:cs="宋体"/>
          <w:b/>
          <w:bCs/>
          <w:color w:val="auto"/>
          <w:sz w:val="31"/>
          <w:szCs w:val="31"/>
          <w:highlight w:val="none"/>
          <w:lang w:eastAsia="zh-CN"/>
        </w:rPr>
        <w:t>.符合条件的残疾人福利性单位在参加政府采购活动时，提供《残疾人福利性单位声明函》，并对声明的真实性负责（如有，请提供）；</w:t>
      </w:r>
    </w:p>
    <w:p w14:paraId="5D8E390A">
      <w:pPr>
        <w:widowControl w:val="0"/>
        <w:spacing w:line="360" w:lineRule="auto"/>
        <w:ind w:firstLine="622" w:firstLineChars="200"/>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附件：</w:t>
      </w:r>
    </w:p>
    <w:p w14:paraId="4ECD2E36">
      <w:pPr>
        <w:widowControl w:val="0"/>
        <w:spacing w:line="360" w:lineRule="auto"/>
        <w:ind w:firstLine="622" w:firstLineChars="200"/>
        <w:jc w:val="center"/>
        <w:rPr>
          <w:rFonts w:ascii="宋体" w:hAnsi="宋体" w:eastAsia="宋体" w:cs="宋体"/>
          <w:color w:val="auto"/>
          <w:sz w:val="31"/>
          <w:szCs w:val="31"/>
          <w:highlight w:val="none"/>
          <w:lang w:eastAsia="zh-CN"/>
        </w:rPr>
      </w:pPr>
      <w:r>
        <w:rPr>
          <w:rFonts w:ascii="宋体" w:hAnsi="宋体" w:eastAsia="宋体" w:cs="宋体"/>
          <w:b/>
          <w:bCs/>
          <w:color w:val="auto"/>
          <w:sz w:val="31"/>
          <w:szCs w:val="31"/>
          <w:highlight w:val="none"/>
          <w:lang w:eastAsia="zh-CN"/>
        </w:rPr>
        <w:t>残疾人福利性单位声明函（格式）</w:t>
      </w:r>
    </w:p>
    <w:p w14:paraId="5A50E98E">
      <w:pPr>
        <w:widowControl w:val="0"/>
        <w:spacing w:line="360" w:lineRule="auto"/>
        <w:ind w:firstLine="420" w:firstLineChars="200"/>
        <w:jc w:val="both"/>
        <w:rPr>
          <w:rFonts w:ascii="宋体" w:hAnsi="宋体" w:eastAsia="宋体" w:cs="宋体"/>
          <w:color w:val="auto"/>
          <w:highlight w:val="none"/>
          <w:lang w:eastAsia="zh-CN"/>
        </w:rPr>
      </w:pPr>
      <w:r>
        <w:rPr>
          <w:rFonts w:ascii="宋体" w:hAnsi="宋体" w:eastAsia="宋体" w:cs="宋体"/>
          <w:color w:val="auto"/>
          <w:highlight w:val="none"/>
          <w:lang w:eastAsia="zh-CN"/>
        </w:rPr>
        <w:t>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 （由本单位承担工程/提供服务），或者提供其他残疾人福利性 单位制造的货物（不包括使用非残疾人福利性单位注册商标的货物）。</w:t>
      </w:r>
    </w:p>
    <w:p w14:paraId="5C3C27A8">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本单位对上述声明的真实性负责。如有虚假，将依法承担相 应责任。</w:t>
      </w:r>
    </w:p>
    <w:p w14:paraId="4C2FD2B8">
      <w:pPr>
        <w:widowControl w:val="0"/>
        <w:spacing w:line="360" w:lineRule="auto"/>
        <w:ind w:firstLine="420" w:firstLineChars="200"/>
        <w:rPr>
          <w:rFonts w:ascii="宋体" w:hAnsi="宋体" w:eastAsia="宋体" w:cs="宋体"/>
          <w:color w:val="auto"/>
          <w:highlight w:val="none"/>
          <w:lang w:eastAsia="zh-CN"/>
        </w:rPr>
      </w:pPr>
    </w:p>
    <w:p w14:paraId="59F2EF5E">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单位名称（CA 证书签章）：</w:t>
      </w:r>
    </w:p>
    <w:p w14:paraId="271913CB">
      <w:pPr>
        <w:widowControl w:val="0"/>
        <w:spacing w:line="360" w:lineRule="auto"/>
        <w:ind w:firstLine="420" w:firstLineChars="200"/>
        <w:rPr>
          <w:rFonts w:ascii="宋体" w:hAnsi="宋体" w:eastAsia="宋体" w:cs="宋体"/>
          <w:color w:val="auto"/>
          <w:highlight w:val="none"/>
          <w:lang w:eastAsia="zh-CN"/>
        </w:rPr>
      </w:pPr>
      <w:r>
        <w:rPr>
          <w:rFonts w:ascii="宋体" w:hAnsi="宋体" w:eastAsia="宋体" w:cs="宋体"/>
          <w:color w:val="auto"/>
          <w:highlight w:val="none"/>
          <w:lang w:eastAsia="zh-CN"/>
        </w:rPr>
        <w:t>日  期：</w:t>
      </w:r>
    </w:p>
    <w:p w14:paraId="3DDEAE5C">
      <w:pPr>
        <w:pStyle w:val="7"/>
        <w:widowControl w:val="0"/>
        <w:spacing w:line="360" w:lineRule="auto"/>
        <w:ind w:firstLine="420" w:firstLineChars="200"/>
        <w:rPr>
          <w:color w:val="auto"/>
          <w:highlight w:val="none"/>
          <w:lang w:eastAsia="zh-CN"/>
        </w:rPr>
      </w:pPr>
    </w:p>
    <w:p w14:paraId="21F36ED6">
      <w:pPr>
        <w:pStyle w:val="7"/>
        <w:widowControl w:val="0"/>
        <w:spacing w:line="360" w:lineRule="auto"/>
        <w:ind w:firstLine="420" w:firstLineChars="200"/>
        <w:rPr>
          <w:color w:val="auto"/>
          <w:highlight w:val="none"/>
          <w:lang w:eastAsia="zh-CN"/>
        </w:rPr>
      </w:pPr>
    </w:p>
    <w:p w14:paraId="5FF264E0">
      <w:pPr>
        <w:pStyle w:val="7"/>
        <w:widowControl w:val="0"/>
        <w:spacing w:line="360" w:lineRule="auto"/>
        <w:ind w:firstLine="420" w:firstLineChars="200"/>
        <w:rPr>
          <w:color w:val="auto"/>
          <w:highlight w:val="none"/>
          <w:lang w:eastAsia="zh-CN"/>
        </w:rPr>
      </w:pPr>
    </w:p>
    <w:p w14:paraId="013A1D81">
      <w:pPr>
        <w:widowControl w:val="0"/>
        <w:spacing w:line="360" w:lineRule="auto"/>
        <w:rPr>
          <w:rFonts w:ascii="宋体" w:hAnsi="宋体" w:eastAsia="宋体" w:cs="宋体"/>
          <w:color w:val="auto"/>
          <w:sz w:val="31"/>
          <w:szCs w:val="31"/>
          <w:highlight w:val="none"/>
          <w:lang w:eastAsia="zh-CN"/>
        </w:rPr>
      </w:pPr>
      <w:r>
        <w:rPr>
          <w:rFonts w:hint="eastAsia" w:ascii="宋体" w:hAnsi="宋体" w:eastAsia="宋体" w:cs="宋体"/>
          <w:b/>
          <w:bCs/>
          <w:color w:val="auto"/>
          <w:sz w:val="31"/>
          <w:szCs w:val="31"/>
          <w:highlight w:val="none"/>
          <w:lang w:val="en-US" w:eastAsia="zh-CN"/>
        </w:rPr>
        <w:t>9</w:t>
      </w:r>
      <w:r>
        <w:rPr>
          <w:rFonts w:ascii="宋体" w:hAnsi="宋体" w:eastAsia="宋体" w:cs="宋体"/>
          <w:b/>
          <w:bCs/>
          <w:color w:val="auto"/>
          <w:sz w:val="31"/>
          <w:szCs w:val="31"/>
          <w:highlight w:val="none"/>
          <w:lang w:eastAsia="zh-CN"/>
        </w:rPr>
        <w:t>.供应商可结合本项目的评审办法视自身情况自行提交相关证明材料（如有，请提供）；</w:t>
      </w:r>
    </w:p>
    <w:sectPr>
      <w:headerReference r:id="rId30" w:type="default"/>
      <w:footerReference r:id="rId31" w:type="default"/>
      <w:pgSz w:w="11906" w:h="16839"/>
      <w:pgMar w:top="1417" w:right="1417" w:bottom="1417" w:left="1417" w:header="0" w:footer="140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296B8">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9198">
    <w:pPr>
      <w:pStyle w:val="1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7ECE2">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0FF7ECE2">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3A17">
    <w:pPr>
      <w:pStyle w:val="13"/>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10599">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4F910599">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B28F">
    <w:pPr>
      <w:pStyle w:val="13"/>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EA0F0">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duMM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o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uduMMtAgAAVwQAAA4AAAAAAAAAAQAgAAAAHwEAAGRycy9lMm9Eb2MueG1sUEsFBgAAAAAG&#10;AAYAWQEAAL4FAAAAAA==&#10;">
              <v:fill on="f" focussize="0,0"/>
              <v:stroke on="f" weight="0.5pt"/>
              <v:imagedata o:title=""/>
              <o:lock v:ext="edit" aspectratio="f"/>
              <v:textbox inset="0mm,0mm,0mm,0mm" style="mso-fit-shape-to-text:t;">
                <w:txbxContent>
                  <w:p w14:paraId="6D6EA0F0">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2276">
    <w:pPr>
      <w:pStyle w:val="13"/>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FDA64">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J7cdktAgAAV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J7cdktAgAAVwQAAA4AAAAAAAAAAQAgAAAAHwEAAGRycy9lMm9Eb2MueG1sUEsFBgAAAAAG&#10;AAYAWQEAAL4FAAAAAA==&#10;">
              <v:fill on="f" focussize="0,0"/>
              <v:stroke on="f" weight="0.5pt"/>
              <v:imagedata o:title=""/>
              <o:lock v:ext="edit" aspectratio="f"/>
              <v:textbox inset="0mm,0mm,0mm,0mm" style="mso-fit-shape-to-text:t;">
                <w:txbxContent>
                  <w:p w14:paraId="34AFDA64">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D887">
    <w:pPr>
      <w:pStyle w:val="13"/>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00459">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2Ipk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o2IpktAgAAVwQAAA4AAAAAAAAAAQAgAAAAHwEAAGRycy9lMm9Eb2MueG1sUEsFBgAAAAAG&#10;AAYAWQEAAL4FAAAAAA==&#10;">
              <v:fill on="f" focussize="0,0"/>
              <v:stroke on="f" weight="0.5pt"/>
              <v:imagedata o:title=""/>
              <o:lock v:ext="edit" aspectratio="f"/>
              <v:textbox inset="0mm,0mm,0mm,0mm" style="mso-fit-shape-to-text:t;">
                <w:txbxContent>
                  <w:p w14:paraId="0E900459">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7690">
    <w:pPr>
      <w:pStyle w:val="13"/>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CE5F3">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Lg11ktAgAAV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Lg11ktAgAAVwQAAA4AAAAAAAAAAQAgAAAAHwEAAGRycy9lMm9Eb2MueG1sUEsFBgAAAAAG&#10;AAYAWQEAAL4FAAAAAA==&#10;">
              <v:fill on="f" focussize="0,0"/>
              <v:stroke on="f" weight="0.5pt"/>
              <v:imagedata o:title=""/>
              <o:lock v:ext="edit" aspectratio="f"/>
              <v:textbox inset="0mm,0mm,0mm,0mm" style="mso-fit-shape-to-text:t;">
                <w:txbxContent>
                  <w:p w14:paraId="18DCE5F3">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FA6A">
    <w:pPr>
      <w:pStyle w:val="13"/>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85A5D">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thBktAgAAVwQAAA4AAABkcnMvZTJvRG9jLnhtbK1UzY7TMBC+I/EO&#10;lu80aYGlqp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qthBktAgAAVwQAAA4AAAAAAAAAAQAgAAAAHwEAAGRycy9lMm9Eb2MueG1sUEsFBgAAAAAG&#10;AAYAWQEAAL4FAAAAAA==&#10;">
              <v:fill on="f" focussize="0,0"/>
              <v:stroke on="f" weight="0.5pt"/>
              <v:imagedata o:title=""/>
              <o:lock v:ext="edit" aspectratio="f"/>
              <v:textbox inset="0mm,0mm,0mm,0mm" style="mso-fit-shape-to-text:t;">
                <w:txbxContent>
                  <w:p w14:paraId="0AF85A5D">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AE27">
    <w:pPr>
      <w:pStyle w:val="13"/>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AF744">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203AF744">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FE3B">
    <w:pPr>
      <w:pStyle w:val="13"/>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D54924">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hhFyw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s3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hhFywtAgAAVwQAAA4AAAAAAAAAAQAgAAAAHwEAAGRycy9lMm9Eb2MueG1sUEsFBgAAAAAG&#10;AAYAWQEAAL4FAAAAAA==&#10;">
              <v:fill on="f" focussize="0,0"/>
              <v:stroke on="f" weight="0.5pt"/>
              <v:imagedata o:title=""/>
              <o:lock v:ext="edit" aspectratio="f"/>
              <v:textbox inset="0mm,0mm,0mm,0mm" style="mso-fit-shape-to-text:t;">
                <w:txbxContent>
                  <w:p w14:paraId="38D54924">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A85E7">
    <w:pPr>
      <w:pStyle w:val="13"/>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CD42C">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MwDbKwIAAFcEAAAOAAAAAAAAAAEAIAAAAB8BAABkcnMvZTJvRG9jLnhtbFBLBQYAAAAABgAG&#10;AFkBAAC8BQAAAAA=&#10;">
              <v:fill on="f" focussize="0,0"/>
              <v:stroke on="f" weight="0.5pt"/>
              <v:imagedata o:title=""/>
              <o:lock v:ext="edit" aspectratio="f"/>
              <v:textbox inset="0mm,0mm,0mm,0mm" style="mso-fit-shape-to-text:t;">
                <w:txbxContent>
                  <w:p w14:paraId="4ECCD42C">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A81E">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C30C9">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159C30C9">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1B888">
    <w:pPr>
      <w:pStyle w:val="13"/>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E41AA">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x+U5ssAgAAV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H5TmywCAABXBAAADgAAAAAAAAABACAAAAAfAQAAZHJzL2Uyb0RvYy54bWxQSwUGAAAAAAYA&#10;BgBZAQAAvQUAAAAA&#10;">
              <v:fill on="f" focussize="0,0"/>
              <v:stroke on="f" weight="0.5pt"/>
              <v:imagedata o:title=""/>
              <o:lock v:ext="edit" aspectratio="f"/>
              <v:textbox inset="0mm,0mm,0mm,0mm" style="mso-fit-shape-to-text:t;">
                <w:txbxContent>
                  <w:p w14:paraId="64CE41AA">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079C4">
    <w:pPr>
      <w:tabs>
        <w:tab w:val="left" w:pos="4698"/>
      </w:tabs>
      <w:spacing w:line="176" w:lineRule="auto"/>
      <w:ind w:left="42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4DBC9">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opls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SoplstAgAAVwQAAA4AAAAAAAAAAQAgAAAAHwEAAGRycy9lMm9Eb2MueG1sUEsFBgAAAAAG&#10;AAYAWQEAAL4FAAAAAA==&#10;">
              <v:fill on="f" focussize="0,0"/>
              <v:stroke on="f" weight="0.5pt"/>
              <v:imagedata o:title=""/>
              <o:lock v:ext="edit" aspectratio="f"/>
              <v:textbox inset="0mm,0mm,0mm,0mm" style="mso-fit-shape-to-text:t;">
                <w:txbxContent>
                  <w:p w14:paraId="4894DBC9">
                    <w:pPr>
                      <w:pStyle w:val="13"/>
                    </w:pPr>
                    <w:r>
                      <w:fldChar w:fldCharType="begin"/>
                    </w:r>
                    <w:r>
                      <w:instrText xml:space="preserve"> PAGE  \* MERGEFORMAT </w:instrText>
                    </w:r>
                    <w:r>
                      <w:fldChar w:fldCharType="separate"/>
                    </w:r>
                    <w:r>
                      <w:t>56</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4F5C">
    <w:pPr>
      <w:pStyle w:val="13"/>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31D7D">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l9Rs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PrK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zl9RstAgAAVwQAAA4AAAAAAAAAAQAgAAAAHwEAAGRycy9lMm9Eb2MueG1sUEsFBgAAAAAG&#10;AAYAWQEAAL4FAAAAAA==&#10;">
              <v:fill on="f" focussize="0,0"/>
              <v:stroke on="f" weight="0.5pt"/>
              <v:imagedata o:title=""/>
              <o:lock v:ext="edit" aspectratio="f"/>
              <v:textbox inset="0mm,0mm,0mm,0mm" style="mso-fit-shape-to-text:t;">
                <w:txbxContent>
                  <w:p w14:paraId="03431D7D">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E436E">
    <w:pPr>
      <w:pStyle w:val="13"/>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23AA9">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DPAEtAgAAV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UDPAEtAgAAVwQAAA4AAAAAAAAAAQAgAAAAHwEAAGRycy9lMm9Eb2MueG1sUEsFBgAAAAAG&#10;AAYAWQEAAL4FAAAAAA==&#10;">
              <v:fill on="f" focussize="0,0"/>
              <v:stroke on="f" weight="0.5pt"/>
              <v:imagedata o:title=""/>
              <o:lock v:ext="edit" aspectratio="f"/>
              <v:textbox inset="0mm,0mm,0mm,0mm" style="mso-fit-shape-to-text:t;">
                <w:txbxContent>
                  <w:p w14:paraId="3E823AA9">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694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2D9BD">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40B2D9BD">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A695">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53F8F">
                          <w:pPr>
                            <w:pStyle w:val="1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9A53F8F">
                    <w:pPr>
                      <w:pStyle w:val="1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BA10">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54766">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61154766">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10128">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7509">
                          <w:pPr>
                            <w:pStyle w:val="1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01397509">
                    <w:pPr>
                      <w:pStyle w:val="1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4D04">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43C8">
                          <w:pPr>
                            <w:pStyle w:val="1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242743C8">
                    <w:pPr>
                      <w:pStyle w:val="1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A80E">
    <w:pPr>
      <w:pStyle w:val="13"/>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BAD63">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1ECBAD63">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CB092">
    <w:pPr>
      <w:pStyle w:val="1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EEC1C">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50DEEC1C">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F480">
    <w:pPr>
      <w:pStyle w:val="7"/>
      <w:spacing w:line="46"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43BF9">
    <w:pPr>
      <w:pStyle w:val="7"/>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C817">
    <w:pPr>
      <w:pStyle w:val="7"/>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8787">
    <w:pPr>
      <w:pStyle w:val="7"/>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213F">
    <w:pPr>
      <w:pStyle w:val="7"/>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68CE5">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F0521"/>
    <w:multiLevelType w:val="singleLevel"/>
    <w:tmpl w:val="0F3F052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0B6792"/>
    <w:rsid w:val="00057689"/>
    <w:rsid w:val="000B6792"/>
    <w:rsid w:val="001B7CBD"/>
    <w:rsid w:val="0037179E"/>
    <w:rsid w:val="004B6FA9"/>
    <w:rsid w:val="005D59E5"/>
    <w:rsid w:val="007743B3"/>
    <w:rsid w:val="008935D6"/>
    <w:rsid w:val="00AA1B86"/>
    <w:rsid w:val="017D5F03"/>
    <w:rsid w:val="02C24BF1"/>
    <w:rsid w:val="030D3B33"/>
    <w:rsid w:val="032C4E8C"/>
    <w:rsid w:val="05A216B9"/>
    <w:rsid w:val="06693418"/>
    <w:rsid w:val="0701711F"/>
    <w:rsid w:val="08346D03"/>
    <w:rsid w:val="08B576D2"/>
    <w:rsid w:val="0970184A"/>
    <w:rsid w:val="0AE55920"/>
    <w:rsid w:val="0CAB0443"/>
    <w:rsid w:val="0CE819E3"/>
    <w:rsid w:val="101F1C09"/>
    <w:rsid w:val="11C16CE3"/>
    <w:rsid w:val="120D4228"/>
    <w:rsid w:val="1797673A"/>
    <w:rsid w:val="17E27104"/>
    <w:rsid w:val="184B0543"/>
    <w:rsid w:val="1C5431DC"/>
    <w:rsid w:val="1CAD4584"/>
    <w:rsid w:val="1D00160A"/>
    <w:rsid w:val="1DAB4FA6"/>
    <w:rsid w:val="1E741DD1"/>
    <w:rsid w:val="1E865698"/>
    <w:rsid w:val="2047766D"/>
    <w:rsid w:val="20F3114C"/>
    <w:rsid w:val="23A83C63"/>
    <w:rsid w:val="23D1070E"/>
    <w:rsid w:val="23E546F9"/>
    <w:rsid w:val="27644345"/>
    <w:rsid w:val="28D177B8"/>
    <w:rsid w:val="298143E7"/>
    <w:rsid w:val="2B0D781D"/>
    <w:rsid w:val="2B2D6293"/>
    <w:rsid w:val="2CFE05A2"/>
    <w:rsid w:val="2F7178E6"/>
    <w:rsid w:val="302B1693"/>
    <w:rsid w:val="316046D6"/>
    <w:rsid w:val="32DF400A"/>
    <w:rsid w:val="331C310A"/>
    <w:rsid w:val="33274D42"/>
    <w:rsid w:val="33945FB2"/>
    <w:rsid w:val="33A23909"/>
    <w:rsid w:val="361A2073"/>
    <w:rsid w:val="3627012C"/>
    <w:rsid w:val="36E33AD3"/>
    <w:rsid w:val="383E029A"/>
    <w:rsid w:val="38B95344"/>
    <w:rsid w:val="3ADE1089"/>
    <w:rsid w:val="3BCD02B3"/>
    <w:rsid w:val="3E7A2248"/>
    <w:rsid w:val="3F9E7ADA"/>
    <w:rsid w:val="3FEA7B57"/>
    <w:rsid w:val="410F33EC"/>
    <w:rsid w:val="41590C98"/>
    <w:rsid w:val="4201680A"/>
    <w:rsid w:val="428D2352"/>
    <w:rsid w:val="44A0122D"/>
    <w:rsid w:val="44D206E8"/>
    <w:rsid w:val="45551DD1"/>
    <w:rsid w:val="455827CF"/>
    <w:rsid w:val="45EF0D55"/>
    <w:rsid w:val="48351FF1"/>
    <w:rsid w:val="488937B4"/>
    <w:rsid w:val="4B934057"/>
    <w:rsid w:val="4C8F6EBF"/>
    <w:rsid w:val="4E0E3438"/>
    <w:rsid w:val="4F0C71D9"/>
    <w:rsid w:val="4F8F4431"/>
    <w:rsid w:val="53D75643"/>
    <w:rsid w:val="561B17C3"/>
    <w:rsid w:val="58064780"/>
    <w:rsid w:val="59494D0D"/>
    <w:rsid w:val="5C2D1AE0"/>
    <w:rsid w:val="5C5123E2"/>
    <w:rsid w:val="5C8A75DB"/>
    <w:rsid w:val="6072155E"/>
    <w:rsid w:val="614E2111"/>
    <w:rsid w:val="62F133AA"/>
    <w:rsid w:val="639E5FFE"/>
    <w:rsid w:val="645657DF"/>
    <w:rsid w:val="6521263D"/>
    <w:rsid w:val="67734C82"/>
    <w:rsid w:val="68E533EA"/>
    <w:rsid w:val="68EB66C8"/>
    <w:rsid w:val="698A6279"/>
    <w:rsid w:val="6AE73F2B"/>
    <w:rsid w:val="6B6932A5"/>
    <w:rsid w:val="6C3109FE"/>
    <w:rsid w:val="6C8D10B0"/>
    <w:rsid w:val="6DA560EA"/>
    <w:rsid w:val="6F5316A2"/>
    <w:rsid w:val="6F8B35EB"/>
    <w:rsid w:val="6F97284E"/>
    <w:rsid w:val="70A272B7"/>
    <w:rsid w:val="733858B8"/>
    <w:rsid w:val="76E92CF5"/>
    <w:rsid w:val="790245B3"/>
    <w:rsid w:val="79D819B0"/>
    <w:rsid w:val="7AFE508C"/>
    <w:rsid w:val="7C4116D4"/>
    <w:rsid w:val="7DAC40A3"/>
    <w:rsid w:val="7EE1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widowControl w:val="0"/>
      <w:spacing w:line="360" w:lineRule="auto"/>
      <w:jc w:val="both"/>
      <w:outlineLvl w:val="1"/>
    </w:pPr>
    <w:rPr>
      <w:rFonts w:eastAsia="宋体" w:cs="Times New Roman"/>
      <w:b/>
      <w:kern w:val="2"/>
      <w:sz w:val="24"/>
      <w:szCs w:val="32"/>
      <w:lang w:eastAsia="zh-CN"/>
    </w:rPr>
  </w:style>
  <w:style w:type="paragraph" w:styleId="4">
    <w:name w:val="heading 4"/>
    <w:basedOn w:val="1"/>
    <w:next w:val="1"/>
    <w:qFormat/>
    <w:uiPriority w:val="0"/>
    <w:pPr>
      <w:keepNext/>
      <w:keepLines/>
      <w:spacing w:before="280" w:after="290" w:line="376" w:lineRule="auto"/>
      <w:outlineLvl w:val="3"/>
    </w:pPr>
    <w:rPr>
      <w:rFonts w:ascii="Cambria" w:hAnsi="Cambria" w:eastAsia="宋体" w:cs="宋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annotation text"/>
    <w:basedOn w:val="1"/>
    <w:qFormat/>
    <w:uiPriority w:val="0"/>
  </w:style>
  <w:style w:type="paragraph" w:styleId="7">
    <w:name w:val="Body Text"/>
    <w:basedOn w:val="1"/>
    <w:next w:val="8"/>
    <w:semiHidden/>
    <w:qFormat/>
    <w:uiPriority w:val="0"/>
  </w:style>
  <w:style w:type="paragraph" w:styleId="8">
    <w:name w:val="Body Text First Indent 2"/>
    <w:basedOn w:val="9"/>
    <w:next w:val="11"/>
    <w:qFormat/>
    <w:uiPriority w:val="0"/>
    <w:pPr>
      <w:spacing w:after="120" w:afterLines="0"/>
      <w:ind w:left="420" w:leftChars="200" w:firstLine="420" w:firstLineChars="200"/>
    </w:pPr>
    <w:rPr>
      <w:rFonts w:ascii="Times New Roman" w:eastAsia="宋体"/>
      <w:sz w:val="21"/>
      <w:szCs w:val="24"/>
    </w:rPr>
  </w:style>
  <w:style w:type="paragraph" w:styleId="9">
    <w:name w:val="Body Text Indent"/>
    <w:basedOn w:val="1"/>
    <w:next w:val="10"/>
    <w:qFormat/>
    <w:uiPriority w:val="0"/>
    <w:pPr>
      <w:spacing w:after="120"/>
      <w:ind w:left="420" w:leftChars="200"/>
    </w:pPr>
  </w:style>
  <w:style w:type="paragraph" w:customStyle="1" w:styleId="10">
    <w:name w:val="样式 正文文本缩进 + 首行缩进:  2 字符 行距: 1.5 倍行距"/>
    <w:basedOn w:val="9"/>
    <w:qFormat/>
    <w:uiPriority w:val="0"/>
    <w:rPr>
      <w:rFonts w:cs="宋体"/>
    </w:rPr>
  </w:style>
  <w:style w:type="paragraph" w:customStyle="1" w:styleId="11">
    <w:name w:val="**正文"/>
    <w:basedOn w:val="1"/>
    <w:qFormat/>
    <w:uiPriority w:val="0"/>
    <w:pPr>
      <w:ind w:firstLine="482"/>
    </w:pPr>
    <w:rPr>
      <w:rFonts w:ascii="宋体" w:hAnsi="宋体"/>
      <w:sz w:val="24"/>
    </w:rPr>
  </w:style>
  <w:style w:type="paragraph" w:styleId="12">
    <w:name w:val="Plain Text"/>
    <w:basedOn w:val="1"/>
    <w:next w:val="5"/>
    <w:qFormat/>
    <w:uiPriority w:val="99"/>
    <w:rPr>
      <w:rFonts w:ascii="宋体" w:hAnsi="Courier New"/>
      <w:szCs w:val="20"/>
    </w:rPr>
  </w:style>
  <w:style w:type="paragraph" w:styleId="13">
    <w:name w:val="footer"/>
    <w:basedOn w:val="1"/>
    <w:qFormat/>
    <w:uiPriority w:val="0"/>
    <w:pPr>
      <w:tabs>
        <w:tab w:val="center" w:pos="4153"/>
        <w:tab w:val="right" w:pos="8306"/>
      </w:tabs>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toc 1"/>
    <w:basedOn w:val="1"/>
    <w:next w:val="1"/>
    <w:qFormat/>
    <w:uiPriority w:val="0"/>
  </w:style>
  <w:style w:type="paragraph" w:styleId="16">
    <w:name w:val="index 1"/>
    <w:basedOn w:val="1"/>
    <w:next w:val="1"/>
    <w:semiHidden/>
    <w:qFormat/>
    <w:uiPriority w:val="0"/>
    <w:pPr>
      <w:spacing w:line="400" w:lineRule="exact"/>
      <w:ind w:firstLine="420" w:firstLineChars="200"/>
    </w:pPr>
    <w:rPr>
      <w:rFonts w:ascii="宋体" w:hAnsi="Courier New"/>
      <w:b/>
      <w:szCs w:val="20"/>
    </w:rPr>
  </w:style>
  <w:style w:type="paragraph" w:styleId="17">
    <w:name w:val="Title"/>
    <w:basedOn w:val="1"/>
    <w:next w:val="1"/>
    <w:qFormat/>
    <w:uiPriority w:val="0"/>
    <w:pPr>
      <w:spacing w:before="240" w:after="60"/>
      <w:jc w:val="center"/>
      <w:outlineLvl w:val="0"/>
    </w:pPr>
    <w:rPr>
      <w:rFonts w:ascii="等线 Light" w:hAnsi="等线 Light"/>
      <w:b/>
      <w:bCs/>
      <w:sz w:val="32"/>
      <w:szCs w:val="32"/>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宋体" w:hAnsi="宋体" w:eastAsia="宋体" w:cs="宋体"/>
      <w:sz w:val="20"/>
      <w:szCs w:val="20"/>
    </w:rPr>
  </w:style>
  <w:style w:type="paragraph" w:customStyle="1" w:styleId="24">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5">
    <w:name w:val="font0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3.xml"/><Relationship Id="rId30" Type="http://schemas.openxmlformats.org/officeDocument/2006/relationships/header" Target="header6.xml"/><Relationship Id="rId3" Type="http://schemas.openxmlformats.org/officeDocument/2006/relationships/footer" Target="footer1.xml"/><Relationship Id="rId29" Type="http://schemas.openxmlformats.org/officeDocument/2006/relationships/footer" Target="footer22.xml"/><Relationship Id="rId28" Type="http://schemas.openxmlformats.org/officeDocument/2006/relationships/header" Target="header5.xml"/><Relationship Id="rId27" Type="http://schemas.openxmlformats.org/officeDocument/2006/relationships/footer" Target="footer21.xml"/><Relationship Id="rId26" Type="http://schemas.openxmlformats.org/officeDocument/2006/relationships/header" Target="header4.xml"/><Relationship Id="rId25" Type="http://schemas.openxmlformats.org/officeDocument/2006/relationships/footer" Target="footer20.xml"/><Relationship Id="rId24" Type="http://schemas.openxmlformats.org/officeDocument/2006/relationships/header" Target="header3.xml"/><Relationship Id="rId23" Type="http://schemas.openxmlformats.org/officeDocument/2006/relationships/footer" Target="footer19.xml"/><Relationship Id="rId22" Type="http://schemas.openxmlformats.org/officeDocument/2006/relationships/header" Target="header2.xml"/><Relationship Id="rId21" Type="http://schemas.openxmlformats.org/officeDocument/2006/relationships/footer" Target="footer18.xml"/><Relationship Id="rId20"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14936</Words>
  <Characters>16025</Characters>
  <Lines>337</Lines>
  <Paragraphs>95</Paragraphs>
  <TotalTime>52</TotalTime>
  <ScaleCrop>false</ScaleCrop>
  <LinksUpToDate>false</LinksUpToDate>
  <CharactersWithSpaces>16463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2025-04-10T10:45:00Z</dcterms:created>
  <dc:creator>Administrator</dc:creator>
  <cp:lastModifiedBy>NOTE </cp:lastModifiedBy>
  <cp:lastPrinted>2025-10-20T01:33:00Z</cp:lastPrinted>
  <dcterms:modified xsi:type="dcterms:W3CDTF">2025-10-20T02:24:54Z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2025-06-20T09:44:10Z</vt:filetime>
  </property>
  <property fmtid="{D5CDD505-2E9C-101B-9397-08002B2CF9AE}" pid="4" name="KSOTemplateDocerSaveRecord">
    <vt:lpwstr>eyJoZGlkIjoiNmExMjU5MGNkN2Q2MWM3MWIyNWQ0NmE0M2ZkYjIxN2EiLCJ1c2VySWQiOiIxOTkwMTQ3ODgifQ==</vt:lpwstr>
  </property>
  <property fmtid="{D5CDD505-2E9C-101B-9397-08002B2CF9AE}" pid="5" name="KSOProductBuildVer">
    <vt:lpwstr>2052-12.1.0.23125</vt:lpwstr>
  </property>
  <property fmtid="{D5CDD505-2E9C-101B-9397-08002B2CF9AE}" pid="6" name="ICV">
    <vt:lpwstr>DBEEE7FCE9D74BAB932F72BA585FA43C_13</vt:lpwstr>
  </property>
</Properties>
</file>