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350F3">
      <w:pPr>
        <w:pStyle w:val="146"/>
      </w:pPr>
      <w:r>
        <w:rPr>
          <w:rFonts w:hint="eastAsia"/>
        </w:rPr>
        <w:drawing>
          <wp:anchor distT="0" distB="0" distL="114300" distR="114300" simplePos="0" relativeHeight="251660288" behindDoc="0" locked="0" layoutInCell="1" allowOverlap="1">
            <wp:simplePos x="0" y="0"/>
            <wp:positionH relativeFrom="column">
              <wp:posOffset>127000</wp:posOffset>
            </wp:positionH>
            <wp:positionV relativeFrom="paragraph">
              <wp:posOffset>367665</wp:posOffset>
            </wp:positionV>
            <wp:extent cx="5644515" cy="1551940"/>
            <wp:effectExtent l="0" t="0" r="13335" b="10160"/>
            <wp:wrapNone/>
            <wp:docPr id="1" name="图片 1" descr="ba8b8434a1eccf8278aef83974b46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8b8434a1eccf8278aef83974b46cd"/>
                    <pic:cNvPicPr>
                      <a:picLocks noChangeAspect="1"/>
                    </pic:cNvPicPr>
                  </pic:nvPicPr>
                  <pic:blipFill>
                    <a:blip r:embed="rId19" cstate="print"/>
                    <a:stretch>
                      <a:fillRect/>
                    </a:stretch>
                  </pic:blipFill>
                  <pic:spPr>
                    <a:xfrm>
                      <a:off x="0" y="0"/>
                      <a:ext cx="5644515" cy="1551940"/>
                    </a:xfrm>
                    <a:prstGeom prst="rect">
                      <a:avLst/>
                    </a:prstGeom>
                    <a:noFill/>
                    <a:ln>
                      <a:noFill/>
                    </a:ln>
                  </pic:spPr>
                </pic:pic>
              </a:graphicData>
            </a:graphic>
          </wp:anchor>
        </w:drawing>
      </w:r>
    </w:p>
    <w:p w14:paraId="08B78026">
      <w:pPr>
        <w:spacing w:line="600" w:lineRule="exact"/>
        <w:jc w:val="center"/>
        <w:rPr>
          <w:rFonts w:ascii="宋体" w:hAnsi="宋体" w:cs="宋体"/>
          <w:sz w:val="32"/>
          <w:szCs w:val="32"/>
        </w:rPr>
      </w:pPr>
    </w:p>
    <w:p w14:paraId="24E4762A">
      <w:pPr>
        <w:spacing w:before="120" w:beforeLines="50"/>
        <w:jc w:val="center"/>
        <w:rPr>
          <w:rFonts w:ascii="宋体" w:hAnsi="宋体" w:cs="宋体"/>
          <w:b/>
          <w:sz w:val="48"/>
          <w:szCs w:val="48"/>
        </w:rPr>
      </w:pPr>
    </w:p>
    <w:p w14:paraId="16642B11">
      <w:pPr>
        <w:spacing w:before="120" w:beforeLines="50"/>
        <w:jc w:val="center"/>
        <w:rPr>
          <w:rFonts w:ascii="宋体" w:hAnsi="宋体" w:cs="宋体"/>
          <w:b/>
          <w:sz w:val="48"/>
          <w:szCs w:val="48"/>
        </w:rPr>
      </w:pPr>
    </w:p>
    <w:p w14:paraId="622009C0">
      <w:pPr>
        <w:spacing w:before="120" w:beforeLines="50" w:line="1000" w:lineRule="exact"/>
        <w:jc w:val="center"/>
        <w:rPr>
          <w:rFonts w:ascii="宋体" w:hAnsi="宋体" w:cs="宋体"/>
          <w:sz w:val="72"/>
          <w:szCs w:val="72"/>
        </w:rPr>
      </w:pPr>
      <w:r>
        <w:rPr>
          <w:rFonts w:hAnsi="宋体" w:cs="宋体"/>
          <w:sz w:val="28"/>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625475</wp:posOffset>
                </wp:positionV>
                <wp:extent cx="6105525" cy="28575"/>
                <wp:effectExtent l="0" t="19050" r="28575" b="28575"/>
                <wp:wrapNone/>
                <wp:docPr id="4" name="直接箭头连接符 4"/>
                <wp:cNvGraphicFramePr/>
                <a:graphic xmlns:a="http://schemas.openxmlformats.org/drawingml/2006/main">
                  <a:graphicData uri="http://schemas.microsoft.com/office/word/2010/wordprocessingShape">
                    <wps:wsp>
                      <wps:cNvCnPr/>
                      <wps:spPr>
                        <a:xfrm>
                          <a:off x="0" y="0"/>
                          <a:ext cx="6105525" cy="28575"/>
                        </a:xfrm>
                        <a:prstGeom prst="straightConnector1">
                          <a:avLst/>
                        </a:prstGeom>
                        <a:ln w="63500" cap="flat" cmpd="tri">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pt;margin-top:49.25pt;height:2.25pt;width:480.75pt;z-index:251659264;mso-width-relative:page;mso-height-relative:page;" filled="f" stroked="t" coordsize="21600,21600" o:gfxdata="UEsDBAoAAAAAAIdO4kAAAAAAAAAAAAAAAAAEAAAAZHJzL1BLAwQUAAAACACHTuJAMvfXfNgAAAAK&#10;AQAADwAAAGRycy9kb3ducmV2LnhtbE2Py07EMAxF90j8Q2QkdjNJgKJOaToLEA8hsaCA2GaS0AQa&#10;p2oyD/4es4KdLR9dn9uuD3FkOzfnkFCBXApgDk2yAQcFry+3ixpYLhqtHhM6Bd8uw7o7Pmp1Y9Me&#10;n92uLwOjEMyNVuBLmRrOs/Eu6rxMk0O6faQ56kLrPHA76z2Fx5GfCXHJow5IH7ye3LV35qvfRgXG&#10;9I/39fvDxZ2X/m2onj55CDdKnZ5IcQWsuEP5g+FXn9ShI6dN2qLNbFSwkIK6FAWrugJGwKqSNGyI&#10;FOcCeNfy/xW6H1BLAwQUAAAACACHTuJADm6WBwUCAAD/AwAADgAAAGRycy9lMm9Eb2MueG1srVPN&#10;jtMwEL4j8Q6W7zRp2SyrqOkeWpYLgkrAA0xtp7HkP9nepn0JXgCJE3ACTnvnaWB5DMZOKMty6YEc&#10;nBl75pv5Po/nl3utyE74IK1p6HRSUiIMs1yabUPfvL56dEFJiGA4KGtEQw8i0MvFwwfz3tViZjur&#10;uPAEQUyoe9fQLkZXF0VgndAQJtYJg4et9Roiun5bcA89omtVzMryvOit585bJkLA3dVwSEdEfwqg&#10;bVvJxMqyay1MHFC9UBCRUuikC3SRu21bweLLtg0iEtVQZBrzikXQ3qS1WMyh3npwnWRjC3BKC/c4&#10;aZAGix6hVhCBXHv5D5SWzNtg2zhhVhcDkawIspiW97R51YETmQtKHdxR9PD/YNmL3doTyRt6RokB&#10;jRd+++7mx9uPt1+/fP9w8/Pb+2R//kTOklS9CzVmLM3aj15wa59471uv0x8ZkX2W93CUV+wjYbh5&#10;Pi2ralZRwvBsdlE9qRJm8SfZ+RCfCatJMhoaoge57eLSGoMXaf00Swy75yEOib8TUmVlSI81Hlcl&#10;3i0DnMwWJwJN7ZBd9DInB6skv5JKpZTgt5ul8mQHaTryN3b0V1iqsoLQDXH5KIVB3QngTw0n8eBQ&#10;N4PPhaYetOCUKIGvK1k5MoJUp0SiGMokaJFndySaZB+ETtbG8kPWv0gezkXWcJzhNHh3fbTvvtvF&#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L313zYAAAACgEAAA8AAAAAAAAAAQAgAAAAIgAAAGRy&#10;cy9kb3ducmV2LnhtbFBLAQIUABQAAAAIAIdO4kAObpYHBQIAAP8DAAAOAAAAAAAAAAEAIAAAACcB&#10;AABkcnMvZTJvRG9jLnhtbFBLBQYAAAAABgAGAFkBAACeBQAAAAA=&#10;">
                <v:fill on="f" focussize="0,0"/>
                <v:stroke weight="5pt" color="#000000" linestyle="thickBetweenThin" joinstyle="round"/>
                <v:imagedata o:title=""/>
                <o:lock v:ext="edit" aspectratio="f"/>
              </v:shape>
            </w:pict>
          </mc:Fallback>
        </mc:AlternateContent>
      </w:r>
    </w:p>
    <w:p w14:paraId="0C60B4A0">
      <w:pPr>
        <w:spacing w:before="120" w:beforeLines="50" w:line="1000" w:lineRule="exact"/>
        <w:jc w:val="center"/>
        <w:rPr>
          <w:rFonts w:ascii="宋体" w:hAnsi="宋体" w:cs="宋体"/>
          <w:sz w:val="72"/>
          <w:szCs w:val="72"/>
        </w:rPr>
      </w:pPr>
    </w:p>
    <w:p w14:paraId="3BA2E750">
      <w:pPr>
        <w:spacing w:before="120" w:beforeLines="50" w:line="1000" w:lineRule="exact"/>
        <w:jc w:val="center"/>
        <w:rPr>
          <w:rFonts w:ascii="宋体" w:hAnsi="宋体" w:cs="宋体"/>
          <w:b/>
          <w:bCs/>
          <w:sz w:val="72"/>
          <w:szCs w:val="72"/>
        </w:rPr>
      </w:pPr>
      <w:r>
        <w:rPr>
          <w:rFonts w:hint="eastAsia" w:ascii="宋体" w:hAnsi="宋体" w:cs="宋体"/>
          <w:b/>
          <w:bCs/>
          <w:sz w:val="72"/>
          <w:szCs w:val="72"/>
        </w:rPr>
        <w:t>竞争性谈判采购文件</w:t>
      </w:r>
    </w:p>
    <w:p w14:paraId="7B97D585">
      <w:pPr>
        <w:snapToGrid w:val="0"/>
        <w:spacing w:before="120" w:beforeLines="50" w:line="360" w:lineRule="auto"/>
        <w:rPr>
          <w:rFonts w:ascii="宋体" w:hAnsi="宋体" w:cs="宋体"/>
          <w:sz w:val="30"/>
          <w:szCs w:val="72"/>
        </w:rPr>
      </w:pPr>
    </w:p>
    <w:p w14:paraId="3FE74A9B">
      <w:pPr>
        <w:snapToGrid w:val="0"/>
        <w:spacing w:before="120" w:beforeLines="50" w:line="360" w:lineRule="auto"/>
        <w:rPr>
          <w:rFonts w:ascii="宋体" w:hAnsi="宋体" w:cs="宋体"/>
          <w:sz w:val="30"/>
          <w:szCs w:val="72"/>
        </w:rPr>
      </w:pPr>
    </w:p>
    <w:p w14:paraId="700F2275">
      <w:pPr>
        <w:pStyle w:val="19"/>
        <w:snapToGrid w:val="0"/>
        <w:spacing w:before="120" w:after="120" w:line="360" w:lineRule="auto"/>
        <w:ind w:firstLine="1145" w:firstLineChars="400"/>
        <w:rPr>
          <w:rFonts w:hAnsi="宋体" w:cs="宋体"/>
          <w:sz w:val="30"/>
          <w:szCs w:val="72"/>
        </w:rPr>
      </w:pPr>
      <w:r>
        <w:rPr>
          <w:rFonts w:hint="eastAsia" w:hAnsi="宋体" w:cs="宋体"/>
          <w:b/>
          <w:bCs/>
          <w:w w:val="95"/>
          <w:sz w:val="30"/>
          <w:szCs w:val="30"/>
        </w:rPr>
        <w:t>项目名称：贵港市自然博物馆馆藏文物预防性保护项目</w:t>
      </w:r>
    </w:p>
    <w:p w14:paraId="4084BA24">
      <w:pPr>
        <w:pStyle w:val="19"/>
        <w:snapToGrid w:val="0"/>
        <w:spacing w:before="120" w:after="120" w:line="360" w:lineRule="auto"/>
        <w:ind w:firstLine="1193" w:firstLineChars="396"/>
        <w:rPr>
          <w:rFonts w:hint="eastAsia" w:hAnsi="宋体" w:eastAsia="宋体" w:cs="宋体"/>
          <w:b/>
          <w:bCs/>
          <w:sz w:val="30"/>
          <w:szCs w:val="30"/>
          <w:lang w:eastAsia="zh-CN"/>
        </w:rPr>
      </w:pPr>
      <w:r>
        <w:rPr>
          <w:rFonts w:hint="eastAsia" w:hAnsi="宋体" w:cs="宋体"/>
          <w:b/>
          <w:bCs/>
          <w:sz w:val="30"/>
          <w:szCs w:val="30"/>
        </w:rPr>
        <w:t>项目编号：</w:t>
      </w:r>
      <w:r>
        <w:rPr>
          <w:rFonts w:hint="eastAsia" w:hAnsi="宋体" w:cs="宋体"/>
          <w:b/>
          <w:bCs/>
          <w:sz w:val="30"/>
          <w:szCs w:val="30"/>
          <w:lang w:eastAsia="zh-CN"/>
        </w:rPr>
        <w:t>GGZC2025-J1-990128-BSGC</w:t>
      </w:r>
    </w:p>
    <w:p w14:paraId="4CDF9D22">
      <w:pPr>
        <w:pStyle w:val="19"/>
        <w:snapToGrid w:val="0"/>
        <w:spacing w:before="120" w:after="120" w:line="360" w:lineRule="auto"/>
        <w:rPr>
          <w:rFonts w:hAnsi="宋体" w:cs="宋体"/>
          <w:b/>
          <w:bCs/>
          <w:w w:val="95"/>
          <w:sz w:val="30"/>
          <w:szCs w:val="30"/>
        </w:rPr>
      </w:pPr>
    </w:p>
    <w:p w14:paraId="403D3F0D">
      <w:pPr>
        <w:pStyle w:val="19"/>
        <w:snapToGrid w:val="0"/>
        <w:spacing w:before="120" w:after="120" w:line="360" w:lineRule="auto"/>
        <w:rPr>
          <w:rFonts w:hAnsi="宋体" w:cs="宋体"/>
          <w:b/>
          <w:bCs/>
          <w:w w:val="95"/>
          <w:sz w:val="30"/>
          <w:szCs w:val="30"/>
        </w:rPr>
      </w:pPr>
    </w:p>
    <w:p w14:paraId="38B342EB">
      <w:pPr>
        <w:pStyle w:val="19"/>
        <w:snapToGrid w:val="0"/>
        <w:spacing w:before="120" w:after="120" w:line="360" w:lineRule="auto"/>
        <w:ind w:firstLine="1271" w:firstLineChars="444"/>
        <w:rPr>
          <w:rFonts w:hAnsi="宋体" w:cs="宋体"/>
          <w:b/>
          <w:bCs/>
          <w:w w:val="95"/>
          <w:sz w:val="30"/>
          <w:szCs w:val="30"/>
        </w:rPr>
      </w:pPr>
      <w:r>
        <w:rPr>
          <w:rFonts w:hint="eastAsia" w:hAnsi="宋体" w:cs="宋体"/>
          <w:b/>
          <w:bCs/>
          <w:w w:val="95"/>
          <w:sz w:val="30"/>
          <w:szCs w:val="30"/>
        </w:rPr>
        <w:t>采 购 人： 贵港市自然博物馆</w:t>
      </w:r>
    </w:p>
    <w:p w14:paraId="07E3B6AA">
      <w:pPr>
        <w:pStyle w:val="19"/>
        <w:snapToGrid w:val="0"/>
        <w:spacing w:before="120" w:after="120" w:line="360" w:lineRule="auto"/>
        <w:ind w:firstLine="1268" w:firstLineChars="443"/>
        <w:rPr>
          <w:rFonts w:hAnsi="宋体" w:cs="宋体"/>
          <w:b/>
          <w:bCs/>
          <w:w w:val="95"/>
          <w:sz w:val="30"/>
          <w:szCs w:val="30"/>
        </w:rPr>
      </w:pPr>
      <w:r>
        <w:rPr>
          <w:rFonts w:hint="eastAsia" w:hAnsi="宋体" w:cs="宋体"/>
          <w:b/>
          <w:bCs/>
          <w:w w:val="95"/>
          <w:sz w:val="30"/>
          <w:szCs w:val="30"/>
        </w:rPr>
        <w:t>采购代理机构：广西宝盛工程咨询有限公司</w:t>
      </w:r>
    </w:p>
    <w:p w14:paraId="7E4D323F">
      <w:pPr>
        <w:pStyle w:val="19"/>
        <w:snapToGrid w:val="0"/>
        <w:spacing w:before="120" w:after="120" w:line="360" w:lineRule="auto"/>
        <w:jc w:val="center"/>
        <w:rPr>
          <w:rFonts w:hAnsi="宋体" w:cs="宋体"/>
          <w:b/>
          <w:bCs/>
          <w:w w:val="95"/>
          <w:sz w:val="30"/>
          <w:szCs w:val="30"/>
        </w:rPr>
      </w:pPr>
      <w:r>
        <w:rPr>
          <w:rFonts w:hint="eastAsia" w:hAnsi="宋体" w:cs="宋体"/>
          <w:b/>
          <w:bCs/>
          <w:w w:val="95"/>
          <w:sz w:val="30"/>
          <w:szCs w:val="30"/>
        </w:rPr>
        <w:t>2025年6月</w:t>
      </w:r>
    </w:p>
    <w:p w14:paraId="207EEB1D">
      <w:pPr>
        <w:pStyle w:val="19"/>
        <w:spacing w:before="120" w:after="120" w:line="360" w:lineRule="auto"/>
        <w:jc w:val="center"/>
        <w:rPr>
          <w:rFonts w:hAnsi="宋体" w:cs="宋体"/>
          <w:sz w:val="32"/>
          <w:szCs w:val="32"/>
        </w:rPr>
        <w:sectPr>
          <w:footerReference r:id="rId9" w:type="first"/>
          <w:headerReference r:id="rId5" w:type="default"/>
          <w:footerReference r:id="rId7" w:type="default"/>
          <w:headerReference r:id="rId6" w:type="even"/>
          <w:footerReference r:id="rId8" w:type="even"/>
          <w:pgSz w:w="11906" w:h="16838"/>
          <w:pgMar w:top="1418" w:right="1418" w:bottom="1418" w:left="1418" w:header="851" w:footer="992" w:gutter="0"/>
          <w:pgNumType w:start="0"/>
          <w:cols w:space="720" w:num="1"/>
          <w:titlePg/>
          <w:docGrid w:linePitch="312" w:charSpace="0"/>
        </w:sectPr>
      </w:pPr>
    </w:p>
    <w:p w14:paraId="00187766">
      <w:pPr>
        <w:pStyle w:val="19"/>
        <w:snapToGrid w:val="0"/>
        <w:spacing w:line="360" w:lineRule="auto"/>
        <w:jc w:val="center"/>
        <w:rPr>
          <w:rFonts w:hAnsi="宋体"/>
          <w:b/>
          <w:sz w:val="44"/>
          <w:szCs w:val="44"/>
        </w:rPr>
      </w:pPr>
    </w:p>
    <w:sdt>
      <w:sdtPr>
        <w:rPr>
          <w:b/>
          <w:bCs/>
          <w:sz w:val="48"/>
          <w:szCs w:val="48"/>
          <w:lang w:val="zh-CN"/>
        </w:rPr>
        <w:id w:val="-2023776000"/>
        <w:docPartObj>
          <w:docPartGallery w:val="Table of Contents"/>
          <w:docPartUnique/>
        </w:docPartObj>
      </w:sdtPr>
      <w:sdtEndPr>
        <w:rPr>
          <w:b/>
          <w:bCs/>
          <w:sz w:val="21"/>
          <w:szCs w:val="24"/>
          <w:lang w:val="zh-CN"/>
        </w:rPr>
      </w:sdtEndPr>
      <w:sdtContent>
        <w:p w14:paraId="706F11D5">
          <w:pPr>
            <w:spacing w:line="240" w:lineRule="auto"/>
            <w:jc w:val="center"/>
            <w:rPr>
              <w:rFonts w:ascii="宋体" w:hAnsi="宋体" w:cs="宋体"/>
              <w:sz w:val="30"/>
              <w:szCs w:val="30"/>
            </w:rPr>
          </w:pPr>
          <w:r>
            <w:rPr>
              <w:rFonts w:hint="eastAsia" w:ascii="宋体" w:hAnsi="宋体" w:cs="宋体"/>
              <w:sz w:val="44"/>
              <w:szCs w:val="44"/>
            </w:rPr>
            <w:t>目录</w:t>
          </w:r>
        </w:p>
        <w:p w14:paraId="588EEF00">
          <w:pPr>
            <w:pStyle w:val="25"/>
            <w:tabs>
              <w:tab w:val="right" w:leader="dot" w:pos="9298"/>
            </w:tabs>
            <w:rPr>
              <w:rFonts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separate"/>
          </w:r>
          <w:r>
            <w:fldChar w:fldCharType="begin"/>
          </w:r>
          <w:r>
            <w:instrText xml:space="preserve"> HYPERLINK \l "_Toc9904" </w:instrText>
          </w:r>
          <w:r>
            <w:fldChar w:fldCharType="separate"/>
          </w:r>
          <w:r>
            <w:rPr>
              <w:rFonts w:hint="eastAsia" w:ascii="宋体" w:hAnsi="宋体" w:eastAsia="宋体" w:cs="宋体"/>
              <w:sz w:val="30"/>
              <w:szCs w:val="30"/>
            </w:rPr>
            <w:t>第一章 竞争性谈判公告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_Toc9904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7B2EE1BC">
          <w:pPr>
            <w:pStyle w:val="25"/>
            <w:tabs>
              <w:tab w:val="right" w:leader="dot" w:pos="9298"/>
            </w:tabs>
            <w:rPr>
              <w:rFonts w:ascii="宋体" w:hAnsi="宋体" w:eastAsia="宋体" w:cs="宋体"/>
              <w:sz w:val="30"/>
              <w:szCs w:val="30"/>
            </w:rPr>
          </w:pPr>
          <w:r>
            <w:fldChar w:fldCharType="begin"/>
          </w:r>
          <w:r>
            <w:instrText xml:space="preserve"> HYPERLINK \l "_Toc1829" </w:instrText>
          </w:r>
          <w:r>
            <w:fldChar w:fldCharType="separate"/>
          </w:r>
          <w:r>
            <w:rPr>
              <w:rFonts w:hint="eastAsia" w:ascii="宋体" w:hAnsi="宋体" w:eastAsia="宋体" w:cs="宋体"/>
              <w:sz w:val="30"/>
              <w:szCs w:val="30"/>
            </w:rPr>
            <w:t>第二章谈判须知及前附表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_Toc1829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604EB2CB">
          <w:pPr>
            <w:pStyle w:val="25"/>
            <w:tabs>
              <w:tab w:val="right" w:leader="dot" w:pos="9298"/>
            </w:tabs>
            <w:rPr>
              <w:rFonts w:ascii="宋体" w:hAnsi="宋体" w:eastAsia="宋体" w:cs="宋体"/>
              <w:sz w:val="30"/>
              <w:szCs w:val="30"/>
            </w:rPr>
          </w:pPr>
          <w:r>
            <w:fldChar w:fldCharType="begin"/>
          </w:r>
          <w:r>
            <w:instrText xml:space="preserve"> HYPERLINK \l "_Toc29894" </w:instrText>
          </w:r>
          <w:r>
            <w:fldChar w:fldCharType="separate"/>
          </w:r>
          <w:r>
            <w:rPr>
              <w:rFonts w:hint="eastAsia" w:ascii="宋体" w:hAnsi="宋体" w:eastAsia="宋体" w:cs="宋体"/>
              <w:sz w:val="30"/>
              <w:szCs w:val="30"/>
            </w:rPr>
            <w:t>第三章评审方法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_Toc29894 </w:instrText>
          </w:r>
          <w:r>
            <w:rPr>
              <w:rFonts w:hint="eastAsia" w:ascii="宋体" w:hAnsi="宋体" w:eastAsia="宋体" w:cs="宋体"/>
              <w:sz w:val="30"/>
              <w:szCs w:val="30"/>
            </w:rPr>
            <w:fldChar w:fldCharType="separate"/>
          </w:r>
          <w:r>
            <w:rPr>
              <w:rFonts w:hint="eastAsia" w:ascii="宋体" w:hAnsi="宋体" w:eastAsia="宋体" w:cs="宋体"/>
              <w:sz w:val="30"/>
              <w:szCs w:val="30"/>
            </w:rPr>
            <w:t>20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7F27A48B">
          <w:pPr>
            <w:pStyle w:val="25"/>
            <w:tabs>
              <w:tab w:val="right" w:leader="dot" w:pos="9298"/>
            </w:tabs>
            <w:rPr>
              <w:rFonts w:ascii="宋体" w:hAnsi="宋体" w:eastAsia="宋体" w:cs="宋体"/>
              <w:sz w:val="30"/>
              <w:szCs w:val="30"/>
            </w:rPr>
          </w:pPr>
          <w:r>
            <w:fldChar w:fldCharType="begin"/>
          </w:r>
          <w:r>
            <w:instrText xml:space="preserve"> HYPERLINK \l "_Toc13777" </w:instrText>
          </w:r>
          <w:r>
            <w:fldChar w:fldCharType="separate"/>
          </w:r>
          <w:r>
            <w:rPr>
              <w:rFonts w:hint="eastAsia" w:ascii="宋体" w:hAnsi="宋体" w:eastAsia="宋体" w:cs="宋体"/>
              <w:sz w:val="30"/>
              <w:szCs w:val="30"/>
            </w:rPr>
            <w:t>第四章采购项目需求表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_Toc13777 </w:instrText>
          </w:r>
          <w:r>
            <w:rPr>
              <w:rFonts w:hint="eastAsia" w:ascii="宋体" w:hAnsi="宋体" w:eastAsia="宋体" w:cs="宋体"/>
              <w:sz w:val="30"/>
              <w:szCs w:val="30"/>
            </w:rPr>
            <w:fldChar w:fldCharType="separate"/>
          </w:r>
          <w:r>
            <w:rPr>
              <w:rFonts w:hint="eastAsia" w:ascii="宋体" w:hAnsi="宋体" w:eastAsia="宋体" w:cs="宋体"/>
              <w:sz w:val="30"/>
              <w:szCs w:val="30"/>
            </w:rPr>
            <w:t>22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3C002023">
          <w:pPr>
            <w:pStyle w:val="25"/>
            <w:tabs>
              <w:tab w:val="right" w:leader="dot" w:pos="9298"/>
            </w:tabs>
            <w:rPr>
              <w:rFonts w:ascii="宋体" w:hAnsi="宋体" w:eastAsia="宋体" w:cs="宋体"/>
              <w:sz w:val="30"/>
              <w:szCs w:val="30"/>
            </w:rPr>
          </w:pPr>
          <w:r>
            <w:fldChar w:fldCharType="begin"/>
          </w:r>
          <w:r>
            <w:instrText xml:space="preserve"> HYPERLINK \l "_Toc28697" </w:instrText>
          </w:r>
          <w:r>
            <w:fldChar w:fldCharType="separate"/>
          </w:r>
          <w:r>
            <w:rPr>
              <w:rFonts w:hint="eastAsia" w:ascii="宋体" w:hAnsi="宋体" w:eastAsia="宋体" w:cs="宋体"/>
              <w:sz w:val="30"/>
              <w:szCs w:val="30"/>
            </w:rPr>
            <w:t>第五章合同条款及格式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_Toc28697 </w:instrText>
          </w:r>
          <w:r>
            <w:rPr>
              <w:rFonts w:hint="eastAsia" w:ascii="宋体" w:hAnsi="宋体" w:eastAsia="宋体" w:cs="宋体"/>
              <w:sz w:val="30"/>
              <w:szCs w:val="30"/>
            </w:rPr>
            <w:fldChar w:fldCharType="separate"/>
          </w:r>
          <w:r>
            <w:rPr>
              <w:rFonts w:hint="eastAsia" w:ascii="宋体" w:hAnsi="宋体" w:eastAsia="宋体" w:cs="宋体"/>
              <w:sz w:val="30"/>
              <w:szCs w:val="30"/>
            </w:rPr>
            <w:t>22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955706A">
          <w:pPr>
            <w:pStyle w:val="25"/>
            <w:tabs>
              <w:tab w:val="right" w:leader="dot" w:pos="9298"/>
            </w:tabs>
            <w:rPr>
              <w:rFonts w:ascii="宋体" w:hAnsi="宋体" w:eastAsia="宋体" w:cs="宋体"/>
              <w:sz w:val="30"/>
              <w:szCs w:val="30"/>
            </w:rPr>
          </w:pPr>
          <w:r>
            <w:fldChar w:fldCharType="begin"/>
          </w:r>
          <w:r>
            <w:instrText xml:space="preserve"> HYPERLINK \l "_Toc14200" </w:instrText>
          </w:r>
          <w:r>
            <w:fldChar w:fldCharType="separate"/>
          </w:r>
          <w:r>
            <w:rPr>
              <w:rFonts w:hint="eastAsia" w:ascii="宋体" w:hAnsi="宋体" w:eastAsia="宋体" w:cs="宋体"/>
              <w:sz w:val="30"/>
              <w:szCs w:val="30"/>
            </w:rPr>
            <w:t>第六章谈判响应文件基本格式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_Toc14200 </w:instrText>
          </w:r>
          <w:r>
            <w:rPr>
              <w:rFonts w:hint="eastAsia" w:ascii="宋体" w:hAnsi="宋体" w:eastAsia="宋体" w:cs="宋体"/>
              <w:sz w:val="30"/>
              <w:szCs w:val="30"/>
            </w:rPr>
            <w:fldChar w:fldCharType="separate"/>
          </w:r>
          <w:r>
            <w:rPr>
              <w:rFonts w:hint="eastAsia" w:ascii="宋体" w:hAnsi="宋体" w:eastAsia="宋体" w:cs="宋体"/>
              <w:sz w:val="30"/>
              <w:szCs w:val="30"/>
            </w:rPr>
            <w:t>55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77681667">
          <w:r>
            <w:rPr>
              <w:rFonts w:hint="eastAsia" w:ascii="宋体" w:hAnsi="宋体" w:cs="宋体"/>
              <w:sz w:val="30"/>
              <w:szCs w:val="30"/>
              <w:lang w:val="zh-CN"/>
            </w:rPr>
            <w:fldChar w:fldCharType="end"/>
          </w:r>
        </w:p>
      </w:sdtContent>
    </w:sdt>
    <w:p w14:paraId="3B68CECB">
      <w:pPr>
        <w:pStyle w:val="19"/>
        <w:ind w:left="412" w:leftChars="196"/>
        <w:rPr>
          <w:rFonts w:hAnsi="宋体"/>
          <w:b/>
          <w:sz w:val="32"/>
          <w:szCs w:val="32"/>
        </w:rPr>
      </w:pPr>
    </w:p>
    <w:p w14:paraId="232DDD10">
      <w:pPr>
        <w:pStyle w:val="2"/>
        <w:numPr>
          <w:ilvl w:val="0"/>
          <w:numId w:val="3"/>
        </w:numPr>
        <w:spacing w:line="240" w:lineRule="atLeast"/>
        <w:jc w:val="center"/>
        <w:rPr>
          <w:sz w:val="13"/>
          <w:szCs w:val="13"/>
        </w:rPr>
        <w:sectPr>
          <w:headerReference r:id="rId10" w:type="default"/>
          <w:footerReference r:id="rId11" w:type="default"/>
          <w:pgSz w:w="11906" w:h="16838"/>
          <w:pgMar w:top="1440" w:right="1800" w:bottom="1440" w:left="1800" w:header="851" w:footer="992" w:gutter="0"/>
          <w:pgNumType w:start="1"/>
          <w:cols w:space="425" w:num="1"/>
          <w:docGrid w:type="lines" w:linePitch="312" w:charSpace="0"/>
        </w:sectPr>
      </w:pPr>
      <w:bookmarkStart w:id="0" w:name="_Toc9904"/>
    </w:p>
    <w:p w14:paraId="60C2DA06">
      <w:pPr>
        <w:pStyle w:val="2"/>
        <w:numPr>
          <w:ilvl w:val="0"/>
          <w:numId w:val="3"/>
        </w:numPr>
        <w:spacing w:line="240" w:lineRule="atLeast"/>
        <w:jc w:val="center"/>
        <w:rPr>
          <w:sz w:val="13"/>
          <w:szCs w:val="13"/>
        </w:rPr>
      </w:pPr>
      <w:r>
        <w:rPr>
          <w:rFonts w:hint="eastAsia"/>
          <w:sz w:val="36"/>
          <w:szCs w:val="36"/>
        </w:rPr>
        <w:t>竞争性谈判公告</w:t>
      </w:r>
      <w:bookmarkEnd w:id="0"/>
    </w:p>
    <w:p w14:paraId="0E7FA433"/>
    <w:p w14:paraId="51263912">
      <w:pPr>
        <w:spacing w:line="400" w:lineRule="exact"/>
        <w:jc w:val="center"/>
        <w:rPr>
          <w:rFonts w:ascii="宋体" w:hAnsi="宋体"/>
          <w:b/>
          <w:sz w:val="32"/>
          <w:szCs w:val="32"/>
        </w:rPr>
      </w:pPr>
      <w:r>
        <w:rPr>
          <w:rFonts w:hint="eastAsia" w:ascii="宋体" w:hAnsi="宋体"/>
          <w:b/>
          <w:sz w:val="32"/>
          <w:szCs w:val="32"/>
        </w:rPr>
        <w:t>广西宝盛工程咨询有限公司关于贵港市自然博物馆馆藏文物预防性保护项目（项目编号：</w:t>
      </w:r>
      <w:r>
        <w:rPr>
          <w:rFonts w:hint="eastAsia" w:ascii="宋体" w:hAnsi="宋体"/>
          <w:b/>
          <w:sz w:val="32"/>
          <w:szCs w:val="32"/>
          <w:lang w:eastAsia="zh-CN"/>
        </w:rPr>
        <w:t>GGZC2025-J1-990128-BSGC</w:t>
      </w:r>
      <w:r>
        <w:rPr>
          <w:rFonts w:hint="eastAsia" w:ascii="宋体" w:hAnsi="宋体"/>
          <w:b/>
          <w:sz w:val="32"/>
          <w:szCs w:val="32"/>
        </w:rPr>
        <w:t>）竞争性谈判公告</w:t>
      </w:r>
    </w:p>
    <w:p w14:paraId="6D42EF17"/>
    <w:p w14:paraId="665DF365">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cs="仿宋"/>
          <w:sz w:val="28"/>
          <w:szCs w:val="28"/>
        </w:rPr>
        <w:t>项目概况</w:t>
      </w:r>
    </w:p>
    <w:p w14:paraId="53A18B74">
      <w:pPr>
        <w:pBdr>
          <w:top w:val="single" w:color="auto" w:sz="4" w:space="1"/>
          <w:left w:val="single" w:color="auto" w:sz="4" w:space="4"/>
          <w:bottom w:val="single" w:color="auto" w:sz="4" w:space="1"/>
          <w:right w:val="single" w:color="auto" w:sz="4" w:space="4"/>
        </w:pBdr>
        <w:ind w:firstLine="560" w:firstLineChars="200"/>
      </w:pPr>
      <w:r>
        <w:rPr>
          <w:rFonts w:ascii="仿宋" w:hAnsi="仿宋" w:eastAsia="仿宋" w:cs="仿宋"/>
          <w:sz w:val="28"/>
          <w:szCs w:val="28"/>
          <w:u w:val="single"/>
        </w:rPr>
        <w:t xml:space="preserve"> </w:t>
      </w:r>
      <w:r>
        <w:rPr>
          <w:rFonts w:hint="eastAsia" w:ascii="仿宋" w:hAnsi="仿宋" w:eastAsia="仿宋" w:cs="仿宋"/>
          <w:sz w:val="28"/>
          <w:szCs w:val="28"/>
          <w:u w:val="single"/>
        </w:rPr>
        <w:t>贵港市自然博物馆馆藏文物预防性保护项目</w:t>
      </w:r>
      <w:r>
        <w:rPr>
          <w:rFonts w:ascii="仿宋" w:hAnsi="仿宋" w:eastAsia="仿宋" w:cs="仿宋"/>
          <w:sz w:val="28"/>
          <w:szCs w:val="28"/>
        </w:rPr>
        <w:t xml:space="preserve"> </w:t>
      </w:r>
      <w:r>
        <w:rPr>
          <w:rFonts w:hint="eastAsia" w:ascii="仿宋" w:hAnsi="仿宋" w:eastAsia="仿宋" w:cs="仿宋"/>
          <w:sz w:val="28"/>
          <w:szCs w:val="28"/>
        </w:rPr>
        <w:t>采购项目的潜在供应商应在</w:t>
      </w:r>
      <w:r>
        <w:rPr>
          <w:rFonts w:hint="eastAsia" w:ascii="仿宋" w:hAnsi="仿宋" w:eastAsia="仿宋" w:cs="仿宋"/>
          <w:sz w:val="28"/>
          <w:szCs w:val="28"/>
          <w:u w:val="single"/>
        </w:rPr>
        <w:t>广西政府采购云平台免费</w:t>
      </w:r>
      <w:r>
        <w:rPr>
          <w:rFonts w:hint="eastAsia" w:ascii="仿宋" w:hAnsi="仿宋" w:eastAsia="仿宋" w:cs="仿宋"/>
          <w:sz w:val="28"/>
          <w:szCs w:val="28"/>
        </w:rPr>
        <w:t>获取采购文件，并于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2025年6月20日9点00分</w:t>
      </w:r>
      <w:r>
        <w:rPr>
          <w:rFonts w:hint="eastAsia" w:ascii="仿宋" w:hAnsi="仿宋" w:eastAsia="仿宋" w:cs="仿宋"/>
          <w:sz w:val="28"/>
          <w:szCs w:val="28"/>
        </w:rPr>
        <w:t>（北京时间）前提交响应文件。</w:t>
      </w:r>
    </w:p>
    <w:p w14:paraId="1F28AFC0">
      <w:pPr>
        <w:pStyle w:val="3"/>
        <w:spacing w:line="360" w:lineRule="auto"/>
        <w:rPr>
          <w:rFonts w:ascii="黑体"/>
          <w:b w:val="0"/>
          <w:bCs w:val="0"/>
          <w:sz w:val="28"/>
          <w:szCs w:val="28"/>
        </w:rPr>
      </w:pPr>
      <w:bookmarkStart w:id="1" w:name="_Toc28359089"/>
      <w:bookmarkStart w:id="2" w:name="_Toc35393798"/>
      <w:bookmarkStart w:id="3" w:name="_Toc35393629"/>
      <w:bookmarkStart w:id="4" w:name="_Toc28359012"/>
      <w:r>
        <w:rPr>
          <w:rFonts w:hint="eastAsia" w:ascii="黑体" w:hAnsi="黑体" w:cs="黑体"/>
          <w:b w:val="0"/>
          <w:bCs w:val="0"/>
          <w:sz w:val="28"/>
          <w:szCs w:val="28"/>
        </w:rPr>
        <w:t>一、项目基本情况</w:t>
      </w:r>
      <w:bookmarkEnd w:id="1"/>
      <w:bookmarkEnd w:id="2"/>
      <w:bookmarkEnd w:id="3"/>
      <w:bookmarkEnd w:id="4"/>
    </w:p>
    <w:p w14:paraId="78B1A8C6">
      <w:pPr>
        <w:ind w:firstLine="560" w:firstLineChars="200"/>
        <w:rPr>
          <w:rFonts w:hint="eastAsia" w:ascii="仿宋" w:hAnsi="仿宋" w:eastAsia="仿宋"/>
          <w:sz w:val="28"/>
          <w:szCs w:val="28"/>
          <w:lang w:eastAsia="zh-CN"/>
        </w:rPr>
      </w:pPr>
      <w:r>
        <w:rPr>
          <w:rFonts w:hint="eastAsia" w:ascii="仿宋" w:hAnsi="仿宋" w:eastAsia="仿宋" w:cs="仿宋"/>
          <w:sz w:val="28"/>
          <w:szCs w:val="28"/>
        </w:rPr>
        <w:t>项目编号：</w:t>
      </w:r>
      <w:r>
        <w:rPr>
          <w:rFonts w:hint="eastAsia" w:ascii="仿宋" w:hAnsi="仿宋" w:eastAsia="仿宋" w:cs="仿宋"/>
          <w:sz w:val="28"/>
          <w:szCs w:val="28"/>
          <w:lang w:eastAsia="zh-CN"/>
        </w:rPr>
        <w:t>GGZC2025-J1-990128-BSGC</w:t>
      </w:r>
    </w:p>
    <w:p w14:paraId="3601EB5F">
      <w:pPr>
        <w:ind w:firstLine="560" w:firstLineChars="200"/>
        <w:rPr>
          <w:rFonts w:ascii="仿宋" w:hAnsi="仿宋" w:eastAsia="仿宋"/>
          <w:sz w:val="28"/>
          <w:szCs w:val="28"/>
          <w:u w:val="single"/>
        </w:rPr>
      </w:pPr>
      <w:r>
        <w:rPr>
          <w:rFonts w:hint="eastAsia" w:ascii="仿宋" w:hAnsi="仿宋" w:eastAsia="仿宋" w:cs="仿宋"/>
          <w:sz w:val="28"/>
          <w:szCs w:val="28"/>
        </w:rPr>
        <w:t>项目名称：贵港市自然博物馆馆藏文物预防性保护项目</w:t>
      </w:r>
    </w:p>
    <w:p w14:paraId="184FC8A6">
      <w:pPr>
        <w:ind w:firstLine="560" w:firstLineChars="200"/>
        <w:rPr>
          <w:rFonts w:ascii="仿宋" w:hAnsi="仿宋" w:eastAsia="仿宋" w:cs="仿宋"/>
          <w:sz w:val="28"/>
          <w:szCs w:val="28"/>
        </w:rPr>
      </w:pPr>
      <w:r>
        <w:rPr>
          <w:rFonts w:hint="eastAsia" w:ascii="仿宋" w:hAnsi="仿宋" w:eastAsia="仿宋" w:cs="仿宋"/>
          <w:sz w:val="28"/>
          <w:szCs w:val="28"/>
        </w:rPr>
        <w:t>采购方式：竞争性谈判</w:t>
      </w:r>
    </w:p>
    <w:p w14:paraId="079D1429">
      <w:pPr>
        <w:ind w:firstLine="560" w:firstLineChars="200"/>
        <w:rPr>
          <w:rFonts w:ascii="仿宋" w:hAnsi="仿宋" w:eastAsia="仿宋" w:cs="仿宋"/>
          <w:sz w:val="28"/>
          <w:szCs w:val="28"/>
        </w:rPr>
      </w:pPr>
      <w:r>
        <w:rPr>
          <w:rFonts w:hint="eastAsia" w:ascii="仿宋" w:hAnsi="仿宋" w:eastAsia="仿宋" w:cs="仿宋"/>
          <w:sz w:val="28"/>
          <w:szCs w:val="28"/>
        </w:rPr>
        <w:t>预算总金额（元）：1500000</w:t>
      </w:r>
    </w:p>
    <w:p w14:paraId="197351CE">
      <w:pPr>
        <w:ind w:firstLine="560" w:firstLineChars="200"/>
        <w:rPr>
          <w:rFonts w:ascii="仿宋" w:hAnsi="仿宋" w:eastAsia="仿宋" w:cs="仿宋"/>
          <w:sz w:val="28"/>
          <w:szCs w:val="28"/>
        </w:rPr>
      </w:pPr>
      <w:r>
        <w:rPr>
          <w:rFonts w:hint="eastAsia" w:ascii="仿宋" w:hAnsi="仿宋" w:eastAsia="仿宋" w:cs="仿宋"/>
          <w:sz w:val="28"/>
          <w:szCs w:val="28"/>
        </w:rPr>
        <w:t>采购需求：</w:t>
      </w:r>
    </w:p>
    <w:p w14:paraId="302446B5">
      <w:pPr>
        <w:spacing w:line="360" w:lineRule="auto"/>
        <w:ind w:firstLine="480" w:firstLineChars="200"/>
        <w:rPr>
          <w:rFonts w:ascii="仿宋" w:hAnsi="仿宋" w:eastAsia="仿宋"/>
          <w:sz w:val="24"/>
        </w:rPr>
      </w:pPr>
      <w:r>
        <w:rPr>
          <w:rFonts w:hint="eastAsia" w:ascii="仿宋" w:hAnsi="仿宋" w:eastAsia="仿宋"/>
          <w:sz w:val="24"/>
        </w:rPr>
        <w:t>标项名称:贵港市自然博物馆馆藏文物预防性保护项目</w:t>
      </w:r>
    </w:p>
    <w:p w14:paraId="49827EE6">
      <w:pPr>
        <w:spacing w:line="360" w:lineRule="auto"/>
        <w:ind w:firstLine="480" w:firstLineChars="200"/>
        <w:rPr>
          <w:rFonts w:ascii="仿宋" w:hAnsi="仿宋" w:eastAsia="仿宋"/>
          <w:sz w:val="24"/>
        </w:rPr>
      </w:pPr>
      <w:r>
        <w:rPr>
          <w:rFonts w:hint="eastAsia" w:ascii="仿宋" w:hAnsi="仿宋" w:eastAsia="仿宋"/>
          <w:sz w:val="24"/>
        </w:rPr>
        <w:t>数量:不限</w:t>
      </w:r>
    </w:p>
    <w:p w14:paraId="3D04B27F">
      <w:pPr>
        <w:spacing w:line="360" w:lineRule="auto"/>
        <w:ind w:firstLine="480" w:firstLineChars="200"/>
        <w:rPr>
          <w:rFonts w:ascii="仿宋" w:hAnsi="仿宋" w:eastAsia="仿宋"/>
          <w:sz w:val="24"/>
        </w:rPr>
      </w:pPr>
      <w:r>
        <w:rPr>
          <w:rFonts w:hint="eastAsia" w:ascii="仿宋" w:hAnsi="仿宋" w:eastAsia="仿宋"/>
          <w:sz w:val="24"/>
        </w:rPr>
        <w:t>预算金额（元）:1500000</w:t>
      </w:r>
    </w:p>
    <w:p w14:paraId="3EAF083B">
      <w:pPr>
        <w:spacing w:line="360" w:lineRule="auto"/>
        <w:ind w:firstLine="480" w:firstLineChars="200"/>
        <w:rPr>
          <w:rFonts w:ascii="仿宋" w:hAnsi="仿宋" w:eastAsia="仿宋"/>
          <w:sz w:val="24"/>
        </w:rPr>
      </w:pPr>
      <w:r>
        <w:rPr>
          <w:rFonts w:hint="eastAsia" w:ascii="仿宋" w:hAnsi="仿宋" w:eastAsia="仿宋"/>
          <w:sz w:val="24"/>
        </w:rPr>
        <w:t>简要规格描述或项目基本概况介绍、用途：贵港市自然博物馆馆藏文物预防性保护项目一项,具体详见竞争性谈判文件。</w:t>
      </w:r>
    </w:p>
    <w:p w14:paraId="4533B882">
      <w:pPr>
        <w:spacing w:line="360" w:lineRule="auto"/>
        <w:ind w:firstLine="480" w:firstLineChars="200"/>
        <w:rPr>
          <w:rFonts w:ascii="仿宋" w:hAnsi="仿宋" w:eastAsia="仿宋"/>
          <w:sz w:val="24"/>
        </w:rPr>
      </w:pPr>
      <w:r>
        <w:rPr>
          <w:rFonts w:hint="eastAsia" w:ascii="仿宋" w:hAnsi="仿宋" w:eastAsia="仿宋"/>
          <w:sz w:val="24"/>
        </w:rPr>
        <w:t>最高限价（如有）：无</w:t>
      </w:r>
    </w:p>
    <w:p w14:paraId="7D457921">
      <w:pPr>
        <w:spacing w:line="360" w:lineRule="auto"/>
        <w:ind w:firstLine="480" w:firstLineChars="200"/>
        <w:rPr>
          <w:rFonts w:ascii="仿宋" w:hAnsi="仿宋" w:eastAsia="仿宋"/>
          <w:sz w:val="24"/>
        </w:rPr>
      </w:pPr>
      <w:r>
        <w:rPr>
          <w:rFonts w:hint="eastAsia" w:ascii="仿宋" w:hAnsi="仿宋" w:eastAsia="仿宋"/>
          <w:sz w:val="24"/>
        </w:rPr>
        <w:t>合同履约期限：签订合同之日起90日内。</w:t>
      </w:r>
    </w:p>
    <w:p w14:paraId="0F8CAF17">
      <w:pPr>
        <w:spacing w:line="360" w:lineRule="auto"/>
        <w:ind w:firstLine="480" w:firstLineChars="200"/>
        <w:rPr>
          <w:rFonts w:ascii="仿宋" w:hAnsi="仿宋" w:eastAsia="仿宋"/>
          <w:sz w:val="24"/>
        </w:rPr>
      </w:pPr>
      <w:r>
        <w:rPr>
          <w:rFonts w:hint="eastAsia" w:ascii="仿宋" w:hAnsi="仿宋" w:eastAsia="仿宋"/>
          <w:sz w:val="24"/>
        </w:rPr>
        <w:t>本标项（否）接受联合体投标</w:t>
      </w:r>
    </w:p>
    <w:p w14:paraId="4CC21103">
      <w:pPr>
        <w:spacing w:line="360" w:lineRule="auto"/>
        <w:ind w:firstLine="480" w:firstLineChars="200"/>
        <w:rPr>
          <w:rFonts w:ascii="仿宋" w:hAnsi="仿宋" w:eastAsia="仿宋"/>
          <w:sz w:val="24"/>
        </w:rPr>
      </w:pPr>
      <w:r>
        <w:rPr>
          <w:rFonts w:hint="eastAsia" w:ascii="仿宋" w:hAnsi="仿宋" w:eastAsia="仿宋"/>
          <w:sz w:val="24"/>
        </w:rPr>
        <w:t>备注：</w:t>
      </w:r>
    </w:p>
    <w:p w14:paraId="4F9C207F">
      <w:pPr>
        <w:spacing w:line="360" w:lineRule="auto"/>
        <w:ind w:firstLine="560" w:firstLineChars="200"/>
        <w:rPr>
          <w:rFonts w:ascii="仿宋" w:hAnsi="仿宋" w:eastAsia="仿宋"/>
          <w:sz w:val="28"/>
          <w:szCs w:val="28"/>
        </w:rPr>
      </w:pPr>
    </w:p>
    <w:p w14:paraId="31DEE6C0">
      <w:pPr>
        <w:pStyle w:val="3"/>
        <w:spacing w:line="360" w:lineRule="auto"/>
        <w:rPr>
          <w:rFonts w:ascii="黑体" w:hAnsi="黑体" w:cs="黑体"/>
          <w:b w:val="0"/>
          <w:bCs w:val="0"/>
          <w:sz w:val="28"/>
          <w:szCs w:val="28"/>
        </w:rPr>
        <w:sectPr>
          <w:footerReference r:id="rId12" w:type="default"/>
          <w:pgSz w:w="11906" w:h="16838"/>
          <w:pgMar w:top="1440" w:right="1800" w:bottom="1440" w:left="1800" w:header="851" w:footer="992" w:gutter="0"/>
          <w:cols w:space="425" w:num="1"/>
          <w:docGrid w:type="lines" w:linePitch="312" w:charSpace="0"/>
        </w:sectPr>
      </w:pPr>
      <w:bookmarkStart w:id="5" w:name="_Toc28359090"/>
      <w:bookmarkStart w:id="6" w:name="_Toc35393799"/>
      <w:bookmarkStart w:id="7" w:name="_Toc35393630"/>
      <w:bookmarkStart w:id="8" w:name="_Toc28359013"/>
    </w:p>
    <w:p w14:paraId="7C670643">
      <w:pPr>
        <w:pStyle w:val="3"/>
        <w:spacing w:line="360" w:lineRule="auto"/>
        <w:rPr>
          <w:rFonts w:ascii="黑体"/>
          <w:b w:val="0"/>
          <w:bCs w:val="0"/>
          <w:sz w:val="28"/>
          <w:szCs w:val="28"/>
        </w:rPr>
      </w:pPr>
      <w:r>
        <w:rPr>
          <w:rFonts w:hint="eastAsia" w:ascii="黑体" w:hAnsi="黑体" w:cs="黑体"/>
          <w:b w:val="0"/>
          <w:bCs w:val="0"/>
          <w:sz w:val="28"/>
          <w:szCs w:val="28"/>
        </w:rPr>
        <w:t>二、申请人的资格要求：</w:t>
      </w:r>
      <w:bookmarkEnd w:id="5"/>
      <w:bookmarkEnd w:id="6"/>
      <w:bookmarkEnd w:id="7"/>
      <w:bookmarkEnd w:id="8"/>
    </w:p>
    <w:p w14:paraId="68CD6722">
      <w:pPr>
        <w:spacing w:line="360" w:lineRule="auto"/>
        <w:ind w:firstLine="540"/>
        <w:rPr>
          <w:rFonts w:ascii="仿宋" w:hAnsi="仿宋" w:eastAsia="仿宋" w:cs="仿宋"/>
          <w:sz w:val="28"/>
          <w:szCs w:val="28"/>
        </w:rPr>
      </w:pPr>
      <w:bookmarkStart w:id="9" w:name="_Toc35393631"/>
      <w:bookmarkStart w:id="10" w:name="_Toc28359014"/>
      <w:bookmarkStart w:id="11" w:name="_Toc35393800"/>
      <w:bookmarkStart w:id="12" w:name="_Toc28359091"/>
      <w:r>
        <w:rPr>
          <w:rFonts w:hint="eastAsia" w:ascii="仿宋" w:hAnsi="仿宋" w:eastAsia="仿宋" w:cs="仿宋"/>
          <w:sz w:val="28"/>
          <w:szCs w:val="28"/>
        </w:rPr>
        <w:t>1.满足《中华人民共和国政府采购法》第二十二条规定；</w:t>
      </w:r>
    </w:p>
    <w:p w14:paraId="168E5AC9">
      <w:pPr>
        <w:spacing w:line="360" w:lineRule="auto"/>
        <w:ind w:firstLine="540"/>
        <w:rPr>
          <w:rFonts w:ascii="仿宋" w:hAnsi="仿宋" w:eastAsia="仿宋" w:cs="仿宋"/>
          <w:sz w:val="28"/>
          <w:szCs w:val="28"/>
        </w:rPr>
      </w:pPr>
      <w:r>
        <w:rPr>
          <w:rFonts w:hint="eastAsia" w:ascii="仿宋" w:hAnsi="仿宋" w:eastAsia="仿宋" w:cs="仿宋"/>
          <w:sz w:val="28"/>
          <w:szCs w:val="28"/>
        </w:rPr>
        <w:t>2.落实政府采购政策需满足的资格要求：☑专门面向中小企业采购的项目。</w:t>
      </w:r>
    </w:p>
    <w:p w14:paraId="06B28811">
      <w:pPr>
        <w:spacing w:line="360" w:lineRule="auto"/>
        <w:ind w:firstLine="540"/>
        <w:rPr>
          <w:rFonts w:ascii="仿宋" w:hAnsi="仿宋" w:eastAsia="仿宋" w:cs="仿宋"/>
          <w:sz w:val="28"/>
          <w:szCs w:val="28"/>
        </w:rPr>
      </w:pPr>
      <w:r>
        <w:rPr>
          <w:rFonts w:hint="eastAsia" w:ascii="仿宋" w:hAnsi="仿宋" w:eastAsia="仿宋" w:cs="仿宋"/>
          <w:sz w:val="28"/>
          <w:szCs w:val="28"/>
        </w:rPr>
        <w:t>3.本项目的特定资格要求：/</w:t>
      </w:r>
    </w:p>
    <w:p w14:paraId="10C53FA4">
      <w:pPr>
        <w:spacing w:line="360" w:lineRule="auto"/>
        <w:ind w:firstLine="540"/>
        <w:rPr>
          <w:rFonts w:ascii="黑体"/>
          <w:sz w:val="28"/>
          <w:szCs w:val="28"/>
        </w:rPr>
      </w:pPr>
      <w:r>
        <w:rPr>
          <w:rFonts w:hint="eastAsia" w:ascii="黑体" w:hAnsi="黑体" w:cs="黑体"/>
          <w:sz w:val="28"/>
          <w:szCs w:val="28"/>
        </w:rPr>
        <w:t>三、获取采购文件</w:t>
      </w:r>
      <w:bookmarkEnd w:id="9"/>
      <w:bookmarkEnd w:id="10"/>
      <w:bookmarkEnd w:id="11"/>
      <w:bookmarkEnd w:id="12"/>
    </w:p>
    <w:p w14:paraId="35467BE6">
      <w:pPr>
        <w:spacing w:line="360" w:lineRule="auto"/>
        <w:ind w:firstLine="540"/>
        <w:rPr>
          <w:rFonts w:ascii="仿宋" w:hAnsi="仿宋" w:eastAsia="仿宋"/>
          <w:sz w:val="28"/>
          <w:szCs w:val="28"/>
        </w:rPr>
      </w:pPr>
      <w:r>
        <w:rPr>
          <w:rFonts w:hint="eastAsia" w:ascii="仿宋" w:hAnsi="仿宋" w:eastAsia="仿宋" w:cs="仿宋"/>
          <w:sz w:val="28"/>
          <w:szCs w:val="28"/>
        </w:rPr>
        <w:t>时间：2025年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日至2025年6月</w:t>
      </w:r>
      <w:r>
        <w:rPr>
          <w:rFonts w:hint="eastAsia" w:ascii="仿宋" w:hAnsi="仿宋" w:eastAsia="仿宋" w:cs="仿宋"/>
          <w:sz w:val="28"/>
          <w:szCs w:val="28"/>
          <w:lang w:val="en-US" w:eastAsia="zh-CN"/>
        </w:rPr>
        <w:t>20</w:t>
      </w:r>
      <w:r>
        <w:rPr>
          <w:rFonts w:hint="eastAsia" w:ascii="仿宋" w:hAnsi="仿宋" w:eastAsia="仿宋" w:cs="仿宋"/>
          <w:sz w:val="28"/>
          <w:szCs w:val="28"/>
        </w:rPr>
        <w:t>日，每天上午00:00至12:00，下午12:00至23:59（北京时间，法定节假日除外）</w:t>
      </w:r>
    </w:p>
    <w:p w14:paraId="4B70FDC1">
      <w:pPr>
        <w:spacing w:line="360" w:lineRule="auto"/>
        <w:ind w:firstLine="540"/>
        <w:rPr>
          <w:rFonts w:ascii="仿宋" w:hAnsi="仿宋" w:eastAsia="仿宋"/>
          <w:sz w:val="28"/>
          <w:szCs w:val="28"/>
          <w:u w:val="single"/>
        </w:rPr>
      </w:pPr>
      <w:r>
        <w:rPr>
          <w:rFonts w:hint="eastAsia" w:ascii="仿宋" w:hAnsi="仿宋" w:eastAsia="仿宋" w:cs="仿宋"/>
          <w:sz w:val="28"/>
          <w:szCs w:val="28"/>
        </w:rPr>
        <w:t>地点：广西政府采购云平台（https://www.gcy.zfcg.gxzf.gov.cn/）。</w:t>
      </w:r>
    </w:p>
    <w:p w14:paraId="306CE025">
      <w:pPr>
        <w:spacing w:line="360" w:lineRule="auto"/>
        <w:ind w:firstLine="540"/>
        <w:rPr>
          <w:rFonts w:ascii="仿宋" w:hAnsi="仿宋" w:eastAsia="仿宋"/>
          <w:sz w:val="28"/>
          <w:szCs w:val="28"/>
          <w:u w:val="single"/>
        </w:rPr>
      </w:pPr>
      <w:r>
        <w:rPr>
          <w:rFonts w:hint="eastAsia" w:ascii="仿宋" w:hAnsi="仿宋" w:eastAsia="仿宋" w:cs="仿宋"/>
          <w:sz w:val="28"/>
          <w:szCs w:val="28"/>
        </w:rPr>
        <w:t>方式：</w:t>
      </w:r>
      <w:r>
        <w:rPr>
          <w:rFonts w:ascii="仿宋" w:hAnsi="仿宋" w:eastAsia="仿宋" w:cs="仿宋"/>
          <w:sz w:val="27"/>
          <w:szCs w:val="27"/>
        </w:rPr>
        <w:t>由潜在供应商在广西政府采购云平台（https://www.gcy.zfcg.gxzf.gov.cn/）“供应商注册入口”完成账号注册后，登录广西政府采购云平台“项目采购—获取采购文件”模块自行下载</w:t>
      </w:r>
      <w:r>
        <w:rPr>
          <w:rFonts w:hint="eastAsia" w:ascii="仿宋" w:hAnsi="仿宋" w:eastAsia="仿宋" w:cs="仿宋"/>
          <w:sz w:val="27"/>
          <w:szCs w:val="27"/>
        </w:rPr>
        <w:t>竞争性谈判</w:t>
      </w:r>
      <w:r>
        <w:rPr>
          <w:rFonts w:ascii="仿宋" w:hAnsi="仿宋" w:eastAsia="仿宋" w:cs="仿宋"/>
          <w:sz w:val="27"/>
          <w:szCs w:val="27"/>
        </w:rPr>
        <w:t>文件，未在政采云注册的供应商可在获取</w:t>
      </w:r>
      <w:r>
        <w:rPr>
          <w:rFonts w:hint="eastAsia" w:ascii="仿宋" w:hAnsi="仿宋" w:eastAsia="仿宋" w:cs="仿宋"/>
          <w:sz w:val="27"/>
          <w:szCs w:val="27"/>
        </w:rPr>
        <w:t>竞争性谈判</w:t>
      </w:r>
      <w:r>
        <w:rPr>
          <w:rFonts w:ascii="仿宋" w:hAnsi="仿宋" w:eastAsia="仿宋" w:cs="仿宋"/>
          <w:sz w:val="27"/>
          <w:szCs w:val="27"/>
        </w:rPr>
        <w:t>文件前登录广西政府采购云平台（https://www.gcy.zfcg.gxzf.gov.cn/）进行注册。如在操作过程中遇到问题或需技术支持，请致电政采云客服热线：95763。</w:t>
      </w:r>
    </w:p>
    <w:p w14:paraId="4AB5823E">
      <w:pPr>
        <w:spacing w:line="360" w:lineRule="auto"/>
        <w:ind w:firstLine="540"/>
        <w:rPr>
          <w:rFonts w:ascii="仿宋" w:hAnsi="仿宋" w:eastAsia="仿宋"/>
          <w:sz w:val="28"/>
          <w:szCs w:val="28"/>
        </w:rPr>
      </w:pPr>
      <w:r>
        <w:rPr>
          <w:rFonts w:hint="eastAsia" w:ascii="仿宋" w:hAnsi="仿宋" w:eastAsia="仿宋" w:cs="仿宋"/>
          <w:sz w:val="28"/>
          <w:szCs w:val="28"/>
        </w:rPr>
        <w:t>售价：每本0元</w:t>
      </w:r>
    </w:p>
    <w:p w14:paraId="3F3B95BD">
      <w:pPr>
        <w:pStyle w:val="3"/>
        <w:spacing w:line="360" w:lineRule="auto"/>
        <w:rPr>
          <w:rFonts w:ascii="黑体"/>
          <w:b w:val="0"/>
          <w:bCs w:val="0"/>
          <w:sz w:val="28"/>
          <w:szCs w:val="28"/>
        </w:rPr>
      </w:pPr>
      <w:bookmarkStart w:id="13" w:name="_Toc28359092"/>
      <w:bookmarkStart w:id="14" w:name="_Toc35393632"/>
      <w:bookmarkStart w:id="15" w:name="_Toc35393801"/>
      <w:bookmarkStart w:id="16" w:name="_Toc28359015"/>
      <w:r>
        <w:rPr>
          <w:rFonts w:hint="eastAsia" w:ascii="黑体" w:hAnsi="黑体" w:cs="黑体"/>
          <w:b w:val="0"/>
          <w:bCs w:val="0"/>
          <w:sz w:val="28"/>
          <w:szCs w:val="28"/>
        </w:rPr>
        <w:t>四、响应文件提交</w:t>
      </w:r>
      <w:bookmarkEnd w:id="13"/>
      <w:bookmarkEnd w:id="14"/>
      <w:bookmarkEnd w:id="15"/>
      <w:bookmarkEnd w:id="16"/>
    </w:p>
    <w:p w14:paraId="470D2F7F">
      <w:pPr>
        <w:ind w:firstLine="560" w:firstLineChars="200"/>
        <w:rPr>
          <w:rFonts w:ascii="仿宋" w:hAnsi="仿宋" w:eastAsia="仿宋"/>
          <w:sz w:val="28"/>
          <w:szCs w:val="28"/>
          <w:u w:val="single"/>
        </w:rPr>
      </w:pPr>
      <w:r>
        <w:rPr>
          <w:rFonts w:hint="eastAsia" w:ascii="仿宋" w:hAnsi="仿宋" w:eastAsia="仿宋" w:cs="仿宋"/>
          <w:sz w:val="28"/>
          <w:szCs w:val="28"/>
        </w:rPr>
        <w:t>截止时间：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2025年6月20日9点00分</w:t>
      </w:r>
      <w:r>
        <w:rPr>
          <w:rFonts w:hint="eastAsia" w:ascii="仿宋" w:hAnsi="仿宋" w:eastAsia="仿宋" w:cs="仿宋"/>
          <w:sz w:val="28"/>
          <w:szCs w:val="28"/>
        </w:rPr>
        <w:t>（北京时间）</w:t>
      </w:r>
    </w:p>
    <w:p w14:paraId="6F80949B">
      <w:pPr>
        <w:ind w:firstLine="560" w:firstLineChars="200"/>
        <w:rPr>
          <w:rFonts w:ascii="仿宋" w:hAnsi="仿宋" w:eastAsia="仿宋" w:cs="仿宋"/>
          <w:sz w:val="28"/>
          <w:szCs w:val="28"/>
        </w:rPr>
      </w:pPr>
      <w:r>
        <w:rPr>
          <w:rFonts w:hint="eastAsia" w:ascii="仿宋" w:hAnsi="仿宋" w:eastAsia="仿宋" w:cs="仿宋"/>
          <w:sz w:val="28"/>
          <w:szCs w:val="28"/>
        </w:rPr>
        <w:t>地点：</w:t>
      </w:r>
      <w:bookmarkStart w:id="17" w:name="_Toc35393802"/>
      <w:bookmarkStart w:id="18" w:name="_Toc35393633"/>
      <w:bookmarkStart w:id="19" w:name="_Toc28359016"/>
      <w:bookmarkStart w:id="20" w:name="_Toc28359093"/>
      <w:r>
        <w:rPr>
          <w:rFonts w:hint="eastAsia" w:ascii="仿宋" w:hAnsi="仿宋" w:eastAsia="仿宋" w:cs="仿宋"/>
          <w:sz w:val="28"/>
          <w:szCs w:val="28"/>
        </w:rPr>
        <w:t>通过广西政府采购云平台实行在线投标响应。</w:t>
      </w:r>
    </w:p>
    <w:p w14:paraId="3CCC0AB6">
      <w:pPr>
        <w:rPr>
          <w:rFonts w:ascii="黑体" w:hAnsi="黑体" w:eastAsia="黑体" w:cs="黑体"/>
          <w:sz w:val="28"/>
          <w:szCs w:val="28"/>
        </w:rPr>
      </w:pPr>
    </w:p>
    <w:p w14:paraId="5C02BA89">
      <w:pPr>
        <w:rPr>
          <w:rFonts w:ascii="黑体" w:hAnsi="黑体" w:eastAsia="黑体" w:cs="黑体"/>
          <w:sz w:val="28"/>
          <w:szCs w:val="28"/>
        </w:rPr>
      </w:pPr>
      <w:r>
        <w:rPr>
          <w:rFonts w:hint="eastAsia" w:ascii="黑体" w:hAnsi="黑体" w:eastAsia="黑体" w:cs="黑体"/>
          <w:sz w:val="28"/>
          <w:szCs w:val="28"/>
        </w:rPr>
        <w:t>五、开启</w:t>
      </w:r>
      <w:bookmarkEnd w:id="17"/>
      <w:bookmarkEnd w:id="18"/>
      <w:bookmarkEnd w:id="19"/>
      <w:bookmarkEnd w:id="20"/>
    </w:p>
    <w:p w14:paraId="710B4FD5">
      <w:pPr>
        <w:ind w:firstLine="560" w:firstLineChars="200"/>
        <w:rPr>
          <w:rFonts w:ascii="仿宋" w:hAnsi="仿宋" w:eastAsia="仿宋"/>
          <w:sz w:val="28"/>
          <w:szCs w:val="28"/>
          <w:u w:val="single"/>
        </w:rPr>
      </w:pPr>
      <w:r>
        <w:rPr>
          <w:rFonts w:hint="eastAsia" w:ascii="仿宋" w:hAnsi="仿宋" w:eastAsia="仿宋" w:cs="仿宋"/>
          <w:sz w:val="28"/>
          <w:szCs w:val="28"/>
        </w:rPr>
        <w:t>时间：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2025年6月20日9点00分</w:t>
      </w:r>
      <w:r>
        <w:rPr>
          <w:rFonts w:hint="eastAsia" w:ascii="仿宋" w:hAnsi="仿宋" w:eastAsia="仿宋" w:cs="仿宋"/>
          <w:sz w:val="28"/>
          <w:szCs w:val="28"/>
        </w:rPr>
        <w:t>（北京时间）</w:t>
      </w:r>
    </w:p>
    <w:p w14:paraId="1BE8D487">
      <w:pPr>
        <w:ind w:firstLine="560" w:firstLineChars="200"/>
        <w:rPr>
          <w:rFonts w:ascii="仿宋" w:hAnsi="仿宋" w:eastAsia="仿宋"/>
          <w:sz w:val="28"/>
          <w:szCs w:val="28"/>
          <w:u w:val="single"/>
        </w:rPr>
      </w:pPr>
      <w:r>
        <w:rPr>
          <w:rFonts w:hint="eastAsia" w:ascii="仿宋" w:hAnsi="仿宋" w:eastAsia="仿宋" w:cs="仿宋"/>
          <w:sz w:val="28"/>
          <w:szCs w:val="28"/>
        </w:rPr>
        <w:t>地点：通过广西政府采购云平台实行在线解密开启。</w:t>
      </w:r>
    </w:p>
    <w:p w14:paraId="13052A0C">
      <w:pPr>
        <w:pStyle w:val="3"/>
        <w:spacing w:line="360" w:lineRule="auto"/>
        <w:rPr>
          <w:rFonts w:ascii="黑体"/>
          <w:b w:val="0"/>
          <w:bCs w:val="0"/>
          <w:sz w:val="28"/>
          <w:szCs w:val="28"/>
        </w:rPr>
      </w:pPr>
      <w:bookmarkStart w:id="21" w:name="_Toc35393634"/>
      <w:bookmarkStart w:id="22" w:name="_Toc28359017"/>
      <w:bookmarkStart w:id="23" w:name="_Toc35393803"/>
      <w:bookmarkStart w:id="24" w:name="_Toc28359094"/>
      <w:r>
        <w:rPr>
          <w:rFonts w:hint="eastAsia" w:ascii="黑体" w:hAnsi="黑体" w:cs="黑体"/>
          <w:b w:val="0"/>
          <w:bCs w:val="0"/>
          <w:sz w:val="28"/>
          <w:szCs w:val="28"/>
        </w:rPr>
        <w:t>六、公告期限</w:t>
      </w:r>
      <w:bookmarkEnd w:id="21"/>
      <w:bookmarkEnd w:id="22"/>
      <w:bookmarkEnd w:id="23"/>
      <w:bookmarkEnd w:id="24"/>
    </w:p>
    <w:p w14:paraId="330FABF4">
      <w:pPr>
        <w:ind w:firstLine="560" w:firstLineChars="200"/>
        <w:rPr>
          <w:rFonts w:ascii="仿宋" w:hAnsi="仿宋" w:eastAsia="仿宋"/>
          <w:kern w:val="0"/>
          <w:sz w:val="28"/>
          <w:szCs w:val="28"/>
        </w:rPr>
      </w:pPr>
      <w:r>
        <w:rPr>
          <w:rFonts w:hint="eastAsia" w:ascii="仿宋" w:hAnsi="仿宋" w:eastAsia="仿宋" w:cs="仿宋"/>
          <w:kern w:val="0"/>
          <w:sz w:val="28"/>
          <w:szCs w:val="28"/>
        </w:rPr>
        <w:t>自本公告发布之日起</w:t>
      </w:r>
      <w:r>
        <w:rPr>
          <w:rFonts w:ascii="仿宋" w:hAnsi="仿宋" w:eastAsia="仿宋" w:cs="仿宋"/>
          <w:kern w:val="0"/>
          <w:sz w:val="28"/>
          <w:szCs w:val="28"/>
        </w:rPr>
        <w:t>3</w:t>
      </w:r>
      <w:r>
        <w:rPr>
          <w:rFonts w:hint="eastAsia" w:ascii="仿宋" w:hAnsi="仿宋" w:eastAsia="仿宋" w:cs="仿宋"/>
          <w:kern w:val="0"/>
          <w:sz w:val="28"/>
          <w:szCs w:val="28"/>
        </w:rPr>
        <w:t>个工作日。</w:t>
      </w:r>
    </w:p>
    <w:p w14:paraId="044D8E2F">
      <w:pPr>
        <w:pStyle w:val="3"/>
        <w:spacing w:line="360" w:lineRule="auto"/>
        <w:rPr>
          <w:rFonts w:ascii="黑体"/>
          <w:b w:val="0"/>
          <w:bCs w:val="0"/>
          <w:sz w:val="28"/>
          <w:szCs w:val="28"/>
        </w:rPr>
      </w:pPr>
      <w:bookmarkStart w:id="25" w:name="_Toc35393804"/>
      <w:bookmarkStart w:id="26" w:name="_Toc35393635"/>
      <w:r>
        <w:rPr>
          <w:rFonts w:hint="eastAsia" w:ascii="黑体" w:hAnsi="黑体" w:cs="黑体"/>
          <w:b w:val="0"/>
          <w:bCs w:val="0"/>
          <w:sz w:val="28"/>
          <w:szCs w:val="28"/>
        </w:rPr>
        <w:t>七、其他补充事宜</w:t>
      </w:r>
    </w:p>
    <w:bookmarkEnd w:id="25"/>
    <w:bookmarkEnd w:id="26"/>
    <w:p w14:paraId="364599FA">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1.本项目需要落实的政府采购政策：</w:t>
      </w:r>
    </w:p>
    <w:p w14:paraId="4AEF9016">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（1）政府采购促进中小企业发展。</w:t>
      </w:r>
    </w:p>
    <w:p w14:paraId="4A469445">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（2）政府采购支持采用本国产品的政策。</w:t>
      </w:r>
    </w:p>
    <w:p w14:paraId="6529AEEE">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（3）强制采购节能产品；优先采购节能产品、环境标志产品。</w:t>
      </w:r>
    </w:p>
    <w:p w14:paraId="7B612406">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（4）政府采购促进残疾人就业政策。</w:t>
      </w:r>
    </w:p>
    <w:p w14:paraId="7832F541">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（5）政府采购支持监狱企业发展。</w:t>
      </w:r>
    </w:p>
    <w:p w14:paraId="565D0CA7">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本次采购公告同时在http://www.ccgp.gov.cn（中国政府采购网）、http://zfcg.gxzf.gov.cn/（广西壮族自治区政府采购网）、http://zfcg.czj.gxgg.gov.cn（贵港市政府采购网）、http://ggzy.jgswj.gxzf.gov.cn/ggggzy/全国公共资源交易平台（广西·贵港）上发布。</w:t>
      </w:r>
    </w:p>
    <w:p w14:paraId="534EC08B">
      <w:pPr>
        <w:pStyle w:val="30"/>
        <w:spacing w:before="156" w:beforeLines="50" w:beforeAutospacing="0" w:after="156" w:afterLines="50" w:afterAutospacing="0" w:line="360" w:lineRule="atLeast"/>
        <w:ind w:firstLine="560" w:firstLineChars="200"/>
        <w:rPr>
          <w:rFonts w:ascii="仿宋" w:hAnsi="仿宋" w:eastAsia="仿宋" w:cs="仿宋"/>
          <w:sz w:val="28"/>
          <w:szCs w:val="28"/>
        </w:rPr>
      </w:pPr>
      <w:r>
        <w:rPr>
          <w:rFonts w:hint="eastAsia" w:ascii="仿宋" w:hAnsi="仿宋" w:eastAsia="仿宋" w:cs="仿宋"/>
          <w:sz w:val="28"/>
          <w:szCs w:val="28"/>
        </w:rPr>
        <w:t>3.注意事项：</w:t>
      </w:r>
    </w:p>
    <w:p w14:paraId="67CF4FD4">
      <w:pPr>
        <w:pStyle w:val="30"/>
        <w:spacing w:before="156" w:beforeLines="50" w:beforeAutospacing="0" w:after="156" w:afterLines="50" w:afterAutospacing="0" w:line="360" w:lineRule="atLeast"/>
        <w:ind w:firstLine="405"/>
        <w:rPr>
          <w:rFonts w:ascii="仿宋" w:hAnsi="仿宋" w:eastAsia="仿宋" w:cs="仿宋"/>
          <w:sz w:val="28"/>
          <w:szCs w:val="28"/>
        </w:rPr>
      </w:pPr>
      <w:r>
        <w:rPr>
          <w:rFonts w:hint="eastAsia" w:ascii="仿宋" w:hAnsi="仿宋" w:eastAsia="仿宋" w:cs="仿宋"/>
          <w:sz w:val="28"/>
          <w:szCs w:val="28"/>
        </w:rPr>
        <w:t>（1）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14:paraId="18E0918F">
      <w:pPr>
        <w:pStyle w:val="30"/>
        <w:spacing w:before="156" w:beforeLines="50" w:beforeAutospacing="0" w:after="156" w:afterLines="50" w:afterAutospacing="0" w:line="360" w:lineRule="atLeast"/>
        <w:ind w:firstLine="405"/>
        <w:rPr>
          <w:rFonts w:ascii="仿宋" w:hAnsi="仿宋" w:eastAsia="仿宋" w:cs="仿宋"/>
          <w:sz w:val="28"/>
          <w:szCs w:val="28"/>
        </w:rPr>
      </w:pPr>
      <w:r>
        <w:rPr>
          <w:rFonts w:hint="eastAsia" w:ascii="仿宋" w:hAnsi="仿宋" w:eastAsia="仿宋" w:cs="仿宋"/>
          <w:sz w:val="28"/>
          <w:szCs w:val="28"/>
        </w:rPr>
        <w:t>（2）为确保网上操作合法、有效和安全，请供应商确保在电子投标过程中能够对相关数据电文进行加密和使用电子签章，妥善保管CA数字证书并使用有效的CA数字证书参与整个招标活动。</w:t>
      </w:r>
    </w:p>
    <w:p w14:paraId="4B061D9D">
      <w:pPr>
        <w:pStyle w:val="30"/>
        <w:spacing w:before="156" w:beforeLines="50" w:beforeAutospacing="0" w:after="156" w:afterLines="50" w:afterAutospacing="0" w:line="360" w:lineRule="atLeast"/>
        <w:ind w:firstLine="405"/>
        <w:rPr>
          <w:rFonts w:ascii="仿宋" w:hAnsi="仿宋" w:eastAsia="仿宋" w:cs="仿宋"/>
          <w:sz w:val="28"/>
          <w:szCs w:val="28"/>
        </w:rPr>
      </w:pPr>
      <w:r>
        <w:rPr>
          <w:rFonts w:hint="eastAsia" w:ascii="仿宋" w:hAnsi="仿宋" w:eastAsia="仿宋" w:cs="仿宋"/>
          <w:sz w:val="28"/>
          <w:szCs w:val="28"/>
        </w:rPr>
        <w:t>（3）若对项目采购电子交易系统操作有疑问，可登录广西政府采购云平台（https://www.gcy.zfcg.gxzf.gov.cn/），点击右侧咨询小采或帮助文档或拨打客服热线95763。</w:t>
      </w:r>
    </w:p>
    <w:p w14:paraId="4ECBBD0B">
      <w:pPr>
        <w:pStyle w:val="30"/>
        <w:widowControl/>
        <w:spacing w:before="75" w:beforeAutospacing="0" w:after="75" w:afterAutospacing="0" w:line="315" w:lineRule="atLeast"/>
        <w:ind w:firstLine="560" w:firstLineChars="200"/>
        <w:rPr>
          <w:rFonts w:ascii="仿宋" w:hAnsi="仿宋" w:eastAsia="仿宋" w:cs="仿宋"/>
          <w:kern w:val="2"/>
          <w:sz w:val="28"/>
          <w:szCs w:val="28"/>
        </w:rPr>
      </w:pPr>
      <w:r>
        <w:rPr>
          <w:rFonts w:hint="eastAsia" w:ascii="仿宋" w:hAnsi="仿宋" w:eastAsia="仿宋" w:cs="仿宋"/>
          <w:kern w:val="2"/>
          <w:sz w:val="28"/>
          <w:szCs w:val="28"/>
        </w:rPr>
        <w:t>4.监督部门</w:t>
      </w:r>
    </w:p>
    <w:p w14:paraId="14329184">
      <w:pPr>
        <w:pStyle w:val="30"/>
        <w:widowControl/>
        <w:spacing w:before="75" w:beforeAutospacing="0" w:after="75" w:afterAutospacing="0" w:line="315" w:lineRule="atLeast"/>
        <w:ind w:firstLine="840" w:firstLineChars="300"/>
        <w:rPr>
          <w:rFonts w:hint="eastAsia" w:ascii="仿宋" w:hAnsi="仿宋" w:eastAsia="仿宋" w:cs="仿宋"/>
          <w:kern w:val="2"/>
          <w:sz w:val="28"/>
          <w:szCs w:val="28"/>
          <w:lang w:eastAsia="zh-CN"/>
        </w:rPr>
      </w:pPr>
      <w:r>
        <w:rPr>
          <w:rFonts w:hint="eastAsia" w:ascii="仿宋" w:hAnsi="仿宋" w:eastAsia="仿宋" w:cs="仿宋"/>
          <w:kern w:val="2"/>
          <w:sz w:val="28"/>
          <w:szCs w:val="28"/>
        </w:rPr>
        <w:t>名 称：</w:t>
      </w:r>
      <w:r>
        <w:rPr>
          <w:rFonts w:hint="eastAsia" w:ascii="仿宋" w:hAnsi="仿宋" w:eastAsia="仿宋" w:cs="仿宋"/>
          <w:kern w:val="2"/>
          <w:sz w:val="28"/>
          <w:szCs w:val="28"/>
          <w:u w:val="single"/>
          <w:lang w:eastAsia="zh-CN"/>
        </w:rPr>
        <w:t>贵港市财政局政府采购监督管理科</w:t>
      </w:r>
    </w:p>
    <w:p w14:paraId="32C8AA82">
      <w:pPr>
        <w:pStyle w:val="30"/>
        <w:widowControl/>
        <w:spacing w:before="75" w:beforeAutospacing="0" w:after="75" w:afterAutospacing="0" w:line="315" w:lineRule="atLeast"/>
        <w:ind w:firstLine="840" w:firstLineChars="300"/>
        <w:rPr>
          <w:rFonts w:hint="eastAsia" w:ascii="仿宋" w:hAnsi="仿宋" w:eastAsia="仿宋" w:cs="仿宋"/>
          <w:kern w:val="2"/>
          <w:sz w:val="28"/>
          <w:szCs w:val="28"/>
          <w:u w:val="single"/>
          <w:lang w:eastAsia="zh-CN"/>
        </w:rPr>
      </w:pPr>
      <w:r>
        <w:rPr>
          <w:rFonts w:hint="eastAsia" w:ascii="仿宋" w:hAnsi="仿宋" w:eastAsia="仿宋" w:cs="仿宋"/>
          <w:kern w:val="2"/>
          <w:sz w:val="28"/>
          <w:szCs w:val="28"/>
        </w:rPr>
        <w:t>电 话：</w:t>
      </w:r>
      <w:r>
        <w:rPr>
          <w:rFonts w:hint="eastAsia" w:ascii="仿宋" w:hAnsi="仿宋" w:eastAsia="仿宋" w:cs="仿宋"/>
          <w:kern w:val="2"/>
          <w:sz w:val="28"/>
          <w:szCs w:val="28"/>
          <w:u w:val="single"/>
          <w:lang w:eastAsia="zh-CN"/>
        </w:rPr>
        <w:t>0775-4555290、0775-4564649</w:t>
      </w:r>
    </w:p>
    <w:p w14:paraId="2563A88B">
      <w:pPr>
        <w:pStyle w:val="3"/>
        <w:spacing w:line="360" w:lineRule="auto"/>
        <w:rPr>
          <w:rFonts w:ascii="黑体"/>
          <w:b w:val="0"/>
          <w:bCs w:val="0"/>
          <w:sz w:val="28"/>
          <w:szCs w:val="28"/>
        </w:rPr>
      </w:pPr>
      <w:bookmarkStart w:id="27" w:name="_Toc28359018"/>
      <w:bookmarkStart w:id="28" w:name="_Toc35393805"/>
      <w:bookmarkStart w:id="29" w:name="_Toc35393636"/>
      <w:bookmarkStart w:id="30" w:name="_Toc28359095"/>
      <w:r>
        <w:rPr>
          <w:rFonts w:hint="eastAsia" w:ascii="黑体" w:hAnsi="黑体" w:cs="黑体"/>
          <w:b w:val="0"/>
          <w:bCs w:val="0"/>
          <w:sz w:val="28"/>
          <w:szCs w:val="28"/>
        </w:rPr>
        <w:t>八、凡对本次采购提出询问，请按以下方式联系。</w:t>
      </w:r>
      <w:bookmarkEnd w:id="27"/>
      <w:bookmarkEnd w:id="28"/>
      <w:bookmarkEnd w:id="29"/>
      <w:bookmarkEnd w:id="30"/>
    </w:p>
    <w:p w14:paraId="7746ABC2">
      <w:pPr>
        <w:pStyle w:val="3"/>
        <w:spacing w:line="360" w:lineRule="auto"/>
        <w:ind w:firstLine="840" w:firstLineChars="300"/>
        <w:rPr>
          <w:rFonts w:ascii="仿宋" w:hAnsi="仿宋" w:eastAsia="仿宋"/>
          <w:b w:val="0"/>
          <w:bCs w:val="0"/>
          <w:sz w:val="28"/>
          <w:szCs w:val="28"/>
        </w:rPr>
      </w:pPr>
      <w:bookmarkStart w:id="31" w:name="_Toc35393637"/>
      <w:bookmarkStart w:id="32" w:name="_Toc28359019"/>
      <w:bookmarkStart w:id="33" w:name="_Toc35393806"/>
      <w:bookmarkStart w:id="34" w:name="_Toc28359096"/>
      <w:r>
        <w:rPr>
          <w:rFonts w:ascii="仿宋" w:hAnsi="仿宋" w:eastAsia="仿宋" w:cs="仿宋"/>
          <w:b w:val="0"/>
          <w:bCs w:val="0"/>
          <w:sz w:val="28"/>
          <w:szCs w:val="28"/>
        </w:rPr>
        <w:t>1.</w:t>
      </w:r>
      <w:r>
        <w:rPr>
          <w:rFonts w:hint="eastAsia" w:ascii="仿宋" w:hAnsi="仿宋" w:eastAsia="仿宋" w:cs="仿宋"/>
          <w:b w:val="0"/>
          <w:bCs w:val="0"/>
          <w:sz w:val="28"/>
          <w:szCs w:val="28"/>
        </w:rPr>
        <w:t>采购人信息</w:t>
      </w:r>
      <w:bookmarkEnd w:id="31"/>
      <w:bookmarkEnd w:id="32"/>
      <w:bookmarkEnd w:id="33"/>
      <w:bookmarkEnd w:id="34"/>
    </w:p>
    <w:p w14:paraId="534A2AC3">
      <w:pPr>
        <w:spacing w:line="360" w:lineRule="auto"/>
        <w:ind w:left="1129" w:leftChars="371" w:hanging="350" w:hangingChars="125"/>
        <w:jc w:val="left"/>
        <w:rPr>
          <w:rFonts w:ascii="仿宋" w:hAnsi="仿宋" w:eastAsia="仿宋"/>
          <w:sz w:val="28"/>
          <w:szCs w:val="28"/>
        </w:rPr>
      </w:pPr>
      <w:r>
        <w:rPr>
          <w:rFonts w:hint="eastAsia" w:ascii="仿宋" w:hAnsi="仿宋" w:eastAsia="仿宋" w:cs="仿宋"/>
          <w:sz w:val="28"/>
          <w:szCs w:val="28"/>
        </w:rPr>
        <w:t>名</w:t>
      </w:r>
      <w:r>
        <w:rPr>
          <w:rFonts w:ascii="仿宋" w:hAnsi="仿宋" w:eastAsia="仿宋" w:cs="仿宋"/>
          <w:sz w:val="28"/>
          <w:szCs w:val="28"/>
        </w:rPr>
        <w:t xml:space="preserve">    </w:t>
      </w:r>
      <w:r>
        <w:rPr>
          <w:rFonts w:hint="eastAsia" w:ascii="仿宋" w:hAnsi="仿宋" w:eastAsia="仿宋" w:cs="仿宋"/>
          <w:sz w:val="28"/>
          <w:szCs w:val="28"/>
        </w:rPr>
        <w:t>称：</w:t>
      </w:r>
      <w:r>
        <w:rPr>
          <w:rFonts w:hint="eastAsia" w:ascii="仿宋" w:hAnsi="仿宋" w:eastAsia="仿宋" w:cs="仿宋"/>
          <w:sz w:val="28"/>
          <w:szCs w:val="28"/>
          <w:u w:val="single"/>
        </w:rPr>
        <w:t>　贵港市自然博物馆　</w:t>
      </w:r>
    </w:p>
    <w:p w14:paraId="065A16E0">
      <w:pPr>
        <w:spacing w:line="360" w:lineRule="auto"/>
        <w:ind w:left="1129" w:leftChars="371" w:hanging="350" w:hangingChars="125"/>
        <w:jc w:val="left"/>
        <w:rPr>
          <w:rFonts w:ascii="仿宋" w:hAnsi="仿宋" w:eastAsia="仿宋" w:cs="仿宋"/>
          <w:sz w:val="28"/>
          <w:szCs w:val="28"/>
          <w:u w:val="single"/>
        </w:rPr>
      </w:pPr>
      <w:r>
        <w:rPr>
          <w:rFonts w:hint="eastAsia" w:ascii="仿宋" w:hAnsi="仿宋" w:eastAsia="仿宋" w:cs="仿宋"/>
          <w:sz w:val="28"/>
          <w:szCs w:val="28"/>
        </w:rPr>
        <w:t>地</w:t>
      </w:r>
      <w:r>
        <w:rPr>
          <w:rFonts w:ascii="仿宋" w:hAnsi="仿宋" w:eastAsia="仿宋" w:cs="仿宋"/>
          <w:sz w:val="28"/>
          <w:szCs w:val="28"/>
        </w:rPr>
        <w:t xml:space="preserve">    </w:t>
      </w:r>
      <w:r>
        <w:rPr>
          <w:rFonts w:hint="eastAsia" w:ascii="仿宋" w:hAnsi="仿宋" w:eastAsia="仿宋" w:cs="仿宋"/>
          <w:sz w:val="28"/>
          <w:szCs w:val="28"/>
        </w:rPr>
        <w:t>址：</w:t>
      </w:r>
      <w:r>
        <w:rPr>
          <w:rFonts w:hint="eastAsia" w:ascii="仿宋" w:hAnsi="仿宋" w:eastAsia="仿宋" w:cs="仿宋"/>
          <w:sz w:val="28"/>
          <w:szCs w:val="28"/>
          <w:u w:val="single"/>
        </w:rPr>
        <w:t>　贵港市港北区迎宾大道园博园主展馆　</w:t>
      </w:r>
    </w:p>
    <w:p w14:paraId="4A9CB356">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 系 人：</w:t>
      </w:r>
      <w:r>
        <w:rPr>
          <w:rFonts w:hint="eastAsia" w:ascii="仿宋" w:hAnsi="仿宋" w:eastAsia="仿宋"/>
          <w:sz w:val="28"/>
          <w:szCs w:val="28"/>
          <w:u w:val="single"/>
        </w:rPr>
        <w:t>傅祥干</w:t>
      </w:r>
    </w:p>
    <w:p w14:paraId="178DD056">
      <w:pPr>
        <w:spacing w:line="360" w:lineRule="auto"/>
        <w:ind w:left="1129" w:leftChars="371" w:hanging="350" w:hangingChars="125"/>
        <w:jc w:val="left"/>
        <w:rPr>
          <w:rFonts w:ascii="仿宋" w:hAnsi="仿宋" w:eastAsia="仿宋"/>
          <w:sz w:val="28"/>
          <w:szCs w:val="28"/>
        </w:rPr>
      </w:pPr>
      <w:r>
        <w:rPr>
          <w:rFonts w:hint="eastAsia" w:ascii="仿宋" w:hAnsi="仿宋" w:eastAsia="仿宋" w:cs="仿宋"/>
          <w:sz w:val="28"/>
          <w:szCs w:val="28"/>
        </w:rPr>
        <w:t>联系方式：</w:t>
      </w:r>
      <w:r>
        <w:rPr>
          <w:rFonts w:hint="eastAsia" w:ascii="仿宋" w:hAnsi="仿宋" w:eastAsia="仿宋" w:cs="仿宋"/>
          <w:sz w:val="28"/>
          <w:szCs w:val="28"/>
          <w:u w:val="single"/>
        </w:rPr>
        <w:t xml:space="preserve">　0775-4590226 </w:t>
      </w:r>
    </w:p>
    <w:p w14:paraId="4821FF34">
      <w:pPr>
        <w:spacing w:line="360" w:lineRule="auto"/>
        <w:ind w:left="1129" w:leftChars="371" w:hanging="350" w:hangingChars="125"/>
        <w:jc w:val="left"/>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采购代理机构信息</w:t>
      </w:r>
    </w:p>
    <w:p w14:paraId="5E43200C">
      <w:pPr>
        <w:spacing w:line="360" w:lineRule="auto"/>
        <w:ind w:firstLine="840" w:firstLineChars="300"/>
        <w:rPr>
          <w:rFonts w:ascii="仿宋" w:hAnsi="仿宋" w:eastAsia="仿宋"/>
          <w:sz w:val="28"/>
          <w:szCs w:val="28"/>
        </w:rPr>
      </w:pPr>
      <w:r>
        <w:rPr>
          <w:rFonts w:hint="eastAsia" w:ascii="仿宋" w:hAnsi="仿宋" w:eastAsia="仿宋" w:cs="仿宋"/>
          <w:sz w:val="28"/>
          <w:szCs w:val="28"/>
        </w:rPr>
        <w:t>名</w:t>
      </w:r>
      <w:r>
        <w:rPr>
          <w:rFonts w:ascii="仿宋" w:hAnsi="仿宋" w:eastAsia="仿宋" w:cs="仿宋"/>
          <w:sz w:val="28"/>
          <w:szCs w:val="28"/>
        </w:rPr>
        <w:t xml:space="preserve"> </w:t>
      </w:r>
      <w:r>
        <w:rPr>
          <w:rFonts w:hint="eastAsia" w:ascii="仿宋" w:hAnsi="仿宋" w:eastAsia="仿宋" w:cs="仿宋"/>
          <w:sz w:val="28"/>
          <w:szCs w:val="28"/>
        </w:rPr>
        <w:t>称：</w:t>
      </w:r>
      <w:r>
        <w:rPr>
          <w:rFonts w:hint="eastAsia" w:ascii="仿宋" w:hAnsi="仿宋" w:eastAsia="仿宋" w:cs="仿宋"/>
          <w:sz w:val="28"/>
          <w:szCs w:val="28"/>
          <w:u w:val="single"/>
        </w:rPr>
        <w:t>　广西宝盛工程咨询有限公司　</w:t>
      </w:r>
    </w:p>
    <w:p w14:paraId="7F1370D5">
      <w:pPr>
        <w:spacing w:line="360" w:lineRule="auto"/>
        <w:ind w:firstLine="840" w:firstLineChars="300"/>
        <w:rPr>
          <w:rFonts w:ascii="仿宋" w:hAnsi="仿宋" w:eastAsia="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贵港市港北区中央花园2楼201　</w:t>
      </w:r>
    </w:p>
    <w:p w14:paraId="200EBA84">
      <w:pPr>
        <w:spacing w:line="360" w:lineRule="auto"/>
        <w:ind w:firstLine="840" w:firstLineChars="300"/>
        <w:rPr>
          <w:rFonts w:ascii="仿宋" w:hAnsi="仿宋" w:eastAsia="仿宋"/>
          <w:sz w:val="28"/>
          <w:szCs w:val="28"/>
        </w:rPr>
      </w:pPr>
      <w:r>
        <w:rPr>
          <w:rFonts w:hint="eastAsia" w:ascii="仿宋" w:hAnsi="仿宋" w:eastAsia="仿宋" w:cs="仿宋"/>
          <w:sz w:val="28"/>
          <w:szCs w:val="28"/>
        </w:rPr>
        <w:t>联系方式：</w:t>
      </w:r>
      <w:bookmarkStart w:id="35" w:name="_Toc28359010"/>
      <w:bookmarkStart w:id="36" w:name="_Toc28359087"/>
      <w:r>
        <w:rPr>
          <w:rFonts w:hint="eastAsia" w:ascii="仿宋" w:hAnsi="仿宋" w:eastAsia="仿宋" w:cs="仿宋"/>
          <w:sz w:val="28"/>
          <w:szCs w:val="28"/>
          <w:u w:val="single"/>
        </w:rPr>
        <w:t>　0775-</w:t>
      </w:r>
      <w:r>
        <w:rPr>
          <w:rFonts w:hint="eastAsia" w:ascii="仿宋" w:hAnsi="仿宋" w:eastAsia="仿宋" w:cs="仿宋"/>
          <w:sz w:val="28"/>
          <w:szCs w:val="28"/>
          <w:u w:val="single"/>
          <w:lang w:eastAsia="zh-CN"/>
        </w:rPr>
        <w:t>4863888</w:t>
      </w:r>
      <w:r>
        <w:rPr>
          <w:rFonts w:hint="eastAsia" w:ascii="仿宋" w:hAnsi="仿宋" w:eastAsia="仿宋" w:cs="仿宋"/>
          <w:sz w:val="28"/>
          <w:szCs w:val="28"/>
          <w:u w:val="single"/>
        </w:rPr>
        <w:t>　</w:t>
      </w:r>
    </w:p>
    <w:p w14:paraId="0509FE6D">
      <w:pPr>
        <w:spacing w:line="360" w:lineRule="auto"/>
        <w:ind w:firstLine="840" w:firstLineChars="300"/>
        <w:rPr>
          <w:rFonts w:ascii="仿宋" w:hAnsi="仿宋" w:eastAsia="仿宋"/>
          <w:sz w:val="28"/>
          <w:szCs w:val="28"/>
          <w:u w:val="single"/>
        </w:rPr>
      </w:pPr>
      <w:r>
        <w:rPr>
          <w:rFonts w:ascii="仿宋" w:hAnsi="仿宋" w:eastAsia="仿宋" w:cs="仿宋"/>
          <w:sz w:val="28"/>
          <w:szCs w:val="28"/>
        </w:rPr>
        <w:t>3.</w:t>
      </w:r>
      <w:r>
        <w:rPr>
          <w:rFonts w:hint="eastAsia" w:ascii="仿宋" w:hAnsi="仿宋" w:eastAsia="仿宋" w:cs="仿宋"/>
          <w:sz w:val="28"/>
          <w:szCs w:val="28"/>
        </w:rPr>
        <w:t>项目联系方式</w:t>
      </w:r>
      <w:bookmarkEnd w:id="35"/>
      <w:bookmarkEnd w:id="36"/>
    </w:p>
    <w:p w14:paraId="495F930A">
      <w:pPr>
        <w:pStyle w:val="19"/>
        <w:spacing w:line="360" w:lineRule="auto"/>
        <w:ind w:firstLine="840" w:firstLineChars="300"/>
        <w:rPr>
          <w:rFonts w:ascii="仿宋" w:hAnsi="仿宋" w:eastAsia="仿宋"/>
          <w:sz w:val="28"/>
          <w:szCs w:val="28"/>
        </w:rPr>
      </w:pPr>
      <w:r>
        <w:rPr>
          <w:rFonts w:hint="eastAsia" w:ascii="仿宋" w:hAnsi="仿宋" w:eastAsia="仿宋" w:cs="仿宋"/>
          <w:sz w:val="28"/>
          <w:szCs w:val="28"/>
        </w:rPr>
        <w:t>项目联系人：</w:t>
      </w:r>
      <w:r>
        <w:rPr>
          <w:rFonts w:hint="eastAsia" w:ascii="仿宋" w:hAnsi="仿宋" w:eastAsia="仿宋" w:cs="仿宋"/>
          <w:sz w:val="28"/>
          <w:szCs w:val="28"/>
          <w:u w:val="single"/>
        </w:rPr>
        <w:t xml:space="preserve">  宋工  </w:t>
      </w:r>
    </w:p>
    <w:p w14:paraId="3147AF9F">
      <w:pPr>
        <w:ind w:firstLine="840" w:firstLineChars="300"/>
        <w:rPr>
          <w:rFonts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sz w:val="28"/>
          <w:szCs w:val="28"/>
          <w:u w:val="single"/>
        </w:rPr>
        <w:t>　0775-</w:t>
      </w:r>
      <w:r>
        <w:rPr>
          <w:rFonts w:hint="eastAsia" w:ascii="仿宋" w:hAnsi="仿宋" w:eastAsia="仿宋" w:cs="仿宋"/>
          <w:sz w:val="28"/>
          <w:szCs w:val="28"/>
          <w:u w:val="single"/>
          <w:lang w:eastAsia="zh-CN"/>
        </w:rPr>
        <w:t>4863888</w:t>
      </w:r>
      <w:r>
        <w:rPr>
          <w:rFonts w:hint="eastAsia" w:ascii="仿宋" w:hAnsi="仿宋" w:eastAsia="仿宋" w:cs="仿宋"/>
          <w:sz w:val="28"/>
          <w:szCs w:val="28"/>
          <w:u w:val="single"/>
        </w:rPr>
        <w:t xml:space="preserve"> </w:t>
      </w:r>
    </w:p>
    <w:p w14:paraId="448CC98B">
      <w:pPr>
        <w:pStyle w:val="30"/>
        <w:widowControl/>
        <w:spacing w:before="75" w:beforeAutospacing="0" w:after="75" w:afterAutospacing="0" w:line="315" w:lineRule="atLeast"/>
        <w:ind w:firstLine="720" w:firstLineChars="300"/>
        <w:rPr>
          <w:rFonts w:ascii="sans-serif" w:hAnsi="sans-serif" w:eastAsia="sans-serif" w:cs="sans-serif"/>
        </w:rPr>
      </w:pPr>
    </w:p>
    <w:p w14:paraId="20DB2820">
      <w:pPr>
        <w:pStyle w:val="5"/>
      </w:pPr>
    </w:p>
    <w:p w14:paraId="2F08FFED">
      <w:pPr>
        <w:ind w:firstLine="4760" w:firstLineChars="1700"/>
        <w:rPr>
          <w:rFonts w:ascii="仿宋" w:hAnsi="仿宋" w:eastAsia="仿宋" w:cs="仿宋"/>
          <w:sz w:val="28"/>
          <w:szCs w:val="28"/>
        </w:rPr>
      </w:pPr>
      <w:r>
        <w:rPr>
          <w:rFonts w:hint="eastAsia" w:ascii="仿宋" w:hAnsi="仿宋" w:eastAsia="仿宋" w:cs="仿宋"/>
          <w:sz w:val="28"/>
          <w:szCs w:val="28"/>
        </w:rPr>
        <w:t>广西宝盛工程咨询有限公司</w:t>
      </w:r>
    </w:p>
    <w:p w14:paraId="57A98300">
      <w:pPr>
        <w:ind w:firstLine="5880" w:firstLineChars="2100"/>
        <w:jc w:val="center"/>
        <w:rPr>
          <w:sz w:val="36"/>
          <w:szCs w:val="36"/>
        </w:rPr>
      </w:pPr>
      <w:r>
        <w:rPr>
          <w:rFonts w:hint="eastAsia" w:ascii="仿宋" w:hAnsi="仿宋" w:eastAsia="仿宋" w:cs="仿宋"/>
          <w:sz w:val="28"/>
          <w:szCs w:val="28"/>
        </w:rPr>
        <w:t>2025年6月</w:t>
      </w:r>
      <w:r>
        <w:rPr>
          <w:rFonts w:hint="eastAsia" w:ascii="仿宋" w:hAnsi="仿宋" w:eastAsia="仿宋" w:cs="仿宋"/>
          <w:sz w:val="28"/>
          <w:szCs w:val="28"/>
          <w:lang w:val="en-US" w:eastAsia="zh-CN"/>
        </w:rPr>
        <w:t>16</w:t>
      </w:r>
      <w:r>
        <w:rPr>
          <w:rFonts w:hint="eastAsia" w:ascii="仿宋" w:hAnsi="仿宋" w:eastAsia="仿宋" w:cs="仿宋"/>
          <w:sz w:val="28"/>
          <w:szCs w:val="28"/>
        </w:rPr>
        <w:t>日</w:t>
      </w:r>
      <w:r>
        <w:br w:type="page"/>
      </w:r>
      <w:bookmarkStart w:id="37" w:name="_Toc1829"/>
      <w:r>
        <w:rPr>
          <w:rFonts w:hint="eastAsia"/>
          <w:sz w:val="36"/>
          <w:szCs w:val="36"/>
        </w:rPr>
        <w:t>第二章谈判须知及前附表</w:t>
      </w:r>
      <w:bookmarkEnd w:id="37"/>
    </w:p>
    <w:p w14:paraId="7330979F">
      <w:pPr>
        <w:jc w:val="center"/>
        <w:rPr>
          <w:rFonts w:ascii="宋体" w:hAnsi="宋体"/>
          <w:b/>
          <w:sz w:val="30"/>
          <w:szCs w:val="30"/>
        </w:rPr>
      </w:pPr>
      <w:r>
        <w:rPr>
          <w:rFonts w:hint="eastAsia" w:ascii="宋体" w:hAnsi="宋体"/>
          <w:b/>
          <w:sz w:val="30"/>
          <w:szCs w:val="30"/>
        </w:rPr>
        <w:t>谈判须知前附表</w:t>
      </w:r>
    </w:p>
    <w:tbl>
      <w:tblPr>
        <w:tblStyle w:val="35"/>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45"/>
        <w:gridCol w:w="7390"/>
      </w:tblGrid>
      <w:tr w14:paraId="78F9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Pr>
          <w:p w14:paraId="7918831D">
            <w:pPr>
              <w:jc w:val="center"/>
              <w:rPr>
                <w:rFonts w:ascii="宋体" w:hAnsi="宋体"/>
                <w:szCs w:val="21"/>
              </w:rPr>
            </w:pPr>
            <w:r>
              <w:rPr>
                <w:rFonts w:hint="eastAsia" w:ascii="宋体" w:hAnsi="宋体"/>
                <w:szCs w:val="21"/>
              </w:rPr>
              <w:t>序号</w:t>
            </w:r>
          </w:p>
        </w:tc>
        <w:tc>
          <w:tcPr>
            <w:tcW w:w="945" w:type="dxa"/>
          </w:tcPr>
          <w:p w14:paraId="037743A9">
            <w:pPr>
              <w:jc w:val="center"/>
              <w:rPr>
                <w:rFonts w:ascii="宋体" w:hAnsi="宋体"/>
                <w:szCs w:val="21"/>
              </w:rPr>
            </w:pPr>
            <w:r>
              <w:rPr>
                <w:rFonts w:hint="eastAsia" w:ascii="宋体" w:hAnsi="宋体"/>
                <w:szCs w:val="21"/>
              </w:rPr>
              <w:t>条款号</w:t>
            </w:r>
          </w:p>
        </w:tc>
        <w:tc>
          <w:tcPr>
            <w:tcW w:w="7390" w:type="dxa"/>
          </w:tcPr>
          <w:p w14:paraId="43281DE8">
            <w:pPr>
              <w:jc w:val="center"/>
              <w:rPr>
                <w:rFonts w:ascii="宋体" w:hAnsi="宋体"/>
                <w:szCs w:val="21"/>
              </w:rPr>
            </w:pPr>
            <w:r>
              <w:rPr>
                <w:rFonts w:hint="eastAsia" w:ascii="宋体" w:hAnsi="宋体"/>
                <w:szCs w:val="21"/>
              </w:rPr>
              <w:t>内    容</w:t>
            </w:r>
          </w:p>
        </w:tc>
      </w:tr>
      <w:tr w14:paraId="12B4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14:paraId="64BE4514">
            <w:pPr>
              <w:spacing w:line="400" w:lineRule="exact"/>
              <w:jc w:val="center"/>
              <w:rPr>
                <w:rFonts w:ascii="宋体" w:hAnsi="宋体"/>
                <w:szCs w:val="21"/>
              </w:rPr>
            </w:pPr>
            <w:r>
              <w:rPr>
                <w:rFonts w:hint="eastAsia" w:ascii="宋体" w:hAnsi="宋体"/>
                <w:szCs w:val="21"/>
              </w:rPr>
              <w:t>1</w:t>
            </w:r>
          </w:p>
        </w:tc>
        <w:tc>
          <w:tcPr>
            <w:tcW w:w="945" w:type="dxa"/>
            <w:vAlign w:val="center"/>
          </w:tcPr>
          <w:p w14:paraId="30DA28ED">
            <w:pPr>
              <w:spacing w:line="400" w:lineRule="exact"/>
              <w:jc w:val="center"/>
              <w:rPr>
                <w:rFonts w:ascii="宋体" w:hAnsi="宋体"/>
                <w:szCs w:val="21"/>
              </w:rPr>
            </w:pPr>
            <w:r>
              <w:rPr>
                <w:rFonts w:hint="eastAsia" w:ascii="宋体" w:hAnsi="宋体"/>
                <w:szCs w:val="21"/>
              </w:rPr>
              <w:t>1.1</w:t>
            </w:r>
          </w:p>
        </w:tc>
        <w:tc>
          <w:tcPr>
            <w:tcW w:w="7390" w:type="dxa"/>
            <w:vAlign w:val="center"/>
          </w:tcPr>
          <w:p w14:paraId="658D83B5">
            <w:pPr>
              <w:spacing w:line="400" w:lineRule="exact"/>
              <w:rPr>
                <w:rFonts w:ascii="宋体" w:hAnsi="宋体"/>
                <w:szCs w:val="21"/>
              </w:rPr>
            </w:pPr>
            <w:r>
              <w:rPr>
                <w:rFonts w:hint="eastAsia" w:ascii="宋体" w:hAnsi="宋体"/>
                <w:szCs w:val="21"/>
              </w:rPr>
              <w:t>项目名称：</w:t>
            </w:r>
            <w:r>
              <w:rPr>
                <w:rFonts w:hint="eastAsia" w:ascii="宋体" w:hAnsi="宋体"/>
                <w:bCs/>
                <w:szCs w:val="21"/>
              </w:rPr>
              <w:t>贵港市自然博物馆馆藏文物预防性保护项目</w:t>
            </w:r>
          </w:p>
          <w:p w14:paraId="49DA681F">
            <w:pPr>
              <w:spacing w:line="400" w:lineRule="exact"/>
              <w:rPr>
                <w:rFonts w:hint="eastAsia" w:ascii="宋体" w:hAnsi="宋体" w:eastAsia="宋体"/>
                <w:szCs w:val="21"/>
                <w:u w:val="single"/>
                <w:lang w:eastAsia="zh-CN"/>
              </w:rPr>
            </w:pPr>
            <w:r>
              <w:rPr>
                <w:rFonts w:hint="eastAsia" w:ascii="宋体" w:hAnsi="宋体"/>
                <w:szCs w:val="21"/>
              </w:rPr>
              <w:t>项目编号：</w:t>
            </w:r>
            <w:r>
              <w:rPr>
                <w:rFonts w:hint="eastAsia" w:ascii="宋体" w:hAnsi="宋体"/>
                <w:szCs w:val="21"/>
                <w:lang w:eastAsia="zh-CN"/>
              </w:rPr>
              <w:t>GGZC2025-J1-990128-BSGC</w:t>
            </w:r>
          </w:p>
        </w:tc>
      </w:tr>
      <w:tr w14:paraId="60F8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14:paraId="60463BE4">
            <w:pPr>
              <w:spacing w:line="400" w:lineRule="exact"/>
              <w:jc w:val="center"/>
              <w:rPr>
                <w:rFonts w:ascii="宋体" w:hAnsi="宋体"/>
                <w:szCs w:val="21"/>
              </w:rPr>
            </w:pPr>
            <w:r>
              <w:rPr>
                <w:rFonts w:hint="eastAsia" w:ascii="宋体" w:hAnsi="宋体"/>
                <w:szCs w:val="21"/>
              </w:rPr>
              <w:t>2</w:t>
            </w:r>
          </w:p>
        </w:tc>
        <w:tc>
          <w:tcPr>
            <w:tcW w:w="945" w:type="dxa"/>
            <w:vAlign w:val="center"/>
          </w:tcPr>
          <w:p w14:paraId="6A54BB9D">
            <w:pPr>
              <w:spacing w:line="400" w:lineRule="exact"/>
              <w:jc w:val="center"/>
              <w:rPr>
                <w:rFonts w:ascii="宋体" w:hAnsi="宋体"/>
                <w:szCs w:val="21"/>
              </w:rPr>
            </w:pPr>
            <w:r>
              <w:rPr>
                <w:rFonts w:hint="eastAsia" w:ascii="宋体" w:hAnsi="宋体"/>
                <w:szCs w:val="21"/>
              </w:rPr>
              <w:t>2.1</w:t>
            </w:r>
          </w:p>
        </w:tc>
        <w:tc>
          <w:tcPr>
            <w:tcW w:w="7390" w:type="dxa"/>
            <w:vAlign w:val="center"/>
          </w:tcPr>
          <w:p w14:paraId="482979F5">
            <w:pPr>
              <w:snapToGrid w:val="0"/>
              <w:spacing w:line="400" w:lineRule="exact"/>
              <w:rPr>
                <w:rFonts w:ascii="宋体" w:hAnsi="宋体"/>
                <w:szCs w:val="21"/>
              </w:rPr>
            </w:pPr>
            <w:r>
              <w:rPr>
                <w:rFonts w:hint="eastAsia" w:ascii="宋体" w:hAnsi="宋体"/>
                <w:szCs w:val="21"/>
              </w:rPr>
              <w:t>供应商资格要求：</w:t>
            </w:r>
          </w:p>
          <w:p w14:paraId="3440ACEA">
            <w:pPr>
              <w:snapToGrid w:val="0"/>
              <w:spacing w:line="400" w:lineRule="exact"/>
              <w:rPr>
                <w:szCs w:val="21"/>
              </w:rPr>
            </w:pPr>
            <w:r>
              <w:rPr>
                <w:rFonts w:hint="eastAsia"/>
                <w:szCs w:val="21"/>
              </w:rPr>
              <w:t>1.满足《中华人民共和国政府采购法》第二十二条规定；</w:t>
            </w:r>
          </w:p>
          <w:p w14:paraId="7BD665A0">
            <w:pPr>
              <w:snapToGrid w:val="0"/>
              <w:spacing w:line="400" w:lineRule="exact"/>
              <w:rPr>
                <w:szCs w:val="21"/>
              </w:rPr>
            </w:pPr>
            <w:r>
              <w:rPr>
                <w:rFonts w:hint="eastAsia"/>
                <w:szCs w:val="21"/>
              </w:rPr>
              <w:t>2.落实政府采购政策需满足的资格要求：</w:t>
            </w:r>
            <w:r>
              <w:rPr>
                <w:rFonts w:hint="eastAsia" w:ascii="宋体" w:hAnsi="宋体" w:cs="宋体"/>
                <w:szCs w:val="21"/>
              </w:rPr>
              <w:t>☑专门面向中小企业采购的项目。</w:t>
            </w:r>
          </w:p>
          <w:p w14:paraId="55D247F6">
            <w:pPr>
              <w:snapToGrid w:val="0"/>
              <w:spacing w:line="400" w:lineRule="exact"/>
              <w:rPr>
                <w:szCs w:val="21"/>
              </w:rPr>
            </w:pPr>
            <w:r>
              <w:rPr>
                <w:rFonts w:hint="eastAsia"/>
                <w:szCs w:val="21"/>
              </w:rPr>
              <w:t>3.本项目的特定资格要求：/</w:t>
            </w:r>
          </w:p>
        </w:tc>
      </w:tr>
      <w:tr w14:paraId="09FE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6" w:type="dxa"/>
            <w:vAlign w:val="center"/>
          </w:tcPr>
          <w:p w14:paraId="2C0026FE">
            <w:pPr>
              <w:spacing w:line="400" w:lineRule="exact"/>
              <w:jc w:val="center"/>
              <w:rPr>
                <w:rFonts w:ascii="宋体" w:hAnsi="宋体"/>
                <w:szCs w:val="21"/>
              </w:rPr>
            </w:pPr>
            <w:r>
              <w:rPr>
                <w:rFonts w:hint="eastAsia" w:ascii="宋体" w:hAnsi="宋体"/>
                <w:szCs w:val="21"/>
              </w:rPr>
              <w:t>3</w:t>
            </w:r>
          </w:p>
        </w:tc>
        <w:tc>
          <w:tcPr>
            <w:tcW w:w="945" w:type="dxa"/>
            <w:vAlign w:val="center"/>
          </w:tcPr>
          <w:p w14:paraId="79445550">
            <w:pPr>
              <w:spacing w:line="400" w:lineRule="exact"/>
              <w:jc w:val="center"/>
              <w:rPr>
                <w:rFonts w:ascii="宋体" w:hAnsi="宋体"/>
                <w:szCs w:val="21"/>
              </w:rPr>
            </w:pPr>
            <w:r>
              <w:rPr>
                <w:rFonts w:hint="eastAsia" w:ascii="宋体" w:hAnsi="宋体"/>
                <w:szCs w:val="21"/>
              </w:rPr>
              <w:t>3.1</w:t>
            </w:r>
          </w:p>
        </w:tc>
        <w:tc>
          <w:tcPr>
            <w:tcW w:w="7390" w:type="dxa"/>
            <w:vAlign w:val="center"/>
          </w:tcPr>
          <w:p w14:paraId="581264FB">
            <w:pPr>
              <w:snapToGrid w:val="0"/>
              <w:spacing w:line="400" w:lineRule="exact"/>
              <w:rPr>
                <w:szCs w:val="21"/>
              </w:rPr>
            </w:pPr>
            <w:r>
              <w:rPr>
                <w:rFonts w:hint="eastAsia"/>
                <w:szCs w:val="21"/>
              </w:rPr>
              <w:t>本项目所属行业：制造业。</w:t>
            </w:r>
          </w:p>
        </w:tc>
      </w:tr>
      <w:tr w14:paraId="512F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26" w:type="dxa"/>
            <w:vAlign w:val="center"/>
          </w:tcPr>
          <w:p w14:paraId="223D19FF">
            <w:pPr>
              <w:spacing w:line="400" w:lineRule="exact"/>
              <w:jc w:val="center"/>
              <w:rPr>
                <w:rFonts w:ascii="宋体" w:hAnsi="宋体"/>
                <w:szCs w:val="21"/>
              </w:rPr>
            </w:pPr>
            <w:r>
              <w:rPr>
                <w:rFonts w:hint="eastAsia" w:ascii="宋体" w:hAnsi="宋体"/>
                <w:szCs w:val="21"/>
              </w:rPr>
              <w:t>4</w:t>
            </w:r>
          </w:p>
        </w:tc>
        <w:tc>
          <w:tcPr>
            <w:tcW w:w="945" w:type="dxa"/>
            <w:vAlign w:val="center"/>
          </w:tcPr>
          <w:p w14:paraId="15CD62AF">
            <w:pPr>
              <w:spacing w:line="400" w:lineRule="exact"/>
              <w:jc w:val="center"/>
              <w:rPr>
                <w:rFonts w:ascii="宋体" w:hAnsi="宋体"/>
                <w:szCs w:val="21"/>
              </w:rPr>
            </w:pPr>
            <w:r>
              <w:rPr>
                <w:rFonts w:hint="eastAsia" w:ascii="宋体" w:hAnsi="宋体"/>
                <w:szCs w:val="21"/>
              </w:rPr>
              <w:t>4.1</w:t>
            </w:r>
          </w:p>
        </w:tc>
        <w:tc>
          <w:tcPr>
            <w:tcW w:w="7390" w:type="dxa"/>
            <w:vAlign w:val="center"/>
          </w:tcPr>
          <w:p w14:paraId="04DE671E">
            <w:pPr>
              <w:spacing w:line="400" w:lineRule="exact"/>
              <w:rPr>
                <w:rFonts w:ascii="宋体" w:hAnsi="宋体"/>
                <w:szCs w:val="21"/>
              </w:rPr>
            </w:pPr>
            <w:r>
              <w:rPr>
                <w:rFonts w:hint="eastAsia" w:ascii="宋体" w:hAnsi="宋体"/>
                <w:szCs w:val="21"/>
              </w:rPr>
              <w:t>响应文件有效期：响应文件递交截止日起60天。</w:t>
            </w:r>
          </w:p>
        </w:tc>
      </w:tr>
      <w:tr w14:paraId="7651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6" w:type="dxa"/>
            <w:vAlign w:val="center"/>
          </w:tcPr>
          <w:p w14:paraId="69798C88">
            <w:pPr>
              <w:spacing w:line="400" w:lineRule="exact"/>
              <w:jc w:val="center"/>
              <w:rPr>
                <w:rFonts w:ascii="宋体" w:hAnsi="宋体"/>
                <w:szCs w:val="21"/>
              </w:rPr>
            </w:pPr>
            <w:r>
              <w:rPr>
                <w:rFonts w:hint="eastAsia" w:ascii="宋体" w:hAnsi="宋体"/>
                <w:szCs w:val="21"/>
              </w:rPr>
              <w:t>5</w:t>
            </w:r>
          </w:p>
        </w:tc>
        <w:tc>
          <w:tcPr>
            <w:tcW w:w="945" w:type="dxa"/>
            <w:vAlign w:val="center"/>
          </w:tcPr>
          <w:p w14:paraId="413C0EF9">
            <w:pPr>
              <w:spacing w:line="400" w:lineRule="exact"/>
              <w:jc w:val="center"/>
              <w:rPr>
                <w:rFonts w:ascii="宋体" w:hAnsi="宋体"/>
                <w:szCs w:val="21"/>
              </w:rPr>
            </w:pPr>
            <w:r>
              <w:rPr>
                <w:rFonts w:hint="eastAsia" w:ascii="宋体" w:hAnsi="宋体"/>
                <w:szCs w:val="21"/>
              </w:rPr>
              <w:t>5.1</w:t>
            </w:r>
          </w:p>
        </w:tc>
        <w:tc>
          <w:tcPr>
            <w:tcW w:w="7390" w:type="dxa"/>
            <w:vAlign w:val="center"/>
          </w:tcPr>
          <w:p w14:paraId="64E038B9">
            <w:pPr>
              <w:spacing w:line="400" w:lineRule="exact"/>
              <w:rPr>
                <w:rFonts w:ascii="宋体" w:hAnsi="宋体"/>
                <w:szCs w:val="21"/>
              </w:rPr>
            </w:pPr>
            <w:r>
              <w:rPr>
                <w:rFonts w:hint="eastAsia" w:ascii="宋体" w:hAnsi="宋体"/>
                <w:szCs w:val="21"/>
              </w:rPr>
              <w:t>首次响应文件份数：电子版一份</w:t>
            </w:r>
          </w:p>
        </w:tc>
      </w:tr>
      <w:tr w14:paraId="1B1A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4BD472F5">
            <w:pPr>
              <w:spacing w:line="400" w:lineRule="exact"/>
              <w:jc w:val="center"/>
              <w:rPr>
                <w:rFonts w:ascii="宋体" w:hAnsi="宋体"/>
                <w:szCs w:val="21"/>
              </w:rPr>
            </w:pPr>
            <w:r>
              <w:rPr>
                <w:rFonts w:hint="eastAsia" w:ascii="宋体" w:hAnsi="宋体"/>
                <w:szCs w:val="21"/>
              </w:rPr>
              <w:t>6</w:t>
            </w:r>
          </w:p>
        </w:tc>
        <w:tc>
          <w:tcPr>
            <w:tcW w:w="945" w:type="dxa"/>
            <w:vAlign w:val="center"/>
          </w:tcPr>
          <w:p w14:paraId="0247D9A9">
            <w:pPr>
              <w:spacing w:line="400" w:lineRule="exact"/>
              <w:jc w:val="center"/>
              <w:rPr>
                <w:rFonts w:ascii="宋体" w:hAnsi="宋体"/>
                <w:szCs w:val="21"/>
              </w:rPr>
            </w:pPr>
            <w:r>
              <w:rPr>
                <w:rFonts w:hint="eastAsia" w:ascii="宋体" w:hAnsi="宋体"/>
                <w:szCs w:val="21"/>
              </w:rPr>
              <w:t>6.1</w:t>
            </w:r>
          </w:p>
        </w:tc>
        <w:tc>
          <w:tcPr>
            <w:tcW w:w="7390" w:type="dxa"/>
            <w:vAlign w:val="center"/>
          </w:tcPr>
          <w:p w14:paraId="58F12A13">
            <w:pPr>
              <w:pStyle w:val="19"/>
              <w:spacing w:line="420" w:lineRule="exact"/>
              <w:rPr>
                <w:rFonts w:hAnsi="宋体"/>
                <w:szCs w:val="21"/>
              </w:rPr>
            </w:pPr>
            <w:r>
              <w:rPr>
                <w:rFonts w:hint="eastAsia" w:hAnsi="宋体"/>
                <w:szCs w:val="21"/>
              </w:rPr>
              <w:t>竞标报价：</w:t>
            </w:r>
            <w:r>
              <w:rPr>
                <w:rFonts w:hint="eastAsia" w:hAnsi="宋体"/>
                <w:bCs/>
                <w:szCs w:val="21"/>
              </w:rPr>
              <w:t>供应商须就《采购项目需求</w:t>
            </w:r>
            <w:r>
              <w:rPr>
                <w:rFonts w:hAnsi="宋体"/>
                <w:bCs/>
                <w:szCs w:val="21"/>
              </w:rPr>
              <w:t>表</w:t>
            </w:r>
            <w:r>
              <w:rPr>
                <w:rFonts w:hint="eastAsia" w:hAnsi="宋体"/>
                <w:bCs/>
                <w:szCs w:val="21"/>
              </w:rPr>
              <w:t>》中所有货物内容作完整唯一报价。</w:t>
            </w:r>
          </w:p>
          <w:p w14:paraId="5F19C9F2">
            <w:pPr>
              <w:pStyle w:val="19"/>
              <w:spacing w:line="420" w:lineRule="exact"/>
              <w:rPr>
                <w:rFonts w:hAnsi="宋体"/>
                <w:szCs w:val="21"/>
              </w:rPr>
            </w:pPr>
            <w:r>
              <w:rPr>
                <w:rFonts w:hint="eastAsia" w:hAnsi="宋体"/>
                <w:szCs w:val="21"/>
              </w:rPr>
              <w:t>采购预算：人民币壹佰伍拾万元整（¥1500000.00元）。</w:t>
            </w:r>
          </w:p>
        </w:tc>
      </w:tr>
      <w:tr w14:paraId="348C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726" w:type="dxa"/>
            <w:vAlign w:val="center"/>
          </w:tcPr>
          <w:p w14:paraId="021B27C4">
            <w:pPr>
              <w:spacing w:line="400" w:lineRule="exact"/>
              <w:jc w:val="center"/>
              <w:rPr>
                <w:rFonts w:ascii="宋体" w:hAnsi="宋体"/>
                <w:szCs w:val="21"/>
              </w:rPr>
            </w:pPr>
            <w:r>
              <w:rPr>
                <w:rFonts w:hint="eastAsia" w:ascii="宋体" w:hAnsi="宋体"/>
                <w:szCs w:val="21"/>
              </w:rPr>
              <w:t>7</w:t>
            </w:r>
          </w:p>
        </w:tc>
        <w:tc>
          <w:tcPr>
            <w:tcW w:w="945" w:type="dxa"/>
            <w:vAlign w:val="center"/>
          </w:tcPr>
          <w:p w14:paraId="6A73797F">
            <w:pPr>
              <w:spacing w:line="400" w:lineRule="exact"/>
              <w:jc w:val="center"/>
              <w:rPr>
                <w:rFonts w:ascii="宋体" w:hAnsi="宋体"/>
                <w:szCs w:val="21"/>
              </w:rPr>
            </w:pPr>
            <w:r>
              <w:rPr>
                <w:rFonts w:hint="eastAsia" w:ascii="宋体" w:hAnsi="宋体"/>
                <w:szCs w:val="21"/>
              </w:rPr>
              <w:t>7.1</w:t>
            </w:r>
          </w:p>
        </w:tc>
        <w:tc>
          <w:tcPr>
            <w:tcW w:w="7390" w:type="dxa"/>
            <w:vAlign w:val="center"/>
          </w:tcPr>
          <w:p w14:paraId="508EB565">
            <w:pPr>
              <w:pStyle w:val="19"/>
              <w:spacing w:line="400" w:lineRule="exact"/>
              <w:rPr>
                <w:rFonts w:hAnsi="宋体" w:cs="宋体"/>
                <w:szCs w:val="21"/>
                <w:shd w:val="clear" w:color="auto" w:fill="FFFFFF"/>
              </w:rPr>
            </w:pPr>
            <w:r>
              <w:rPr>
                <w:rFonts w:hint="eastAsia"/>
                <w:b/>
              </w:rPr>
              <w:t xml:space="preserve">响应文件递交截止时间： </w:t>
            </w:r>
            <w:r>
              <w:rPr>
                <w:rFonts w:hint="eastAsia"/>
                <w:b/>
                <w:lang w:eastAsia="zh-CN"/>
              </w:rPr>
              <w:t>2025年6月20日9点00分</w:t>
            </w:r>
            <w:r>
              <w:rPr>
                <w:rFonts w:hint="eastAsia"/>
                <w:kern w:val="0"/>
                <w:szCs w:val="21"/>
              </w:rPr>
              <w:t>之前将电子谈判响应文件上传到广西政府采购云平台。应按照本项目竞争性谈判文件和广西政府采购云平台的要求编制、加密传输谈判响应文件。供应商在使用系统进行投标的过程中遇到涉及平台使用的任何问题，可致电广西政府采购云平台技术支持热线咨询，联系方式：95763。</w:t>
            </w:r>
          </w:p>
        </w:tc>
      </w:tr>
      <w:tr w14:paraId="27AF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26" w:type="dxa"/>
            <w:vAlign w:val="center"/>
          </w:tcPr>
          <w:p w14:paraId="4727EFA7">
            <w:pPr>
              <w:spacing w:line="400" w:lineRule="exact"/>
              <w:jc w:val="center"/>
              <w:rPr>
                <w:rFonts w:ascii="宋体" w:hAnsi="宋体"/>
                <w:szCs w:val="21"/>
              </w:rPr>
            </w:pPr>
            <w:r>
              <w:rPr>
                <w:rFonts w:hint="eastAsia" w:ascii="宋体" w:hAnsi="宋体"/>
                <w:szCs w:val="21"/>
              </w:rPr>
              <w:t>8</w:t>
            </w:r>
          </w:p>
        </w:tc>
        <w:tc>
          <w:tcPr>
            <w:tcW w:w="945" w:type="dxa"/>
            <w:vAlign w:val="center"/>
          </w:tcPr>
          <w:p w14:paraId="1E876994">
            <w:pPr>
              <w:spacing w:line="400" w:lineRule="exact"/>
              <w:jc w:val="center"/>
              <w:rPr>
                <w:rFonts w:ascii="宋体" w:hAnsi="宋体"/>
                <w:szCs w:val="21"/>
              </w:rPr>
            </w:pPr>
            <w:r>
              <w:rPr>
                <w:rFonts w:hint="eastAsia" w:ascii="宋体" w:hAnsi="宋体"/>
                <w:szCs w:val="21"/>
              </w:rPr>
              <w:t>8.1</w:t>
            </w:r>
          </w:p>
        </w:tc>
        <w:tc>
          <w:tcPr>
            <w:tcW w:w="7390" w:type="dxa"/>
            <w:vAlign w:val="center"/>
          </w:tcPr>
          <w:p w14:paraId="367BE358">
            <w:pPr>
              <w:spacing w:line="400" w:lineRule="exact"/>
            </w:pPr>
            <w:r>
              <w:rPr>
                <w:rFonts w:hint="eastAsia"/>
              </w:rPr>
              <w:t xml:space="preserve">谈判时间： </w:t>
            </w:r>
            <w:r>
              <w:rPr>
                <w:rFonts w:hint="eastAsia"/>
                <w:lang w:eastAsia="zh-CN"/>
              </w:rPr>
              <w:t>2025年6月20日9点00分</w:t>
            </w:r>
            <w:r>
              <w:rPr>
                <w:rFonts w:hint="eastAsia"/>
              </w:rPr>
              <w:t>截标后（具体时间由采购代理机构另行通知）；</w:t>
            </w:r>
          </w:p>
          <w:p w14:paraId="42DFB215">
            <w:pPr>
              <w:spacing w:line="400" w:lineRule="exact"/>
            </w:pPr>
            <w:r>
              <w:rPr>
                <w:rFonts w:hint="eastAsia"/>
              </w:rPr>
              <w:t>谈判地点：通过广西政府采购云平台实行在线解密开启。</w:t>
            </w:r>
          </w:p>
          <w:p w14:paraId="2A158B20">
            <w:pPr>
              <w:pStyle w:val="5"/>
              <w:spacing w:line="400" w:lineRule="exact"/>
              <w:rPr>
                <w:rFonts w:ascii="Times New Roman" w:hAnsi="Times New Roman" w:eastAsia="宋体"/>
                <w:b w:val="0"/>
                <w:sz w:val="21"/>
                <w:szCs w:val="24"/>
              </w:rPr>
            </w:pPr>
            <w:r>
              <w:rPr>
                <w:rFonts w:hint="eastAsia" w:ascii="Times New Roman" w:hAnsi="Times New Roman" w:eastAsia="宋体"/>
                <w:b w:val="0"/>
                <w:sz w:val="21"/>
                <w:szCs w:val="24"/>
              </w:rPr>
              <w:t>谈判前准备：</w:t>
            </w:r>
          </w:p>
          <w:p w14:paraId="5CB0C6E9">
            <w:pPr>
              <w:pStyle w:val="5"/>
              <w:spacing w:line="400" w:lineRule="exact"/>
              <w:rPr>
                <w:rFonts w:ascii="Times New Roman" w:hAnsi="Times New Roman" w:eastAsia="宋体"/>
                <w:b w:val="0"/>
                <w:sz w:val="21"/>
                <w:szCs w:val="24"/>
              </w:rPr>
            </w:pPr>
            <w:r>
              <w:rPr>
                <w:rFonts w:hint="eastAsia" w:ascii="Times New Roman" w:hAnsi="Times New Roman" w:eastAsia="宋体"/>
                <w:b w:val="0"/>
                <w:sz w:val="21"/>
                <w:szCs w:val="24"/>
              </w:rPr>
              <w:t>1.本项目实行网上谈判，采用电子谈判响应文件。若供应商参与谈判，自行承担谈判一切费用。</w:t>
            </w:r>
          </w:p>
          <w:p w14:paraId="0D349BAB">
            <w:pPr>
              <w:pStyle w:val="5"/>
              <w:spacing w:line="400" w:lineRule="exact"/>
              <w:rPr>
                <w:rFonts w:ascii="Times New Roman" w:hAnsi="Times New Roman" w:eastAsia="宋体"/>
                <w:b w:val="0"/>
                <w:sz w:val="21"/>
                <w:szCs w:val="24"/>
              </w:rPr>
            </w:pPr>
            <w:r>
              <w:rPr>
                <w:rFonts w:hint="eastAsia" w:ascii="Times New Roman" w:hAnsi="Times New Roman" w:eastAsia="宋体"/>
                <w:b w:val="0"/>
                <w:sz w:val="21"/>
                <w:szCs w:val="24"/>
              </w:rPr>
              <w:t>2.各供应商应在截标前应确保成为广西政府采购云平台正式注册入库供应商，并完成CA数字证书申领。因未注册入库、未办理CA数字证书等原因造成无法谈判或谈判失败等后果由供应商自行承担。</w:t>
            </w:r>
          </w:p>
          <w:p w14:paraId="2D8500C1">
            <w:pPr>
              <w:pStyle w:val="5"/>
              <w:spacing w:line="400" w:lineRule="exact"/>
              <w:rPr>
                <w:rFonts w:ascii="Times New Roman" w:hAnsi="Times New Roman" w:eastAsia="宋体"/>
                <w:b w:val="0"/>
                <w:sz w:val="21"/>
                <w:szCs w:val="24"/>
              </w:rPr>
            </w:pPr>
            <w:r>
              <w:rPr>
                <w:rFonts w:hint="eastAsia" w:ascii="Times New Roman" w:hAnsi="Times New Roman" w:eastAsia="宋体"/>
                <w:b w:val="0"/>
                <w:sz w:val="21"/>
                <w:szCs w:val="24"/>
              </w:rPr>
              <w:t>3.供应商将政采云电子交易客户端下载、安装完成后，可通过账号密码或CA登录客户端进行响应文件制作。客户端请至网站下载专区查看，如有问题可拨打政采云客户服务热线95763进行咨询。</w:t>
            </w:r>
          </w:p>
          <w:p w14:paraId="01E46225">
            <w:pPr>
              <w:pStyle w:val="5"/>
              <w:spacing w:line="400" w:lineRule="exact"/>
              <w:rPr>
                <w:rFonts w:ascii="Times New Roman" w:hAnsi="Times New Roman" w:eastAsia="宋体"/>
                <w:b w:val="0"/>
                <w:sz w:val="21"/>
                <w:szCs w:val="24"/>
              </w:rPr>
            </w:pPr>
            <w:r>
              <w:rPr>
                <w:rFonts w:hint="eastAsia" w:ascii="Times New Roman" w:hAnsi="Times New Roman" w:eastAsia="宋体"/>
                <w:b w:val="0"/>
                <w:sz w:val="21"/>
                <w:szCs w:val="24"/>
              </w:rPr>
              <w:t>谈判响应文件解密时间：</w:t>
            </w:r>
          </w:p>
          <w:p w14:paraId="71BEBA5A">
            <w:pPr>
              <w:pStyle w:val="5"/>
              <w:spacing w:line="400" w:lineRule="exact"/>
            </w:pPr>
            <w:r>
              <w:rPr>
                <w:rFonts w:hint="eastAsia" w:ascii="Times New Roman" w:hAnsi="Times New Roman" w:eastAsia="宋体"/>
                <w:b w:val="0"/>
                <w:sz w:val="21"/>
                <w:szCs w:val="24"/>
              </w:rPr>
              <w:t>截标时间后30分钟内谈判供应商可以登录广西政府采购云平台，用“项目采购-开标评标”功能进行解密谈判响应文件。若谈判供应商在规定时间内无法解密或解密失败，可以以电子备份谈判响应文件作为依据，若电子备份谈判响应文件件与广西政府采购云平台上传的电子谈判响应文件被识别为不一致的，以电子备份谈判响应文件作为评审依据；谈判供应商按时在线解密响应文件的，以在线解密的响应文件作为评审依据。若谈判供应商在规定时间内无法解密或解密失败且未提供电子备份谈判响应文件的，视为响应文件撤回。</w:t>
            </w:r>
          </w:p>
        </w:tc>
      </w:tr>
      <w:tr w14:paraId="00A5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26" w:type="dxa"/>
            <w:vAlign w:val="center"/>
          </w:tcPr>
          <w:p w14:paraId="3656A032">
            <w:pPr>
              <w:spacing w:line="400" w:lineRule="exact"/>
              <w:jc w:val="center"/>
              <w:rPr>
                <w:rFonts w:ascii="宋体" w:hAnsi="宋体"/>
                <w:szCs w:val="21"/>
              </w:rPr>
            </w:pPr>
            <w:r>
              <w:rPr>
                <w:rFonts w:hint="eastAsia" w:ascii="宋体" w:hAnsi="宋体"/>
                <w:szCs w:val="21"/>
              </w:rPr>
              <w:t>9</w:t>
            </w:r>
          </w:p>
        </w:tc>
        <w:tc>
          <w:tcPr>
            <w:tcW w:w="945" w:type="dxa"/>
            <w:vAlign w:val="center"/>
          </w:tcPr>
          <w:p w14:paraId="49C52F52">
            <w:pPr>
              <w:spacing w:line="400" w:lineRule="exact"/>
              <w:jc w:val="center"/>
              <w:rPr>
                <w:rFonts w:ascii="宋体" w:hAnsi="宋体"/>
                <w:szCs w:val="21"/>
              </w:rPr>
            </w:pPr>
            <w:r>
              <w:rPr>
                <w:rFonts w:hint="eastAsia" w:ascii="宋体" w:hAnsi="宋体"/>
                <w:szCs w:val="21"/>
              </w:rPr>
              <w:t>9.1</w:t>
            </w:r>
          </w:p>
        </w:tc>
        <w:tc>
          <w:tcPr>
            <w:tcW w:w="7390" w:type="dxa"/>
            <w:vAlign w:val="center"/>
          </w:tcPr>
          <w:p w14:paraId="5CFBDF61">
            <w:pPr>
              <w:widowControl/>
              <w:jc w:val="left"/>
              <w:textAlignment w:val="center"/>
              <w:rPr>
                <w:rFonts w:ascii="宋体" w:hAnsi="宋体" w:cs="宋体"/>
                <w:szCs w:val="21"/>
              </w:rPr>
            </w:pPr>
            <w:r>
              <w:rPr>
                <w:rFonts w:hint="eastAsia" w:ascii="宋体" w:hAnsi="宋体" w:cs="宋体"/>
                <w:szCs w:val="21"/>
              </w:rPr>
              <w:t>付款方式：</w:t>
            </w:r>
          </w:p>
          <w:p w14:paraId="10A167BB">
            <w:pPr>
              <w:widowControl/>
              <w:jc w:val="left"/>
              <w:textAlignment w:val="center"/>
              <w:rPr>
                <w:rFonts w:ascii="宋体" w:hAnsi="宋体"/>
                <w:szCs w:val="21"/>
              </w:rPr>
            </w:pPr>
            <w:r>
              <w:rPr>
                <w:rFonts w:hint="eastAsia" w:ascii="宋体" w:hAnsi="宋体"/>
                <w:szCs w:val="21"/>
              </w:rPr>
              <w:t>预付款 ：本项目合同正式签订生效后，采购人在7 个工作日内向供应商支付合同总金额的 30% 作为预付款。</w:t>
            </w:r>
          </w:p>
          <w:p w14:paraId="4DE8C1AD">
            <w:pPr>
              <w:widowControl/>
              <w:jc w:val="left"/>
              <w:textAlignment w:val="center"/>
              <w:rPr>
                <w:rFonts w:ascii="宋体" w:hAnsi="宋体"/>
                <w:szCs w:val="21"/>
              </w:rPr>
            </w:pPr>
            <w:r>
              <w:rPr>
                <w:rFonts w:hint="eastAsia" w:ascii="宋体" w:hAnsi="宋体"/>
                <w:szCs w:val="21"/>
              </w:rPr>
              <w:t>到货付款 ：供应商按照合同约定的时间和地点将货物全部送达现场，并经采购人签收后，采购人在 7个工作日内支付合同金额的 40% 作为到货款。</w:t>
            </w:r>
          </w:p>
          <w:p w14:paraId="3A2C96ED">
            <w:pPr>
              <w:widowControl/>
              <w:jc w:val="left"/>
              <w:textAlignment w:val="center"/>
              <w:rPr>
                <w:rFonts w:ascii="宋体" w:hAnsi="宋体"/>
                <w:szCs w:val="21"/>
              </w:rPr>
            </w:pPr>
            <w:r>
              <w:rPr>
                <w:rFonts w:hint="eastAsia" w:ascii="宋体" w:hAnsi="宋体"/>
                <w:szCs w:val="21"/>
              </w:rPr>
              <w:t>施工完结付款 ：在供应商完成货物的安装、调试等施工工作，并经采购人验收合格后，采购人在7 个工作日内支付合同金额的 27%。</w:t>
            </w:r>
          </w:p>
          <w:p w14:paraId="185D8713">
            <w:pPr>
              <w:widowControl/>
              <w:jc w:val="left"/>
              <w:textAlignment w:val="center"/>
              <w:rPr>
                <w:rFonts w:ascii="宋体" w:hAnsi="宋体"/>
                <w:szCs w:val="21"/>
                <w:highlight w:val="yellow"/>
              </w:rPr>
            </w:pPr>
            <w:r>
              <w:rPr>
                <w:rFonts w:hint="eastAsia" w:ascii="宋体" w:hAnsi="宋体"/>
                <w:szCs w:val="21"/>
              </w:rPr>
              <w:t>质量保证金支付 ：合同总金额的 3% 作为质量保证金。在货物验收合格并交付使用满一年后，采购人在无息支付给供应商。</w:t>
            </w:r>
          </w:p>
        </w:tc>
      </w:tr>
      <w:tr w14:paraId="2D30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26" w:type="dxa"/>
            <w:vAlign w:val="center"/>
          </w:tcPr>
          <w:p w14:paraId="499044D8">
            <w:pPr>
              <w:spacing w:line="400" w:lineRule="exact"/>
              <w:jc w:val="center"/>
              <w:rPr>
                <w:rFonts w:ascii="宋体" w:hAnsi="宋体"/>
                <w:szCs w:val="21"/>
              </w:rPr>
            </w:pPr>
            <w:r>
              <w:rPr>
                <w:rFonts w:hint="eastAsia" w:ascii="宋体" w:hAnsi="宋体"/>
                <w:szCs w:val="21"/>
              </w:rPr>
              <w:t>10</w:t>
            </w:r>
          </w:p>
        </w:tc>
        <w:tc>
          <w:tcPr>
            <w:tcW w:w="945" w:type="dxa"/>
            <w:vAlign w:val="center"/>
          </w:tcPr>
          <w:p w14:paraId="6C635112">
            <w:pPr>
              <w:spacing w:line="400" w:lineRule="exact"/>
              <w:jc w:val="center"/>
              <w:rPr>
                <w:rFonts w:ascii="宋体" w:hAnsi="宋体"/>
                <w:szCs w:val="21"/>
              </w:rPr>
            </w:pPr>
            <w:r>
              <w:rPr>
                <w:rFonts w:hint="eastAsia" w:ascii="宋体" w:hAnsi="宋体"/>
                <w:szCs w:val="21"/>
              </w:rPr>
              <w:t>10.1</w:t>
            </w:r>
          </w:p>
        </w:tc>
        <w:tc>
          <w:tcPr>
            <w:tcW w:w="7390" w:type="dxa"/>
            <w:vAlign w:val="center"/>
          </w:tcPr>
          <w:p w14:paraId="51DD7065">
            <w:pPr>
              <w:spacing w:line="400" w:lineRule="exact"/>
              <w:rPr>
                <w:rFonts w:ascii="宋体" w:hAnsi="宋体"/>
                <w:szCs w:val="21"/>
              </w:rPr>
            </w:pPr>
            <w:r>
              <w:rPr>
                <w:rFonts w:hint="eastAsia" w:ascii="宋体" w:hAnsi="宋体"/>
                <w:szCs w:val="21"/>
              </w:rPr>
              <w:t>代理服务费</w:t>
            </w:r>
            <w:r>
              <w:rPr>
                <w:rFonts w:hint="eastAsia" w:hAnsi="宋体"/>
                <w:szCs w:val="21"/>
              </w:rPr>
              <w:t>按发改价格〔2015〕299号文执行，代理服务费</w:t>
            </w:r>
            <w:r>
              <w:rPr>
                <w:rFonts w:ascii="宋体" w:hAnsi="宋体" w:cs="宋体"/>
                <w:bCs/>
                <w:kern w:val="0"/>
                <w:szCs w:val="21"/>
              </w:rPr>
              <w:t>金额</w:t>
            </w:r>
            <w:r>
              <w:rPr>
                <w:rFonts w:hint="eastAsia" w:ascii="宋体" w:hAnsi="宋体" w:cs="宋体"/>
                <w:bCs/>
                <w:kern w:val="0"/>
                <w:szCs w:val="21"/>
              </w:rPr>
              <w:t>为（人民币）：人民币贰万元整（￥20000.00），由成交人向采购代理机构支付，</w:t>
            </w:r>
            <w:r>
              <w:rPr>
                <w:rFonts w:hint="eastAsia" w:ascii="宋体" w:hAnsi="宋体"/>
                <w:szCs w:val="21"/>
              </w:rPr>
              <w:t>发出成交通知书前，成交人向广西宝盛工程咨询有限公司一次性付清代理服务费。</w:t>
            </w:r>
          </w:p>
          <w:p w14:paraId="4A690BAC">
            <w:pPr>
              <w:spacing w:line="360" w:lineRule="exact"/>
              <w:rPr>
                <w:rFonts w:hAnsi="宋体"/>
                <w:b/>
                <w:szCs w:val="21"/>
              </w:rPr>
            </w:pPr>
            <w:r>
              <w:rPr>
                <w:rFonts w:hint="eastAsia" w:hAnsi="宋体"/>
                <w:b/>
                <w:szCs w:val="21"/>
              </w:rPr>
              <w:t>招标代理服务费缴纳账户：</w:t>
            </w:r>
          </w:p>
          <w:p w14:paraId="7F35836D">
            <w:pPr>
              <w:pStyle w:val="16"/>
              <w:rPr>
                <w:rFonts w:hAnsi="宋体"/>
                <w:kern w:val="2"/>
                <w:sz w:val="21"/>
                <w:szCs w:val="21"/>
              </w:rPr>
            </w:pPr>
            <w:r>
              <w:rPr>
                <w:rFonts w:hint="eastAsia" w:hAnsi="宋体" w:cs="宋体"/>
                <w:bCs/>
                <w:sz w:val="21"/>
                <w:szCs w:val="21"/>
              </w:rPr>
              <w:t>开</w:t>
            </w:r>
            <w:r>
              <w:rPr>
                <w:rFonts w:hint="eastAsia" w:hAnsi="宋体"/>
                <w:kern w:val="2"/>
                <w:sz w:val="21"/>
                <w:szCs w:val="21"/>
              </w:rPr>
              <w:t>户名称：广西宝盛工程咨询有限公司</w:t>
            </w:r>
          </w:p>
          <w:p w14:paraId="097C55A3">
            <w:pPr>
              <w:pStyle w:val="16"/>
              <w:rPr>
                <w:rFonts w:hAnsi="宋体"/>
                <w:kern w:val="2"/>
                <w:sz w:val="21"/>
                <w:szCs w:val="21"/>
              </w:rPr>
            </w:pPr>
            <w:r>
              <w:rPr>
                <w:rFonts w:hint="eastAsia" w:hAnsi="宋体"/>
                <w:kern w:val="2"/>
                <w:sz w:val="21"/>
                <w:szCs w:val="21"/>
              </w:rPr>
              <w:t>开户银行：中国工商银行股份有限公司贵港市荷城支行</w:t>
            </w:r>
          </w:p>
          <w:p w14:paraId="61CA24AF">
            <w:pPr>
              <w:pStyle w:val="16"/>
            </w:pPr>
            <w:r>
              <w:rPr>
                <w:rFonts w:hint="eastAsia" w:hAnsi="宋体"/>
                <w:kern w:val="2"/>
                <w:sz w:val="21"/>
                <w:szCs w:val="21"/>
              </w:rPr>
              <w:t>银行账号： 2116710809100102991</w:t>
            </w:r>
          </w:p>
        </w:tc>
      </w:tr>
      <w:tr w14:paraId="2B16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726" w:type="dxa"/>
            <w:vAlign w:val="center"/>
          </w:tcPr>
          <w:p w14:paraId="371DDF04">
            <w:pPr>
              <w:spacing w:line="400" w:lineRule="exact"/>
              <w:jc w:val="center"/>
              <w:rPr>
                <w:rFonts w:ascii="宋体" w:hAnsi="宋体"/>
                <w:szCs w:val="21"/>
              </w:rPr>
            </w:pPr>
            <w:r>
              <w:rPr>
                <w:rFonts w:hint="eastAsia" w:ascii="宋体" w:hAnsi="宋体"/>
                <w:szCs w:val="21"/>
              </w:rPr>
              <w:t>11</w:t>
            </w:r>
          </w:p>
        </w:tc>
        <w:tc>
          <w:tcPr>
            <w:tcW w:w="945" w:type="dxa"/>
            <w:vAlign w:val="center"/>
          </w:tcPr>
          <w:p w14:paraId="7CF21282">
            <w:pPr>
              <w:spacing w:line="400" w:lineRule="exact"/>
              <w:jc w:val="center"/>
              <w:rPr>
                <w:rFonts w:ascii="宋体" w:hAnsi="宋体"/>
                <w:szCs w:val="21"/>
              </w:rPr>
            </w:pPr>
            <w:r>
              <w:rPr>
                <w:rFonts w:hint="eastAsia" w:ascii="宋体" w:hAnsi="宋体"/>
                <w:szCs w:val="21"/>
              </w:rPr>
              <w:t>11.1</w:t>
            </w:r>
          </w:p>
        </w:tc>
        <w:tc>
          <w:tcPr>
            <w:tcW w:w="7390" w:type="dxa"/>
            <w:vAlign w:val="center"/>
          </w:tcPr>
          <w:p w14:paraId="72AA177B">
            <w:pPr>
              <w:snapToGrid w:val="0"/>
              <w:spacing w:line="400" w:lineRule="exact"/>
              <w:rPr>
                <w:rFonts w:ascii="宋体" w:hAnsi="宋体"/>
                <w:szCs w:val="21"/>
              </w:rPr>
            </w:pPr>
            <w:r>
              <w:rPr>
                <w:rFonts w:hint="eastAsia" w:ascii="宋体" w:hAnsi="宋体"/>
                <w:szCs w:val="21"/>
              </w:rPr>
              <w:t>1.本谈判文件中描述供应商的“公章”是指根据我国对公章的管理规定，用供应商法定主体行为名称制作的印章，除本谈判文件有特殊规定外，供应商的财务章、部门章、分公司章、工会章、合同章、投标专用章、业务专用章等其它形式印章均不能代替公章。</w:t>
            </w:r>
          </w:p>
          <w:p w14:paraId="25667AE1">
            <w:pPr>
              <w:spacing w:line="400" w:lineRule="exact"/>
              <w:rPr>
                <w:rFonts w:ascii="宋体" w:hAnsi="宋体"/>
                <w:szCs w:val="21"/>
              </w:rPr>
            </w:pPr>
            <w:r>
              <w:rPr>
                <w:rFonts w:hint="eastAsia" w:ascii="宋体" w:hAnsi="宋体"/>
                <w:szCs w:val="21"/>
              </w:rPr>
              <w:t>2.本谈判文件中描述供应商的“签字”是指供应商的法定代表人或被授权人亲自在谈判文件规定签署处亲笔写上个人的名字的行为，私章、签字章、印鉴、影印等其它形式均不能代替亲笔签字。</w:t>
            </w:r>
          </w:p>
        </w:tc>
      </w:tr>
      <w:tr w14:paraId="64F6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726" w:type="dxa"/>
            <w:vAlign w:val="center"/>
          </w:tcPr>
          <w:p w14:paraId="6D54AE67">
            <w:pPr>
              <w:spacing w:line="400" w:lineRule="exact"/>
              <w:jc w:val="center"/>
              <w:rPr>
                <w:rFonts w:ascii="宋体" w:hAnsi="宋体"/>
                <w:szCs w:val="21"/>
              </w:rPr>
            </w:pPr>
            <w:r>
              <w:rPr>
                <w:rFonts w:hint="eastAsia" w:ascii="宋体" w:hAnsi="宋体"/>
                <w:szCs w:val="21"/>
              </w:rPr>
              <w:t>12</w:t>
            </w:r>
          </w:p>
        </w:tc>
        <w:tc>
          <w:tcPr>
            <w:tcW w:w="945" w:type="dxa"/>
            <w:vAlign w:val="center"/>
          </w:tcPr>
          <w:p w14:paraId="44F2F47E">
            <w:pPr>
              <w:spacing w:line="400" w:lineRule="exact"/>
              <w:jc w:val="center"/>
              <w:rPr>
                <w:rFonts w:ascii="宋体" w:hAnsi="宋体"/>
                <w:szCs w:val="21"/>
              </w:rPr>
            </w:pPr>
            <w:r>
              <w:rPr>
                <w:rFonts w:hint="eastAsia" w:ascii="宋体" w:hAnsi="宋体"/>
                <w:szCs w:val="21"/>
              </w:rPr>
              <w:t>12.1</w:t>
            </w:r>
          </w:p>
        </w:tc>
        <w:tc>
          <w:tcPr>
            <w:tcW w:w="7390" w:type="dxa"/>
            <w:vAlign w:val="center"/>
          </w:tcPr>
          <w:p w14:paraId="3BA38317">
            <w:pPr>
              <w:spacing w:line="400" w:lineRule="exact"/>
              <w:rPr>
                <w:rFonts w:ascii="宋体" w:hAnsi="宋体"/>
                <w:szCs w:val="21"/>
              </w:rPr>
            </w:pPr>
            <w:r>
              <w:rPr>
                <w:rFonts w:hint="eastAsia" w:ascii="宋体" w:hAnsi="宋体"/>
                <w:szCs w:val="21"/>
              </w:rPr>
              <w:t xml:space="preserve">政府采购合同公告。 </w:t>
            </w:r>
          </w:p>
          <w:p w14:paraId="0521BC0D">
            <w:pPr>
              <w:spacing w:line="400" w:lineRule="exact"/>
              <w:rPr>
                <w:rFonts w:ascii="宋体" w:hAnsi="宋体"/>
                <w:szCs w:val="21"/>
              </w:rPr>
            </w:pPr>
            <w:r>
              <w:rPr>
                <w:rFonts w:hint="eastAsia" w:ascii="宋体" w:hAnsi="宋体"/>
                <w:szCs w:val="21"/>
              </w:rPr>
              <w:t xml:space="preserve">根据《中华人民共和国政府采购法实施条例》第五十条规定，采购人应当自政 </w:t>
            </w:r>
          </w:p>
          <w:p w14:paraId="59E56977">
            <w:pPr>
              <w:spacing w:line="400" w:lineRule="exact"/>
              <w:rPr>
                <w:rFonts w:ascii="宋体" w:hAnsi="宋体"/>
                <w:szCs w:val="21"/>
              </w:rPr>
            </w:pPr>
            <w:r>
              <w:rPr>
                <w:rFonts w:hint="eastAsia" w:ascii="宋体" w:hAnsi="宋体"/>
                <w:szCs w:val="21"/>
              </w:rPr>
              <w:t>府采购合同签订之日起2个工作日内，将政府采购合同在省级以上人民政府财政部门指定的媒体上公告，但政府采购合同中涉及国家秘密、商业秘密的内容除外。</w:t>
            </w:r>
          </w:p>
        </w:tc>
      </w:tr>
      <w:tr w14:paraId="1EC5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26" w:type="dxa"/>
            <w:vAlign w:val="center"/>
          </w:tcPr>
          <w:p w14:paraId="73520E8D">
            <w:pPr>
              <w:spacing w:line="400" w:lineRule="exact"/>
              <w:jc w:val="center"/>
              <w:rPr>
                <w:rFonts w:ascii="宋体" w:hAnsi="宋体"/>
                <w:szCs w:val="21"/>
              </w:rPr>
            </w:pPr>
            <w:r>
              <w:rPr>
                <w:rFonts w:hint="eastAsia" w:ascii="宋体" w:hAnsi="宋体"/>
                <w:szCs w:val="21"/>
              </w:rPr>
              <w:t>13</w:t>
            </w:r>
          </w:p>
        </w:tc>
        <w:tc>
          <w:tcPr>
            <w:tcW w:w="945" w:type="dxa"/>
            <w:vAlign w:val="center"/>
          </w:tcPr>
          <w:p w14:paraId="14F78E15">
            <w:pPr>
              <w:spacing w:line="400" w:lineRule="exact"/>
              <w:jc w:val="center"/>
              <w:rPr>
                <w:rFonts w:ascii="宋体" w:hAnsi="宋体"/>
                <w:szCs w:val="21"/>
              </w:rPr>
            </w:pPr>
            <w:r>
              <w:rPr>
                <w:rFonts w:hint="eastAsia" w:ascii="宋体" w:hAnsi="宋体"/>
                <w:szCs w:val="21"/>
              </w:rPr>
              <w:t>13.1</w:t>
            </w:r>
          </w:p>
        </w:tc>
        <w:tc>
          <w:tcPr>
            <w:tcW w:w="7390" w:type="dxa"/>
            <w:vAlign w:val="center"/>
          </w:tcPr>
          <w:p w14:paraId="6EAD17CB">
            <w:pPr>
              <w:spacing w:line="400" w:lineRule="exact"/>
              <w:rPr>
                <w:rFonts w:ascii="宋体" w:hAnsi="宋体"/>
                <w:szCs w:val="21"/>
              </w:rPr>
            </w:pPr>
            <w:r>
              <w:rPr>
                <w:rFonts w:hint="eastAsia" w:ascii="宋体" w:hAnsi="宋体"/>
                <w:szCs w:val="21"/>
              </w:rPr>
              <w:t>投标保证金：本项目免收投标保证金</w:t>
            </w:r>
          </w:p>
        </w:tc>
      </w:tr>
      <w:tr w14:paraId="12D1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26" w:type="dxa"/>
            <w:vAlign w:val="center"/>
          </w:tcPr>
          <w:p w14:paraId="26925380">
            <w:pPr>
              <w:spacing w:line="400" w:lineRule="exact"/>
              <w:jc w:val="center"/>
              <w:rPr>
                <w:rFonts w:ascii="宋体" w:hAnsi="宋体"/>
                <w:szCs w:val="21"/>
              </w:rPr>
            </w:pPr>
            <w:r>
              <w:rPr>
                <w:rFonts w:hint="eastAsia" w:ascii="宋体" w:hAnsi="宋体"/>
                <w:szCs w:val="21"/>
              </w:rPr>
              <w:t>14</w:t>
            </w:r>
          </w:p>
        </w:tc>
        <w:tc>
          <w:tcPr>
            <w:tcW w:w="945" w:type="dxa"/>
            <w:vAlign w:val="center"/>
          </w:tcPr>
          <w:p w14:paraId="0F0F27B4">
            <w:pPr>
              <w:spacing w:line="400" w:lineRule="exact"/>
              <w:jc w:val="center"/>
              <w:rPr>
                <w:rFonts w:ascii="宋体" w:hAnsi="宋体"/>
                <w:szCs w:val="21"/>
              </w:rPr>
            </w:pPr>
            <w:r>
              <w:rPr>
                <w:rFonts w:hint="eastAsia" w:ascii="宋体" w:hAnsi="宋体"/>
                <w:szCs w:val="21"/>
              </w:rPr>
              <w:t>14.1</w:t>
            </w:r>
          </w:p>
        </w:tc>
        <w:tc>
          <w:tcPr>
            <w:tcW w:w="7390" w:type="dxa"/>
            <w:vAlign w:val="center"/>
          </w:tcPr>
          <w:p w14:paraId="498D00A0">
            <w:pPr>
              <w:spacing w:line="400" w:lineRule="exact"/>
              <w:rPr>
                <w:rFonts w:ascii="宋体" w:hAnsi="宋体"/>
                <w:szCs w:val="21"/>
              </w:rPr>
            </w:pPr>
            <w:r>
              <w:rPr>
                <w:rFonts w:hint="eastAsia" w:ascii="宋体" w:hAnsi="宋体"/>
                <w:szCs w:val="21"/>
              </w:rPr>
              <w:t>履约保证金：本项目免收履约保证金</w:t>
            </w:r>
          </w:p>
        </w:tc>
      </w:tr>
      <w:tr w14:paraId="0E7A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26" w:type="dxa"/>
            <w:vAlign w:val="center"/>
          </w:tcPr>
          <w:p w14:paraId="3071534A">
            <w:pPr>
              <w:spacing w:line="400" w:lineRule="exact"/>
              <w:jc w:val="center"/>
              <w:rPr>
                <w:rFonts w:ascii="宋体" w:hAnsi="宋体"/>
                <w:szCs w:val="21"/>
              </w:rPr>
            </w:pPr>
            <w:r>
              <w:rPr>
                <w:rFonts w:hint="eastAsia" w:ascii="宋体" w:hAnsi="宋体"/>
                <w:szCs w:val="21"/>
              </w:rPr>
              <w:t>15</w:t>
            </w:r>
          </w:p>
        </w:tc>
        <w:tc>
          <w:tcPr>
            <w:tcW w:w="945" w:type="dxa"/>
            <w:vAlign w:val="center"/>
          </w:tcPr>
          <w:p w14:paraId="09B7D38E">
            <w:pPr>
              <w:spacing w:line="400" w:lineRule="exact"/>
              <w:jc w:val="center"/>
              <w:rPr>
                <w:rFonts w:ascii="宋体" w:hAnsi="宋体"/>
                <w:szCs w:val="21"/>
              </w:rPr>
            </w:pPr>
            <w:r>
              <w:rPr>
                <w:rFonts w:hint="eastAsia" w:ascii="宋体" w:hAnsi="宋体"/>
                <w:szCs w:val="21"/>
              </w:rPr>
              <w:t>15.1</w:t>
            </w:r>
          </w:p>
        </w:tc>
        <w:tc>
          <w:tcPr>
            <w:tcW w:w="7390" w:type="dxa"/>
            <w:vAlign w:val="center"/>
          </w:tcPr>
          <w:p w14:paraId="24AA9E19">
            <w:pPr>
              <w:spacing w:line="400" w:lineRule="exact"/>
              <w:rPr>
                <w:spacing w:val="6"/>
              </w:rPr>
            </w:pPr>
            <w:r>
              <w:rPr>
                <w:spacing w:val="6"/>
              </w:rPr>
              <w:t>负偏离要求</w:t>
            </w:r>
            <w:r>
              <w:rPr>
                <w:rFonts w:hint="eastAsia"/>
                <w:spacing w:val="6"/>
              </w:rPr>
              <w:t>：</w:t>
            </w:r>
          </w:p>
          <w:p w14:paraId="7F396241">
            <w:pPr>
              <w:spacing w:line="400" w:lineRule="exact"/>
              <w:rPr>
                <w:spacing w:val="6"/>
              </w:rPr>
            </w:pPr>
            <w:r>
              <w:rPr>
                <w:rFonts w:hint="eastAsia"/>
                <w:spacing w:val="6"/>
              </w:rPr>
              <w:t>商务条款评审中允许负偏离的条款数为</w:t>
            </w:r>
            <w:r>
              <w:rPr>
                <w:rFonts w:hint="eastAsia"/>
                <w:spacing w:val="6"/>
                <w:u w:val="single"/>
              </w:rPr>
              <w:t xml:space="preserve"> 0 </w:t>
            </w:r>
            <w:r>
              <w:rPr>
                <w:rFonts w:hint="eastAsia"/>
                <w:spacing w:val="6"/>
              </w:rPr>
              <w:t xml:space="preserve">项。 </w:t>
            </w:r>
          </w:p>
          <w:p w14:paraId="6FDF1378">
            <w:pPr>
              <w:spacing w:line="400" w:lineRule="exact"/>
              <w:rPr>
                <w:rFonts w:ascii="宋体" w:hAnsi="宋体"/>
                <w:szCs w:val="21"/>
              </w:rPr>
            </w:pPr>
            <w:r>
              <w:rPr>
                <w:rFonts w:hint="eastAsia"/>
                <w:spacing w:val="6"/>
              </w:rPr>
              <w:t>货物需求评审中允许负偏离的条款数为</w:t>
            </w:r>
            <w:r>
              <w:rPr>
                <w:rFonts w:hint="eastAsia"/>
                <w:spacing w:val="6"/>
                <w:u w:val="single"/>
              </w:rPr>
              <w:t xml:space="preserve"> 0 </w:t>
            </w:r>
            <w:r>
              <w:rPr>
                <w:rFonts w:hint="eastAsia"/>
                <w:spacing w:val="6"/>
              </w:rPr>
              <w:t>项。</w:t>
            </w:r>
          </w:p>
        </w:tc>
      </w:tr>
    </w:tbl>
    <w:p w14:paraId="4C27EDED">
      <w:pPr>
        <w:spacing w:line="400" w:lineRule="exact"/>
        <w:jc w:val="center"/>
        <w:rPr>
          <w:rFonts w:ascii="宋体" w:hAnsi="宋体"/>
          <w:b/>
          <w:sz w:val="30"/>
          <w:szCs w:val="30"/>
        </w:rPr>
      </w:pPr>
      <w:r>
        <w:rPr>
          <w:rFonts w:ascii="宋体" w:hAnsi="宋体"/>
          <w:b/>
          <w:sz w:val="30"/>
          <w:szCs w:val="30"/>
        </w:rPr>
        <w:br w:type="page"/>
      </w:r>
      <w:r>
        <w:rPr>
          <w:rFonts w:hint="eastAsia" w:ascii="宋体" w:hAnsi="宋体"/>
          <w:b/>
          <w:sz w:val="30"/>
          <w:szCs w:val="30"/>
        </w:rPr>
        <w:t>谈判须知</w:t>
      </w:r>
    </w:p>
    <w:p w14:paraId="432BECB1">
      <w:pPr>
        <w:spacing w:line="400" w:lineRule="exact"/>
        <w:ind w:firstLine="422" w:firstLineChars="200"/>
        <w:rPr>
          <w:rFonts w:ascii="宋体" w:hAnsi="宋体"/>
          <w:b/>
          <w:szCs w:val="21"/>
        </w:rPr>
      </w:pPr>
      <w:r>
        <w:rPr>
          <w:rFonts w:hint="eastAsia" w:ascii="宋体" w:hAnsi="宋体"/>
          <w:b/>
          <w:szCs w:val="21"/>
        </w:rPr>
        <w:t>一、总　则</w:t>
      </w:r>
    </w:p>
    <w:p w14:paraId="31DC0F97">
      <w:pPr>
        <w:spacing w:line="400" w:lineRule="exact"/>
        <w:ind w:firstLine="422" w:firstLineChars="200"/>
        <w:rPr>
          <w:rFonts w:ascii="宋体" w:hAnsi="宋体"/>
          <w:b/>
          <w:szCs w:val="21"/>
        </w:rPr>
      </w:pPr>
      <w:r>
        <w:rPr>
          <w:rFonts w:hint="eastAsia" w:ascii="宋体" w:hAnsi="宋体"/>
          <w:b/>
          <w:szCs w:val="21"/>
        </w:rPr>
        <w:t>1.适用范围</w:t>
      </w:r>
    </w:p>
    <w:p w14:paraId="72D78AE7">
      <w:pPr>
        <w:spacing w:line="400" w:lineRule="exact"/>
        <w:ind w:firstLine="420" w:firstLineChars="200"/>
        <w:rPr>
          <w:rFonts w:ascii="宋体" w:hAnsi="宋体"/>
          <w:szCs w:val="21"/>
        </w:rPr>
      </w:pPr>
      <w:r>
        <w:rPr>
          <w:rFonts w:hint="eastAsia" w:ascii="宋体" w:hAnsi="宋体"/>
          <w:szCs w:val="21"/>
        </w:rPr>
        <w:t>1.1 本文件仅适用于本文件中所叙述的货物、服务类政府采购项目。</w:t>
      </w:r>
    </w:p>
    <w:p w14:paraId="129E4DC4">
      <w:pPr>
        <w:spacing w:line="400" w:lineRule="exact"/>
        <w:ind w:firstLine="422" w:firstLineChars="200"/>
        <w:rPr>
          <w:rFonts w:ascii="宋体" w:hAnsi="宋体"/>
          <w:b/>
          <w:szCs w:val="21"/>
        </w:rPr>
      </w:pPr>
      <w:r>
        <w:rPr>
          <w:rFonts w:hint="eastAsia" w:ascii="宋体" w:hAnsi="宋体"/>
          <w:b/>
          <w:szCs w:val="21"/>
        </w:rPr>
        <w:t>2.定义</w:t>
      </w:r>
    </w:p>
    <w:p w14:paraId="096AD0B0">
      <w:pPr>
        <w:spacing w:line="400" w:lineRule="exact"/>
        <w:ind w:firstLine="420" w:firstLineChars="200"/>
        <w:rPr>
          <w:rFonts w:ascii="宋体" w:hAnsi="宋体"/>
          <w:szCs w:val="21"/>
        </w:rPr>
      </w:pPr>
      <w:r>
        <w:rPr>
          <w:rFonts w:hint="eastAsia" w:ascii="宋体" w:hAnsi="宋体"/>
          <w:szCs w:val="21"/>
        </w:rPr>
        <w:t>2.1“采购人”是指：依法进行政府采购的国家机关、事业单位、团体组织。</w:t>
      </w:r>
    </w:p>
    <w:p w14:paraId="338886A7">
      <w:pPr>
        <w:spacing w:line="400" w:lineRule="exact"/>
        <w:ind w:firstLine="420" w:firstLineChars="200"/>
        <w:rPr>
          <w:rFonts w:ascii="宋体" w:hAnsi="宋体"/>
          <w:szCs w:val="21"/>
        </w:rPr>
      </w:pPr>
      <w:r>
        <w:rPr>
          <w:rFonts w:hint="eastAsia" w:ascii="宋体" w:hAnsi="宋体"/>
          <w:szCs w:val="21"/>
        </w:rPr>
        <w:t>2.2“采购代理机构”是指：根据采购人的委托办理采购事宜的机构，本项目的采购代理机构为广西宝盛工程咨询有限公司。</w:t>
      </w:r>
    </w:p>
    <w:p w14:paraId="7E3565EE">
      <w:pPr>
        <w:spacing w:line="400" w:lineRule="exact"/>
        <w:ind w:firstLine="420" w:firstLineChars="200"/>
        <w:rPr>
          <w:rFonts w:ascii="宋体" w:hAnsi="宋体"/>
          <w:szCs w:val="21"/>
        </w:rPr>
      </w:pPr>
      <w:r>
        <w:rPr>
          <w:rFonts w:hint="eastAsia" w:ascii="宋体" w:hAnsi="宋体"/>
          <w:szCs w:val="21"/>
        </w:rPr>
        <w:t>2.3“供应商”是指购买了竞争性谈判采购文件，响应本文件要求，参加谈判的法人、其他组织或者自然人。如果该供应商在本次谈判中成交，即成为“成交供应商”。</w:t>
      </w:r>
    </w:p>
    <w:p w14:paraId="38C16DEC">
      <w:pPr>
        <w:spacing w:line="400" w:lineRule="exact"/>
        <w:ind w:firstLine="420" w:firstLineChars="200"/>
        <w:rPr>
          <w:rFonts w:ascii="宋体" w:hAnsi="宋体"/>
          <w:szCs w:val="21"/>
        </w:rPr>
      </w:pPr>
      <w:r>
        <w:rPr>
          <w:rFonts w:hint="eastAsia" w:ascii="宋体" w:hAnsi="宋体"/>
          <w:szCs w:val="21"/>
        </w:rPr>
        <w:t>2.4“货物”是指各种形态和种类的物品，包括原材料、燃料、设备、产品等。</w:t>
      </w:r>
    </w:p>
    <w:p w14:paraId="091D5C67">
      <w:pPr>
        <w:spacing w:line="400" w:lineRule="exact"/>
        <w:ind w:firstLine="420" w:firstLineChars="200"/>
        <w:rPr>
          <w:rFonts w:ascii="宋体" w:hAnsi="宋体"/>
          <w:szCs w:val="21"/>
        </w:rPr>
      </w:pPr>
      <w:r>
        <w:rPr>
          <w:rFonts w:hint="eastAsia" w:ascii="宋体" w:hAnsi="宋体"/>
          <w:szCs w:val="21"/>
        </w:rPr>
        <w:t>2.5“服务”是指除货物和工程以外的其他政府采购对象。</w:t>
      </w:r>
    </w:p>
    <w:p w14:paraId="7E72D73E">
      <w:pPr>
        <w:spacing w:line="400" w:lineRule="exact"/>
        <w:ind w:firstLine="420" w:firstLineChars="200"/>
        <w:rPr>
          <w:rFonts w:ascii="宋体" w:hAnsi="宋体"/>
          <w:szCs w:val="21"/>
        </w:rPr>
      </w:pPr>
      <w:r>
        <w:rPr>
          <w:rFonts w:hint="eastAsia" w:ascii="宋体" w:hAnsi="宋体"/>
          <w:szCs w:val="21"/>
        </w:rPr>
        <w:t>2.6“响应文件”是指：供应商根据本文件要求，编制包含报价、技术和服务等所有内容的文件。</w:t>
      </w:r>
    </w:p>
    <w:p w14:paraId="1D7B71F4">
      <w:pPr>
        <w:spacing w:line="400" w:lineRule="exact"/>
        <w:ind w:firstLine="422" w:firstLineChars="200"/>
        <w:rPr>
          <w:rFonts w:ascii="宋体" w:hAnsi="宋体"/>
          <w:b/>
          <w:szCs w:val="21"/>
        </w:rPr>
      </w:pPr>
      <w:r>
        <w:rPr>
          <w:rFonts w:hint="eastAsia" w:ascii="宋体" w:hAnsi="宋体"/>
          <w:b/>
          <w:szCs w:val="21"/>
        </w:rPr>
        <w:t>3.供应商的资格条件</w:t>
      </w:r>
    </w:p>
    <w:p w14:paraId="42FDE9C5">
      <w:pPr>
        <w:spacing w:line="400" w:lineRule="exact"/>
        <w:ind w:firstLine="420" w:firstLineChars="200"/>
        <w:rPr>
          <w:rFonts w:ascii="宋体" w:hAnsi="宋体" w:cs="Arial"/>
          <w:szCs w:val="21"/>
        </w:rPr>
      </w:pPr>
      <w:r>
        <w:rPr>
          <w:rFonts w:hint="eastAsia" w:ascii="宋体" w:hAnsi="宋体"/>
          <w:szCs w:val="21"/>
        </w:rPr>
        <w:t>3.1</w:t>
      </w:r>
      <w:r>
        <w:rPr>
          <w:rFonts w:hint="eastAsia" w:ascii="宋体" w:hAnsi="宋体" w:cs="Arial"/>
          <w:szCs w:val="21"/>
        </w:rPr>
        <w:t>参加本项目的供应商必须满足符合《中华人民共和国政府采购法》第二十二条规定。</w:t>
      </w:r>
    </w:p>
    <w:p w14:paraId="6428C41F">
      <w:pPr>
        <w:spacing w:line="400" w:lineRule="exact"/>
        <w:ind w:firstLine="420" w:firstLineChars="200"/>
        <w:rPr>
          <w:rFonts w:ascii="宋体" w:hAnsi="宋体" w:cs="Arial"/>
          <w:szCs w:val="21"/>
        </w:rPr>
      </w:pPr>
      <w:r>
        <w:rPr>
          <w:rFonts w:hint="eastAsia" w:ascii="宋体" w:hAnsi="宋体" w:cs="Arial"/>
          <w:szCs w:val="21"/>
        </w:rPr>
        <w:t xml:space="preserve">3.2参加本项目的供应商应满足的其它特定资格条件：具体见“谈判须知前附表”要求。 </w:t>
      </w:r>
    </w:p>
    <w:p w14:paraId="0019CCE7">
      <w:pPr>
        <w:pStyle w:val="14"/>
        <w:ind w:firstLine="420" w:firstLineChars="200"/>
        <w:rPr>
          <w:rFonts w:ascii="宋体" w:hAnsi="宋体"/>
          <w:szCs w:val="21"/>
          <w:u w:val="single"/>
        </w:rPr>
      </w:pPr>
      <w:r>
        <w:rPr>
          <w:rFonts w:hint="eastAsia" w:ascii="宋体" w:hAnsi="宋体" w:cs="Arial"/>
          <w:szCs w:val="21"/>
        </w:rPr>
        <w:t>3.3</w:t>
      </w:r>
      <w:r>
        <w:rPr>
          <w:rFonts w:hint="eastAsia"/>
        </w:rPr>
        <w:t>本项目（否）接受联合体投标</w:t>
      </w:r>
    </w:p>
    <w:p w14:paraId="793CF475">
      <w:pPr>
        <w:spacing w:line="400" w:lineRule="exact"/>
        <w:ind w:firstLine="422" w:firstLineChars="200"/>
        <w:rPr>
          <w:rFonts w:ascii="宋体" w:hAnsi="宋体"/>
          <w:b/>
          <w:szCs w:val="21"/>
        </w:rPr>
      </w:pPr>
      <w:r>
        <w:rPr>
          <w:rFonts w:hint="eastAsia" w:ascii="宋体" w:hAnsi="宋体"/>
          <w:b/>
          <w:szCs w:val="21"/>
        </w:rPr>
        <w:t>4. 谈判费用</w:t>
      </w:r>
    </w:p>
    <w:p w14:paraId="0E5DEA7B">
      <w:pPr>
        <w:spacing w:line="400" w:lineRule="exact"/>
        <w:ind w:firstLine="420" w:firstLineChars="200"/>
        <w:rPr>
          <w:rFonts w:ascii="宋体" w:hAnsi="宋体"/>
          <w:szCs w:val="21"/>
        </w:rPr>
      </w:pPr>
      <w:r>
        <w:rPr>
          <w:rFonts w:hint="eastAsia" w:ascii="宋体" w:hAnsi="宋体"/>
          <w:szCs w:val="21"/>
        </w:rPr>
        <w:t>4.1</w:t>
      </w:r>
      <w:r>
        <w:rPr>
          <w:rFonts w:hint="eastAsia" w:ascii="宋体" w:hAnsi="宋体" w:cs="Arial"/>
          <w:szCs w:val="21"/>
        </w:rPr>
        <w:t>供应商</w:t>
      </w:r>
      <w:r>
        <w:rPr>
          <w:rFonts w:hint="eastAsia" w:ascii="宋体" w:hAnsi="宋体"/>
          <w:szCs w:val="21"/>
        </w:rPr>
        <w:t>应自行承担所有与编写和提交响应文件有关的费用，不论谈判结果如何，采购人和采购代理机构在任何情况下无义务和责任承担此类费用。</w:t>
      </w:r>
    </w:p>
    <w:p w14:paraId="085C26A2">
      <w:pPr>
        <w:spacing w:line="400" w:lineRule="exact"/>
        <w:ind w:firstLine="422" w:firstLineChars="200"/>
        <w:rPr>
          <w:rFonts w:ascii="宋体" w:hAnsi="宋体"/>
          <w:b/>
          <w:szCs w:val="21"/>
        </w:rPr>
      </w:pPr>
      <w:r>
        <w:rPr>
          <w:rFonts w:hint="eastAsia" w:ascii="宋体" w:hAnsi="宋体"/>
          <w:b/>
          <w:szCs w:val="21"/>
        </w:rPr>
        <w:t>二、竞争性谈判采购文件</w:t>
      </w:r>
    </w:p>
    <w:p w14:paraId="30CBFD4F">
      <w:pPr>
        <w:spacing w:line="400" w:lineRule="exact"/>
        <w:ind w:firstLine="422" w:firstLineChars="200"/>
        <w:rPr>
          <w:rFonts w:ascii="宋体" w:hAnsi="宋体"/>
          <w:b/>
          <w:szCs w:val="21"/>
        </w:rPr>
      </w:pPr>
      <w:r>
        <w:rPr>
          <w:rFonts w:hint="eastAsia" w:ascii="宋体" w:hAnsi="宋体"/>
          <w:b/>
          <w:szCs w:val="21"/>
        </w:rPr>
        <w:t>5.竞争性谈判采购文件的组成</w:t>
      </w:r>
    </w:p>
    <w:p w14:paraId="0FBF09F0">
      <w:pPr>
        <w:spacing w:line="400" w:lineRule="exact"/>
        <w:ind w:firstLine="420" w:firstLineChars="200"/>
        <w:rPr>
          <w:rFonts w:ascii="宋体" w:hAnsi="宋体"/>
          <w:szCs w:val="21"/>
        </w:rPr>
      </w:pPr>
      <w:r>
        <w:rPr>
          <w:rFonts w:hint="eastAsia" w:ascii="宋体" w:hAnsi="宋体"/>
          <w:szCs w:val="21"/>
        </w:rPr>
        <w:t>5.1本竞争性谈判采购文件包括六个章节，各章的内容如下：</w:t>
      </w:r>
    </w:p>
    <w:p w14:paraId="30E86EB8">
      <w:pPr>
        <w:spacing w:line="400" w:lineRule="exact"/>
        <w:ind w:firstLine="420" w:firstLineChars="200"/>
        <w:rPr>
          <w:rFonts w:ascii="宋体" w:hAnsi="宋体"/>
          <w:szCs w:val="21"/>
        </w:rPr>
      </w:pPr>
      <w:r>
        <w:rPr>
          <w:rFonts w:hint="eastAsia" w:ascii="宋体" w:hAnsi="宋体"/>
          <w:szCs w:val="21"/>
        </w:rPr>
        <w:t>第一章  竞争性谈判公告</w:t>
      </w:r>
    </w:p>
    <w:p w14:paraId="1D71B63B">
      <w:pPr>
        <w:spacing w:line="400" w:lineRule="exact"/>
        <w:ind w:firstLine="420" w:firstLineChars="200"/>
        <w:rPr>
          <w:rFonts w:ascii="宋体" w:hAnsi="宋体"/>
          <w:szCs w:val="21"/>
        </w:rPr>
      </w:pPr>
      <w:r>
        <w:rPr>
          <w:rFonts w:hint="eastAsia" w:ascii="宋体" w:hAnsi="宋体"/>
          <w:szCs w:val="21"/>
        </w:rPr>
        <w:t>第二章  谈判须知及前附表</w:t>
      </w:r>
    </w:p>
    <w:p w14:paraId="4818E767">
      <w:pPr>
        <w:spacing w:line="400" w:lineRule="exact"/>
        <w:ind w:firstLine="420" w:firstLineChars="200"/>
        <w:rPr>
          <w:rFonts w:ascii="宋体" w:hAnsi="宋体"/>
          <w:szCs w:val="21"/>
        </w:rPr>
      </w:pPr>
      <w:r>
        <w:rPr>
          <w:rFonts w:hint="eastAsia" w:ascii="宋体" w:hAnsi="宋体"/>
          <w:szCs w:val="21"/>
        </w:rPr>
        <w:t>第三章  评审方法</w:t>
      </w:r>
    </w:p>
    <w:p w14:paraId="12989624">
      <w:pPr>
        <w:spacing w:line="400" w:lineRule="exact"/>
        <w:ind w:firstLine="420" w:firstLineChars="200"/>
        <w:rPr>
          <w:rFonts w:ascii="宋体" w:hAnsi="宋体"/>
          <w:szCs w:val="21"/>
        </w:rPr>
      </w:pPr>
      <w:r>
        <w:rPr>
          <w:rFonts w:hint="eastAsia" w:ascii="宋体" w:hAnsi="宋体"/>
          <w:szCs w:val="21"/>
        </w:rPr>
        <w:t>第四章  采购项目技术规格.参数及要求</w:t>
      </w:r>
    </w:p>
    <w:p w14:paraId="4348F2A3">
      <w:pPr>
        <w:spacing w:line="400" w:lineRule="exact"/>
        <w:ind w:firstLine="420" w:firstLineChars="200"/>
        <w:rPr>
          <w:rFonts w:ascii="宋体" w:hAnsi="宋体"/>
          <w:szCs w:val="21"/>
        </w:rPr>
      </w:pPr>
      <w:r>
        <w:rPr>
          <w:rFonts w:hint="eastAsia" w:ascii="宋体" w:hAnsi="宋体"/>
          <w:szCs w:val="21"/>
        </w:rPr>
        <w:t>第五章  合同条款及格式</w:t>
      </w:r>
    </w:p>
    <w:p w14:paraId="17A4EE9E">
      <w:pPr>
        <w:spacing w:line="400" w:lineRule="exact"/>
        <w:ind w:firstLine="420" w:firstLineChars="200"/>
        <w:rPr>
          <w:rFonts w:ascii="宋体" w:hAnsi="宋体"/>
          <w:szCs w:val="21"/>
        </w:rPr>
      </w:pPr>
      <w:r>
        <w:rPr>
          <w:rFonts w:hint="eastAsia" w:ascii="宋体" w:hAnsi="宋体"/>
          <w:szCs w:val="21"/>
        </w:rPr>
        <w:t>第六章  响应文件基本格式</w:t>
      </w:r>
    </w:p>
    <w:p w14:paraId="41C0B227">
      <w:pPr>
        <w:pStyle w:val="19"/>
        <w:ind w:firstLine="464" w:firstLineChars="221"/>
        <w:rPr>
          <w:rFonts w:hAnsi="宋体"/>
          <w:szCs w:val="21"/>
        </w:rPr>
      </w:pPr>
      <w:r>
        <w:rPr>
          <w:rFonts w:hint="eastAsia" w:hAnsi="宋体"/>
          <w:szCs w:val="21"/>
        </w:rPr>
        <w:t>5.2根据本章第6.1项的规定对竞争性谈判采购文件所做的澄清、修改，构成竞争性谈判采购文件的组成部分。当竞争性谈判采购文件与竞争性谈判采购文件的澄清和修改就同一内容的表述不一致时，以最后发出的书面文件为准。</w:t>
      </w:r>
    </w:p>
    <w:p w14:paraId="43FB02BB">
      <w:pPr>
        <w:pStyle w:val="19"/>
        <w:ind w:firstLine="466" w:firstLineChars="221"/>
        <w:rPr>
          <w:rFonts w:hAnsi="宋体"/>
          <w:b/>
          <w:bCs/>
          <w:szCs w:val="21"/>
        </w:rPr>
      </w:pPr>
      <w:r>
        <w:rPr>
          <w:rFonts w:hint="eastAsia" w:hAnsi="宋体"/>
          <w:b/>
          <w:bCs/>
          <w:szCs w:val="21"/>
        </w:rPr>
        <w:t>6. 竞争性谈判采购文件的澄清和修改</w:t>
      </w:r>
    </w:p>
    <w:p w14:paraId="1B81E5CF">
      <w:pPr>
        <w:pStyle w:val="19"/>
        <w:ind w:left="2" w:leftChars="1" w:firstLine="470" w:firstLineChars="224"/>
        <w:rPr>
          <w:szCs w:val="21"/>
        </w:rPr>
      </w:pPr>
      <w:r>
        <w:rPr>
          <w:rFonts w:hint="eastAsia" w:hAnsi="宋体"/>
          <w:szCs w:val="21"/>
        </w:rPr>
        <w:t>6.1采购人或采购代理机构</w:t>
      </w:r>
      <w:r>
        <w:rPr>
          <w:rFonts w:hint="eastAsia"/>
          <w:szCs w:val="21"/>
        </w:rPr>
        <w:t>对已发出的竞争性谈判采购文件进行必要澄清或修改的，应当在提交首次响应文件截止之日三个工作日前，以书面形式通知所有竞争性谈判采购文件收受人，不足三个工作日的，应当顺延提交响应文件截止之日；同时，采购代理机构在</w:t>
      </w:r>
      <w:r>
        <w:rPr>
          <w:rFonts w:hint="eastAsia" w:hAnsi="宋体"/>
          <w:szCs w:val="21"/>
        </w:rPr>
        <w:t>竞争性谈判公告的发布媒体</w:t>
      </w:r>
      <w:r>
        <w:rPr>
          <w:rFonts w:hint="eastAsia"/>
          <w:szCs w:val="21"/>
        </w:rPr>
        <w:t>上发布更正公告。</w:t>
      </w:r>
    </w:p>
    <w:p w14:paraId="430A01C5">
      <w:pPr>
        <w:pStyle w:val="19"/>
        <w:ind w:left="2" w:leftChars="1" w:firstLine="470" w:firstLineChars="224"/>
        <w:rPr>
          <w:szCs w:val="21"/>
        </w:rPr>
      </w:pPr>
      <w:r>
        <w:rPr>
          <w:rFonts w:hint="eastAsia"/>
          <w:szCs w:val="21"/>
        </w:rPr>
        <w:t>6.2采购人和采购代理机构可以视采购具体情况，延长首次响应文件递交截止时间，但应当在递交首次响应文件截止之日三个工作日前，将变更时间书面通知所有竞争性谈判采购文件收受人，不足三个工作日的，应当顺延递交首次响应文件截止之日。同时，采购代理机构在</w:t>
      </w:r>
      <w:r>
        <w:rPr>
          <w:rFonts w:hint="eastAsia" w:hAnsi="宋体"/>
          <w:szCs w:val="21"/>
        </w:rPr>
        <w:t>竞争性谈判公告的发布媒体</w:t>
      </w:r>
      <w:r>
        <w:rPr>
          <w:rFonts w:hint="eastAsia"/>
          <w:szCs w:val="21"/>
        </w:rPr>
        <w:t>上发布更正公告。</w:t>
      </w:r>
    </w:p>
    <w:p w14:paraId="30E07D6F">
      <w:pPr>
        <w:pStyle w:val="19"/>
        <w:ind w:left="2" w:leftChars="1" w:firstLine="470" w:firstLineChars="224"/>
        <w:rPr>
          <w:rFonts w:hAnsi="宋体"/>
          <w:b/>
          <w:szCs w:val="21"/>
        </w:rPr>
      </w:pPr>
      <w:r>
        <w:rPr>
          <w:rFonts w:hint="eastAsia"/>
          <w:szCs w:val="21"/>
        </w:rPr>
        <w:t>三、</w:t>
      </w:r>
      <w:r>
        <w:rPr>
          <w:rFonts w:hint="eastAsia" w:hAnsi="宋体"/>
          <w:b/>
          <w:szCs w:val="21"/>
        </w:rPr>
        <w:t>首次响应文件</w:t>
      </w:r>
    </w:p>
    <w:p w14:paraId="2CC1A527">
      <w:pPr>
        <w:spacing w:line="400" w:lineRule="exact"/>
        <w:ind w:firstLine="422" w:firstLineChars="200"/>
        <w:rPr>
          <w:rFonts w:ascii="宋体" w:hAnsi="宋体"/>
          <w:b/>
          <w:szCs w:val="21"/>
        </w:rPr>
      </w:pPr>
      <w:r>
        <w:rPr>
          <w:rFonts w:hint="eastAsia" w:ascii="宋体" w:hAnsi="宋体"/>
          <w:b/>
          <w:szCs w:val="21"/>
        </w:rPr>
        <w:t>7. 首次响应文件编制基本要求</w:t>
      </w:r>
    </w:p>
    <w:p w14:paraId="5A4A613F">
      <w:pPr>
        <w:adjustRightInd w:val="0"/>
        <w:snapToGrid w:val="0"/>
        <w:spacing w:line="360" w:lineRule="exact"/>
        <w:ind w:firstLine="420" w:firstLineChars="200"/>
        <w:rPr>
          <w:rFonts w:ascii="宋体"/>
          <w:szCs w:val="21"/>
        </w:rPr>
      </w:pPr>
      <w:r>
        <w:rPr>
          <w:rFonts w:hint="eastAsia" w:ascii="宋体"/>
          <w:szCs w:val="21"/>
        </w:rPr>
        <w:t>7.1</w:t>
      </w:r>
      <w:r>
        <w:rPr>
          <w:rFonts w:ascii="宋体"/>
          <w:szCs w:val="21"/>
        </w:rPr>
        <w:t>本项目实行电子投标，供应商应准备电子</w:t>
      </w:r>
      <w:r>
        <w:rPr>
          <w:rFonts w:hint="eastAsia" w:ascii="宋体"/>
          <w:szCs w:val="21"/>
        </w:rPr>
        <w:t>谈判</w:t>
      </w:r>
      <w:r>
        <w:rPr>
          <w:rFonts w:ascii="宋体"/>
          <w:szCs w:val="21"/>
        </w:rPr>
        <w:t>响应文件：</w:t>
      </w:r>
    </w:p>
    <w:p w14:paraId="0A65CC3F">
      <w:pPr>
        <w:adjustRightInd w:val="0"/>
        <w:snapToGrid w:val="0"/>
        <w:spacing w:line="360" w:lineRule="exact"/>
        <w:ind w:firstLine="420" w:firstLineChars="200"/>
        <w:rPr>
          <w:rFonts w:ascii="宋体"/>
          <w:szCs w:val="21"/>
        </w:rPr>
      </w:pPr>
      <w:r>
        <w:rPr>
          <w:rFonts w:hint="eastAsia" w:ascii="宋体"/>
          <w:szCs w:val="21"/>
        </w:rPr>
        <w:t>7.1.1</w:t>
      </w:r>
      <w:r>
        <w:rPr>
          <w:rFonts w:ascii="宋体"/>
          <w:szCs w:val="21"/>
        </w:rPr>
        <w:t>电子响应文件按</w:t>
      </w:r>
      <w:r>
        <w:rPr>
          <w:rFonts w:hint="eastAsia" w:ascii="宋体"/>
          <w:szCs w:val="21"/>
        </w:rPr>
        <w:t>广西政府采购云平台要求</w:t>
      </w:r>
      <w:r>
        <w:rPr>
          <w:rFonts w:ascii="宋体"/>
          <w:szCs w:val="21"/>
        </w:rPr>
        <w:t>及本</w:t>
      </w:r>
      <w:r>
        <w:rPr>
          <w:rFonts w:hint="eastAsia" w:ascii="宋体"/>
          <w:szCs w:val="21"/>
        </w:rPr>
        <w:t>竞争性谈判文件</w:t>
      </w:r>
      <w:r>
        <w:rPr>
          <w:rFonts w:ascii="宋体"/>
          <w:szCs w:val="21"/>
        </w:rPr>
        <w:t>要求制作、加密并递交。具体操作流程</w:t>
      </w:r>
      <w:r>
        <w:rPr>
          <w:rFonts w:hint="eastAsia" w:ascii="宋体"/>
          <w:szCs w:val="21"/>
        </w:rPr>
        <w:t>可参考</w:t>
      </w:r>
      <w:r>
        <w:rPr>
          <w:rFonts w:ascii="宋体"/>
          <w:szCs w:val="21"/>
        </w:rPr>
        <w:t>《</w:t>
      </w:r>
      <w:r>
        <w:rPr>
          <w:rFonts w:hint="eastAsia" w:ascii="宋体"/>
          <w:szCs w:val="21"/>
        </w:rPr>
        <w:t>政府采购</w:t>
      </w:r>
      <w:r>
        <w:rPr>
          <w:rFonts w:ascii="宋体"/>
          <w:szCs w:val="21"/>
        </w:rPr>
        <w:t>项目电子交易管理操作指南</w:t>
      </w:r>
      <w:r>
        <w:rPr>
          <w:rFonts w:hint="eastAsia" w:ascii="宋体"/>
          <w:szCs w:val="21"/>
        </w:rPr>
        <w:t>-</w:t>
      </w:r>
      <w:r>
        <w:rPr>
          <w:rFonts w:ascii="宋体"/>
          <w:szCs w:val="21"/>
        </w:rPr>
        <w:t>供应商》</w:t>
      </w:r>
      <w:r>
        <w:rPr>
          <w:rFonts w:hint="eastAsia" w:ascii="宋体"/>
          <w:szCs w:val="21"/>
        </w:rPr>
        <w:t>，</w:t>
      </w:r>
      <w:r>
        <w:rPr>
          <w:rFonts w:ascii="宋体"/>
          <w:szCs w:val="21"/>
        </w:rPr>
        <w:t>指南可在</w:t>
      </w:r>
      <w:r>
        <w:rPr>
          <w:rFonts w:hint="eastAsia" w:ascii="宋体"/>
          <w:szCs w:val="21"/>
        </w:rPr>
        <w:t>“http://www.ccgp-guangxi.gov.cn/PurchaseAdvisory/ImportantNotice/2866753.html”下载。</w:t>
      </w:r>
    </w:p>
    <w:p w14:paraId="34A16E91">
      <w:pPr>
        <w:adjustRightInd w:val="0"/>
        <w:snapToGrid w:val="0"/>
        <w:spacing w:line="360" w:lineRule="exact"/>
        <w:ind w:firstLine="210" w:firstLineChars="100"/>
        <w:rPr>
          <w:rFonts w:ascii="宋体"/>
          <w:szCs w:val="21"/>
        </w:rPr>
      </w:pPr>
      <w:r>
        <w:rPr>
          <w:rFonts w:ascii="宋体"/>
          <w:szCs w:val="21"/>
        </w:rPr>
        <w:t>▲</w:t>
      </w:r>
      <w:r>
        <w:rPr>
          <w:rFonts w:hint="eastAsia" w:ascii="宋体"/>
          <w:szCs w:val="21"/>
        </w:rPr>
        <w:t>7.1.2谈判响应</w:t>
      </w:r>
      <w:r>
        <w:rPr>
          <w:rFonts w:ascii="宋体"/>
          <w:szCs w:val="21"/>
        </w:rPr>
        <w:t>文件启用顺序和效力：</w:t>
      </w:r>
      <w:r>
        <w:rPr>
          <w:rFonts w:hint="eastAsia" w:ascii="宋体"/>
          <w:szCs w:val="21"/>
        </w:rPr>
        <w:t>谈判响应</w:t>
      </w:r>
      <w:r>
        <w:rPr>
          <w:rFonts w:ascii="宋体"/>
          <w:szCs w:val="21"/>
        </w:rPr>
        <w:t>文件的启用，按先后顺位分别为电子</w:t>
      </w:r>
      <w:r>
        <w:rPr>
          <w:rFonts w:hint="eastAsia" w:ascii="宋体"/>
          <w:szCs w:val="21"/>
        </w:rPr>
        <w:t>谈判</w:t>
      </w:r>
      <w:r>
        <w:rPr>
          <w:rFonts w:ascii="宋体"/>
          <w:szCs w:val="21"/>
        </w:rPr>
        <w:t>响应文件、</w:t>
      </w:r>
      <w:r>
        <w:rPr>
          <w:rFonts w:hint="eastAsia" w:ascii="宋体"/>
          <w:szCs w:val="21"/>
        </w:rPr>
        <w:t>电子</w:t>
      </w:r>
      <w:r>
        <w:rPr>
          <w:rFonts w:ascii="宋体"/>
          <w:szCs w:val="21"/>
        </w:rPr>
        <w:t>备份</w:t>
      </w:r>
      <w:r>
        <w:rPr>
          <w:rFonts w:hint="eastAsia" w:ascii="宋体"/>
          <w:szCs w:val="21"/>
        </w:rPr>
        <w:t>谈判</w:t>
      </w:r>
      <w:r>
        <w:rPr>
          <w:rFonts w:ascii="宋体"/>
          <w:szCs w:val="21"/>
        </w:rPr>
        <w:t>响应文件。</w:t>
      </w:r>
      <w:r>
        <w:rPr>
          <w:rFonts w:hint="eastAsia" w:ascii="宋体"/>
          <w:szCs w:val="21"/>
        </w:rPr>
        <w:t>若谈判供应商在规定时间内无法解密或解密失败，可以以电子</w:t>
      </w:r>
      <w:r>
        <w:rPr>
          <w:rFonts w:ascii="宋体"/>
          <w:szCs w:val="21"/>
        </w:rPr>
        <w:t>备份</w:t>
      </w:r>
      <w:r>
        <w:rPr>
          <w:rFonts w:hint="eastAsia" w:ascii="宋体"/>
          <w:szCs w:val="21"/>
        </w:rPr>
        <w:t>谈判</w:t>
      </w:r>
      <w:r>
        <w:rPr>
          <w:rFonts w:ascii="宋体"/>
          <w:szCs w:val="21"/>
        </w:rPr>
        <w:t>响应文件</w:t>
      </w:r>
      <w:r>
        <w:rPr>
          <w:rFonts w:hint="eastAsia" w:ascii="宋体"/>
          <w:szCs w:val="21"/>
        </w:rPr>
        <w:t>作为依据，若电子</w:t>
      </w:r>
      <w:r>
        <w:rPr>
          <w:rFonts w:ascii="宋体"/>
          <w:szCs w:val="21"/>
        </w:rPr>
        <w:t>备份</w:t>
      </w:r>
      <w:r>
        <w:rPr>
          <w:rFonts w:hint="eastAsia" w:ascii="宋体"/>
          <w:szCs w:val="21"/>
        </w:rPr>
        <w:t>谈判</w:t>
      </w:r>
      <w:r>
        <w:rPr>
          <w:rFonts w:ascii="宋体"/>
          <w:szCs w:val="21"/>
        </w:rPr>
        <w:t>响应文</w:t>
      </w:r>
      <w:r>
        <w:rPr>
          <w:rFonts w:hint="eastAsia" w:ascii="宋体"/>
          <w:szCs w:val="21"/>
        </w:rPr>
        <w:t>件与广西政府采购云平台上传的电子谈判响应文件被识别为不一致的，以电子备份谈判响应文件作为评审依据；谈判供应商按时在线解密响应文件的，以在线解密的响应文件作为评审依据。若谈判供应商在规定时间内无法解密或解密失败且未提供电子备份谈判响应文件的，视为响应文件撤回。</w:t>
      </w:r>
    </w:p>
    <w:p w14:paraId="72A03484">
      <w:pPr>
        <w:adjustRightInd w:val="0"/>
        <w:snapToGrid w:val="0"/>
        <w:spacing w:line="360" w:lineRule="exact"/>
        <w:ind w:firstLine="210" w:firstLineChars="100"/>
        <w:rPr>
          <w:rFonts w:ascii="宋体"/>
          <w:szCs w:val="21"/>
        </w:rPr>
      </w:pPr>
      <w:r>
        <w:rPr>
          <w:rFonts w:hint="eastAsia" w:ascii="宋体"/>
          <w:szCs w:val="21"/>
        </w:rPr>
        <w:t>7.2供应商提交的竞争性谈判响应文件以及供应商与</w:t>
      </w:r>
      <w:r>
        <w:rPr>
          <w:rFonts w:hint="eastAsia" w:ascii="宋体"/>
        </w:rPr>
        <w:t>本公司</w:t>
      </w:r>
      <w:r>
        <w:rPr>
          <w:rFonts w:hint="eastAsia" w:ascii="宋体"/>
          <w:szCs w:val="21"/>
        </w:rPr>
        <w:t>和采购人就有关谈判的所有来往函电均应使用中文。供应商提交的支持文件和印刷的文献可以使用别的语言，但其相应内容必须附有中文翻译文本，在解释竞争性谈判响应文件时以翻译文本为主。</w:t>
      </w:r>
    </w:p>
    <w:p w14:paraId="47DD5DE7">
      <w:pPr>
        <w:adjustRightInd w:val="0"/>
        <w:snapToGrid w:val="0"/>
        <w:spacing w:line="360" w:lineRule="exact"/>
        <w:ind w:firstLine="420" w:firstLineChars="200"/>
        <w:rPr>
          <w:rFonts w:ascii="宋体"/>
          <w:szCs w:val="21"/>
        </w:rPr>
      </w:pPr>
      <w:r>
        <w:rPr>
          <w:rFonts w:hint="eastAsia" w:ascii="宋体"/>
          <w:szCs w:val="21"/>
        </w:rPr>
        <w:t>7.3供应商应认真阅读、并充分理解本文件的全部内容（包括所有的</w:t>
      </w:r>
      <w:r>
        <w:rPr>
          <w:rFonts w:hint="eastAsia" w:ascii="宋体"/>
        </w:rPr>
        <w:t>澄清、</w:t>
      </w:r>
      <w:r>
        <w:rPr>
          <w:rFonts w:hint="eastAsia" w:ascii="宋体"/>
          <w:szCs w:val="21"/>
        </w:rPr>
        <w:t>更改、补充、答疑等内容），承诺并履行本文件中各项条款规定及要求。</w:t>
      </w:r>
    </w:p>
    <w:p w14:paraId="54593234">
      <w:pPr>
        <w:adjustRightInd w:val="0"/>
        <w:snapToGrid w:val="0"/>
        <w:spacing w:line="360" w:lineRule="exact"/>
        <w:ind w:firstLine="420" w:firstLineChars="200"/>
        <w:rPr>
          <w:rFonts w:ascii="宋体"/>
          <w:szCs w:val="21"/>
        </w:rPr>
      </w:pPr>
      <w:r>
        <w:rPr>
          <w:rFonts w:hint="eastAsia" w:ascii="宋体"/>
          <w:szCs w:val="21"/>
        </w:rPr>
        <w:t>7.4竞争性谈判响应文件必须按本文件的全部内容，包括所有的</w:t>
      </w:r>
      <w:r>
        <w:rPr>
          <w:rFonts w:hint="eastAsia" w:ascii="宋体"/>
        </w:rPr>
        <w:t>澄清、</w:t>
      </w:r>
      <w:r>
        <w:rPr>
          <w:rFonts w:hint="eastAsia" w:ascii="宋体"/>
          <w:szCs w:val="21"/>
        </w:rPr>
        <w:t>更改、补充、答疑等内容及附件进行编制。</w:t>
      </w:r>
    </w:p>
    <w:p w14:paraId="3F0B7191">
      <w:pPr>
        <w:adjustRightInd w:val="0"/>
        <w:snapToGrid w:val="0"/>
        <w:spacing w:line="360" w:lineRule="exact"/>
        <w:ind w:firstLine="420" w:firstLineChars="200"/>
        <w:rPr>
          <w:rFonts w:ascii="宋体"/>
          <w:szCs w:val="21"/>
        </w:rPr>
      </w:pPr>
      <w:r>
        <w:rPr>
          <w:rFonts w:hint="eastAsia" w:ascii="宋体"/>
          <w:szCs w:val="21"/>
        </w:rPr>
        <w:t>7.5如因供应商只填写和提供了本文件要求的部分内容和附件，而给谈判小组评审造成困难，其可能导致的结果和责任由供应商自行承担。</w:t>
      </w:r>
    </w:p>
    <w:p w14:paraId="1DBE16FD">
      <w:pPr>
        <w:spacing w:line="400" w:lineRule="exact"/>
        <w:ind w:firstLine="420" w:firstLineChars="200"/>
        <w:rPr>
          <w:rFonts w:ascii="宋体" w:hAnsi="宋体"/>
          <w:szCs w:val="21"/>
        </w:rPr>
      </w:pPr>
      <w:r>
        <w:rPr>
          <w:rFonts w:hint="eastAsia" w:ascii="宋体"/>
          <w:szCs w:val="21"/>
        </w:rPr>
        <w:t>7.6竞争性谈判响应文件的组成：竞争性谈判响应文件应分为价格文件和商务技术文件两个部分组成。</w:t>
      </w:r>
      <w:r>
        <w:rPr>
          <w:szCs w:val="21"/>
        </w:rPr>
        <w:t>供应商应仔细阅读</w:t>
      </w:r>
      <w:r>
        <w:rPr>
          <w:rFonts w:hint="eastAsia" w:ascii="宋体" w:hAnsi="宋体" w:cs="宋体"/>
          <w:szCs w:val="21"/>
        </w:rPr>
        <w:t>竞争性谈判</w:t>
      </w:r>
      <w:r>
        <w:rPr>
          <w:szCs w:val="21"/>
        </w:rPr>
        <w:t>文件的所有内容，按</w:t>
      </w:r>
      <w:r>
        <w:rPr>
          <w:rFonts w:hint="eastAsia" w:ascii="宋体" w:hAnsi="宋体" w:cs="宋体"/>
          <w:szCs w:val="21"/>
        </w:rPr>
        <w:t>竞争性谈判</w:t>
      </w:r>
      <w:r>
        <w:rPr>
          <w:szCs w:val="21"/>
        </w:rPr>
        <w:t>文件的要求，详细编制</w:t>
      </w:r>
      <w:r>
        <w:rPr>
          <w:rFonts w:hint="eastAsia"/>
          <w:szCs w:val="21"/>
        </w:rPr>
        <w:t>谈判</w:t>
      </w:r>
      <w:r>
        <w:rPr>
          <w:szCs w:val="21"/>
        </w:rPr>
        <w:t>响应文件。</w:t>
      </w:r>
    </w:p>
    <w:p w14:paraId="26A6A6B0">
      <w:pPr>
        <w:spacing w:line="400" w:lineRule="exact"/>
        <w:ind w:firstLine="422" w:firstLineChars="200"/>
        <w:rPr>
          <w:rFonts w:ascii="宋体" w:hAnsi="宋体"/>
          <w:b/>
          <w:szCs w:val="21"/>
        </w:rPr>
      </w:pPr>
      <w:r>
        <w:rPr>
          <w:rFonts w:hint="eastAsia" w:ascii="宋体" w:hAnsi="宋体"/>
          <w:b/>
          <w:szCs w:val="21"/>
        </w:rPr>
        <w:t>8. 首次响应文件的组成</w:t>
      </w:r>
    </w:p>
    <w:p w14:paraId="07471AA7">
      <w:pPr>
        <w:spacing w:line="400" w:lineRule="exact"/>
        <w:ind w:firstLine="420" w:firstLineChars="200"/>
        <w:rPr>
          <w:rFonts w:ascii="宋体" w:hAnsi="宋体"/>
          <w:szCs w:val="21"/>
        </w:rPr>
      </w:pPr>
      <w:r>
        <w:rPr>
          <w:rFonts w:hint="eastAsia" w:ascii="宋体" w:hAnsi="宋体"/>
          <w:szCs w:val="21"/>
        </w:rPr>
        <w:t>8.1首次响应文件应分为价格文件、资格文件、商务和技术文件三个部分。</w:t>
      </w:r>
      <w:r>
        <w:rPr>
          <w:rFonts w:hint="eastAsia" w:ascii="宋体" w:hAnsi="宋体"/>
          <w:b/>
          <w:szCs w:val="21"/>
        </w:rPr>
        <w:t>属于必须提供的文件，如未提供或提供的文件无效，其响应文件按无效处理。</w:t>
      </w:r>
      <w:r>
        <w:rPr>
          <w:rFonts w:hint="eastAsia" w:ascii="宋体" w:hAnsi="宋体"/>
          <w:szCs w:val="21"/>
        </w:rPr>
        <w:t>应递交的有关文件如未特别注明为原件的，可提交复印件。</w:t>
      </w:r>
    </w:p>
    <w:p w14:paraId="2ADD8EC3">
      <w:pPr>
        <w:spacing w:line="400" w:lineRule="exact"/>
        <w:ind w:firstLine="420" w:firstLineChars="200"/>
        <w:rPr>
          <w:rFonts w:ascii="宋体" w:hAnsi="宋体"/>
          <w:szCs w:val="21"/>
        </w:rPr>
      </w:pPr>
      <w:r>
        <w:rPr>
          <w:rFonts w:hint="eastAsia" w:ascii="宋体" w:hAnsi="宋体"/>
          <w:szCs w:val="21"/>
        </w:rPr>
        <w:t>8.1.1价格文件</w:t>
      </w:r>
    </w:p>
    <w:p w14:paraId="69800334">
      <w:pPr>
        <w:spacing w:line="400" w:lineRule="exact"/>
        <w:ind w:firstLine="422" w:firstLineChars="201"/>
        <w:rPr>
          <w:rFonts w:ascii="宋体" w:hAnsi="宋体"/>
          <w:b/>
          <w:szCs w:val="21"/>
        </w:rPr>
      </w:pPr>
      <w:r>
        <w:rPr>
          <w:rFonts w:hint="eastAsia" w:ascii="宋体" w:hAnsi="宋体"/>
          <w:szCs w:val="21"/>
        </w:rPr>
        <w:t>8</w:t>
      </w:r>
      <w:r>
        <w:rPr>
          <w:rFonts w:ascii="宋体" w:hAnsi="宋体"/>
          <w:szCs w:val="21"/>
        </w:rPr>
        <w:t>.1.1.1</w:t>
      </w:r>
      <w:r>
        <w:rPr>
          <w:rFonts w:hint="eastAsia" w:ascii="宋体" w:hAnsi="宋体"/>
          <w:szCs w:val="21"/>
        </w:rPr>
        <w:t>谈判书（格式见第六章）；</w:t>
      </w:r>
      <w:r>
        <w:rPr>
          <w:rFonts w:hint="eastAsia" w:ascii="宋体" w:hAnsi="宋体"/>
          <w:b/>
          <w:szCs w:val="21"/>
        </w:rPr>
        <w:t>（必须提供）</w:t>
      </w:r>
    </w:p>
    <w:p w14:paraId="1A66FDD2">
      <w:pPr>
        <w:spacing w:line="400" w:lineRule="exact"/>
        <w:ind w:firstLine="422" w:firstLineChars="201"/>
        <w:rPr>
          <w:rFonts w:ascii="宋体" w:hAnsi="宋体"/>
          <w:szCs w:val="21"/>
        </w:rPr>
      </w:pPr>
      <w:r>
        <w:rPr>
          <w:rFonts w:hint="eastAsia" w:ascii="宋体" w:hAnsi="宋体"/>
          <w:szCs w:val="21"/>
        </w:rPr>
        <w:t>8</w:t>
      </w:r>
      <w:r>
        <w:rPr>
          <w:rFonts w:ascii="宋体" w:hAnsi="宋体"/>
          <w:szCs w:val="21"/>
        </w:rPr>
        <w:t>.1.1.2</w:t>
      </w:r>
      <w:r>
        <w:rPr>
          <w:rFonts w:hint="eastAsia" w:ascii="宋体" w:hAnsi="宋体"/>
          <w:szCs w:val="21"/>
        </w:rPr>
        <w:t>谈判报价表（格式见第六章）；</w:t>
      </w:r>
      <w:r>
        <w:rPr>
          <w:rFonts w:hint="eastAsia" w:ascii="宋体" w:hAnsi="宋体"/>
          <w:b/>
          <w:szCs w:val="21"/>
        </w:rPr>
        <w:t>（必须提供）</w:t>
      </w:r>
    </w:p>
    <w:p w14:paraId="3CF740A5">
      <w:pPr>
        <w:spacing w:line="400" w:lineRule="exact"/>
        <w:ind w:firstLine="422" w:firstLineChars="201"/>
        <w:rPr>
          <w:rFonts w:ascii="宋体" w:hAnsi="宋体"/>
          <w:b/>
          <w:szCs w:val="21"/>
        </w:rPr>
      </w:pPr>
      <w:r>
        <w:rPr>
          <w:rFonts w:hint="eastAsia" w:ascii="宋体" w:hAnsi="宋体"/>
          <w:szCs w:val="21"/>
        </w:rPr>
        <w:t>8</w:t>
      </w:r>
      <w:r>
        <w:rPr>
          <w:rFonts w:ascii="宋体" w:hAnsi="宋体"/>
          <w:szCs w:val="21"/>
        </w:rPr>
        <w:t>.1.1.3</w:t>
      </w:r>
      <w:r>
        <w:rPr>
          <w:rFonts w:hint="eastAsia" w:ascii="宋体" w:hAnsi="宋体"/>
          <w:szCs w:val="21"/>
        </w:rPr>
        <w:t>供应商符合中小企业划型标准的，按《政府采购促进中小企业发展管理办法》(财库〔2020〕46号）要求，提供中小</w:t>
      </w:r>
      <w:r>
        <w:rPr>
          <w:rFonts w:ascii="宋体" w:hAnsi="宋体"/>
          <w:szCs w:val="21"/>
        </w:rPr>
        <w:t>企业声明函</w:t>
      </w:r>
      <w:r>
        <w:rPr>
          <w:rFonts w:hint="eastAsia" w:ascii="宋体" w:hAnsi="宋体"/>
          <w:szCs w:val="21"/>
        </w:rPr>
        <w:t>；（格式见第六章）；</w:t>
      </w:r>
      <w:r>
        <w:rPr>
          <w:rFonts w:hint="eastAsia" w:ascii="宋体" w:hAnsi="宋体"/>
          <w:b/>
          <w:bCs/>
          <w:szCs w:val="21"/>
        </w:rPr>
        <w:t>（</w:t>
      </w:r>
      <w:r>
        <w:rPr>
          <w:rFonts w:hint="eastAsia" w:ascii="宋体" w:hAnsi="宋体"/>
          <w:b/>
          <w:szCs w:val="21"/>
        </w:rPr>
        <w:t>必须提供</w:t>
      </w:r>
      <w:bookmarkStart w:id="90" w:name="_GoBack"/>
      <w:bookmarkEnd w:id="90"/>
      <w:r>
        <w:rPr>
          <w:rFonts w:hint="eastAsia" w:ascii="宋体" w:hAnsi="宋体"/>
          <w:b/>
          <w:bCs/>
          <w:szCs w:val="21"/>
        </w:rPr>
        <w:t>）</w:t>
      </w:r>
    </w:p>
    <w:p w14:paraId="0A6AB1C9">
      <w:pPr>
        <w:spacing w:line="400" w:lineRule="exact"/>
        <w:ind w:firstLine="422" w:firstLineChars="201"/>
        <w:rPr>
          <w:rFonts w:ascii="宋体" w:hAnsi="宋体"/>
          <w:szCs w:val="21"/>
        </w:rPr>
      </w:pPr>
      <w:r>
        <w:rPr>
          <w:rFonts w:hint="eastAsia" w:ascii="宋体" w:hAnsi="宋体"/>
          <w:szCs w:val="21"/>
        </w:rPr>
        <w:t>8</w:t>
      </w:r>
      <w:r>
        <w:rPr>
          <w:rFonts w:ascii="宋体" w:hAnsi="宋体"/>
          <w:szCs w:val="21"/>
        </w:rPr>
        <w:t>.1.1.4</w:t>
      </w:r>
      <w:r>
        <w:rPr>
          <w:rFonts w:hint="eastAsia" w:ascii="宋体" w:hAnsi="宋体"/>
          <w:szCs w:val="21"/>
        </w:rPr>
        <w:t>供应商属于</w:t>
      </w:r>
      <w:r>
        <w:rPr>
          <w:rFonts w:hint="eastAsia" w:hAnsi="宋体" w:cs="宋体"/>
          <w:szCs w:val="21"/>
        </w:rPr>
        <w:t>监</w:t>
      </w:r>
      <w:r>
        <w:rPr>
          <w:rFonts w:hint="eastAsia" w:hAnsi="宋体"/>
          <w:szCs w:val="21"/>
        </w:rPr>
        <w:t>狱企业的，应提供由省级以上监狱管理局.戒毒管理局（含新疆生产建设兵团）出具的属于监狱企业的证明文件；</w:t>
      </w:r>
      <w:r>
        <w:rPr>
          <w:rFonts w:hint="eastAsia" w:ascii="宋体" w:hAnsi="宋体"/>
          <w:b/>
          <w:bCs/>
          <w:szCs w:val="21"/>
        </w:rPr>
        <w:t>（如有请提供）</w:t>
      </w:r>
    </w:p>
    <w:p w14:paraId="1AA48F66">
      <w:pPr>
        <w:spacing w:line="400" w:lineRule="exact"/>
        <w:ind w:firstLine="422" w:firstLineChars="201"/>
        <w:rPr>
          <w:rFonts w:ascii="宋体" w:hAnsi="宋体"/>
          <w:szCs w:val="21"/>
        </w:rPr>
      </w:pPr>
      <w:r>
        <w:rPr>
          <w:rFonts w:hint="eastAsia" w:ascii="宋体" w:hAnsi="宋体"/>
          <w:szCs w:val="21"/>
        </w:rPr>
        <w:t>8</w:t>
      </w:r>
      <w:r>
        <w:rPr>
          <w:rFonts w:ascii="宋体" w:hAnsi="宋体"/>
          <w:szCs w:val="21"/>
        </w:rPr>
        <w:t>.1.1.5</w:t>
      </w:r>
      <w:r>
        <w:rPr>
          <w:rFonts w:hint="eastAsia" w:ascii="宋体" w:hAnsi="宋体"/>
          <w:szCs w:val="21"/>
        </w:rPr>
        <w:t>供应商属于残疾人福利性单位，按《三部门联合发布关于促进残疾人就业政府采购政策的通知》（财库〔2017〕141号）要求，提供《残疾人福利性单位声明函》；（格式见第六章）；</w:t>
      </w:r>
      <w:r>
        <w:rPr>
          <w:rFonts w:hint="eastAsia" w:ascii="宋体" w:hAnsi="宋体"/>
          <w:b/>
          <w:bCs/>
          <w:szCs w:val="21"/>
        </w:rPr>
        <w:t>（如有请提供）</w:t>
      </w:r>
    </w:p>
    <w:p w14:paraId="1591BFE4">
      <w:pPr>
        <w:spacing w:line="400" w:lineRule="exact"/>
        <w:ind w:firstLine="422" w:firstLineChars="201"/>
        <w:rPr>
          <w:rFonts w:ascii="宋体" w:hAnsi="宋体"/>
          <w:szCs w:val="21"/>
        </w:rPr>
      </w:pPr>
      <w:r>
        <w:rPr>
          <w:rFonts w:hint="eastAsia" w:ascii="宋体" w:hAnsi="宋体"/>
          <w:szCs w:val="21"/>
        </w:rPr>
        <w:t>8</w:t>
      </w:r>
      <w:r>
        <w:rPr>
          <w:rFonts w:ascii="宋体" w:hAnsi="宋体"/>
          <w:szCs w:val="21"/>
        </w:rPr>
        <w:t>.1.</w:t>
      </w:r>
      <w:r>
        <w:rPr>
          <w:rFonts w:hint="eastAsia" w:ascii="宋体" w:hAnsi="宋体"/>
          <w:szCs w:val="21"/>
        </w:rPr>
        <w:t>1.6供应商针对报价需要说明的其他文件和说明（格式自拟）；</w:t>
      </w:r>
      <w:r>
        <w:rPr>
          <w:rFonts w:hint="eastAsia" w:ascii="宋体" w:hAnsi="宋体"/>
          <w:b/>
          <w:bCs/>
          <w:szCs w:val="21"/>
        </w:rPr>
        <w:t>（如有请提供）</w:t>
      </w:r>
    </w:p>
    <w:p w14:paraId="4AAB4606">
      <w:pPr>
        <w:spacing w:line="400" w:lineRule="exact"/>
        <w:ind w:firstLine="420" w:firstLineChars="200"/>
        <w:rPr>
          <w:rFonts w:ascii="宋体" w:hAnsi="宋体"/>
          <w:szCs w:val="21"/>
        </w:rPr>
      </w:pPr>
      <w:r>
        <w:rPr>
          <w:rFonts w:hint="eastAsia" w:ascii="宋体" w:hAnsi="宋体"/>
          <w:szCs w:val="21"/>
        </w:rPr>
        <w:t>8.1.2 资格文件</w:t>
      </w:r>
    </w:p>
    <w:p w14:paraId="06C47C1B">
      <w:pPr>
        <w:spacing w:line="400" w:lineRule="exact"/>
        <w:ind w:left="-27" w:leftChars="-13" w:firstLine="420" w:firstLineChars="200"/>
        <w:rPr>
          <w:rFonts w:hAnsi="宋体"/>
          <w:b/>
          <w:szCs w:val="21"/>
        </w:rPr>
      </w:pPr>
      <w:r>
        <w:rPr>
          <w:rFonts w:hint="eastAsia" w:ascii="宋体" w:hAnsi="宋体"/>
          <w:szCs w:val="21"/>
        </w:rPr>
        <w:t>8</w:t>
      </w:r>
      <w:r>
        <w:rPr>
          <w:rFonts w:ascii="宋体" w:hAnsi="宋体"/>
          <w:szCs w:val="21"/>
        </w:rPr>
        <w:t>.1.2.1</w:t>
      </w:r>
      <w:r>
        <w:rPr>
          <w:rFonts w:hint="eastAsia" w:ascii="宋体" w:hAnsi="宋体" w:cs="Arial"/>
          <w:szCs w:val="21"/>
        </w:rPr>
        <w:t>供应商</w:t>
      </w:r>
      <w:r>
        <w:rPr>
          <w:rFonts w:hint="eastAsia" w:ascii="宋体" w:hAnsi="宋体"/>
          <w:szCs w:val="21"/>
        </w:rPr>
        <w:t>有效的营业执照副本复印件；</w:t>
      </w:r>
      <w:r>
        <w:rPr>
          <w:rFonts w:hint="eastAsia" w:hAnsi="宋体"/>
          <w:b/>
          <w:szCs w:val="21"/>
        </w:rPr>
        <w:t>（必须提供）</w:t>
      </w:r>
    </w:p>
    <w:p w14:paraId="4332F52A">
      <w:pPr>
        <w:pStyle w:val="16"/>
        <w:spacing w:line="400" w:lineRule="exact"/>
        <w:ind w:firstLine="420" w:firstLineChars="200"/>
        <w:rPr>
          <w:sz w:val="21"/>
          <w:szCs w:val="21"/>
        </w:rPr>
      </w:pPr>
      <w:r>
        <w:rPr>
          <w:rFonts w:hAnsi="宋体"/>
          <w:sz w:val="21"/>
          <w:szCs w:val="21"/>
        </w:rPr>
        <w:t>8.1.2.</w:t>
      </w:r>
      <w:r>
        <w:rPr>
          <w:rFonts w:hint="eastAsia" w:hAnsi="宋体"/>
          <w:sz w:val="21"/>
          <w:szCs w:val="21"/>
        </w:rPr>
        <w:t>2法</w:t>
      </w:r>
      <w:r>
        <w:rPr>
          <w:rFonts w:hAnsi="宋体"/>
          <w:sz w:val="21"/>
          <w:szCs w:val="21"/>
        </w:rPr>
        <w:t>定代表人身份证正反面复印件</w:t>
      </w:r>
      <w:r>
        <w:rPr>
          <w:rFonts w:hint="eastAsia" w:hAnsi="宋体"/>
          <w:sz w:val="21"/>
          <w:szCs w:val="21"/>
        </w:rPr>
        <w:t>；</w:t>
      </w:r>
      <w:r>
        <w:rPr>
          <w:rFonts w:hint="eastAsia" w:hAnsi="宋体"/>
          <w:b/>
          <w:sz w:val="21"/>
          <w:szCs w:val="21"/>
        </w:rPr>
        <w:t>（必须提供）</w:t>
      </w:r>
    </w:p>
    <w:p w14:paraId="196DDF25">
      <w:pPr>
        <w:spacing w:line="400" w:lineRule="exact"/>
        <w:ind w:left="-27" w:leftChars="-13" w:firstLine="420" w:firstLineChars="200"/>
        <w:rPr>
          <w:rFonts w:hAnsi="宋体"/>
          <w:b/>
          <w:szCs w:val="21"/>
        </w:rPr>
      </w:pPr>
      <w:r>
        <w:rPr>
          <w:rFonts w:hint="eastAsia" w:ascii="宋体" w:hAnsi="宋体"/>
          <w:szCs w:val="21"/>
        </w:rPr>
        <w:t>8</w:t>
      </w:r>
      <w:r>
        <w:rPr>
          <w:rFonts w:ascii="宋体" w:hAnsi="宋体"/>
          <w:szCs w:val="21"/>
        </w:rPr>
        <w:t>.1.2.</w:t>
      </w:r>
      <w:r>
        <w:rPr>
          <w:rFonts w:hint="eastAsia" w:ascii="宋体" w:hAnsi="宋体"/>
          <w:szCs w:val="21"/>
        </w:rPr>
        <w:t>3“法定代表人身份证明书原件（法定代表人参</w:t>
      </w:r>
      <w:r>
        <w:rPr>
          <w:rFonts w:ascii="宋体" w:hAnsi="宋体"/>
          <w:szCs w:val="21"/>
        </w:rPr>
        <w:t>加竞标会</w:t>
      </w:r>
      <w:r>
        <w:rPr>
          <w:rFonts w:hint="eastAsia" w:ascii="宋体" w:hAnsi="宋体"/>
          <w:szCs w:val="21"/>
        </w:rPr>
        <w:t>签</w:t>
      </w:r>
      <w:r>
        <w:rPr>
          <w:rFonts w:ascii="宋体" w:hAnsi="宋体"/>
          <w:szCs w:val="21"/>
        </w:rPr>
        <w:t>署文件</w:t>
      </w:r>
      <w:r>
        <w:rPr>
          <w:rFonts w:hint="eastAsia" w:ascii="宋体" w:hAnsi="宋体"/>
          <w:szCs w:val="21"/>
        </w:rPr>
        <w:t>时必</w:t>
      </w:r>
      <w:r>
        <w:rPr>
          <w:rFonts w:ascii="宋体" w:hAnsi="宋体"/>
          <w:szCs w:val="21"/>
        </w:rPr>
        <w:t>须</w:t>
      </w:r>
      <w:r>
        <w:rPr>
          <w:rFonts w:hint="eastAsia" w:ascii="宋体" w:hAnsi="宋体"/>
          <w:szCs w:val="21"/>
        </w:rPr>
        <w:t>提供）”或“法定代表人授权书原件（格式见第六章）和委托代理人身份证复印件（委托代理人参</w:t>
      </w:r>
      <w:r>
        <w:rPr>
          <w:rFonts w:ascii="宋体" w:hAnsi="宋体"/>
          <w:szCs w:val="21"/>
        </w:rPr>
        <w:t>加竞标会</w:t>
      </w:r>
      <w:r>
        <w:rPr>
          <w:rFonts w:hint="eastAsia" w:ascii="宋体" w:hAnsi="宋体"/>
          <w:szCs w:val="21"/>
        </w:rPr>
        <w:t>签</w:t>
      </w:r>
      <w:r>
        <w:rPr>
          <w:rFonts w:ascii="宋体" w:hAnsi="宋体"/>
          <w:szCs w:val="21"/>
        </w:rPr>
        <w:t>署文件时</w:t>
      </w:r>
      <w:r>
        <w:rPr>
          <w:rFonts w:hint="eastAsia" w:ascii="宋体" w:hAnsi="宋体"/>
          <w:szCs w:val="21"/>
        </w:rPr>
        <w:t>必</w:t>
      </w:r>
      <w:r>
        <w:rPr>
          <w:rFonts w:ascii="宋体" w:hAnsi="宋体"/>
          <w:szCs w:val="21"/>
        </w:rPr>
        <w:t>须</w:t>
      </w:r>
      <w:r>
        <w:rPr>
          <w:rFonts w:hint="eastAsia" w:ascii="宋体" w:hAnsi="宋体"/>
          <w:szCs w:val="21"/>
        </w:rPr>
        <w:t>提供）”；</w:t>
      </w:r>
      <w:r>
        <w:rPr>
          <w:rFonts w:hint="eastAsia" w:hAnsi="宋体"/>
          <w:b/>
          <w:szCs w:val="21"/>
        </w:rPr>
        <w:t>（必须提供）</w:t>
      </w:r>
    </w:p>
    <w:p w14:paraId="570E8114">
      <w:pPr>
        <w:spacing w:line="400" w:lineRule="exact"/>
        <w:ind w:left="-27" w:leftChars="-13" w:firstLine="422" w:firstLineChars="201"/>
        <w:rPr>
          <w:rStyle w:val="157"/>
          <w:rFonts w:hint="default" w:ascii="宋体" w:hAnsi="宋体" w:eastAsia="宋体" w:cs="宋体"/>
          <w:b/>
          <w:bCs/>
          <w:kern w:val="0"/>
          <w:sz w:val="21"/>
          <w:lang w:eastAsia="zh-CN"/>
        </w:rPr>
      </w:pPr>
      <w:r>
        <w:rPr>
          <w:rFonts w:hint="eastAsia" w:ascii="宋体" w:hAnsi="宋体"/>
          <w:szCs w:val="21"/>
        </w:rPr>
        <w:t>8</w:t>
      </w:r>
      <w:r>
        <w:rPr>
          <w:rFonts w:ascii="宋体" w:hAnsi="宋体"/>
          <w:szCs w:val="21"/>
        </w:rPr>
        <w:t>.1.2.</w:t>
      </w:r>
      <w:r>
        <w:rPr>
          <w:rFonts w:hint="eastAsia" w:ascii="宋体" w:hAnsi="宋体"/>
          <w:szCs w:val="21"/>
        </w:rPr>
        <w:t>4贵港市政府采购项目投标资格承诺函；</w:t>
      </w:r>
      <w:r>
        <w:rPr>
          <w:rFonts w:hint="eastAsia" w:ascii="宋体" w:hAnsi="宋体"/>
          <w:b/>
          <w:bCs/>
          <w:szCs w:val="21"/>
        </w:rPr>
        <w:t>（必须提供）</w:t>
      </w:r>
    </w:p>
    <w:p w14:paraId="6F9C4AA2">
      <w:pPr>
        <w:spacing w:line="400" w:lineRule="exact"/>
        <w:ind w:left="-27" w:leftChars="-13" w:firstLine="420" w:firstLineChars="200"/>
        <w:rPr>
          <w:rFonts w:ascii="宋体" w:hAnsi="宋体"/>
          <w:szCs w:val="21"/>
        </w:rPr>
      </w:pPr>
      <w:r>
        <w:rPr>
          <w:rFonts w:hint="eastAsia" w:ascii="宋体" w:hAnsi="宋体"/>
          <w:szCs w:val="21"/>
        </w:rPr>
        <w:t>8</w:t>
      </w:r>
      <w:r>
        <w:rPr>
          <w:rFonts w:ascii="宋体" w:hAnsi="宋体"/>
          <w:szCs w:val="21"/>
        </w:rPr>
        <w:t>.1.2.</w:t>
      </w:r>
      <w:r>
        <w:rPr>
          <w:rFonts w:hint="eastAsia" w:ascii="宋体" w:hAnsi="宋体"/>
          <w:szCs w:val="21"/>
        </w:rPr>
        <w:t>5本谈判采</w:t>
      </w:r>
      <w:r>
        <w:rPr>
          <w:rFonts w:ascii="宋体" w:hAnsi="宋体"/>
          <w:szCs w:val="21"/>
        </w:rPr>
        <w:t>购</w:t>
      </w:r>
      <w:r>
        <w:rPr>
          <w:rFonts w:hint="eastAsia" w:ascii="宋体" w:hAnsi="宋体"/>
          <w:szCs w:val="21"/>
        </w:rPr>
        <w:t>文件要求提供的其</w:t>
      </w:r>
      <w:r>
        <w:rPr>
          <w:rFonts w:ascii="宋体" w:hAnsi="宋体"/>
          <w:szCs w:val="21"/>
        </w:rPr>
        <w:t>他资格</w:t>
      </w:r>
      <w:r>
        <w:rPr>
          <w:rFonts w:hint="eastAsia" w:ascii="宋体" w:hAnsi="宋体"/>
          <w:szCs w:val="21"/>
        </w:rPr>
        <w:t>证明文件；</w:t>
      </w:r>
      <w:r>
        <w:rPr>
          <w:rFonts w:hint="eastAsia" w:ascii="宋体" w:hAnsi="宋体"/>
          <w:b/>
          <w:bCs/>
          <w:szCs w:val="21"/>
        </w:rPr>
        <w:t>（如有请提供）</w:t>
      </w:r>
    </w:p>
    <w:p w14:paraId="4CC2DD24">
      <w:pPr>
        <w:spacing w:line="400" w:lineRule="exact"/>
        <w:ind w:left="-27" w:leftChars="-13" w:firstLine="420" w:firstLineChars="200"/>
        <w:rPr>
          <w:rFonts w:ascii="宋体" w:hAnsi="宋体"/>
          <w:szCs w:val="21"/>
        </w:rPr>
      </w:pPr>
      <w:r>
        <w:rPr>
          <w:rFonts w:hint="eastAsia" w:ascii="宋体" w:hAnsi="宋体"/>
          <w:szCs w:val="21"/>
        </w:rPr>
        <w:t>8.1.3 商务和技术文件</w:t>
      </w:r>
    </w:p>
    <w:p w14:paraId="0EC59112">
      <w:pPr>
        <w:spacing w:line="400" w:lineRule="exact"/>
        <w:ind w:left="-27" w:leftChars="-13" w:firstLine="420" w:firstLineChars="200"/>
        <w:rPr>
          <w:rFonts w:ascii="宋体" w:hAnsi="宋体"/>
          <w:b/>
          <w:szCs w:val="21"/>
        </w:rPr>
      </w:pPr>
      <w:r>
        <w:rPr>
          <w:rFonts w:hint="eastAsia" w:ascii="宋体" w:hAnsi="宋体"/>
          <w:szCs w:val="21"/>
        </w:rPr>
        <w:t>8</w:t>
      </w:r>
      <w:r>
        <w:rPr>
          <w:rFonts w:ascii="宋体" w:hAnsi="宋体"/>
          <w:szCs w:val="21"/>
        </w:rPr>
        <w:t>.1.</w:t>
      </w:r>
      <w:r>
        <w:rPr>
          <w:rFonts w:hint="eastAsia" w:ascii="宋体" w:hAnsi="宋体"/>
          <w:szCs w:val="21"/>
        </w:rPr>
        <w:t>3</w:t>
      </w:r>
      <w:r>
        <w:rPr>
          <w:rFonts w:ascii="宋体" w:hAnsi="宋体"/>
          <w:szCs w:val="21"/>
        </w:rPr>
        <w:t>.</w:t>
      </w:r>
      <w:r>
        <w:rPr>
          <w:rFonts w:hint="eastAsia" w:ascii="宋体" w:hAnsi="宋体"/>
          <w:szCs w:val="21"/>
        </w:rPr>
        <w:t>1商务响应表（格式见第六章）；</w:t>
      </w:r>
      <w:r>
        <w:rPr>
          <w:rFonts w:hint="eastAsia" w:ascii="宋体" w:hAnsi="宋体"/>
          <w:b/>
          <w:szCs w:val="21"/>
        </w:rPr>
        <w:t>（必须提供）</w:t>
      </w:r>
    </w:p>
    <w:p w14:paraId="4BCD93D3">
      <w:pPr>
        <w:spacing w:line="400" w:lineRule="exact"/>
        <w:ind w:left="-27" w:leftChars="-13" w:firstLine="420" w:firstLineChars="200"/>
        <w:rPr>
          <w:rFonts w:ascii="宋体" w:hAnsi="宋体"/>
          <w:b/>
          <w:szCs w:val="21"/>
        </w:rPr>
      </w:pPr>
      <w:r>
        <w:rPr>
          <w:rFonts w:hint="eastAsia" w:ascii="宋体" w:hAnsi="宋体"/>
          <w:szCs w:val="21"/>
        </w:rPr>
        <w:t>8</w:t>
      </w:r>
      <w:r>
        <w:rPr>
          <w:rFonts w:ascii="宋体" w:hAnsi="宋体"/>
          <w:szCs w:val="21"/>
        </w:rPr>
        <w:t>.1.3.</w:t>
      </w:r>
      <w:r>
        <w:rPr>
          <w:rFonts w:hint="eastAsia" w:ascii="宋体" w:hAnsi="宋体"/>
          <w:szCs w:val="21"/>
        </w:rPr>
        <w:t>2技术响应、偏离情况说明表（格式见第六章）；</w:t>
      </w:r>
      <w:r>
        <w:rPr>
          <w:rFonts w:hint="eastAsia" w:ascii="宋体" w:hAnsi="宋体"/>
          <w:b/>
          <w:szCs w:val="21"/>
        </w:rPr>
        <w:t>（必须提供）</w:t>
      </w:r>
    </w:p>
    <w:p w14:paraId="3963D154">
      <w:pPr>
        <w:spacing w:line="400" w:lineRule="exact"/>
        <w:ind w:left="-27" w:leftChars="-13" w:firstLine="420" w:firstLineChars="200"/>
        <w:rPr>
          <w:rFonts w:ascii="宋体" w:hAnsi="宋体"/>
          <w:szCs w:val="21"/>
        </w:rPr>
      </w:pPr>
      <w:r>
        <w:rPr>
          <w:rFonts w:hint="eastAsia" w:ascii="宋体" w:hAnsi="宋体"/>
          <w:szCs w:val="21"/>
        </w:rPr>
        <w:t>8</w:t>
      </w:r>
      <w:r>
        <w:rPr>
          <w:rFonts w:ascii="宋体" w:hAnsi="宋体"/>
          <w:szCs w:val="21"/>
        </w:rPr>
        <w:t>.1.</w:t>
      </w:r>
      <w:r>
        <w:rPr>
          <w:rFonts w:hint="eastAsia" w:ascii="宋体" w:hAnsi="宋体"/>
          <w:szCs w:val="21"/>
        </w:rPr>
        <w:t>3</w:t>
      </w:r>
      <w:r>
        <w:rPr>
          <w:rFonts w:ascii="宋体" w:hAnsi="宋体"/>
          <w:szCs w:val="21"/>
        </w:rPr>
        <w:t>.</w:t>
      </w:r>
      <w:r>
        <w:rPr>
          <w:rFonts w:hint="eastAsia" w:ascii="宋体" w:hAnsi="宋体"/>
          <w:szCs w:val="21"/>
        </w:rPr>
        <w:t>3售后服务承诺书；</w:t>
      </w:r>
      <w:r>
        <w:rPr>
          <w:rFonts w:hint="eastAsia" w:ascii="宋体" w:hAnsi="宋体"/>
          <w:b/>
          <w:szCs w:val="21"/>
        </w:rPr>
        <w:t>（必须提供）</w:t>
      </w:r>
    </w:p>
    <w:p w14:paraId="35177794">
      <w:pPr>
        <w:spacing w:line="400" w:lineRule="exact"/>
        <w:ind w:firstLine="420" w:firstLineChars="200"/>
      </w:pPr>
      <w:r>
        <w:rPr>
          <w:rFonts w:hint="eastAsia" w:ascii="宋体" w:hAnsi="宋体"/>
          <w:szCs w:val="21"/>
        </w:rPr>
        <w:t>8</w:t>
      </w:r>
      <w:r>
        <w:rPr>
          <w:rFonts w:ascii="宋体" w:hAnsi="宋体"/>
          <w:szCs w:val="21"/>
        </w:rPr>
        <w:t>.1.3.</w:t>
      </w:r>
      <w:r>
        <w:rPr>
          <w:rFonts w:hint="eastAsia" w:ascii="宋体" w:hAnsi="宋体"/>
          <w:szCs w:val="21"/>
        </w:rPr>
        <w:t>4本谈判文件第四章采</w:t>
      </w:r>
      <w:r>
        <w:rPr>
          <w:rFonts w:ascii="宋体" w:hAnsi="宋体"/>
          <w:szCs w:val="21"/>
        </w:rPr>
        <w:t>购项目需求一览表</w:t>
      </w:r>
      <w:r>
        <w:rPr>
          <w:rFonts w:hint="eastAsia" w:ascii="宋体" w:hAnsi="宋体"/>
          <w:szCs w:val="21"/>
        </w:rPr>
        <w:t>要求提供的技术证明文件；</w:t>
      </w:r>
      <w:r>
        <w:rPr>
          <w:rFonts w:hint="eastAsia" w:ascii="宋体" w:hAnsi="宋体"/>
          <w:b/>
          <w:bCs/>
          <w:szCs w:val="21"/>
        </w:rPr>
        <w:t>（如有请提供）</w:t>
      </w:r>
    </w:p>
    <w:p w14:paraId="7F8494C7">
      <w:pPr>
        <w:spacing w:line="400" w:lineRule="exact"/>
        <w:ind w:firstLine="420" w:firstLineChars="200"/>
        <w:rPr>
          <w:rFonts w:ascii="宋体" w:hAnsi="宋体"/>
          <w:szCs w:val="21"/>
        </w:rPr>
      </w:pPr>
      <w:r>
        <w:rPr>
          <w:rFonts w:hint="eastAsia" w:ascii="宋体" w:hAnsi="宋体"/>
          <w:szCs w:val="21"/>
        </w:rPr>
        <w:t>8.1.3.5供应商近三年完成同类项目业绩（如有请提供，附合同协议书或中标通知书复印件加盖供应商单位公章为准）；</w:t>
      </w:r>
      <w:r>
        <w:rPr>
          <w:rFonts w:hint="eastAsia" w:ascii="宋体" w:hAnsi="宋体"/>
          <w:b/>
          <w:bCs/>
          <w:szCs w:val="21"/>
        </w:rPr>
        <w:t>（如有请提供）</w:t>
      </w:r>
    </w:p>
    <w:p w14:paraId="398EAD62">
      <w:pPr>
        <w:spacing w:line="400" w:lineRule="exact"/>
        <w:ind w:firstLine="420" w:firstLineChars="200"/>
        <w:rPr>
          <w:rFonts w:ascii="宋体" w:hAnsi="宋体"/>
          <w:szCs w:val="21"/>
        </w:rPr>
      </w:pPr>
      <w:r>
        <w:rPr>
          <w:rFonts w:hint="eastAsia" w:ascii="宋体" w:hAnsi="宋体"/>
          <w:szCs w:val="21"/>
        </w:rPr>
        <w:t>8</w:t>
      </w:r>
      <w:r>
        <w:rPr>
          <w:rFonts w:ascii="宋体" w:hAnsi="宋体"/>
          <w:szCs w:val="21"/>
        </w:rPr>
        <w:t>.1.3.</w:t>
      </w:r>
      <w:r>
        <w:rPr>
          <w:rFonts w:hint="eastAsia" w:ascii="宋体" w:hAnsi="宋体"/>
          <w:szCs w:val="21"/>
        </w:rPr>
        <w:t>6供应商认为需要提供的其</w:t>
      </w:r>
      <w:r>
        <w:rPr>
          <w:rFonts w:ascii="宋体" w:hAnsi="宋体"/>
          <w:szCs w:val="21"/>
        </w:rPr>
        <w:t>他</w:t>
      </w:r>
      <w:r>
        <w:rPr>
          <w:rFonts w:hint="eastAsia" w:ascii="宋体" w:hAnsi="宋体"/>
          <w:szCs w:val="21"/>
        </w:rPr>
        <w:t>有关的商务文件和</w:t>
      </w:r>
      <w:r>
        <w:rPr>
          <w:rFonts w:ascii="宋体" w:hAnsi="宋体"/>
          <w:szCs w:val="21"/>
        </w:rPr>
        <w:t>技术</w:t>
      </w:r>
      <w:r>
        <w:rPr>
          <w:rFonts w:hint="eastAsia" w:ascii="宋体" w:hAnsi="宋体"/>
          <w:szCs w:val="21"/>
        </w:rPr>
        <w:t>资料。</w:t>
      </w:r>
      <w:r>
        <w:rPr>
          <w:rFonts w:hint="eastAsia" w:ascii="宋体" w:hAnsi="宋体"/>
          <w:b/>
          <w:bCs/>
          <w:szCs w:val="21"/>
        </w:rPr>
        <w:t>（如有请提供）</w:t>
      </w:r>
    </w:p>
    <w:p w14:paraId="590F839C">
      <w:pPr>
        <w:spacing w:line="360" w:lineRule="exact"/>
        <w:ind w:firstLine="420" w:firstLineChars="200"/>
        <w:rPr>
          <w:rFonts w:ascii="宋体"/>
          <w:b/>
          <w:szCs w:val="21"/>
        </w:rPr>
      </w:pPr>
      <w:r>
        <w:rPr>
          <w:rFonts w:hint="eastAsia" w:ascii="宋体"/>
          <w:szCs w:val="21"/>
        </w:rPr>
        <w:t>▲特别说明：</w:t>
      </w:r>
      <w:r>
        <w:rPr>
          <w:rFonts w:hint="eastAsia" w:ascii="宋体"/>
          <w:b/>
          <w:szCs w:val="21"/>
        </w:rPr>
        <w:t>（1）</w:t>
      </w:r>
      <w:r>
        <w:rPr>
          <w:rFonts w:ascii="宋体"/>
          <w:b/>
          <w:szCs w:val="21"/>
        </w:rPr>
        <w:t>响应文件中所须加盖公章部分均采用CA签章。若</w:t>
      </w:r>
      <w:r>
        <w:rPr>
          <w:rFonts w:hint="eastAsia" w:ascii="宋体"/>
          <w:b/>
          <w:szCs w:val="21"/>
        </w:rPr>
        <w:t>竞争性谈判文件</w:t>
      </w:r>
      <w:r>
        <w:rPr>
          <w:rFonts w:ascii="宋体"/>
          <w:b/>
          <w:szCs w:val="21"/>
        </w:rPr>
        <w:t>中有专门标注的某关联点</w:t>
      </w:r>
      <w:r>
        <w:rPr>
          <w:rFonts w:hint="eastAsia" w:ascii="宋体"/>
          <w:b/>
          <w:szCs w:val="21"/>
        </w:rPr>
        <w:t>，</w:t>
      </w:r>
      <w:r>
        <w:rPr>
          <w:rFonts w:ascii="宋体"/>
          <w:b/>
          <w:szCs w:val="21"/>
        </w:rPr>
        <w:t>并要求供应商在电子投标系统中作出</w:t>
      </w:r>
      <w:r>
        <w:rPr>
          <w:rFonts w:hint="eastAsia" w:ascii="宋体"/>
          <w:b/>
          <w:szCs w:val="21"/>
        </w:rPr>
        <w:t>谈判</w:t>
      </w:r>
      <w:r>
        <w:rPr>
          <w:rFonts w:ascii="宋体"/>
          <w:b/>
          <w:szCs w:val="21"/>
        </w:rPr>
        <w:t>响应的，如供应商未对关联点进行响应或者在响应文件其它内容进行描述，造成电子评审不能查询的责任由供应商自行承担。</w:t>
      </w:r>
    </w:p>
    <w:p w14:paraId="6907D209">
      <w:pPr>
        <w:spacing w:line="360" w:lineRule="exact"/>
        <w:ind w:firstLine="422" w:firstLineChars="200"/>
        <w:rPr>
          <w:rFonts w:ascii="宋体"/>
          <w:b/>
          <w:szCs w:val="21"/>
        </w:rPr>
      </w:pPr>
      <w:r>
        <w:rPr>
          <w:rFonts w:hint="eastAsia" w:ascii="宋体"/>
          <w:b/>
          <w:szCs w:val="21"/>
        </w:rPr>
        <w:t>（</w:t>
      </w:r>
      <w:r>
        <w:rPr>
          <w:rFonts w:ascii="宋体"/>
          <w:b/>
          <w:szCs w:val="21"/>
        </w:rPr>
        <w:t>2</w:t>
      </w:r>
      <w:r>
        <w:rPr>
          <w:rFonts w:hint="eastAsia" w:ascii="宋体"/>
          <w:b/>
          <w:szCs w:val="21"/>
        </w:rPr>
        <w:t>）竞争性谈判文件要求提供的的各种复印件，须加盖谈判供应商CA签章，否则其谈判无效。</w:t>
      </w:r>
    </w:p>
    <w:p w14:paraId="496A36B9">
      <w:pPr>
        <w:adjustRightInd w:val="0"/>
        <w:snapToGrid w:val="0"/>
        <w:spacing w:line="360" w:lineRule="exact"/>
        <w:ind w:firstLine="422" w:firstLineChars="200"/>
        <w:rPr>
          <w:rFonts w:ascii="宋体"/>
          <w:b/>
          <w:szCs w:val="21"/>
        </w:rPr>
      </w:pPr>
      <w:r>
        <w:rPr>
          <w:rFonts w:hint="eastAsia" w:ascii="宋体"/>
          <w:b/>
          <w:szCs w:val="21"/>
        </w:rPr>
        <w:t>（</w:t>
      </w:r>
      <w:r>
        <w:rPr>
          <w:rFonts w:ascii="宋体"/>
          <w:b/>
          <w:szCs w:val="21"/>
        </w:rPr>
        <w:t>3</w:t>
      </w:r>
      <w:r>
        <w:rPr>
          <w:rFonts w:hint="eastAsia" w:ascii="宋体"/>
          <w:b/>
          <w:szCs w:val="21"/>
        </w:rPr>
        <w:t>）竞争性谈判文件要求“必须提供”的证明等材料，谈判供应商必须全部提供，缺一不可，否则谈判无效。</w:t>
      </w:r>
    </w:p>
    <w:p w14:paraId="0322BF5B">
      <w:pPr>
        <w:adjustRightInd w:val="0"/>
        <w:snapToGrid w:val="0"/>
        <w:spacing w:line="360" w:lineRule="exact"/>
        <w:ind w:firstLine="422" w:firstLineChars="200"/>
      </w:pPr>
      <w:r>
        <w:rPr>
          <w:rFonts w:hint="eastAsia" w:ascii="宋体"/>
          <w:b/>
          <w:szCs w:val="21"/>
        </w:rPr>
        <w:t>（4）竞争性谈判文件要求法定代表人（负责人）或委托代理人签字的部分必须签字然后扫描或者拍照做成pdf格式上传，无签字的视为谈判无效。</w:t>
      </w:r>
    </w:p>
    <w:p w14:paraId="62914930">
      <w:pPr>
        <w:spacing w:line="400" w:lineRule="exact"/>
        <w:ind w:firstLine="420" w:firstLineChars="200"/>
        <w:rPr>
          <w:rFonts w:ascii="宋体" w:hAnsi="宋体"/>
          <w:szCs w:val="21"/>
        </w:rPr>
      </w:pPr>
      <w:r>
        <w:rPr>
          <w:rFonts w:hint="eastAsia" w:ascii="宋体" w:hAnsi="宋体"/>
          <w:szCs w:val="21"/>
        </w:rPr>
        <w:t>8.2供应商应仔细阅读谈判文件的所有内容，按照谈判文件的要求提交响应文件，并对所提供的全部资料的真实性承担法律责任。</w:t>
      </w:r>
    </w:p>
    <w:p w14:paraId="66D23346">
      <w:pPr>
        <w:spacing w:line="400" w:lineRule="exact"/>
        <w:ind w:firstLine="420" w:firstLineChars="200"/>
        <w:rPr>
          <w:rFonts w:ascii="宋体" w:hAnsi="宋体"/>
          <w:szCs w:val="21"/>
        </w:rPr>
      </w:pPr>
      <w:r>
        <w:rPr>
          <w:rFonts w:hint="eastAsia" w:ascii="宋体" w:hAnsi="宋体"/>
          <w:szCs w:val="21"/>
        </w:rPr>
        <w:t>8.3供应商在竞标活动中提供任何虚假材料，其竞标无效，并报监管部门查处；成交后发现的，成交人须依照《中华人民共和国消费者权益保护法》第49条之规定双倍赔偿采购人，且民事赔偿并不免除违法供应商的行政与刑事责任。</w:t>
      </w:r>
    </w:p>
    <w:p w14:paraId="3C18E09F">
      <w:pPr>
        <w:spacing w:line="400" w:lineRule="exact"/>
        <w:ind w:firstLine="422" w:firstLineChars="200"/>
        <w:rPr>
          <w:rFonts w:ascii="宋体" w:hAnsi="宋体"/>
          <w:b/>
          <w:szCs w:val="21"/>
        </w:rPr>
      </w:pPr>
      <w:r>
        <w:rPr>
          <w:rFonts w:hint="eastAsia" w:ascii="宋体" w:hAnsi="宋体"/>
          <w:b/>
          <w:szCs w:val="21"/>
        </w:rPr>
        <w:t>9. 计量单位</w:t>
      </w:r>
    </w:p>
    <w:p w14:paraId="1FE3865C">
      <w:pPr>
        <w:spacing w:line="400" w:lineRule="exact"/>
        <w:ind w:firstLine="420" w:firstLineChars="200"/>
        <w:rPr>
          <w:rFonts w:ascii="宋体" w:hAnsi="宋体"/>
          <w:szCs w:val="21"/>
        </w:rPr>
      </w:pPr>
      <w:r>
        <w:rPr>
          <w:rFonts w:hint="eastAsia" w:ascii="宋体" w:hAnsi="宋体"/>
          <w:szCs w:val="21"/>
        </w:rPr>
        <w:t>9.1除技术要求中另有规定外，本文件所要求使用的计量单位均应采用国家法定计量单位。</w:t>
      </w:r>
    </w:p>
    <w:p w14:paraId="726B2C63">
      <w:pPr>
        <w:spacing w:line="400" w:lineRule="exact"/>
        <w:ind w:firstLine="422" w:firstLineChars="200"/>
        <w:rPr>
          <w:rFonts w:ascii="宋体" w:hAnsi="宋体"/>
          <w:b/>
          <w:szCs w:val="21"/>
        </w:rPr>
      </w:pPr>
      <w:r>
        <w:rPr>
          <w:rFonts w:hint="eastAsia" w:ascii="宋体" w:hAnsi="宋体"/>
          <w:b/>
          <w:szCs w:val="21"/>
        </w:rPr>
        <w:t>10.响应文件的有效期</w:t>
      </w:r>
    </w:p>
    <w:p w14:paraId="54E52148">
      <w:pPr>
        <w:spacing w:line="400" w:lineRule="exact"/>
        <w:ind w:firstLine="420" w:firstLineChars="200"/>
        <w:rPr>
          <w:rFonts w:ascii="宋体" w:hAnsi="宋体"/>
          <w:szCs w:val="21"/>
        </w:rPr>
      </w:pPr>
      <w:r>
        <w:rPr>
          <w:rFonts w:hint="eastAsia" w:ascii="宋体" w:hAnsi="宋体"/>
          <w:szCs w:val="21"/>
        </w:rPr>
        <w:t>10.1响应文件从递交首次响应文件截止日后60天内有效。</w:t>
      </w:r>
    </w:p>
    <w:p w14:paraId="1C1477C7">
      <w:pPr>
        <w:spacing w:line="400" w:lineRule="exact"/>
        <w:ind w:firstLine="420" w:firstLineChars="200"/>
        <w:rPr>
          <w:rFonts w:ascii="宋体" w:hAnsi="宋体"/>
          <w:szCs w:val="21"/>
        </w:rPr>
      </w:pPr>
      <w:r>
        <w:rPr>
          <w:rFonts w:hint="eastAsia" w:ascii="宋体" w:hAnsi="宋体"/>
          <w:szCs w:val="21"/>
        </w:rPr>
        <w:t>10.2在特殊情况下，采购代理机构可酌情延长有效期。供应商可同意或不同意延长响应文件的有效期；同意延长响应文件有效期的供应商不能要求对原响应文件（经供应商与谈判小组谈判后确定的内容作为原响应文件的组成部分）作任何改变，并同意在延长的竞标有效期内遵循本响应文件，在延长的有效期满之前继续具有约束力。</w:t>
      </w:r>
    </w:p>
    <w:p w14:paraId="1EEC463D">
      <w:pPr>
        <w:spacing w:line="400" w:lineRule="exact"/>
        <w:ind w:firstLine="422" w:firstLineChars="200"/>
        <w:rPr>
          <w:rFonts w:ascii="宋体" w:hAnsi="宋体"/>
          <w:b/>
          <w:szCs w:val="21"/>
        </w:rPr>
      </w:pPr>
      <w:r>
        <w:rPr>
          <w:rFonts w:hint="eastAsia" w:ascii="宋体" w:hAnsi="宋体"/>
          <w:b/>
          <w:szCs w:val="21"/>
        </w:rPr>
        <w:t>四、谈判报价要求</w:t>
      </w:r>
    </w:p>
    <w:p w14:paraId="1E8936F8">
      <w:pPr>
        <w:spacing w:line="400" w:lineRule="exact"/>
        <w:ind w:firstLine="422" w:firstLineChars="200"/>
        <w:rPr>
          <w:rFonts w:ascii="宋体" w:hAnsi="宋体"/>
          <w:b/>
          <w:szCs w:val="21"/>
        </w:rPr>
      </w:pPr>
      <w:r>
        <w:rPr>
          <w:rFonts w:hint="eastAsia" w:ascii="宋体" w:hAnsi="宋体"/>
          <w:b/>
          <w:szCs w:val="21"/>
        </w:rPr>
        <w:t>12.谈判报价</w:t>
      </w:r>
    </w:p>
    <w:p w14:paraId="2116D254">
      <w:pPr>
        <w:spacing w:line="400" w:lineRule="exact"/>
        <w:ind w:firstLine="420" w:firstLineChars="200"/>
        <w:rPr>
          <w:rFonts w:ascii="宋体" w:hAnsi="宋体"/>
          <w:szCs w:val="21"/>
        </w:rPr>
      </w:pPr>
      <w:r>
        <w:rPr>
          <w:rFonts w:hint="eastAsia" w:ascii="宋体" w:hAnsi="宋体"/>
          <w:szCs w:val="21"/>
        </w:rPr>
        <w:t>12.1供应商应以人民币报价。</w:t>
      </w:r>
    </w:p>
    <w:p w14:paraId="696B641D">
      <w:pPr>
        <w:spacing w:line="400" w:lineRule="exact"/>
        <w:ind w:firstLine="420" w:firstLineChars="200"/>
        <w:rPr>
          <w:rFonts w:hAnsi="宋体"/>
          <w:szCs w:val="21"/>
        </w:rPr>
      </w:pPr>
      <w:r>
        <w:rPr>
          <w:rFonts w:hint="eastAsia" w:ascii="宋体" w:hAnsi="宋体"/>
          <w:szCs w:val="21"/>
        </w:rPr>
        <w:t>12.2</w:t>
      </w:r>
      <w:r>
        <w:rPr>
          <w:rFonts w:hint="eastAsia" w:hAnsi="宋体"/>
          <w:szCs w:val="21"/>
        </w:rPr>
        <w:t>谈判报价是履行合同的价格，本项目实行总承包报价；包含货物采购、专用工具、标准附件、运输、保管、安装、验收、培训等各种费用和售后服务、税金及其它所有成本费用的总和。供应商应对本项目的所有内容范围的货物进行总承包报价；采购人不再支付任何费用。</w:t>
      </w:r>
    </w:p>
    <w:p w14:paraId="640EE7CE">
      <w:pPr>
        <w:spacing w:line="360" w:lineRule="auto"/>
        <w:ind w:firstLine="420" w:firstLineChars="200"/>
        <w:rPr>
          <w:rFonts w:ascii="宋体" w:hAnsi="宋体"/>
          <w:szCs w:val="21"/>
        </w:rPr>
      </w:pPr>
      <w:r>
        <w:rPr>
          <w:rFonts w:hint="eastAsia" w:ascii="宋体" w:hAnsi="宋体"/>
          <w:szCs w:val="21"/>
        </w:rPr>
        <w:t>12.3供应商应在竞标谈</w:t>
      </w:r>
      <w:r>
        <w:rPr>
          <w:rFonts w:ascii="宋体" w:hAnsi="宋体"/>
          <w:szCs w:val="21"/>
        </w:rPr>
        <w:t>判</w:t>
      </w:r>
      <w:r>
        <w:rPr>
          <w:rFonts w:hint="eastAsia" w:ascii="宋体" w:hAnsi="宋体"/>
          <w:szCs w:val="21"/>
        </w:rPr>
        <w:t>报价表上标明单价和总价。最终报价表内容与响应文件中相应内容不一致的，以最终报价表为准；大写金额和小写金额不一致的，以大写金额为准；单价金额小数点或者百分比有明显错位的，以最终报价表的总价为准，并修改单价；总价金额与按单价汇总金额不一致的，以单价金额计算结果为准。同时出现两种以上不一致的，按照以上规定的顺序修正。修正后的报价经供应商确认后产生约束力，供应商不确认的，其竞标无效。对不同文字文本响应文件的解释发生异议的，以中文文本为准。除上述原因以外，如果因供应商原因引起的报价失误，并在谈判时被接受，其后果由供应商自负。</w:t>
      </w:r>
    </w:p>
    <w:p w14:paraId="76656D3A">
      <w:pPr>
        <w:spacing w:line="400" w:lineRule="exact"/>
        <w:ind w:firstLine="420" w:firstLineChars="200"/>
        <w:rPr>
          <w:rFonts w:ascii="宋体" w:hAnsi="宋体"/>
          <w:szCs w:val="21"/>
        </w:rPr>
      </w:pPr>
      <w:r>
        <w:rPr>
          <w:rFonts w:hint="eastAsia" w:ascii="宋体" w:hAnsi="宋体"/>
          <w:szCs w:val="21"/>
        </w:rPr>
        <w:t>12.4竞标报价：按须知前附表中要求。</w:t>
      </w:r>
    </w:p>
    <w:p w14:paraId="6C9E2BC0">
      <w:pPr>
        <w:spacing w:line="400" w:lineRule="exact"/>
        <w:ind w:firstLine="422" w:firstLineChars="200"/>
        <w:rPr>
          <w:rFonts w:ascii="宋体" w:hAnsi="宋体"/>
          <w:b/>
          <w:szCs w:val="21"/>
        </w:rPr>
      </w:pPr>
      <w:r>
        <w:rPr>
          <w:rFonts w:hint="eastAsia" w:ascii="宋体" w:hAnsi="宋体"/>
          <w:b/>
          <w:szCs w:val="21"/>
        </w:rPr>
        <w:t>五、响应文件的封装和递交</w:t>
      </w:r>
    </w:p>
    <w:p w14:paraId="02BAEE2D">
      <w:pPr>
        <w:spacing w:line="400" w:lineRule="exact"/>
        <w:ind w:firstLine="422" w:firstLineChars="200"/>
        <w:rPr>
          <w:rFonts w:ascii="宋体" w:hAnsi="宋体"/>
          <w:b/>
          <w:szCs w:val="21"/>
        </w:rPr>
      </w:pPr>
      <w:r>
        <w:rPr>
          <w:rFonts w:hint="eastAsia" w:ascii="宋体" w:hAnsi="宋体"/>
          <w:b/>
          <w:szCs w:val="21"/>
        </w:rPr>
        <w:t>13.响应文件的封装</w:t>
      </w:r>
    </w:p>
    <w:p w14:paraId="597B0C4F">
      <w:pPr>
        <w:pStyle w:val="19"/>
        <w:adjustRightInd w:val="0"/>
        <w:snapToGrid w:val="0"/>
        <w:spacing w:line="360" w:lineRule="exact"/>
        <w:ind w:firstLine="420"/>
      </w:pPr>
      <w:r>
        <w:rPr>
          <w:rFonts w:hint="eastAsia" w:hAnsi="宋体"/>
          <w:szCs w:val="21"/>
        </w:rPr>
        <w:t>1</w:t>
      </w:r>
      <w:r>
        <w:rPr>
          <w:rFonts w:hint="eastAsia"/>
        </w:rPr>
        <w:t>3.1</w:t>
      </w:r>
      <w:r>
        <w:t>电子</w:t>
      </w:r>
      <w:r>
        <w:rPr>
          <w:rFonts w:hint="eastAsia"/>
        </w:rPr>
        <w:t>谈判</w:t>
      </w:r>
      <w:r>
        <w:t>响应文件中须加盖供应商公章部分均采用 CA 签章，并根据“政府采购项目电子交易管理操作指南-供应商” 及本</w:t>
      </w:r>
      <w:r>
        <w:rPr>
          <w:rFonts w:hint="eastAsia"/>
        </w:rPr>
        <w:t>竞争性谈判文件</w:t>
      </w:r>
      <w:r>
        <w:t>规定的格式和顺序编制电子</w:t>
      </w:r>
      <w:r>
        <w:rPr>
          <w:rFonts w:hint="eastAsia"/>
        </w:rPr>
        <w:t>谈判</w:t>
      </w:r>
      <w:r>
        <w:t>响应文件并进行关联定位，以便</w:t>
      </w:r>
      <w:r>
        <w:rPr>
          <w:rFonts w:hint="eastAsia"/>
        </w:rPr>
        <w:t>谈判小组</w:t>
      </w:r>
      <w:r>
        <w:t>在评</w:t>
      </w:r>
      <w:r>
        <w:rPr>
          <w:rFonts w:hint="eastAsia"/>
        </w:rPr>
        <w:t>时</w:t>
      </w:r>
      <w:r>
        <w:t>时，点击评分项可直接定位到该评分项内容。如对</w:t>
      </w:r>
      <w:r>
        <w:rPr>
          <w:rFonts w:hint="eastAsia"/>
        </w:rPr>
        <w:t>竞争性谈判文件</w:t>
      </w:r>
      <w:r>
        <w:t>的某项要求，供应商的电子</w:t>
      </w:r>
      <w:r>
        <w:rPr>
          <w:rFonts w:hint="eastAsia"/>
        </w:rPr>
        <w:t>谈判</w:t>
      </w:r>
      <w:r>
        <w:t>响应文件未能关联定位提供相应的内容与其对应，则</w:t>
      </w:r>
      <w:r>
        <w:rPr>
          <w:rFonts w:hint="eastAsia"/>
        </w:rPr>
        <w:t>谈判小组</w:t>
      </w:r>
      <w:r>
        <w:t>在评审时如做出对供应商不利的评审由供应商自行承担。电子</w:t>
      </w:r>
      <w:r>
        <w:rPr>
          <w:rFonts w:hint="eastAsia"/>
        </w:rPr>
        <w:t>谈判</w:t>
      </w:r>
      <w:r>
        <w:t>响应文件如内容不完整</w:t>
      </w:r>
      <w:r>
        <w:rPr>
          <w:rFonts w:hint="eastAsia"/>
        </w:rPr>
        <w:t>、</w:t>
      </w:r>
      <w:r>
        <w:t>编排混乱导致</w:t>
      </w:r>
      <w:r>
        <w:rPr>
          <w:rFonts w:hint="eastAsia"/>
        </w:rPr>
        <w:t>谈判</w:t>
      </w:r>
      <w:r>
        <w:t>响应文件被误读、 漏读，或者在按</w:t>
      </w:r>
      <w:r>
        <w:rPr>
          <w:rFonts w:hint="eastAsia" w:hAnsi="宋体" w:cs="宋体"/>
        </w:rPr>
        <w:t>竞争性谈判</w:t>
      </w:r>
      <w:r>
        <w:t>文件规定的部位查找不到相关内容的，由供应商自行承担。</w:t>
      </w:r>
    </w:p>
    <w:p w14:paraId="1CCEEB44">
      <w:pPr>
        <w:pStyle w:val="19"/>
        <w:adjustRightInd w:val="0"/>
        <w:snapToGrid w:val="0"/>
        <w:spacing w:line="360" w:lineRule="exact"/>
        <w:ind w:firstLine="420"/>
      </w:pPr>
      <w:r>
        <w:rPr>
          <w:rFonts w:hint="eastAsia"/>
        </w:rPr>
        <w:t xml:space="preserve">13.2 </w:t>
      </w:r>
      <w:r>
        <w:t>CA 签章上目前没有法人</w:t>
      </w:r>
      <w:r>
        <w:rPr>
          <w:rFonts w:hint="eastAsia"/>
        </w:rPr>
        <w:t>（负责人）</w:t>
      </w:r>
      <w:r>
        <w:t>或授权代表签字信息，</w:t>
      </w:r>
      <w:r>
        <w:rPr>
          <w:rFonts w:hint="eastAsia"/>
        </w:rPr>
        <w:t>供应商</w:t>
      </w:r>
      <w:r>
        <w:t>在</w:t>
      </w:r>
      <w:r>
        <w:rPr>
          <w:rFonts w:hint="eastAsia"/>
        </w:rPr>
        <w:t>谈判</w:t>
      </w:r>
      <w:r>
        <w:t>响应文件中涉及到签字的位置线下签好字然后扫描或者拍照做成PDF的格式</w:t>
      </w:r>
      <w:r>
        <w:rPr>
          <w:rFonts w:hint="eastAsia"/>
        </w:rPr>
        <w:t>即</w:t>
      </w:r>
      <w:r>
        <w:t>可</w:t>
      </w:r>
      <w:r>
        <w:rPr>
          <w:rFonts w:hint="eastAsia"/>
        </w:rPr>
        <w:t>。</w:t>
      </w:r>
    </w:p>
    <w:p w14:paraId="117B05E0">
      <w:pPr>
        <w:pStyle w:val="19"/>
        <w:adjustRightInd w:val="0"/>
        <w:snapToGrid w:val="0"/>
        <w:spacing w:line="360" w:lineRule="exact"/>
        <w:ind w:firstLine="420"/>
        <w:rPr>
          <w:rFonts w:hAnsi="宋体"/>
          <w:szCs w:val="21"/>
        </w:rPr>
      </w:pPr>
      <w:r>
        <w:rPr>
          <w:rFonts w:hint="eastAsia"/>
        </w:rPr>
        <w:t>13.3 谈判</w:t>
      </w:r>
      <w:r>
        <w:t>响应文件不得涂改，若有修改错漏处，须法定代表人</w:t>
      </w:r>
      <w:r>
        <w:rPr>
          <w:rFonts w:hint="eastAsia"/>
        </w:rPr>
        <w:t>（负责人）</w:t>
      </w:r>
      <w:r>
        <w:t>或授权委托人签字</w:t>
      </w:r>
      <w:r>
        <w:rPr>
          <w:rFonts w:hint="eastAsia"/>
        </w:rPr>
        <w:t>。谈判</w:t>
      </w:r>
      <w:r>
        <w:t>响应文件因字迹潦草或表达不清所引起的后果由供应商负责。</w:t>
      </w:r>
    </w:p>
    <w:p w14:paraId="54CD279D">
      <w:pPr>
        <w:spacing w:line="400" w:lineRule="exact"/>
        <w:ind w:firstLine="422" w:firstLineChars="200"/>
        <w:rPr>
          <w:rFonts w:ascii="宋体" w:hAnsi="宋体"/>
          <w:b/>
          <w:szCs w:val="21"/>
        </w:rPr>
      </w:pPr>
      <w:r>
        <w:rPr>
          <w:rFonts w:hint="eastAsia" w:ascii="宋体" w:hAnsi="宋体"/>
          <w:b/>
          <w:szCs w:val="21"/>
        </w:rPr>
        <w:t>14.响应文件的递交</w:t>
      </w:r>
    </w:p>
    <w:p w14:paraId="3B66E813">
      <w:pPr>
        <w:spacing w:line="400" w:lineRule="exact"/>
        <w:ind w:firstLine="420" w:firstLineChars="200"/>
        <w:rPr>
          <w:rFonts w:ascii="宋体" w:hAnsi="宋体"/>
          <w:szCs w:val="21"/>
        </w:rPr>
      </w:pPr>
      <w:r>
        <w:rPr>
          <w:rFonts w:hint="eastAsia" w:ascii="宋体" w:hAnsi="宋体"/>
          <w:szCs w:val="21"/>
        </w:rPr>
        <w:t>14.1所有竞争性谈判响应文件应于竞争性谈判文件中规定的时间前上传递交至广西政府采购云平台。</w:t>
      </w:r>
    </w:p>
    <w:p w14:paraId="10317E89">
      <w:pPr>
        <w:adjustRightInd w:val="0"/>
        <w:snapToGrid w:val="0"/>
        <w:spacing w:line="360" w:lineRule="exact"/>
        <w:ind w:firstLine="422" w:firstLineChars="200"/>
        <w:rPr>
          <w:rFonts w:ascii="宋体"/>
          <w:b/>
          <w:szCs w:val="21"/>
        </w:rPr>
      </w:pPr>
      <w:r>
        <w:rPr>
          <w:b/>
          <w:szCs w:val="21"/>
        </w:rPr>
        <w:t>电子</w:t>
      </w:r>
      <w:r>
        <w:rPr>
          <w:rFonts w:hint="eastAsia"/>
          <w:b/>
          <w:szCs w:val="21"/>
        </w:rPr>
        <w:t>响应文件</w:t>
      </w:r>
      <w:r>
        <w:rPr>
          <w:b/>
          <w:szCs w:val="21"/>
        </w:rPr>
        <w:t>的相关说明</w:t>
      </w:r>
    </w:p>
    <w:p w14:paraId="0C974CD6">
      <w:pPr>
        <w:adjustRightInd w:val="0"/>
        <w:snapToGrid w:val="0"/>
        <w:spacing w:line="360" w:lineRule="exact"/>
        <w:ind w:firstLine="422" w:firstLineChars="200"/>
        <w:rPr>
          <w:rFonts w:ascii="宋体"/>
          <w:b/>
          <w:szCs w:val="21"/>
        </w:rPr>
      </w:pPr>
      <w:r>
        <w:rPr>
          <w:b/>
          <w:szCs w:val="21"/>
        </w:rPr>
        <w:t>（1）供应商进行电子投标应安装客户端软件，并按照</w:t>
      </w:r>
      <w:r>
        <w:rPr>
          <w:rFonts w:hint="eastAsia" w:ascii="宋体" w:hAnsi="宋体" w:cs="宋体"/>
          <w:szCs w:val="21"/>
        </w:rPr>
        <w:t>竞争性谈判</w:t>
      </w:r>
      <w:r>
        <w:rPr>
          <w:b/>
          <w:szCs w:val="21"/>
        </w:rPr>
        <w:t>文件和电子交易平台的要求编制并加密</w:t>
      </w:r>
      <w:r>
        <w:rPr>
          <w:rFonts w:hint="eastAsia"/>
          <w:b/>
          <w:szCs w:val="21"/>
        </w:rPr>
        <w:t>谈判</w:t>
      </w:r>
      <w:r>
        <w:rPr>
          <w:b/>
          <w:szCs w:val="21"/>
        </w:rPr>
        <w:t>响应文件。供应商未按规定加密的</w:t>
      </w:r>
      <w:r>
        <w:rPr>
          <w:rFonts w:hint="eastAsia"/>
          <w:b/>
          <w:szCs w:val="21"/>
        </w:rPr>
        <w:t>谈判</w:t>
      </w:r>
      <w:r>
        <w:rPr>
          <w:b/>
          <w:szCs w:val="21"/>
        </w:rPr>
        <w:t>响应文件，电子交易平台将拒收。供应商应当在</w:t>
      </w:r>
      <w:r>
        <w:rPr>
          <w:rFonts w:hint="eastAsia"/>
          <w:b/>
          <w:szCs w:val="21"/>
        </w:rPr>
        <w:t>谈判</w:t>
      </w:r>
      <w:r>
        <w:rPr>
          <w:b/>
          <w:szCs w:val="21"/>
        </w:rPr>
        <w:t>截止时间前完成</w:t>
      </w:r>
      <w:r>
        <w:rPr>
          <w:rFonts w:hint="eastAsia"/>
          <w:b/>
          <w:szCs w:val="21"/>
        </w:rPr>
        <w:t>谈判</w:t>
      </w:r>
      <w:r>
        <w:rPr>
          <w:b/>
          <w:szCs w:val="21"/>
        </w:rPr>
        <w:t>响应文件的传输递交，并可以补充、修改或者撤回</w:t>
      </w:r>
      <w:r>
        <w:rPr>
          <w:rFonts w:hint="eastAsia"/>
          <w:b/>
          <w:szCs w:val="21"/>
        </w:rPr>
        <w:t>谈判</w:t>
      </w:r>
      <w:r>
        <w:rPr>
          <w:b/>
          <w:szCs w:val="21"/>
        </w:rPr>
        <w:t>响应文件。补充或者修改</w:t>
      </w:r>
      <w:r>
        <w:rPr>
          <w:rFonts w:hint="eastAsia"/>
          <w:b/>
          <w:szCs w:val="21"/>
        </w:rPr>
        <w:t>谈判</w:t>
      </w:r>
      <w:r>
        <w:rPr>
          <w:b/>
          <w:szCs w:val="21"/>
        </w:rPr>
        <w:t>响应文件的，应当先行撤回原文件</w:t>
      </w:r>
      <w:r>
        <w:rPr>
          <w:rFonts w:hint="eastAsia"/>
          <w:b/>
          <w:szCs w:val="21"/>
        </w:rPr>
        <w:t>，</w:t>
      </w:r>
      <w:r>
        <w:rPr>
          <w:b/>
          <w:szCs w:val="21"/>
        </w:rPr>
        <w:t>补充、修改后重新传输递交。</w:t>
      </w:r>
      <w:r>
        <w:rPr>
          <w:rFonts w:hint="eastAsia"/>
          <w:b/>
          <w:szCs w:val="21"/>
        </w:rPr>
        <w:t>谈判</w:t>
      </w:r>
      <w:r>
        <w:rPr>
          <w:b/>
          <w:szCs w:val="21"/>
        </w:rPr>
        <w:t>截止时间前未完成传输的，视为撤回</w:t>
      </w:r>
      <w:r>
        <w:rPr>
          <w:rFonts w:hint="eastAsia"/>
          <w:b/>
          <w:szCs w:val="21"/>
        </w:rPr>
        <w:t>谈判</w:t>
      </w:r>
      <w:r>
        <w:rPr>
          <w:b/>
          <w:szCs w:val="21"/>
        </w:rPr>
        <w:t>响应文件。</w:t>
      </w:r>
      <w:r>
        <w:rPr>
          <w:rFonts w:hint="eastAsia"/>
          <w:b/>
          <w:szCs w:val="21"/>
        </w:rPr>
        <w:t>谈判</w:t>
      </w:r>
      <w:r>
        <w:rPr>
          <w:b/>
          <w:szCs w:val="21"/>
        </w:rPr>
        <w:t>截止时间后递交的</w:t>
      </w:r>
      <w:r>
        <w:rPr>
          <w:rFonts w:hint="eastAsia"/>
          <w:b/>
          <w:szCs w:val="21"/>
        </w:rPr>
        <w:t>谈判</w:t>
      </w:r>
      <w:r>
        <w:rPr>
          <w:b/>
          <w:szCs w:val="21"/>
        </w:rPr>
        <w:t>响应文件，电子交易平台将拒收。</w:t>
      </w:r>
    </w:p>
    <w:p w14:paraId="467CA878">
      <w:pPr>
        <w:pStyle w:val="19"/>
        <w:spacing w:line="420" w:lineRule="exact"/>
        <w:ind w:firstLine="420"/>
      </w:pPr>
      <w:r>
        <w:rPr>
          <w:b/>
        </w:rPr>
        <w:t>（</w:t>
      </w:r>
      <w:r>
        <w:rPr>
          <w:rFonts w:hint="eastAsia"/>
          <w:b/>
        </w:rPr>
        <w:t>2</w:t>
      </w:r>
      <w:r>
        <w:rPr>
          <w:b/>
        </w:rPr>
        <w:t>）如有特殊情况，采购代理机构延长截止时间和开标时间，采购代理机构和供应商的权利和义务将受到新的截止时间和开标时间的约束。</w:t>
      </w:r>
    </w:p>
    <w:p w14:paraId="58DFB0DA">
      <w:pPr>
        <w:spacing w:line="400" w:lineRule="exact"/>
        <w:ind w:firstLine="422" w:firstLineChars="200"/>
        <w:rPr>
          <w:rFonts w:ascii="宋体" w:hAnsi="宋体"/>
          <w:b/>
          <w:szCs w:val="21"/>
        </w:rPr>
      </w:pPr>
      <w:r>
        <w:rPr>
          <w:rFonts w:hint="eastAsia" w:ascii="宋体" w:hAnsi="宋体"/>
          <w:b/>
          <w:szCs w:val="21"/>
        </w:rPr>
        <w:t>15.迟交的响应文件</w:t>
      </w:r>
    </w:p>
    <w:p w14:paraId="319BD5B7">
      <w:pPr>
        <w:spacing w:line="400" w:lineRule="exact"/>
        <w:ind w:firstLine="420" w:firstLineChars="200"/>
        <w:rPr>
          <w:rFonts w:ascii="宋体" w:hAnsi="宋体"/>
          <w:szCs w:val="21"/>
        </w:rPr>
      </w:pPr>
      <w:r>
        <w:rPr>
          <w:rFonts w:hint="eastAsia" w:ascii="宋体" w:hAnsi="宋体"/>
          <w:szCs w:val="21"/>
        </w:rPr>
        <w:t>按《中华人民共和国政府采购法》的规定，采购代理机构将拒绝或原封退回在其规定的递交响应文件截止时间之后收到的任何响应文件。</w:t>
      </w:r>
    </w:p>
    <w:p w14:paraId="137CF636">
      <w:pPr>
        <w:spacing w:line="400" w:lineRule="exact"/>
        <w:ind w:firstLine="422" w:firstLineChars="200"/>
        <w:rPr>
          <w:rFonts w:ascii="宋体" w:hAnsi="宋体"/>
          <w:b/>
          <w:szCs w:val="21"/>
        </w:rPr>
      </w:pPr>
      <w:r>
        <w:rPr>
          <w:rFonts w:hint="eastAsia" w:ascii="宋体" w:hAnsi="宋体"/>
          <w:b/>
          <w:szCs w:val="21"/>
        </w:rPr>
        <w:t>16．递交响应文件截止时间、地点</w:t>
      </w:r>
    </w:p>
    <w:p w14:paraId="2E6D37F4">
      <w:pPr>
        <w:spacing w:line="400" w:lineRule="exact"/>
        <w:ind w:firstLine="420" w:firstLineChars="200"/>
        <w:rPr>
          <w:rFonts w:ascii="宋体" w:hAnsi="宋体"/>
          <w:szCs w:val="21"/>
        </w:rPr>
      </w:pPr>
      <w:r>
        <w:rPr>
          <w:rFonts w:hint="eastAsia" w:ascii="宋体" w:hAnsi="宋体"/>
          <w:szCs w:val="21"/>
        </w:rPr>
        <w:t>16.1响应文件的递交不得迟于本须知前附表规定的截止时间。</w:t>
      </w:r>
    </w:p>
    <w:p w14:paraId="17CD3358">
      <w:pPr>
        <w:spacing w:line="400" w:lineRule="exact"/>
        <w:ind w:firstLine="420" w:firstLineChars="200"/>
        <w:rPr>
          <w:rFonts w:ascii="宋体" w:hAnsi="宋体"/>
          <w:szCs w:val="21"/>
        </w:rPr>
      </w:pPr>
      <w:r>
        <w:rPr>
          <w:rFonts w:hint="eastAsia" w:ascii="宋体" w:hAnsi="宋体"/>
          <w:szCs w:val="21"/>
        </w:rPr>
        <w:t>16.2供应商必须在规定时间内将响应文件送到本须知前附表规定地点，超过截止时间送达的响应文件为无效文件，采购代理机构将拒收。</w:t>
      </w:r>
    </w:p>
    <w:p w14:paraId="5F894780">
      <w:pPr>
        <w:spacing w:before="156" w:beforeLines="50" w:line="276" w:lineRule="auto"/>
        <w:ind w:right="168" w:rightChars="80" w:firstLine="432" w:firstLineChars="205"/>
        <w:rPr>
          <w:b/>
        </w:rPr>
      </w:pPr>
      <w:r>
        <w:rPr>
          <w:rFonts w:hint="eastAsia" w:ascii="宋体" w:hAnsi="宋体"/>
          <w:b/>
          <w:szCs w:val="21"/>
        </w:rPr>
        <w:t xml:space="preserve">17. </w:t>
      </w:r>
      <w:r>
        <w:rPr>
          <w:rFonts w:hint="eastAsia"/>
          <w:b/>
        </w:rPr>
        <w:t>谈判响应文件的澄清</w:t>
      </w:r>
    </w:p>
    <w:p w14:paraId="05CF171E">
      <w:pPr>
        <w:pStyle w:val="19"/>
        <w:adjustRightInd w:val="0"/>
        <w:snapToGrid w:val="0"/>
        <w:spacing w:line="360" w:lineRule="exact"/>
        <w:ind w:firstLine="420"/>
        <w:rPr>
          <w:szCs w:val="24"/>
        </w:rPr>
      </w:pPr>
      <w:r>
        <w:rPr>
          <w:rFonts w:hint="eastAsia"/>
          <w:szCs w:val="24"/>
        </w:rPr>
        <w:t>为有利于对谈判响应文件的比较和评议，谈判小组可要求供应商对谈判响应文件进行澄清，必要时谈判小组可要求供应商对澄清的问题作出书面答复。</w:t>
      </w:r>
    </w:p>
    <w:p w14:paraId="33CF4340">
      <w:pPr>
        <w:pStyle w:val="19"/>
        <w:adjustRightInd w:val="0"/>
        <w:snapToGrid w:val="0"/>
        <w:spacing w:line="360" w:lineRule="exact"/>
        <w:ind w:firstLine="420"/>
        <w:rPr>
          <w:szCs w:val="24"/>
        </w:rPr>
      </w:pPr>
      <w:r>
        <w:rPr>
          <w:rFonts w:hint="eastAsia"/>
          <w:szCs w:val="24"/>
        </w:rPr>
        <w:t>评审中需要供应商对谈判响应文件作出澄清、说明或者补正的，谈判小组和供应商应当通过广西政府采购云平台交换数据电文。给予供应商提交澄清说明或补正的时间不少于半小时，供应商已经明确表示澄清说明或补正完毕的除外。</w:t>
      </w:r>
    </w:p>
    <w:p w14:paraId="079D5980">
      <w:pPr>
        <w:pStyle w:val="19"/>
        <w:adjustRightInd w:val="0"/>
        <w:snapToGrid w:val="0"/>
        <w:spacing w:line="360" w:lineRule="exact"/>
        <w:ind w:firstLine="420"/>
      </w:pPr>
      <w:r>
        <w:rPr>
          <w:rFonts w:hint="eastAsia"/>
          <w:szCs w:val="24"/>
        </w:rPr>
        <w:t>供应商通过广西政府采购云平台交换的数据电文必须进行电子签章。</w:t>
      </w:r>
    </w:p>
    <w:p w14:paraId="30B423D2">
      <w:pPr>
        <w:spacing w:line="400" w:lineRule="exact"/>
        <w:ind w:firstLine="422" w:firstLineChars="200"/>
        <w:rPr>
          <w:rFonts w:ascii="宋体" w:hAnsi="宋体"/>
          <w:b/>
          <w:szCs w:val="21"/>
        </w:rPr>
      </w:pPr>
      <w:bookmarkStart w:id="38" w:name="_Toc254970532"/>
      <w:bookmarkStart w:id="39" w:name="_Toc254970673"/>
      <w:r>
        <w:rPr>
          <w:rFonts w:hint="eastAsia" w:ascii="宋体" w:hAnsi="宋体"/>
          <w:b/>
          <w:szCs w:val="21"/>
        </w:rPr>
        <w:t>六、谈判与评审</w:t>
      </w:r>
    </w:p>
    <w:p w14:paraId="32A78C62">
      <w:pPr>
        <w:pStyle w:val="19"/>
        <w:adjustRightInd w:val="0"/>
        <w:snapToGrid w:val="0"/>
        <w:spacing w:line="360" w:lineRule="exact"/>
        <w:ind w:firstLine="420"/>
        <w:rPr>
          <w:szCs w:val="24"/>
        </w:rPr>
      </w:pPr>
      <w:r>
        <w:rPr>
          <w:rFonts w:hint="eastAsia"/>
          <w:szCs w:val="24"/>
        </w:rPr>
        <w:t>18．谈判程序</w:t>
      </w:r>
    </w:p>
    <w:p w14:paraId="3A3356BE">
      <w:pPr>
        <w:pStyle w:val="19"/>
        <w:adjustRightInd w:val="0"/>
        <w:snapToGrid w:val="0"/>
        <w:spacing w:line="360" w:lineRule="exact"/>
        <w:ind w:firstLine="420"/>
        <w:rPr>
          <w:szCs w:val="24"/>
        </w:rPr>
      </w:pPr>
      <w:r>
        <w:rPr>
          <w:rFonts w:hint="eastAsia"/>
          <w:szCs w:val="24"/>
        </w:rPr>
        <w:t>谈判截止时间后，主持人宣布谈判开始。</w:t>
      </w:r>
    </w:p>
    <w:p w14:paraId="1AFE906B">
      <w:pPr>
        <w:pStyle w:val="19"/>
        <w:adjustRightInd w:val="0"/>
        <w:snapToGrid w:val="0"/>
        <w:spacing w:line="360" w:lineRule="exact"/>
        <w:ind w:firstLine="420"/>
        <w:rPr>
          <w:szCs w:val="24"/>
        </w:rPr>
      </w:pPr>
      <w:r>
        <w:rPr>
          <w:rFonts w:hint="eastAsia"/>
          <w:szCs w:val="24"/>
        </w:rPr>
        <w:t>供应商登录广西政府采购云平台，用“项目采购-开标评标”功能对电子谈判响应文件进行在线解密。在线解密电子谈判响应文件时间为开标时间起半小时内。</w:t>
      </w:r>
    </w:p>
    <w:p w14:paraId="056FE8B3">
      <w:pPr>
        <w:pStyle w:val="19"/>
        <w:adjustRightInd w:val="0"/>
        <w:snapToGrid w:val="0"/>
        <w:spacing w:line="360" w:lineRule="exact"/>
        <w:ind w:firstLine="420"/>
        <w:rPr>
          <w:szCs w:val="24"/>
        </w:rPr>
      </w:pPr>
      <w:r>
        <w:rPr>
          <w:rFonts w:hint="eastAsia"/>
          <w:szCs w:val="24"/>
        </w:rPr>
        <w:t>谈判小组对谈判响应文件进行评估和比较。</w:t>
      </w:r>
    </w:p>
    <w:p w14:paraId="7A43CDF7">
      <w:pPr>
        <w:pStyle w:val="19"/>
        <w:adjustRightInd w:val="0"/>
        <w:snapToGrid w:val="0"/>
        <w:spacing w:line="360" w:lineRule="exact"/>
        <w:ind w:firstLine="420"/>
        <w:rPr>
          <w:szCs w:val="24"/>
        </w:rPr>
      </w:pPr>
      <w:r>
        <w:rPr>
          <w:rFonts w:hint="eastAsia"/>
          <w:szCs w:val="24"/>
        </w:rPr>
        <w:t>以广西政府采购云平台中“项目采购”应用模块获取竞争性谈判文件顺序确定各供应商谈判、顺序。</w:t>
      </w:r>
    </w:p>
    <w:p w14:paraId="2722475E">
      <w:pPr>
        <w:pStyle w:val="19"/>
        <w:adjustRightInd w:val="0"/>
        <w:snapToGrid w:val="0"/>
        <w:spacing w:line="360" w:lineRule="exact"/>
        <w:ind w:firstLine="420"/>
        <w:rPr>
          <w:szCs w:val="24"/>
        </w:rPr>
      </w:pPr>
      <w:r>
        <w:rPr>
          <w:rFonts w:hint="eastAsia"/>
          <w:szCs w:val="24"/>
        </w:rPr>
        <w:t>谈判小组与单一供应商分别进行谈判。（谈判时供应商的技术资料、价格和其他信息在评审、谈判过程中保密）</w:t>
      </w:r>
    </w:p>
    <w:p w14:paraId="1BFC252B">
      <w:pPr>
        <w:pStyle w:val="19"/>
        <w:adjustRightInd w:val="0"/>
        <w:snapToGrid w:val="0"/>
        <w:spacing w:line="360" w:lineRule="exact"/>
        <w:ind w:firstLine="420"/>
        <w:rPr>
          <w:szCs w:val="24"/>
        </w:rPr>
      </w:pPr>
      <w:r>
        <w:rPr>
          <w:rFonts w:hint="eastAsia"/>
          <w:szCs w:val="24"/>
        </w:rPr>
        <w:t>谈判小组要求所有实质性响应的供应商在规定时间内提交最后报价（</w:t>
      </w:r>
      <w:r>
        <w:rPr>
          <w:rFonts w:hint="eastAsia"/>
          <w:b/>
          <w:bCs/>
          <w:szCs w:val="24"/>
        </w:rPr>
        <w:t>只公开最后报价，最后报价不得高于初次报价</w:t>
      </w:r>
      <w:r>
        <w:rPr>
          <w:rFonts w:hint="eastAsia"/>
          <w:szCs w:val="24"/>
        </w:rPr>
        <w:t>）。</w:t>
      </w:r>
    </w:p>
    <w:p w14:paraId="0C1F9FC3">
      <w:pPr>
        <w:pStyle w:val="19"/>
        <w:adjustRightInd w:val="0"/>
        <w:snapToGrid w:val="0"/>
        <w:spacing w:line="360" w:lineRule="exact"/>
        <w:ind w:firstLine="420"/>
        <w:rPr>
          <w:szCs w:val="24"/>
        </w:rPr>
      </w:pPr>
      <w:r>
        <w:rPr>
          <w:rFonts w:hint="eastAsia"/>
          <w:szCs w:val="24"/>
        </w:rPr>
        <w:t>由谈判小组采</w:t>
      </w:r>
      <w:r>
        <w:rPr>
          <w:rFonts w:hint="eastAsia"/>
          <w:b/>
          <w:bCs/>
          <w:szCs w:val="24"/>
        </w:rPr>
        <w:t>用最低评标价法</w:t>
      </w:r>
      <w:r>
        <w:rPr>
          <w:rFonts w:hint="eastAsia"/>
          <w:bCs/>
          <w:szCs w:val="24"/>
        </w:rPr>
        <w:t>对提</w:t>
      </w:r>
      <w:r>
        <w:rPr>
          <w:rFonts w:hint="eastAsia"/>
          <w:szCs w:val="24"/>
        </w:rPr>
        <w:t>交最后报价的供应商的响应文件和最后报价进行评审，在符合采购需求、质量和服务要求的前提下</w:t>
      </w:r>
      <w:r>
        <w:rPr>
          <w:rFonts w:hint="eastAsia"/>
          <w:b/>
          <w:bCs/>
          <w:szCs w:val="24"/>
        </w:rPr>
        <w:t>，按</w:t>
      </w:r>
      <w:r>
        <w:rPr>
          <w:rFonts w:hint="eastAsia"/>
          <w:b/>
          <w:bCs/>
        </w:rPr>
        <w:t>最后报价由低到高顺序</w:t>
      </w:r>
      <w:r>
        <w:rPr>
          <w:rFonts w:hint="eastAsia"/>
          <w:b/>
          <w:bCs/>
          <w:szCs w:val="24"/>
        </w:rPr>
        <w:t>推</w:t>
      </w:r>
      <w:r>
        <w:rPr>
          <w:rFonts w:hint="eastAsia"/>
          <w:szCs w:val="24"/>
        </w:rPr>
        <w:t>荐确定成交候选供应商。</w:t>
      </w:r>
    </w:p>
    <w:p w14:paraId="40DED350">
      <w:pPr>
        <w:pStyle w:val="19"/>
        <w:adjustRightInd w:val="0"/>
        <w:snapToGrid w:val="0"/>
        <w:spacing w:line="360" w:lineRule="exact"/>
        <w:ind w:firstLine="420"/>
        <w:rPr>
          <w:szCs w:val="24"/>
        </w:rPr>
      </w:pPr>
      <w:r>
        <w:rPr>
          <w:rFonts w:hint="eastAsia"/>
          <w:szCs w:val="24"/>
        </w:rPr>
        <w:t>特别说明：政采云公司如对电子化谈判及评审程序有调整的，按调整后的程序操作。</w:t>
      </w:r>
    </w:p>
    <w:p w14:paraId="25E21DB6">
      <w:pPr>
        <w:pStyle w:val="19"/>
        <w:adjustRightInd w:val="0"/>
        <w:snapToGrid w:val="0"/>
        <w:spacing w:line="360" w:lineRule="exact"/>
        <w:ind w:firstLine="420"/>
        <w:rPr>
          <w:szCs w:val="24"/>
        </w:rPr>
      </w:pPr>
      <w:r>
        <w:rPr>
          <w:rFonts w:hint="eastAsia"/>
          <w:szCs w:val="24"/>
        </w:rPr>
        <w:t>19.采购过程中出现以下情形，导致电子交易平台无法正常运行，或者无法保证电子交易的公平、公正和安全时，采购组织机构可中止电子交易活动：</w:t>
      </w:r>
    </w:p>
    <w:p w14:paraId="3AE0E2C0">
      <w:pPr>
        <w:pStyle w:val="19"/>
        <w:adjustRightInd w:val="0"/>
        <w:snapToGrid w:val="0"/>
        <w:spacing w:line="360" w:lineRule="exact"/>
        <w:ind w:firstLine="420"/>
        <w:rPr>
          <w:szCs w:val="24"/>
        </w:rPr>
      </w:pPr>
      <w:r>
        <w:rPr>
          <w:rFonts w:hint="eastAsia"/>
          <w:szCs w:val="24"/>
        </w:rPr>
        <w:t xml:space="preserve">电子交易平台发生故障而无法登录访问的； </w:t>
      </w:r>
    </w:p>
    <w:p w14:paraId="01EC4DEB">
      <w:pPr>
        <w:pStyle w:val="19"/>
        <w:adjustRightInd w:val="0"/>
        <w:snapToGrid w:val="0"/>
        <w:spacing w:line="360" w:lineRule="exact"/>
        <w:ind w:firstLine="420"/>
        <w:rPr>
          <w:szCs w:val="24"/>
        </w:rPr>
      </w:pPr>
      <w:r>
        <w:rPr>
          <w:rFonts w:hint="eastAsia"/>
          <w:szCs w:val="24"/>
        </w:rPr>
        <w:t>电子交易平台应用或数据库出现错误，不能进行正常操作的；</w:t>
      </w:r>
    </w:p>
    <w:p w14:paraId="22AF02F3">
      <w:pPr>
        <w:pStyle w:val="19"/>
        <w:adjustRightInd w:val="0"/>
        <w:snapToGrid w:val="0"/>
        <w:spacing w:line="360" w:lineRule="exact"/>
        <w:ind w:firstLine="420"/>
        <w:rPr>
          <w:szCs w:val="24"/>
        </w:rPr>
      </w:pPr>
      <w:r>
        <w:rPr>
          <w:rFonts w:hint="eastAsia"/>
          <w:szCs w:val="24"/>
        </w:rPr>
        <w:t>电子交易平台发现严重安全漏洞，有潜在泄密危险的；</w:t>
      </w:r>
    </w:p>
    <w:p w14:paraId="587EF6D1">
      <w:pPr>
        <w:pStyle w:val="19"/>
        <w:adjustRightInd w:val="0"/>
        <w:snapToGrid w:val="0"/>
        <w:spacing w:line="360" w:lineRule="exact"/>
        <w:ind w:firstLine="420"/>
        <w:rPr>
          <w:szCs w:val="24"/>
        </w:rPr>
      </w:pPr>
      <w:r>
        <w:rPr>
          <w:rFonts w:hint="eastAsia"/>
          <w:szCs w:val="24"/>
        </w:rPr>
        <w:t xml:space="preserve">病毒发作导致不能进行正常操作的； </w:t>
      </w:r>
    </w:p>
    <w:p w14:paraId="19B32D45">
      <w:pPr>
        <w:pStyle w:val="19"/>
        <w:adjustRightInd w:val="0"/>
        <w:snapToGrid w:val="0"/>
        <w:spacing w:line="360" w:lineRule="exact"/>
        <w:ind w:firstLine="420"/>
        <w:rPr>
          <w:szCs w:val="24"/>
        </w:rPr>
      </w:pPr>
      <w:r>
        <w:rPr>
          <w:rFonts w:hint="eastAsia"/>
          <w:szCs w:val="24"/>
        </w:rPr>
        <w:t>其他无法保证电子交易的公平、公正和安全的情况。</w:t>
      </w:r>
    </w:p>
    <w:p w14:paraId="63A33617">
      <w:pPr>
        <w:pStyle w:val="19"/>
        <w:adjustRightInd w:val="0"/>
        <w:snapToGrid w:val="0"/>
        <w:spacing w:line="360" w:lineRule="exact"/>
        <w:ind w:firstLine="420" w:firstLineChars="200"/>
        <w:rPr>
          <w:szCs w:val="24"/>
        </w:rPr>
      </w:pPr>
      <w:r>
        <w:rPr>
          <w:rFonts w:hint="eastAsia"/>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3F3817FE">
      <w:pPr>
        <w:pStyle w:val="19"/>
        <w:adjustRightInd w:val="0"/>
        <w:snapToGrid w:val="0"/>
        <w:spacing w:line="360" w:lineRule="exact"/>
        <w:ind w:firstLine="420"/>
        <w:rPr>
          <w:szCs w:val="24"/>
        </w:rPr>
      </w:pPr>
      <w:r>
        <w:rPr>
          <w:rFonts w:hint="eastAsia"/>
          <w:szCs w:val="24"/>
        </w:rPr>
        <w:t>20.谈判内容</w:t>
      </w:r>
    </w:p>
    <w:p w14:paraId="0CFDD3CD">
      <w:pPr>
        <w:pStyle w:val="19"/>
        <w:adjustRightInd w:val="0"/>
        <w:snapToGrid w:val="0"/>
        <w:spacing w:line="360" w:lineRule="exact"/>
        <w:ind w:firstLine="420"/>
        <w:rPr>
          <w:szCs w:val="24"/>
        </w:rPr>
      </w:pPr>
      <w:r>
        <w:rPr>
          <w:rFonts w:hint="eastAsia"/>
          <w:szCs w:val="24"/>
        </w:rPr>
        <w:t>本次谈判内容为在竞争性谈判文件范围内就供应商的谈判响应文件，谈判小组与供应商在技术、价格、服务、合同等问题进行谈判，最终确定成交与否。</w:t>
      </w:r>
    </w:p>
    <w:p w14:paraId="62173CE5">
      <w:pPr>
        <w:pStyle w:val="19"/>
        <w:adjustRightInd w:val="0"/>
        <w:snapToGrid w:val="0"/>
        <w:spacing w:line="360" w:lineRule="exact"/>
        <w:ind w:firstLine="420"/>
        <w:rPr>
          <w:szCs w:val="24"/>
        </w:rPr>
      </w:pPr>
      <w:r>
        <w:rPr>
          <w:rFonts w:hint="eastAsia"/>
          <w:szCs w:val="24"/>
        </w:rPr>
        <w:t>谈判应作书面记录，供应商并就谈判内容作出书面承诺，并由供应商法定代表人或其授权委托人签字后生效，作为谈判响应文件的一部分。</w:t>
      </w:r>
    </w:p>
    <w:p w14:paraId="7BB6BFFA">
      <w:pPr>
        <w:pStyle w:val="19"/>
        <w:adjustRightInd w:val="0"/>
        <w:snapToGrid w:val="0"/>
        <w:spacing w:line="360" w:lineRule="exact"/>
        <w:ind w:firstLine="420"/>
        <w:rPr>
          <w:szCs w:val="24"/>
        </w:rPr>
      </w:pPr>
      <w:r>
        <w:rPr>
          <w:rFonts w:hint="eastAsia"/>
          <w:szCs w:val="24"/>
        </w:rPr>
        <w:t>21.竞争性谈判文件有实质性变动的，谈判小组以书面形式通知所有参加谈判的供应商。</w:t>
      </w:r>
    </w:p>
    <w:p w14:paraId="51575C43">
      <w:pPr>
        <w:pStyle w:val="19"/>
        <w:adjustRightInd w:val="0"/>
        <w:snapToGrid w:val="0"/>
        <w:spacing w:line="360" w:lineRule="exact"/>
        <w:ind w:firstLine="420"/>
        <w:rPr>
          <w:szCs w:val="24"/>
        </w:rPr>
      </w:pPr>
      <w:r>
        <w:rPr>
          <w:rFonts w:hint="eastAsia"/>
          <w:szCs w:val="24"/>
        </w:rPr>
        <w:t>22．谈判</w:t>
      </w:r>
    </w:p>
    <w:p w14:paraId="5D5F3A16">
      <w:pPr>
        <w:pStyle w:val="19"/>
        <w:adjustRightInd w:val="0"/>
        <w:snapToGrid w:val="0"/>
        <w:spacing w:line="360" w:lineRule="exact"/>
        <w:ind w:firstLine="420"/>
        <w:rPr>
          <w:szCs w:val="24"/>
        </w:rPr>
      </w:pPr>
      <w:r>
        <w:rPr>
          <w:rFonts w:hint="eastAsia"/>
          <w:szCs w:val="24"/>
        </w:rPr>
        <w:t>22.1谈判小组由采购人、集中采购机构依法组建，负责评审活动。谈判小组遵循公开、公平、公正、科学合理、竞争择优的原则。</w:t>
      </w:r>
    </w:p>
    <w:p w14:paraId="22A825F4">
      <w:pPr>
        <w:pStyle w:val="19"/>
        <w:adjustRightInd w:val="0"/>
        <w:snapToGrid w:val="0"/>
        <w:spacing w:line="360" w:lineRule="exact"/>
        <w:ind w:firstLine="420"/>
        <w:rPr>
          <w:szCs w:val="24"/>
        </w:rPr>
      </w:pPr>
      <w:r>
        <w:rPr>
          <w:rFonts w:hint="eastAsia"/>
          <w:szCs w:val="24"/>
        </w:rPr>
        <w:t>22.2谈判小组由采购人代表和有关方面专家组成，成员人数为3人以上单数。</w:t>
      </w:r>
    </w:p>
    <w:p w14:paraId="7330FACB">
      <w:pPr>
        <w:pStyle w:val="19"/>
        <w:adjustRightInd w:val="0"/>
        <w:snapToGrid w:val="0"/>
        <w:spacing w:line="360" w:lineRule="exact"/>
        <w:ind w:firstLine="420"/>
        <w:rPr>
          <w:szCs w:val="24"/>
        </w:rPr>
      </w:pPr>
      <w:r>
        <w:rPr>
          <w:rFonts w:hint="eastAsia"/>
          <w:szCs w:val="24"/>
        </w:rPr>
        <w:t>22.3谈判小组负责对供应商资格的最终审定。</w:t>
      </w:r>
    </w:p>
    <w:p w14:paraId="7634CB4B">
      <w:pPr>
        <w:pStyle w:val="19"/>
        <w:adjustRightInd w:val="0"/>
        <w:snapToGrid w:val="0"/>
        <w:spacing w:line="360" w:lineRule="exact"/>
        <w:ind w:firstLine="420"/>
        <w:rPr>
          <w:szCs w:val="24"/>
        </w:rPr>
      </w:pPr>
      <w:r>
        <w:rPr>
          <w:rFonts w:hint="eastAsia"/>
          <w:szCs w:val="24"/>
        </w:rPr>
        <w:t>22.4谈判小组可以要求供应商对其谈判响应文件中含义不明确的内容作必要的澄清或者说明，但澄清或者说明不得超过谈判响应文件的范围或者改变谈判响应文件的实质性内容。</w:t>
      </w:r>
    </w:p>
    <w:p w14:paraId="79AE61E5">
      <w:pPr>
        <w:pStyle w:val="19"/>
        <w:adjustRightInd w:val="0"/>
        <w:snapToGrid w:val="0"/>
        <w:spacing w:line="360" w:lineRule="exact"/>
        <w:ind w:firstLine="420"/>
        <w:rPr>
          <w:szCs w:val="24"/>
        </w:rPr>
      </w:pPr>
      <w:r>
        <w:rPr>
          <w:rFonts w:hint="eastAsia"/>
          <w:szCs w:val="24"/>
        </w:rPr>
        <w:t>22.5谈判小组对谈判响应文件的判定，只依据谈判响应文件和竞争性谈判文件内容本身，不依据任何外来证明。</w:t>
      </w:r>
    </w:p>
    <w:p w14:paraId="04190F6D">
      <w:pPr>
        <w:pStyle w:val="19"/>
        <w:adjustRightInd w:val="0"/>
        <w:snapToGrid w:val="0"/>
        <w:spacing w:line="360" w:lineRule="exact"/>
        <w:ind w:firstLine="420"/>
        <w:rPr>
          <w:szCs w:val="24"/>
        </w:rPr>
      </w:pPr>
      <w:r>
        <w:rPr>
          <w:rFonts w:hint="eastAsia"/>
          <w:szCs w:val="24"/>
        </w:rPr>
        <w:t>22.6谈判小组不向落标方解释落标的原因，不退还谈判响应文件。</w:t>
      </w:r>
    </w:p>
    <w:p w14:paraId="3C6B15CD">
      <w:pPr>
        <w:pStyle w:val="19"/>
        <w:adjustRightInd w:val="0"/>
        <w:snapToGrid w:val="0"/>
        <w:spacing w:line="360" w:lineRule="exact"/>
        <w:ind w:firstLine="420"/>
        <w:rPr>
          <w:b/>
          <w:szCs w:val="24"/>
        </w:rPr>
      </w:pPr>
      <w:r>
        <w:rPr>
          <w:rFonts w:hint="eastAsia"/>
          <w:b/>
          <w:szCs w:val="24"/>
        </w:rPr>
        <w:t>23．谈判响应文件的初审鉴定</w:t>
      </w:r>
    </w:p>
    <w:p w14:paraId="18FB7D44">
      <w:pPr>
        <w:pStyle w:val="19"/>
        <w:adjustRightInd w:val="0"/>
        <w:snapToGrid w:val="0"/>
        <w:spacing w:line="360" w:lineRule="exact"/>
        <w:ind w:firstLine="420"/>
        <w:rPr>
          <w:szCs w:val="24"/>
        </w:rPr>
      </w:pPr>
      <w:r>
        <w:rPr>
          <w:rFonts w:hint="eastAsia"/>
          <w:szCs w:val="24"/>
        </w:rPr>
        <w:t>23.1资格性审查</w:t>
      </w:r>
    </w:p>
    <w:p w14:paraId="3AA447F5">
      <w:pPr>
        <w:pStyle w:val="19"/>
        <w:adjustRightInd w:val="0"/>
        <w:snapToGrid w:val="0"/>
        <w:spacing w:line="360" w:lineRule="exact"/>
        <w:ind w:firstLine="420"/>
        <w:rPr>
          <w:szCs w:val="24"/>
        </w:rPr>
      </w:pPr>
      <w:r>
        <w:rPr>
          <w:rFonts w:hint="eastAsia"/>
          <w:szCs w:val="24"/>
        </w:rPr>
        <w:t>23.1.1依据法律、法规和竞争性谈判文件规定，对谈判响应文件中对资格证明等进行审查，以确定供应商是否具备谈判资格。</w:t>
      </w:r>
    </w:p>
    <w:p w14:paraId="158EB7B6">
      <w:pPr>
        <w:pStyle w:val="19"/>
        <w:adjustRightInd w:val="0"/>
        <w:snapToGrid w:val="0"/>
        <w:spacing w:line="360" w:lineRule="exact"/>
        <w:ind w:firstLine="420"/>
        <w:rPr>
          <w:szCs w:val="24"/>
        </w:rPr>
      </w:pPr>
      <w:r>
        <w:rPr>
          <w:rFonts w:hint="eastAsia"/>
          <w:szCs w:val="24"/>
        </w:rPr>
        <w:t>23.2符合性审查</w:t>
      </w:r>
    </w:p>
    <w:p w14:paraId="28A020B9">
      <w:pPr>
        <w:pStyle w:val="19"/>
        <w:adjustRightInd w:val="0"/>
        <w:snapToGrid w:val="0"/>
        <w:spacing w:line="360" w:lineRule="exact"/>
        <w:ind w:firstLine="420"/>
        <w:rPr>
          <w:szCs w:val="24"/>
        </w:rPr>
      </w:pPr>
      <w:r>
        <w:rPr>
          <w:rFonts w:hint="eastAsia"/>
          <w:szCs w:val="24"/>
        </w:rPr>
        <w:t>23.2.1谈判时，谈判小组将首先评定每份谈判响应文件是否在实质上响应了竞争性谈判文件要求。所谓实质上的响应，是指谈判响应文件与竞争性谈判文件的所有实质性条款、条件和要求相符，无显著差异或保留，或者对合同中约定的采购人的权利和供应商的义务方面造成重大的限制，纠正这些显著差异或保留将会对其他实质上响应竞争性谈判文件要求的供应商的竞争地位产生不公正的影响。</w:t>
      </w:r>
    </w:p>
    <w:p w14:paraId="69769506">
      <w:pPr>
        <w:pStyle w:val="19"/>
        <w:adjustRightInd w:val="0"/>
        <w:snapToGrid w:val="0"/>
        <w:spacing w:line="360" w:lineRule="exact"/>
        <w:ind w:firstLine="420"/>
        <w:rPr>
          <w:szCs w:val="24"/>
        </w:rPr>
      </w:pPr>
      <w:r>
        <w:rPr>
          <w:rFonts w:hint="eastAsia"/>
          <w:szCs w:val="24"/>
        </w:rPr>
        <w:t>23.3如果谈判响应文件实质不响应竞争性谈判文件的各项要求，谈判小组将予以拒绝，并且不允许供应商通过修改或撤销其不符合要求的差异或保留，使之成为具有响应性的谈判。</w:t>
      </w:r>
    </w:p>
    <w:p w14:paraId="6D33126B">
      <w:pPr>
        <w:pStyle w:val="19"/>
        <w:adjustRightInd w:val="0"/>
        <w:snapToGrid w:val="0"/>
        <w:spacing w:line="360" w:lineRule="exact"/>
        <w:ind w:firstLine="420"/>
        <w:rPr>
          <w:b/>
          <w:szCs w:val="24"/>
        </w:rPr>
      </w:pPr>
      <w:r>
        <w:rPr>
          <w:rFonts w:hint="eastAsia"/>
          <w:b/>
          <w:szCs w:val="24"/>
        </w:rPr>
        <w:t>谈判响应文件的评审、比较和否决</w:t>
      </w:r>
    </w:p>
    <w:p w14:paraId="3EB4AA0D">
      <w:pPr>
        <w:pStyle w:val="19"/>
        <w:adjustRightInd w:val="0"/>
        <w:snapToGrid w:val="0"/>
        <w:spacing w:line="360" w:lineRule="exact"/>
        <w:ind w:firstLine="420"/>
        <w:rPr>
          <w:szCs w:val="24"/>
        </w:rPr>
      </w:pPr>
      <w:r>
        <w:rPr>
          <w:rFonts w:hint="eastAsia"/>
          <w:szCs w:val="24"/>
        </w:rPr>
        <w:t>24.1谈判小组将对在实质上响应竞争性谈判文件要求的谈判响应文件进行评估和比较。</w:t>
      </w:r>
    </w:p>
    <w:p w14:paraId="2A3DF9E0">
      <w:pPr>
        <w:pStyle w:val="19"/>
        <w:adjustRightInd w:val="0"/>
        <w:snapToGrid w:val="0"/>
        <w:spacing w:line="360" w:lineRule="exact"/>
        <w:ind w:firstLine="420"/>
        <w:rPr>
          <w:szCs w:val="24"/>
        </w:rPr>
      </w:pPr>
      <w:r>
        <w:rPr>
          <w:rFonts w:hint="eastAsia"/>
          <w:szCs w:val="24"/>
        </w:rPr>
        <w:t>24.2在评审过程中，谈判小组可以书面形式要求供应商就谈判响应文件含义不明确的内容进行书面说明并提供相关材料。</w:t>
      </w:r>
    </w:p>
    <w:p w14:paraId="1CACAF07">
      <w:pPr>
        <w:pStyle w:val="19"/>
        <w:adjustRightInd w:val="0"/>
        <w:snapToGrid w:val="0"/>
        <w:spacing w:line="360" w:lineRule="exact"/>
        <w:ind w:firstLine="420"/>
        <w:rPr>
          <w:szCs w:val="24"/>
        </w:rPr>
      </w:pPr>
      <w:r>
        <w:rPr>
          <w:rFonts w:hint="eastAsia"/>
          <w:szCs w:val="24"/>
        </w:rPr>
        <w:t>24.3在谈判过程中，如发现与竞争性谈判文件要求相偏离的，谈判小组应对其偏离情形进行必要的书面核实。</w:t>
      </w:r>
    </w:p>
    <w:p w14:paraId="0D07AAC6">
      <w:pPr>
        <w:pStyle w:val="19"/>
        <w:adjustRightInd w:val="0"/>
        <w:snapToGrid w:val="0"/>
        <w:spacing w:line="360" w:lineRule="exact"/>
        <w:ind w:firstLine="420"/>
        <w:rPr>
          <w:szCs w:val="24"/>
        </w:rPr>
      </w:pPr>
      <w:r>
        <w:rPr>
          <w:rFonts w:hint="eastAsia"/>
          <w:szCs w:val="24"/>
        </w:rPr>
        <w:t>24.4在评审过程中，如属于实质性偏离或符合无效响应条件的，应当询问相关供应商，并允许其进行陈述申辩，但不允许对偏离条款撤回。</w:t>
      </w:r>
    </w:p>
    <w:p w14:paraId="6D599E72">
      <w:pPr>
        <w:pStyle w:val="19"/>
        <w:adjustRightInd w:val="0"/>
        <w:snapToGrid w:val="0"/>
        <w:spacing w:line="360" w:lineRule="exact"/>
        <w:ind w:firstLine="420"/>
        <w:rPr>
          <w:szCs w:val="24"/>
        </w:rPr>
      </w:pPr>
      <w:r>
        <w:rPr>
          <w:rFonts w:hint="eastAsia"/>
          <w:szCs w:val="24"/>
        </w:rPr>
        <w:t>24.5比较与评价。谈判小组依据竞争性谈判文件规定的评审标准和方法，对谈判响应文件进行商务和技术评估，综合比较与评价。</w:t>
      </w:r>
    </w:p>
    <w:p w14:paraId="7EB33E61">
      <w:pPr>
        <w:pStyle w:val="19"/>
        <w:adjustRightInd w:val="0"/>
        <w:snapToGrid w:val="0"/>
        <w:spacing w:line="360" w:lineRule="exact"/>
        <w:ind w:firstLine="420"/>
        <w:rPr>
          <w:szCs w:val="24"/>
        </w:rPr>
      </w:pPr>
      <w:r>
        <w:rPr>
          <w:rFonts w:hint="eastAsia"/>
          <w:szCs w:val="24"/>
        </w:rPr>
        <w:t>24.6报价审核。对符合采购需求且通过商务技术（资信）评审的供应商的报价的合理性、准确性等进行审查核实。</w:t>
      </w:r>
    </w:p>
    <w:p w14:paraId="58294D28">
      <w:pPr>
        <w:pStyle w:val="19"/>
        <w:adjustRightInd w:val="0"/>
        <w:snapToGrid w:val="0"/>
        <w:spacing w:line="360" w:lineRule="exact"/>
        <w:ind w:firstLine="420"/>
        <w:rPr>
          <w:szCs w:val="24"/>
        </w:rPr>
      </w:pPr>
      <w:r>
        <w:rPr>
          <w:rFonts w:hint="eastAsia"/>
          <w:szCs w:val="24"/>
        </w:rPr>
        <w:t>24.7谈判小组认为供应商的报价明显低于其他通过符合性审查供应商的报价，有可能影响产品质量或者不能诚信履约的，应当要求其在谈判现场合理的时间内通过广西政府采购云平台提供线上说明，必要时提交相关证明材料。</w:t>
      </w:r>
    </w:p>
    <w:p w14:paraId="5B7DFE4D">
      <w:pPr>
        <w:pStyle w:val="19"/>
        <w:adjustRightInd w:val="0"/>
        <w:snapToGrid w:val="0"/>
        <w:spacing w:line="360" w:lineRule="exact"/>
        <w:ind w:firstLine="420"/>
        <w:rPr>
          <w:szCs w:val="24"/>
        </w:rPr>
      </w:pPr>
      <w:r>
        <w:rPr>
          <w:rFonts w:hint="eastAsia"/>
          <w:szCs w:val="24"/>
        </w:rPr>
        <w:t>根据财政部发布的《政府采购促进中小企业发展暂行办法》规定，对于非专门面向中小企业的项目，对小型和微型企业产品的价格给予一定的扣除，用扣除后的价格参与评审。</w:t>
      </w:r>
    </w:p>
    <w:p w14:paraId="4383DA95">
      <w:pPr>
        <w:pStyle w:val="19"/>
        <w:adjustRightInd w:val="0"/>
        <w:snapToGrid w:val="0"/>
        <w:spacing w:line="360" w:lineRule="exact"/>
        <w:ind w:firstLine="420"/>
        <w:rPr>
          <w:szCs w:val="24"/>
        </w:rPr>
      </w:pPr>
      <w:r>
        <w:rPr>
          <w:rFonts w:hint="eastAsia"/>
          <w:szCs w:val="24"/>
        </w:rPr>
        <w:t>24.8评标委员会依据竞争性谈判文件规定的评标标准和方法，对谈判响应文件进行评审和比较后，向本公司提供书面谈判报告，并按</w:t>
      </w:r>
      <w:r>
        <w:rPr>
          <w:rFonts w:hint="eastAsia"/>
        </w:rPr>
        <w:t>最后报价由低到高顺序</w:t>
      </w:r>
      <w:r>
        <w:rPr>
          <w:rFonts w:hint="eastAsia"/>
          <w:szCs w:val="24"/>
        </w:rPr>
        <w:t>推荐成交候选供应商。</w:t>
      </w:r>
    </w:p>
    <w:p w14:paraId="047BE3B1">
      <w:pPr>
        <w:pStyle w:val="19"/>
        <w:ind w:firstLine="464" w:firstLineChars="221"/>
        <w:rPr>
          <w:rFonts w:hAnsi="宋体"/>
          <w:szCs w:val="21"/>
        </w:rPr>
      </w:pPr>
    </w:p>
    <w:p w14:paraId="67AAA15A">
      <w:pPr>
        <w:pStyle w:val="19"/>
        <w:ind w:firstLine="464" w:firstLineChars="221"/>
        <w:rPr>
          <w:rFonts w:hAnsi="宋体"/>
          <w:szCs w:val="21"/>
        </w:rPr>
      </w:pPr>
      <w:r>
        <w:rPr>
          <w:rFonts w:hint="eastAsia" w:hAnsi="宋体"/>
          <w:szCs w:val="21"/>
        </w:rPr>
        <w:t>25.最后报价是供应商响应文件的有效组成部分。</w:t>
      </w:r>
    </w:p>
    <w:p w14:paraId="12E5FD3B">
      <w:pPr>
        <w:widowControl/>
        <w:tabs>
          <w:tab w:val="left" w:pos="540"/>
        </w:tabs>
        <w:spacing w:line="400" w:lineRule="exact"/>
        <w:ind w:firstLine="420" w:firstLineChars="200"/>
        <w:jc w:val="left"/>
        <w:rPr>
          <w:rFonts w:ascii="宋体" w:hAnsi="宋体"/>
          <w:szCs w:val="21"/>
        </w:rPr>
      </w:pPr>
      <w:r>
        <w:rPr>
          <w:rFonts w:hint="eastAsia" w:ascii="宋体" w:hAnsi="宋体"/>
          <w:szCs w:val="21"/>
        </w:rPr>
        <w:t>26.已经提交响应文件的供应商，在提交最后报价之前，可以根据谈判情况退出谈判。最终谈判结束后，谈判小组不得再与供应商进行任何形式的商谈。</w:t>
      </w:r>
    </w:p>
    <w:p w14:paraId="0D008928">
      <w:pPr>
        <w:pStyle w:val="19"/>
        <w:ind w:firstLine="464" w:firstLineChars="221"/>
        <w:rPr>
          <w:rFonts w:hAnsi="宋体"/>
          <w:szCs w:val="21"/>
        </w:rPr>
      </w:pPr>
      <w:r>
        <w:rPr>
          <w:rFonts w:hint="eastAsia" w:hAnsi="宋体"/>
          <w:szCs w:val="21"/>
        </w:rPr>
        <w:t>27.谈判小组应当从质量和服务均能满足谈判文件实质性响应要求的供应商中，按照最终评标报价由低到高的顺序提出3名以上成交候选人，并编写评审报告。</w:t>
      </w:r>
    </w:p>
    <w:p w14:paraId="0E149337">
      <w:pPr>
        <w:pStyle w:val="19"/>
        <w:ind w:firstLine="464" w:firstLineChars="221"/>
        <w:rPr>
          <w:rFonts w:hAnsi="宋体"/>
          <w:szCs w:val="21"/>
        </w:rPr>
      </w:pPr>
      <w:r>
        <w:rPr>
          <w:rFonts w:hint="eastAsia" w:hAnsi="宋体"/>
          <w:szCs w:val="21"/>
        </w:rPr>
        <w:t>28.公开招标的货物、服务采购项目，招标过程中提交投标文件或者经评审实质性响应招标文件要求的供应商只有两家时，采购人、采购代理机构经本级财政部门批准后可以与该两家供应商进行竞争性谈判采购。</w:t>
      </w:r>
    </w:p>
    <w:p w14:paraId="0582E20C">
      <w:pPr>
        <w:pStyle w:val="19"/>
        <w:ind w:firstLine="464" w:firstLineChars="221"/>
        <w:rPr>
          <w:rFonts w:hAnsi="宋体"/>
          <w:szCs w:val="21"/>
        </w:rPr>
      </w:pPr>
      <w:r>
        <w:rPr>
          <w:rFonts w:hint="eastAsia" w:hAnsi="宋体"/>
          <w:szCs w:val="21"/>
        </w:rPr>
        <w:t>28.1响应供应商的报价均超过了政府采购预算，采购人不能支付的，谈判活动终止。</w:t>
      </w:r>
    </w:p>
    <w:p w14:paraId="673410CA">
      <w:pPr>
        <w:pStyle w:val="19"/>
        <w:ind w:firstLine="466" w:firstLineChars="221"/>
        <w:rPr>
          <w:rFonts w:hAnsi="宋体"/>
          <w:b/>
          <w:szCs w:val="21"/>
        </w:rPr>
      </w:pPr>
      <w:r>
        <w:rPr>
          <w:rFonts w:hint="eastAsia" w:hAnsi="宋体"/>
          <w:b/>
          <w:szCs w:val="21"/>
        </w:rPr>
        <w:t xml:space="preserve">29. </w:t>
      </w:r>
      <w:r>
        <w:rPr>
          <w:rFonts w:hint="eastAsia"/>
          <w:b/>
          <w:szCs w:val="21"/>
        </w:rPr>
        <w:t>评审方法</w:t>
      </w:r>
    </w:p>
    <w:p w14:paraId="3C3C52CC">
      <w:pPr>
        <w:spacing w:line="360" w:lineRule="auto"/>
        <w:ind w:firstLine="420" w:firstLineChars="200"/>
        <w:rPr>
          <w:rFonts w:ascii="宋体" w:hAnsi="宋体"/>
          <w:szCs w:val="21"/>
        </w:rPr>
      </w:pPr>
      <w:r>
        <w:rPr>
          <w:rFonts w:hint="eastAsia" w:ascii="宋体" w:hAnsi="宋体"/>
          <w:szCs w:val="21"/>
        </w:rPr>
        <w:t>29.1成立谈判小组：本采购项目的谈判小组由依法组成的评审专家三人组成，谈判与评审活动由依法组建的谈判小组负责。</w:t>
      </w:r>
    </w:p>
    <w:p w14:paraId="16F5CF4D">
      <w:pPr>
        <w:pStyle w:val="19"/>
        <w:ind w:firstLine="464" w:firstLineChars="221"/>
        <w:rPr>
          <w:szCs w:val="21"/>
        </w:rPr>
      </w:pPr>
      <w:r>
        <w:rPr>
          <w:rFonts w:hint="eastAsia" w:hAnsi="宋体"/>
          <w:szCs w:val="21"/>
        </w:rPr>
        <w:t>29.2评审原</w:t>
      </w:r>
      <w:r>
        <w:rPr>
          <w:rFonts w:hint="eastAsia"/>
          <w:szCs w:val="21"/>
        </w:rPr>
        <w:t>则：评审活动遵循公平、公正、科学和择优的原则。在评审过程中出现法律法规和谈判文件均没有明确规定的情形时，由谈判小组现场协商解决，协商不一致的，由全体谈判小组投票表决，以得票率二分之一以上专家的意见为准。</w:t>
      </w:r>
    </w:p>
    <w:p w14:paraId="6011FFA3">
      <w:pPr>
        <w:pStyle w:val="19"/>
        <w:ind w:firstLine="464" w:firstLineChars="221"/>
        <w:rPr>
          <w:rFonts w:hAnsi="宋体"/>
          <w:szCs w:val="21"/>
        </w:rPr>
      </w:pPr>
      <w:r>
        <w:rPr>
          <w:rFonts w:hint="eastAsia" w:hAnsi="宋体"/>
          <w:szCs w:val="21"/>
        </w:rPr>
        <w:t>29.3评审方法及</w:t>
      </w:r>
      <w:r>
        <w:rPr>
          <w:rFonts w:hint="eastAsia" w:hAnsi="宋体"/>
          <w:bCs/>
          <w:szCs w:val="21"/>
        </w:rPr>
        <w:t>评审程序</w:t>
      </w:r>
      <w:r>
        <w:rPr>
          <w:rFonts w:hint="eastAsia" w:hAnsi="宋体"/>
          <w:szCs w:val="21"/>
        </w:rPr>
        <w:t>：</w:t>
      </w:r>
      <w:r>
        <w:rPr>
          <w:rFonts w:hint="eastAsia"/>
          <w:szCs w:val="21"/>
        </w:rPr>
        <w:t>谈判小组按照</w:t>
      </w:r>
      <w:r>
        <w:rPr>
          <w:rFonts w:hint="eastAsia" w:hAnsi="宋体"/>
          <w:szCs w:val="21"/>
        </w:rPr>
        <w:t>谈判须知前附表和</w:t>
      </w:r>
      <w:r>
        <w:rPr>
          <w:rFonts w:hint="eastAsia"/>
          <w:szCs w:val="21"/>
        </w:rPr>
        <w:t>第三章“评审方法”规定的方法、程序、评</w:t>
      </w:r>
      <w:r>
        <w:rPr>
          <w:rFonts w:hint="eastAsia" w:hAnsi="宋体"/>
          <w:szCs w:val="21"/>
        </w:rPr>
        <w:t>审因素和标准对响应文件进行评审。在评审中，不得改变第三章“评审办法”规定的方法、评审因素和标准；第三章“评审办法”没有规定的方法、评审因素和标准，不作为评审依据。</w:t>
      </w:r>
    </w:p>
    <w:p w14:paraId="560589A9">
      <w:pPr>
        <w:snapToGrid w:val="0"/>
        <w:spacing w:line="420" w:lineRule="exact"/>
        <w:ind w:firstLine="499" w:firstLineChars="238"/>
        <w:rPr>
          <w:rFonts w:ascii="宋体" w:hAnsi="宋体"/>
          <w:szCs w:val="21"/>
        </w:rPr>
      </w:pPr>
      <w:r>
        <w:rPr>
          <w:rFonts w:hint="eastAsia" w:ascii="宋体" w:hAnsi="宋体"/>
          <w:szCs w:val="21"/>
        </w:rPr>
        <w:t>29.4谈判小组可以要求供应商对响应文件中含义不明确、同类问题表述不一致或者有明显文字和计算错误的内容作出必要的澄清、说明或者补正。</w:t>
      </w:r>
    </w:p>
    <w:p w14:paraId="614EDC15">
      <w:pPr>
        <w:pStyle w:val="17"/>
        <w:snapToGrid w:val="0"/>
        <w:spacing w:line="420" w:lineRule="exact"/>
        <w:ind w:firstLine="344" w:firstLineChars="200"/>
        <w:rPr>
          <w:rFonts w:hAnsi="宋体"/>
          <w:sz w:val="21"/>
          <w:szCs w:val="21"/>
        </w:rPr>
      </w:pPr>
      <w:r>
        <w:rPr>
          <w:rFonts w:hint="eastAsia" w:hAnsi="宋体"/>
          <w:szCs w:val="21"/>
        </w:rPr>
        <w:t>29</w:t>
      </w:r>
      <w:r>
        <w:rPr>
          <w:rFonts w:hint="eastAsia" w:hAnsi="宋体"/>
          <w:sz w:val="21"/>
          <w:szCs w:val="21"/>
        </w:rPr>
        <w:t>.5在评审中，供应商提交的响应文件或谈判应答文件出现下列情形之一的，竞标无效：</w:t>
      </w:r>
    </w:p>
    <w:p w14:paraId="25494ABC">
      <w:pPr>
        <w:snapToGrid w:val="0"/>
        <w:spacing w:line="400" w:lineRule="exact"/>
        <w:ind w:firstLine="411" w:firstLineChars="196"/>
        <w:rPr>
          <w:rFonts w:ascii="宋体" w:hAnsi="宋体" w:cs="宋体"/>
          <w:szCs w:val="21"/>
        </w:rPr>
      </w:pPr>
      <w:r>
        <w:rPr>
          <w:rFonts w:hint="eastAsia" w:ascii="宋体" w:hAnsi="宋体"/>
          <w:szCs w:val="21"/>
        </w:rPr>
        <w:t>（1）</w:t>
      </w:r>
      <w:r>
        <w:rPr>
          <w:rFonts w:hint="eastAsia" w:ascii="宋体" w:hAnsi="宋体" w:cs="宋体"/>
          <w:szCs w:val="21"/>
        </w:rPr>
        <w:t>不具备谈判文件中规定的资格要求的；</w:t>
      </w:r>
    </w:p>
    <w:p w14:paraId="162DAA6C">
      <w:pPr>
        <w:snapToGrid w:val="0"/>
        <w:spacing w:line="400" w:lineRule="exact"/>
        <w:ind w:firstLine="411" w:firstLineChars="196"/>
        <w:rPr>
          <w:rFonts w:ascii="宋体" w:hAnsi="宋体" w:cs="宋体"/>
          <w:szCs w:val="21"/>
        </w:rPr>
      </w:pPr>
      <w:r>
        <w:rPr>
          <w:rFonts w:hint="eastAsia" w:ascii="宋体" w:hAnsi="宋体" w:cs="宋体"/>
          <w:szCs w:val="21"/>
        </w:rPr>
        <w:t>（2）超越了按照法律法规规定必须获得行政许可或者行政审批的经营范围的；</w:t>
      </w:r>
    </w:p>
    <w:p w14:paraId="2E7E862A">
      <w:pPr>
        <w:snapToGrid w:val="0"/>
        <w:spacing w:line="400" w:lineRule="exact"/>
        <w:ind w:firstLine="411" w:firstLineChars="196"/>
        <w:rPr>
          <w:rFonts w:ascii="宋体" w:hAnsi="宋体" w:cs="宋体"/>
          <w:szCs w:val="21"/>
        </w:rPr>
      </w:pPr>
      <w:r>
        <w:rPr>
          <w:rFonts w:hint="eastAsia" w:ascii="宋体" w:hAnsi="宋体" w:cs="宋体"/>
          <w:szCs w:val="21"/>
        </w:rPr>
        <w:t>（3）首次响应文件提交的资格证明文件不全或模糊、辩认不清，不合格的；</w:t>
      </w:r>
    </w:p>
    <w:p w14:paraId="07B684CC">
      <w:pPr>
        <w:snapToGrid w:val="0"/>
        <w:spacing w:line="400" w:lineRule="exact"/>
        <w:ind w:firstLine="411" w:firstLineChars="196"/>
        <w:rPr>
          <w:rFonts w:ascii="宋体" w:hAnsi="宋体" w:cs="宋体"/>
          <w:szCs w:val="21"/>
        </w:rPr>
      </w:pPr>
      <w:r>
        <w:rPr>
          <w:rFonts w:hint="eastAsia" w:ascii="宋体" w:hAnsi="宋体" w:cs="宋体"/>
          <w:szCs w:val="21"/>
        </w:rPr>
        <w:t>（4）响应文件或谈判应答文件无法定代表人或其授权委托代理人签字，或未提供法定代表人授权委托书；</w:t>
      </w:r>
    </w:p>
    <w:p w14:paraId="45D4BE88">
      <w:pPr>
        <w:snapToGrid w:val="0"/>
        <w:spacing w:line="400" w:lineRule="exact"/>
        <w:ind w:firstLine="411" w:firstLineChars="196"/>
        <w:rPr>
          <w:rFonts w:ascii="宋体" w:hAnsi="宋体" w:cs="宋体"/>
          <w:szCs w:val="21"/>
        </w:rPr>
      </w:pPr>
      <w:r>
        <w:rPr>
          <w:rFonts w:hint="eastAsia" w:ascii="宋体" w:hAnsi="宋体" w:cs="宋体"/>
          <w:szCs w:val="21"/>
        </w:rPr>
        <w:t>（5）响应文件未按竞</w:t>
      </w:r>
      <w:r>
        <w:rPr>
          <w:rFonts w:ascii="宋体" w:hAnsi="宋体" w:cs="宋体"/>
          <w:szCs w:val="21"/>
        </w:rPr>
        <w:t>争性</w:t>
      </w:r>
      <w:r>
        <w:rPr>
          <w:rFonts w:hint="eastAsia" w:ascii="宋体" w:hAnsi="宋体" w:cs="宋体"/>
          <w:szCs w:val="21"/>
        </w:rPr>
        <w:t>谈判采</w:t>
      </w:r>
      <w:r>
        <w:rPr>
          <w:rFonts w:ascii="宋体" w:hAnsi="宋体" w:cs="宋体"/>
          <w:szCs w:val="21"/>
        </w:rPr>
        <w:t>购</w:t>
      </w:r>
      <w:r>
        <w:rPr>
          <w:rFonts w:hint="eastAsia" w:ascii="宋体" w:hAnsi="宋体" w:cs="宋体"/>
          <w:szCs w:val="21"/>
        </w:rPr>
        <w:t>文件要求签署、盖章的；</w:t>
      </w:r>
    </w:p>
    <w:p w14:paraId="705179CB">
      <w:pPr>
        <w:snapToGrid w:val="0"/>
        <w:spacing w:line="400" w:lineRule="exact"/>
        <w:ind w:firstLine="411" w:firstLineChars="196"/>
        <w:rPr>
          <w:rFonts w:ascii="宋体" w:hAnsi="宋体" w:cs="宋体"/>
          <w:szCs w:val="21"/>
        </w:rPr>
      </w:pPr>
      <w:r>
        <w:rPr>
          <w:rFonts w:hint="eastAsia" w:ascii="宋体" w:hAnsi="宋体" w:cs="宋体"/>
          <w:szCs w:val="21"/>
        </w:rPr>
        <w:t>（6）响应文件</w:t>
      </w:r>
      <w:r>
        <w:rPr>
          <w:rFonts w:ascii="宋体" w:hAnsi="宋体"/>
        </w:rPr>
        <w:t>格式不符合第</w:t>
      </w:r>
      <w:r>
        <w:rPr>
          <w:rFonts w:hint="eastAsia" w:ascii="宋体" w:hAnsi="宋体"/>
        </w:rPr>
        <w:t>六</w:t>
      </w:r>
      <w:r>
        <w:rPr>
          <w:rFonts w:ascii="宋体" w:hAnsi="宋体"/>
        </w:rPr>
        <w:t>章“</w:t>
      </w:r>
      <w:r>
        <w:rPr>
          <w:rFonts w:hint="eastAsia" w:ascii="宋体" w:hAnsi="宋体"/>
        </w:rPr>
        <w:t>响应</w:t>
      </w:r>
      <w:r>
        <w:rPr>
          <w:rFonts w:ascii="宋体" w:hAnsi="宋体"/>
        </w:rPr>
        <w:t>文件</w:t>
      </w:r>
      <w:r>
        <w:rPr>
          <w:rFonts w:hint="eastAsia" w:ascii="宋体" w:hAnsi="宋体"/>
        </w:rPr>
        <w:t>基本</w:t>
      </w:r>
      <w:r>
        <w:rPr>
          <w:rFonts w:ascii="宋体" w:hAnsi="宋体"/>
        </w:rPr>
        <w:t>格式”的要求</w:t>
      </w:r>
      <w:r>
        <w:rPr>
          <w:rFonts w:hint="eastAsia" w:ascii="宋体" w:hAnsi="宋体"/>
        </w:rPr>
        <w:t>，响应文件份数不符合采购文件要求的；</w:t>
      </w:r>
    </w:p>
    <w:p w14:paraId="62DF55AD">
      <w:pPr>
        <w:numPr>
          <w:ilvl w:val="0"/>
          <w:numId w:val="4"/>
        </w:numPr>
        <w:snapToGrid w:val="0"/>
        <w:spacing w:line="400" w:lineRule="exact"/>
        <w:ind w:firstLine="411" w:firstLineChars="196"/>
        <w:rPr>
          <w:rFonts w:ascii="宋体" w:hAnsi="宋体" w:cs="宋体"/>
          <w:szCs w:val="21"/>
        </w:rPr>
      </w:pPr>
      <w:r>
        <w:rPr>
          <w:rFonts w:hint="eastAsia" w:ascii="宋体" w:hAnsi="宋体" w:cs="宋体"/>
          <w:szCs w:val="21"/>
        </w:rPr>
        <w:t>竞标有效期、交付时间、售后服务承诺、付款条件等实质性商务条款内容不能满足采购文件要求的；</w:t>
      </w:r>
    </w:p>
    <w:p w14:paraId="57DB8AA1">
      <w:pPr>
        <w:snapToGrid w:val="0"/>
        <w:spacing w:line="400" w:lineRule="exact"/>
        <w:ind w:firstLine="420" w:firstLineChars="200"/>
        <w:rPr>
          <w:rFonts w:ascii="宋体" w:hAnsi="宋体" w:cs="宋体"/>
          <w:szCs w:val="21"/>
        </w:rPr>
      </w:pPr>
      <w:r>
        <w:rPr>
          <w:rFonts w:hint="eastAsia" w:ascii="宋体" w:hAnsi="宋体" w:cs="宋体"/>
          <w:szCs w:val="21"/>
        </w:rPr>
        <w:t>（8）</w:t>
      </w:r>
      <w:r>
        <w:rPr>
          <w:rFonts w:hint="eastAsia" w:hAnsi="宋体"/>
        </w:rPr>
        <w:t>响应文件未提供或未如实提供竞标货物的技术参数，或者响应文件标明的响应或偏离与事实不符或虚假竞标的；</w:t>
      </w:r>
    </w:p>
    <w:p w14:paraId="73A3136B">
      <w:pPr>
        <w:snapToGrid w:val="0"/>
        <w:spacing w:line="400" w:lineRule="exact"/>
        <w:ind w:firstLine="411" w:firstLineChars="196"/>
        <w:rPr>
          <w:rFonts w:hAnsi="宋体"/>
        </w:rPr>
      </w:pPr>
      <w:r>
        <w:rPr>
          <w:rFonts w:hint="eastAsia" w:hAnsi="宋体" w:cs="宋体"/>
          <w:szCs w:val="21"/>
        </w:rPr>
        <w:t>（9）</w:t>
      </w:r>
      <w:r>
        <w:rPr>
          <w:rFonts w:hint="eastAsia" w:ascii="宋体" w:hAnsi="宋体" w:cs="宋体"/>
          <w:snapToGrid w:val="0"/>
          <w:szCs w:val="21"/>
        </w:rPr>
        <w:t>明显不符合谈判采</w:t>
      </w:r>
      <w:r>
        <w:rPr>
          <w:rFonts w:ascii="宋体" w:hAnsi="宋体" w:cs="宋体"/>
          <w:snapToGrid w:val="0"/>
          <w:szCs w:val="21"/>
        </w:rPr>
        <w:t>购</w:t>
      </w:r>
      <w:r>
        <w:rPr>
          <w:rFonts w:hint="eastAsia" w:ascii="宋体" w:hAnsi="宋体" w:cs="宋体"/>
          <w:snapToGrid w:val="0"/>
          <w:szCs w:val="21"/>
        </w:rPr>
        <w:t>文件要求的规格型号、质量标准</w:t>
      </w:r>
      <w:r>
        <w:rPr>
          <w:rFonts w:hint="eastAsia" w:ascii="宋体" w:hAnsi="宋体" w:cs="宋体"/>
          <w:szCs w:val="21"/>
        </w:rPr>
        <w:t>的；</w:t>
      </w:r>
      <w:r>
        <w:rPr>
          <w:rFonts w:hint="eastAsia" w:ascii="宋体" w:hAnsi="宋体" w:cs="宋体"/>
          <w:snapToGrid w:val="0"/>
          <w:szCs w:val="21"/>
        </w:rPr>
        <w:t>或者与谈判</w:t>
      </w:r>
      <w:r>
        <w:rPr>
          <w:rFonts w:hint="eastAsia" w:ascii="宋体" w:hAnsi="宋体" w:cs="宋体"/>
          <w:szCs w:val="21"/>
        </w:rPr>
        <w:t>文件中标“▲”的技术指标、主要功能项目发生实质性偏离的；</w:t>
      </w:r>
    </w:p>
    <w:p w14:paraId="562FA9B0">
      <w:pPr>
        <w:snapToGrid w:val="0"/>
        <w:spacing w:line="400" w:lineRule="exact"/>
        <w:ind w:firstLine="411" w:firstLineChars="196"/>
        <w:rPr>
          <w:rFonts w:ascii="宋体" w:hAnsi="宋体" w:cs="宋体"/>
          <w:szCs w:val="21"/>
        </w:rPr>
      </w:pPr>
      <w:r>
        <w:rPr>
          <w:rFonts w:hint="eastAsia" w:ascii="宋体" w:hAnsi="宋体"/>
        </w:rPr>
        <w:t>（10）</w:t>
      </w:r>
      <w:r>
        <w:rPr>
          <w:rFonts w:hint="eastAsia" w:ascii="宋体" w:hAnsi="宋体" w:cs="宋体"/>
          <w:szCs w:val="21"/>
        </w:rPr>
        <w:t>未采用人民币报价或者未按照谈判文件标明的币种、计价规则报价的；</w:t>
      </w:r>
    </w:p>
    <w:p w14:paraId="34641035">
      <w:pPr>
        <w:snapToGrid w:val="0"/>
        <w:spacing w:line="400" w:lineRule="exact"/>
        <w:ind w:firstLine="411" w:firstLineChars="196"/>
        <w:rPr>
          <w:rFonts w:ascii="宋体" w:hAnsi="宋体" w:cs="宋体"/>
          <w:szCs w:val="21"/>
        </w:rPr>
      </w:pPr>
      <w:r>
        <w:rPr>
          <w:rFonts w:hint="eastAsia" w:ascii="宋体" w:hAnsi="宋体" w:cs="宋体"/>
          <w:szCs w:val="21"/>
        </w:rPr>
        <w:t>（11）</w:t>
      </w:r>
      <w:r>
        <w:rPr>
          <w:rFonts w:hint="eastAsia" w:ascii="宋体" w:hAnsi="宋体"/>
        </w:rPr>
        <w:t>最终报价不是唯一报价，具有选择性。</w:t>
      </w:r>
    </w:p>
    <w:p w14:paraId="02418CB4">
      <w:pPr>
        <w:snapToGrid w:val="0"/>
        <w:spacing w:line="400" w:lineRule="exact"/>
        <w:ind w:firstLine="411" w:firstLineChars="196"/>
        <w:rPr>
          <w:rFonts w:ascii="宋体" w:hAnsi="宋体" w:cs="宋体"/>
          <w:szCs w:val="21"/>
        </w:rPr>
      </w:pPr>
      <w:r>
        <w:rPr>
          <w:rFonts w:hint="eastAsia" w:ascii="宋体" w:hAnsi="宋体" w:cs="宋体"/>
          <w:szCs w:val="21"/>
        </w:rPr>
        <w:t>（12）最终报价超出最高限价，或者超出采购预算金额，采购人不能支付的；</w:t>
      </w:r>
    </w:p>
    <w:p w14:paraId="28A9B985">
      <w:pPr>
        <w:snapToGrid w:val="0"/>
        <w:spacing w:line="400" w:lineRule="exact"/>
        <w:ind w:firstLine="411" w:firstLineChars="196"/>
        <w:jc w:val="left"/>
        <w:rPr>
          <w:rFonts w:ascii="宋体" w:hAnsi="宋体" w:cs="宋体"/>
          <w:szCs w:val="21"/>
        </w:rPr>
      </w:pPr>
      <w:r>
        <w:rPr>
          <w:rFonts w:hint="eastAsia" w:ascii="宋体" w:hAnsi="宋体" w:cs="宋体"/>
          <w:szCs w:val="21"/>
        </w:rPr>
        <w:t>（13）谈判小组会认为供应商的最终报价明显低于其他通过符合性审查供应商的最终报价，有可能影响产品质量或者不能诚信履约，供应商不能证明其报价合理性的；</w:t>
      </w:r>
    </w:p>
    <w:p w14:paraId="35D5A536">
      <w:pPr>
        <w:snapToGrid w:val="0"/>
        <w:spacing w:line="400" w:lineRule="exact"/>
        <w:ind w:firstLine="411" w:firstLineChars="196"/>
        <w:jc w:val="left"/>
        <w:rPr>
          <w:rFonts w:ascii="宋体" w:hAnsi="宋体" w:cs="宋体"/>
          <w:szCs w:val="21"/>
        </w:rPr>
      </w:pPr>
      <w:r>
        <w:rPr>
          <w:rFonts w:hint="eastAsia" w:ascii="宋体" w:hAnsi="宋体" w:cs="宋体"/>
          <w:szCs w:val="21"/>
        </w:rPr>
        <w:t>（14）</w:t>
      </w:r>
      <w:r>
        <w:rPr>
          <w:rFonts w:hint="eastAsia" w:ascii="宋体" w:hAnsi="宋体" w:cs="宋体"/>
          <w:snapToGrid w:val="0"/>
          <w:szCs w:val="21"/>
        </w:rPr>
        <w:t>供应商</w:t>
      </w:r>
      <w:r>
        <w:rPr>
          <w:rFonts w:hint="eastAsia" w:ascii="宋体" w:hAnsi="宋体"/>
          <w:szCs w:val="21"/>
        </w:rPr>
        <w:t>代表拒绝谈判小组提出的响应文件澄清要求或者澄清的内容改变了响应文件的实质性内容的。</w:t>
      </w:r>
    </w:p>
    <w:p w14:paraId="6B6C45A6">
      <w:pPr>
        <w:snapToGrid w:val="0"/>
        <w:spacing w:line="400" w:lineRule="exact"/>
        <w:ind w:firstLine="411" w:firstLineChars="196"/>
        <w:rPr>
          <w:rFonts w:ascii="宋体" w:hAnsi="宋体" w:cs="宋体"/>
          <w:szCs w:val="21"/>
        </w:rPr>
      </w:pPr>
      <w:r>
        <w:rPr>
          <w:rFonts w:hint="eastAsia" w:ascii="宋体" w:hAnsi="宋体" w:cs="宋体"/>
          <w:szCs w:val="21"/>
        </w:rPr>
        <w:t>（15）响应文件或谈判应答文件附有采购人</w:t>
      </w:r>
      <w:r>
        <w:rPr>
          <w:rFonts w:hint="eastAsia" w:ascii="宋体" w:hAnsi="宋体"/>
        </w:rPr>
        <w:t>不能接受的附加条件的；</w:t>
      </w:r>
    </w:p>
    <w:p w14:paraId="687E3550">
      <w:pPr>
        <w:snapToGrid w:val="0"/>
        <w:spacing w:line="400" w:lineRule="exact"/>
        <w:ind w:firstLine="411" w:firstLineChars="196"/>
        <w:rPr>
          <w:rFonts w:ascii="宋体" w:hAnsi="宋体" w:cs="宋体"/>
          <w:szCs w:val="21"/>
        </w:rPr>
      </w:pPr>
      <w:r>
        <w:rPr>
          <w:rFonts w:hint="eastAsia" w:ascii="宋体" w:hAnsi="宋体" w:cs="宋体"/>
          <w:szCs w:val="21"/>
        </w:rPr>
        <w:t>（16）供应商存在如下串通行为：</w:t>
      </w:r>
    </w:p>
    <w:p w14:paraId="03518A3C">
      <w:pPr>
        <w:widowControl/>
        <w:spacing w:line="360" w:lineRule="exact"/>
        <w:ind w:firstLine="965" w:firstLineChars="460"/>
        <w:jc w:val="left"/>
        <w:rPr>
          <w:rFonts w:ascii="宋体" w:hAnsi="宋体"/>
          <w:szCs w:val="21"/>
        </w:rPr>
      </w:pPr>
      <w:r>
        <w:rPr>
          <w:rFonts w:hint="eastAsia" w:ascii="宋体" w:hAnsi="宋体"/>
          <w:szCs w:val="21"/>
        </w:rPr>
        <w:t>A.不同供应商的响应文件由同一单位或者个人编制。</w:t>
      </w:r>
    </w:p>
    <w:p w14:paraId="6A831C5C">
      <w:pPr>
        <w:widowControl/>
        <w:spacing w:line="360" w:lineRule="exact"/>
        <w:ind w:firstLine="965" w:firstLineChars="460"/>
        <w:jc w:val="left"/>
        <w:rPr>
          <w:rFonts w:ascii="宋体" w:hAnsi="宋体"/>
          <w:szCs w:val="21"/>
        </w:rPr>
      </w:pPr>
      <w:r>
        <w:rPr>
          <w:rFonts w:hint="eastAsia" w:ascii="宋体" w:hAnsi="宋体"/>
          <w:szCs w:val="21"/>
        </w:rPr>
        <w:t>B.不同供应商委托同一单位或者个人办理竞标事宜。</w:t>
      </w:r>
    </w:p>
    <w:p w14:paraId="54135B15">
      <w:pPr>
        <w:widowControl/>
        <w:spacing w:line="360" w:lineRule="exact"/>
        <w:ind w:firstLine="965" w:firstLineChars="460"/>
        <w:jc w:val="left"/>
        <w:rPr>
          <w:rFonts w:ascii="宋体" w:hAnsi="宋体"/>
          <w:szCs w:val="21"/>
        </w:rPr>
      </w:pPr>
      <w:r>
        <w:rPr>
          <w:rFonts w:hint="eastAsia" w:ascii="宋体" w:hAnsi="宋体"/>
          <w:szCs w:val="21"/>
        </w:rPr>
        <w:t>C.不同的供应商的响应文件载明的项目管理员为同一个人。</w:t>
      </w:r>
    </w:p>
    <w:p w14:paraId="3D430D00">
      <w:pPr>
        <w:widowControl/>
        <w:spacing w:line="360" w:lineRule="exact"/>
        <w:ind w:firstLine="965" w:firstLineChars="460"/>
        <w:jc w:val="left"/>
        <w:rPr>
          <w:rFonts w:ascii="宋体" w:hAnsi="宋体"/>
          <w:szCs w:val="21"/>
        </w:rPr>
      </w:pPr>
      <w:r>
        <w:rPr>
          <w:rFonts w:hint="eastAsia" w:ascii="宋体" w:hAnsi="宋体"/>
          <w:szCs w:val="21"/>
        </w:rPr>
        <w:t>D.不同供应商的响应文件异常一致或竞标报价呈规律性差异。</w:t>
      </w:r>
    </w:p>
    <w:p w14:paraId="0319DBB6">
      <w:pPr>
        <w:widowControl/>
        <w:spacing w:line="360" w:lineRule="exact"/>
        <w:ind w:firstLine="965" w:firstLineChars="460"/>
        <w:jc w:val="left"/>
        <w:rPr>
          <w:rFonts w:ascii="宋体" w:hAnsi="宋体"/>
          <w:szCs w:val="21"/>
        </w:rPr>
      </w:pPr>
      <w:r>
        <w:rPr>
          <w:rFonts w:hint="eastAsia" w:ascii="宋体" w:hAnsi="宋体"/>
          <w:szCs w:val="21"/>
        </w:rPr>
        <w:t>E.不同供应商的响应文件相互混装。</w:t>
      </w:r>
    </w:p>
    <w:p w14:paraId="37A8ADFD">
      <w:pPr>
        <w:pStyle w:val="19"/>
        <w:ind w:firstLine="464" w:firstLineChars="221"/>
        <w:rPr>
          <w:szCs w:val="21"/>
        </w:rPr>
      </w:pPr>
      <w:r>
        <w:rPr>
          <w:rFonts w:hint="eastAsia" w:hAnsi="宋体" w:cs="宋体"/>
          <w:szCs w:val="21"/>
        </w:rPr>
        <w:t>（17）法律、法规和谈判文件规定的其他无效情形。</w:t>
      </w:r>
    </w:p>
    <w:p w14:paraId="1523D4AE">
      <w:pPr>
        <w:pStyle w:val="17"/>
        <w:snapToGrid w:val="0"/>
        <w:spacing w:line="420" w:lineRule="exact"/>
        <w:ind w:firstLine="361" w:firstLineChars="210"/>
        <w:rPr>
          <w:rFonts w:hAnsi="宋体"/>
          <w:b/>
          <w:sz w:val="21"/>
          <w:szCs w:val="21"/>
        </w:rPr>
      </w:pPr>
      <w:r>
        <w:rPr>
          <w:rFonts w:hint="eastAsia" w:hAnsi="宋体"/>
          <w:szCs w:val="21"/>
        </w:rPr>
        <w:t>29</w:t>
      </w:r>
      <w:r>
        <w:rPr>
          <w:rFonts w:hint="eastAsia"/>
          <w:sz w:val="21"/>
          <w:szCs w:val="21"/>
        </w:rPr>
        <w:t>.6</w:t>
      </w:r>
      <w:r>
        <w:rPr>
          <w:rFonts w:hint="eastAsia" w:hAnsi="宋体"/>
          <w:b/>
          <w:sz w:val="21"/>
          <w:szCs w:val="21"/>
        </w:rPr>
        <w:t>在谈判采购中，出现下列情形之一的，予以废标：</w:t>
      </w:r>
    </w:p>
    <w:p w14:paraId="16E0F303">
      <w:pPr>
        <w:pStyle w:val="17"/>
        <w:snapToGrid w:val="0"/>
        <w:spacing w:line="420" w:lineRule="exact"/>
        <w:ind w:firstLine="365" w:firstLineChars="181"/>
        <w:rPr>
          <w:rFonts w:hAnsi="宋体"/>
          <w:sz w:val="21"/>
          <w:szCs w:val="21"/>
        </w:rPr>
      </w:pPr>
      <w:r>
        <w:rPr>
          <w:rFonts w:hint="eastAsia" w:hAnsi="宋体"/>
          <w:sz w:val="21"/>
          <w:szCs w:val="21"/>
        </w:rPr>
        <w:t>（1）因情况变化，不再符合规定的竞争性谈判采购方式适用情形的。</w:t>
      </w:r>
    </w:p>
    <w:p w14:paraId="20B3EFF5">
      <w:pPr>
        <w:pStyle w:val="17"/>
        <w:snapToGrid w:val="0"/>
        <w:spacing w:line="420" w:lineRule="exact"/>
        <w:ind w:firstLine="339" w:firstLineChars="168"/>
        <w:rPr>
          <w:rFonts w:hAnsi="宋体"/>
          <w:sz w:val="21"/>
          <w:szCs w:val="21"/>
        </w:rPr>
      </w:pPr>
      <w:r>
        <w:rPr>
          <w:rFonts w:hint="eastAsia" w:hAnsi="宋体"/>
          <w:sz w:val="21"/>
          <w:szCs w:val="21"/>
        </w:rPr>
        <w:t>（2）出现影响采购公正的违法.违规行为的。</w:t>
      </w:r>
    </w:p>
    <w:p w14:paraId="5360D481">
      <w:pPr>
        <w:pStyle w:val="17"/>
        <w:snapToGrid w:val="0"/>
        <w:spacing w:line="420" w:lineRule="exact"/>
        <w:ind w:firstLine="377" w:firstLineChars="187"/>
        <w:rPr>
          <w:rFonts w:hAnsi="宋体"/>
          <w:sz w:val="21"/>
          <w:szCs w:val="21"/>
        </w:rPr>
      </w:pPr>
      <w:r>
        <w:rPr>
          <w:rFonts w:hint="eastAsia" w:hAnsi="宋体"/>
          <w:sz w:val="21"/>
          <w:szCs w:val="21"/>
        </w:rPr>
        <w:t>（3）在采购过程中符合竞争要求的供应商或者报价未超过采购预算的供应商不足3家的，但本须知第（6）款规定的情形除外。</w:t>
      </w:r>
    </w:p>
    <w:p w14:paraId="312BE292">
      <w:pPr>
        <w:widowControl/>
        <w:spacing w:line="360" w:lineRule="exact"/>
        <w:ind w:firstLine="378" w:firstLineChars="180"/>
        <w:jc w:val="left"/>
        <w:rPr>
          <w:rFonts w:ascii="宋体" w:hAnsi="宋体"/>
          <w:szCs w:val="21"/>
        </w:rPr>
      </w:pPr>
      <w:r>
        <w:rPr>
          <w:rFonts w:hint="eastAsia" w:ascii="宋体" w:hAnsi="宋体"/>
          <w:szCs w:val="21"/>
        </w:rPr>
        <w:t>（4）因重大变故，采购任务取消的。</w:t>
      </w:r>
    </w:p>
    <w:bookmarkEnd w:id="38"/>
    <w:bookmarkEnd w:id="39"/>
    <w:p w14:paraId="5A62CE62">
      <w:pPr>
        <w:spacing w:line="400" w:lineRule="exact"/>
        <w:ind w:firstLine="422" w:firstLineChars="200"/>
        <w:rPr>
          <w:rFonts w:ascii="宋体" w:hAnsi="宋体"/>
          <w:b/>
          <w:szCs w:val="21"/>
        </w:rPr>
      </w:pPr>
      <w:bookmarkStart w:id="40" w:name="_Toc254970533"/>
      <w:bookmarkStart w:id="41" w:name="_Toc254970674"/>
      <w:r>
        <w:rPr>
          <w:rFonts w:hint="eastAsia" w:ascii="宋体" w:hAnsi="宋体"/>
          <w:b/>
          <w:bCs/>
          <w:szCs w:val="21"/>
        </w:rPr>
        <w:t>七、</w:t>
      </w:r>
      <w:r>
        <w:rPr>
          <w:rFonts w:hint="eastAsia" w:ascii="宋体" w:hAnsi="宋体"/>
          <w:b/>
          <w:szCs w:val="21"/>
        </w:rPr>
        <w:t>确定成交供应商办法</w:t>
      </w:r>
    </w:p>
    <w:p w14:paraId="386110DA">
      <w:pPr>
        <w:widowControl/>
        <w:tabs>
          <w:tab w:val="left" w:pos="540"/>
        </w:tabs>
        <w:spacing w:line="400" w:lineRule="exact"/>
        <w:ind w:firstLine="420" w:firstLineChars="200"/>
        <w:jc w:val="left"/>
        <w:rPr>
          <w:rFonts w:ascii="宋体" w:hAnsi="宋体"/>
          <w:szCs w:val="21"/>
        </w:rPr>
      </w:pPr>
      <w:r>
        <w:rPr>
          <w:rFonts w:hint="eastAsia" w:ascii="宋体" w:hAnsi="宋体"/>
          <w:szCs w:val="21"/>
        </w:rPr>
        <w:t>30.谈判小组应当从质量和服务均能满足谈判文件实质性响应要求的供应商中，按照最后评标报价由低到高的顺序提出成交候选供应商（见第三章评审方法）。</w:t>
      </w:r>
    </w:p>
    <w:p w14:paraId="2762A5C9">
      <w:pPr>
        <w:widowControl/>
        <w:tabs>
          <w:tab w:val="left" w:pos="540"/>
        </w:tabs>
        <w:spacing w:line="400" w:lineRule="exact"/>
        <w:ind w:firstLine="420" w:firstLineChars="200"/>
        <w:jc w:val="left"/>
        <w:rPr>
          <w:rFonts w:ascii="宋体" w:hAnsi="宋体"/>
          <w:szCs w:val="21"/>
        </w:rPr>
      </w:pPr>
      <w:r>
        <w:rPr>
          <w:rFonts w:hint="eastAsia" w:ascii="宋体" w:hAnsi="宋体"/>
          <w:szCs w:val="21"/>
        </w:rPr>
        <w:t>31.采购人在收到评审报告后5个工作日内，从评审报告提出的成交候选供应商中，根据质量和服务均能满足谈判文件实质性响应要求且最后评标报价最低的原则确定成交供应商。采购人逾期未确定成交供应商且不提出异议的，视为确定评审报告提出的最后报价最低的供应商为成交供应商。</w:t>
      </w:r>
    </w:p>
    <w:p w14:paraId="386C51A4">
      <w:pPr>
        <w:spacing w:line="400" w:lineRule="exact"/>
        <w:ind w:firstLine="422" w:firstLineChars="200"/>
        <w:rPr>
          <w:rFonts w:ascii="宋体" w:hAnsi="宋体"/>
          <w:b/>
          <w:bCs/>
          <w:szCs w:val="21"/>
        </w:rPr>
      </w:pPr>
      <w:r>
        <w:rPr>
          <w:rFonts w:hint="eastAsia" w:ascii="宋体" w:hAnsi="宋体"/>
          <w:b/>
          <w:szCs w:val="21"/>
        </w:rPr>
        <w:t>八、</w:t>
      </w:r>
      <w:r>
        <w:rPr>
          <w:rFonts w:hint="eastAsia" w:ascii="宋体" w:hAnsi="宋体"/>
          <w:b/>
          <w:bCs/>
          <w:szCs w:val="21"/>
        </w:rPr>
        <w:t>质疑和投诉</w:t>
      </w:r>
      <w:bookmarkEnd w:id="40"/>
      <w:bookmarkEnd w:id="41"/>
    </w:p>
    <w:p w14:paraId="6CA2BC2F">
      <w:pPr>
        <w:spacing w:line="400" w:lineRule="exact"/>
        <w:ind w:firstLine="420" w:firstLineChars="200"/>
        <w:rPr>
          <w:rFonts w:ascii="宋体" w:hAnsi="宋体"/>
          <w:bCs/>
          <w:szCs w:val="21"/>
        </w:rPr>
      </w:pPr>
      <w:r>
        <w:rPr>
          <w:rFonts w:hint="eastAsia" w:ascii="宋体" w:hAnsi="宋体"/>
          <w:bCs/>
          <w:szCs w:val="21"/>
        </w:rPr>
        <w:t>22.供应商认为谈判文件、竞标过程或成交结果使自己的合法权益受到损害的，应当在知道或者应知其权益受到损害之日起七个工作日内，以书面形式向采购人、采购代理机构提出质疑。供应商对采购单位的质疑答复不满意或者采购单位未在规定时间内作出答复的，可以在答复期满后十五个工作日内向同级采购监管部门投诉。</w:t>
      </w:r>
    </w:p>
    <w:p w14:paraId="65FA5F52">
      <w:pPr>
        <w:spacing w:line="400" w:lineRule="exact"/>
        <w:ind w:firstLine="420" w:firstLineChars="200"/>
        <w:rPr>
          <w:rFonts w:ascii="宋体" w:hAnsi="宋体"/>
          <w:bCs/>
          <w:szCs w:val="21"/>
        </w:rPr>
      </w:pPr>
      <w:r>
        <w:rPr>
          <w:rFonts w:hint="eastAsia" w:ascii="宋体" w:hAnsi="宋体"/>
          <w:bCs/>
          <w:szCs w:val="21"/>
        </w:rPr>
        <w:t>23.接收质疑函方式：以书面形式，按照《政府采购质疑和投诉办法》（中华人民共和国财政部令94号）执行。</w:t>
      </w:r>
    </w:p>
    <w:p w14:paraId="7CB79976">
      <w:pPr>
        <w:spacing w:line="400" w:lineRule="exact"/>
        <w:ind w:firstLine="420" w:firstLineChars="200"/>
        <w:rPr>
          <w:rFonts w:hint="eastAsia" w:ascii="宋体" w:hAnsi="宋体" w:eastAsia="宋体"/>
          <w:bCs/>
          <w:szCs w:val="21"/>
          <w:lang w:eastAsia="zh-CN"/>
        </w:rPr>
      </w:pPr>
      <w:r>
        <w:rPr>
          <w:rFonts w:hint="eastAsia" w:ascii="宋体" w:hAnsi="宋体"/>
          <w:bCs/>
          <w:szCs w:val="21"/>
        </w:rPr>
        <w:t>质疑联系部门及联系方式：广西宝盛工程咨询有限公司，联系电话：0775-</w:t>
      </w:r>
      <w:r>
        <w:rPr>
          <w:rFonts w:hint="eastAsia" w:ascii="宋体" w:hAnsi="宋体"/>
          <w:bCs/>
          <w:szCs w:val="21"/>
          <w:lang w:eastAsia="zh-CN"/>
        </w:rPr>
        <w:t>4863888</w:t>
      </w:r>
    </w:p>
    <w:p w14:paraId="3CEF532B">
      <w:pPr>
        <w:spacing w:line="400" w:lineRule="exact"/>
        <w:ind w:firstLine="420" w:firstLineChars="200"/>
        <w:rPr>
          <w:rFonts w:ascii="宋体" w:hAnsi="宋体"/>
          <w:bCs/>
          <w:szCs w:val="21"/>
        </w:rPr>
      </w:pPr>
      <w:r>
        <w:rPr>
          <w:rFonts w:hint="eastAsia" w:ascii="宋体" w:hAnsi="宋体"/>
          <w:bCs/>
          <w:szCs w:val="21"/>
        </w:rPr>
        <w:t>通讯地址：贵港市港北区中央花园2楼201</w:t>
      </w:r>
    </w:p>
    <w:p w14:paraId="63F5F31C">
      <w:pPr>
        <w:spacing w:line="400" w:lineRule="exact"/>
        <w:ind w:firstLine="420" w:firstLineChars="200"/>
        <w:rPr>
          <w:rFonts w:ascii="宋体" w:hAnsi="宋体"/>
          <w:bCs/>
          <w:szCs w:val="21"/>
        </w:rPr>
      </w:pPr>
      <w:r>
        <w:rPr>
          <w:rFonts w:hint="eastAsia" w:ascii="宋体" w:hAnsi="宋体"/>
          <w:bCs/>
          <w:szCs w:val="21"/>
        </w:rPr>
        <w:t>24.质疑、投诉应当采用书面形式，质疑书、投诉书均应明确阐述谈判文件、采购过程或成交结果中使自己合法权益受到损害的实质性内容，提供相关事实、依据和证据及其来源或线索，便于有关单位调查、答复和处理。</w:t>
      </w:r>
    </w:p>
    <w:p w14:paraId="5245DB5D">
      <w:pPr>
        <w:spacing w:line="400" w:lineRule="exact"/>
        <w:ind w:left="420" w:leftChars="200" w:firstLine="105" w:firstLineChars="50"/>
        <w:rPr>
          <w:rFonts w:ascii="宋体" w:hAnsi="宋体"/>
          <w:b/>
          <w:szCs w:val="21"/>
        </w:rPr>
      </w:pPr>
      <w:r>
        <w:rPr>
          <w:rFonts w:hint="eastAsia" w:ascii="宋体" w:hAnsi="宋体"/>
          <w:b/>
          <w:szCs w:val="21"/>
        </w:rPr>
        <w:t>九、签订合同</w:t>
      </w:r>
    </w:p>
    <w:p w14:paraId="72E6F620">
      <w:pPr>
        <w:pStyle w:val="19"/>
        <w:spacing w:line="420" w:lineRule="exact"/>
        <w:ind w:firstLine="420" w:firstLineChars="200"/>
        <w:rPr>
          <w:rFonts w:hAnsi="宋体"/>
          <w:szCs w:val="21"/>
        </w:rPr>
      </w:pPr>
      <w:r>
        <w:rPr>
          <w:rFonts w:hint="eastAsia" w:hAnsi="宋体"/>
          <w:szCs w:val="21"/>
        </w:rPr>
        <w:t>25.成交供应商接到成交通知书20日内，应按成交通知书规定的地点与采购人签订合同。</w:t>
      </w:r>
    </w:p>
    <w:p w14:paraId="7FB6087C">
      <w:pPr>
        <w:pStyle w:val="19"/>
        <w:spacing w:line="420" w:lineRule="exact"/>
        <w:ind w:firstLine="420" w:firstLineChars="200"/>
        <w:rPr>
          <w:rStyle w:val="56"/>
        </w:rPr>
      </w:pPr>
      <w:r>
        <w:rPr>
          <w:rStyle w:val="56"/>
        </w:rPr>
        <w:t>2</w:t>
      </w:r>
      <w:r>
        <w:rPr>
          <w:rStyle w:val="56"/>
          <w:rFonts w:hint="eastAsia"/>
        </w:rPr>
        <w:t>6.成交供应商因不可抗力或者拒绝签订政府采购合同的，采购人可以与成交供应商之后排名第一的成交候选供应商签订采购合同，以此类推。采购人也可以重新开展政府采购活动。拒绝签订政府采购合同的成交供应商不得参加对该项目重新开展的采购活动。</w:t>
      </w:r>
    </w:p>
    <w:p w14:paraId="1C54BACB">
      <w:pPr>
        <w:pStyle w:val="19"/>
        <w:spacing w:line="420" w:lineRule="exact"/>
        <w:ind w:firstLine="420" w:firstLineChars="200"/>
        <w:rPr>
          <w:rStyle w:val="56"/>
        </w:rPr>
      </w:pPr>
      <w:r>
        <w:rPr>
          <w:rStyle w:val="56"/>
          <w:rFonts w:hint="eastAsia"/>
        </w:rPr>
        <w:t>27.政府采购合同公告</w:t>
      </w:r>
    </w:p>
    <w:p w14:paraId="0AFBBC37">
      <w:pPr>
        <w:pStyle w:val="19"/>
        <w:spacing w:line="420" w:lineRule="exact"/>
        <w:ind w:firstLine="420" w:firstLineChars="200"/>
        <w:rPr>
          <w:rStyle w:val="56"/>
        </w:rPr>
      </w:pPr>
      <w:r>
        <w:rPr>
          <w:rStyle w:val="56"/>
          <w:rFonts w:hint="eastAsia"/>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002F5EC">
      <w:pPr>
        <w:spacing w:line="400" w:lineRule="exact"/>
        <w:ind w:left="420" w:leftChars="200" w:firstLine="105" w:firstLineChars="50"/>
        <w:rPr>
          <w:rFonts w:ascii="宋体" w:hAnsi="宋体"/>
          <w:b/>
          <w:szCs w:val="21"/>
        </w:rPr>
      </w:pPr>
      <w:r>
        <w:rPr>
          <w:rFonts w:hint="eastAsia" w:ascii="宋体" w:hAnsi="宋体"/>
          <w:b/>
          <w:szCs w:val="21"/>
        </w:rPr>
        <w:t>十、其他事项</w:t>
      </w:r>
    </w:p>
    <w:p w14:paraId="512C26E3">
      <w:pPr>
        <w:pStyle w:val="19"/>
        <w:spacing w:line="420" w:lineRule="exact"/>
        <w:ind w:firstLine="411" w:firstLineChars="196"/>
        <w:rPr>
          <w:rFonts w:hAnsi="宋体"/>
          <w:b/>
          <w:szCs w:val="21"/>
        </w:rPr>
      </w:pPr>
      <w:r>
        <w:rPr>
          <w:rFonts w:hint="eastAsia" w:hAnsi="宋体"/>
          <w:szCs w:val="21"/>
        </w:rPr>
        <w:t>28.</w:t>
      </w:r>
      <w:r>
        <w:rPr>
          <w:rFonts w:hint="eastAsia" w:hAnsi="宋体"/>
          <w:b/>
          <w:szCs w:val="21"/>
        </w:rPr>
        <w:t xml:space="preserve"> 代理服务费</w:t>
      </w:r>
    </w:p>
    <w:p w14:paraId="56951D6D">
      <w:pPr>
        <w:pStyle w:val="19"/>
        <w:spacing w:line="420" w:lineRule="exact"/>
        <w:ind w:firstLine="411" w:firstLineChars="196"/>
        <w:rPr>
          <w:rFonts w:hAnsi="宋体"/>
          <w:szCs w:val="21"/>
        </w:rPr>
      </w:pPr>
      <w:r>
        <w:rPr>
          <w:rFonts w:hint="eastAsia" w:hAnsi="宋体"/>
          <w:bCs/>
          <w:szCs w:val="21"/>
        </w:rPr>
        <w:t xml:space="preserve">28.1 </w:t>
      </w:r>
      <w:r>
        <w:rPr>
          <w:rFonts w:hint="eastAsia" w:hAnsi="宋体"/>
          <w:szCs w:val="21"/>
        </w:rPr>
        <w:t>代理服务费按发改价格〔2015〕299号文执行，代理服务费</w:t>
      </w:r>
      <w:r>
        <w:rPr>
          <w:rFonts w:hAnsi="宋体" w:cs="宋体"/>
          <w:bCs/>
          <w:kern w:val="0"/>
          <w:szCs w:val="21"/>
        </w:rPr>
        <w:t>金额</w:t>
      </w:r>
      <w:r>
        <w:rPr>
          <w:rFonts w:hint="eastAsia" w:hAnsi="宋体" w:cs="宋体"/>
          <w:bCs/>
          <w:kern w:val="0"/>
          <w:szCs w:val="21"/>
        </w:rPr>
        <w:t>为</w:t>
      </w:r>
      <w:r>
        <w:rPr>
          <w:rFonts w:hint="eastAsia" w:hAnsi="宋体"/>
          <w:szCs w:val="21"/>
        </w:rPr>
        <w:t>人民币贰万元整（￥</w:t>
      </w:r>
      <w:r>
        <w:rPr>
          <w:rFonts w:hint="eastAsia" w:hAnsi="宋体" w:cs="宋体"/>
          <w:bCs/>
          <w:kern w:val="0"/>
          <w:szCs w:val="21"/>
        </w:rPr>
        <w:t>20000.00</w:t>
      </w:r>
      <w:r>
        <w:rPr>
          <w:rFonts w:hint="eastAsia" w:hAnsi="宋体"/>
          <w:szCs w:val="21"/>
        </w:rPr>
        <w:t>）</w:t>
      </w:r>
      <w:r>
        <w:rPr>
          <w:rFonts w:hint="eastAsia" w:hAnsi="宋体" w:cs="宋体"/>
          <w:bCs/>
          <w:kern w:val="0"/>
          <w:szCs w:val="21"/>
        </w:rPr>
        <w:t>，由成交人向采购代理机构支付，</w:t>
      </w:r>
      <w:r>
        <w:rPr>
          <w:rFonts w:hint="eastAsia" w:hAnsi="宋体"/>
          <w:szCs w:val="21"/>
        </w:rPr>
        <w:t>发出成交通知书前，成交人应向广西宝盛工程咨询有限公司一次性付清代理服务费。</w:t>
      </w:r>
    </w:p>
    <w:p w14:paraId="4816A54D">
      <w:pPr>
        <w:spacing w:line="420" w:lineRule="exact"/>
        <w:ind w:firstLine="422" w:firstLineChars="200"/>
        <w:rPr>
          <w:rFonts w:ascii="宋体" w:hAnsi="宋体"/>
          <w:b/>
          <w:szCs w:val="21"/>
        </w:rPr>
      </w:pPr>
      <w:r>
        <w:rPr>
          <w:rFonts w:hint="eastAsia" w:ascii="宋体" w:hAnsi="宋体"/>
          <w:b/>
          <w:szCs w:val="21"/>
        </w:rPr>
        <w:t>招标代理服务费缴纳账户：</w:t>
      </w:r>
    </w:p>
    <w:p w14:paraId="2753AD27">
      <w:pPr>
        <w:spacing w:line="420" w:lineRule="exact"/>
        <w:ind w:firstLine="420" w:firstLineChars="200"/>
        <w:rPr>
          <w:rFonts w:ascii="宋体" w:hAnsi="宋体"/>
          <w:szCs w:val="21"/>
        </w:rPr>
      </w:pPr>
      <w:r>
        <w:rPr>
          <w:rFonts w:hint="eastAsia" w:ascii="宋体" w:hAnsi="宋体"/>
          <w:szCs w:val="21"/>
        </w:rPr>
        <w:t>开户名称：</w:t>
      </w:r>
      <w:r>
        <w:rPr>
          <w:rFonts w:hint="eastAsia" w:ascii="宋体" w:hAnsi="宋体" w:cs="宋体"/>
          <w:szCs w:val="21"/>
        </w:rPr>
        <w:t>广西宝盛工程咨询有限公司</w:t>
      </w:r>
    </w:p>
    <w:p w14:paraId="7C44012A">
      <w:pPr>
        <w:spacing w:line="420" w:lineRule="exact"/>
        <w:ind w:firstLine="420" w:firstLineChars="200"/>
        <w:rPr>
          <w:rFonts w:ascii="宋体" w:hAnsi="宋体"/>
          <w:szCs w:val="21"/>
        </w:rPr>
      </w:pPr>
      <w:r>
        <w:rPr>
          <w:rFonts w:hint="eastAsia" w:ascii="宋体" w:hAnsi="宋体"/>
          <w:szCs w:val="21"/>
        </w:rPr>
        <w:t>开户银行：中国工商银行股份有限公司贵港市荷城支行</w:t>
      </w:r>
    </w:p>
    <w:p w14:paraId="500D6888">
      <w:pPr>
        <w:spacing w:line="420" w:lineRule="exact"/>
        <w:ind w:firstLine="420" w:firstLineChars="200"/>
        <w:rPr>
          <w:rFonts w:ascii="宋体" w:hAnsi="宋体"/>
          <w:szCs w:val="21"/>
        </w:rPr>
      </w:pPr>
      <w:r>
        <w:rPr>
          <w:rFonts w:hint="eastAsia" w:ascii="宋体" w:hAnsi="宋体"/>
          <w:szCs w:val="21"/>
        </w:rPr>
        <w:t>银行账号：2116710809100102991</w:t>
      </w:r>
    </w:p>
    <w:p w14:paraId="65146B80">
      <w:pPr>
        <w:widowControl/>
        <w:tabs>
          <w:tab w:val="left" w:pos="540"/>
        </w:tabs>
        <w:spacing w:line="400" w:lineRule="exact"/>
        <w:ind w:firstLine="420" w:firstLineChars="200"/>
        <w:jc w:val="left"/>
        <w:rPr>
          <w:rFonts w:ascii="宋体" w:hAnsi="宋体"/>
          <w:szCs w:val="21"/>
        </w:rPr>
      </w:pPr>
      <w:r>
        <w:rPr>
          <w:rFonts w:hint="eastAsia" w:ascii="宋体" w:hAnsi="宋体"/>
          <w:szCs w:val="21"/>
        </w:rPr>
        <w:t>29.采购当事人的一切活动均适用于《中华人民共和国政府采购法》.《中华人民共和国政府采购法实施条例》及相关规定。</w:t>
      </w:r>
    </w:p>
    <w:p w14:paraId="43B61000">
      <w:pPr>
        <w:spacing w:line="500" w:lineRule="exact"/>
        <w:jc w:val="left"/>
        <w:rPr>
          <w:rFonts w:ascii="宋体" w:hAnsi="宋体"/>
          <w:b/>
          <w:sz w:val="32"/>
          <w:szCs w:val="32"/>
        </w:rPr>
      </w:pPr>
      <w:r>
        <w:rPr>
          <w:rFonts w:ascii="宋体" w:hAnsi="宋体"/>
          <w:b/>
          <w:sz w:val="32"/>
          <w:szCs w:val="32"/>
        </w:rPr>
        <w:br w:type="page"/>
      </w:r>
    </w:p>
    <w:p w14:paraId="11810E3A">
      <w:pPr>
        <w:pStyle w:val="2"/>
        <w:spacing w:line="240" w:lineRule="atLeast"/>
        <w:jc w:val="center"/>
        <w:rPr>
          <w:sz w:val="36"/>
          <w:szCs w:val="36"/>
        </w:rPr>
      </w:pPr>
      <w:bookmarkStart w:id="42" w:name="_Toc29894"/>
      <w:r>
        <w:rPr>
          <w:rFonts w:hint="eastAsia"/>
          <w:sz w:val="36"/>
          <w:szCs w:val="36"/>
        </w:rPr>
        <w:t>第三章评审方法</w:t>
      </w:r>
      <w:bookmarkEnd w:id="42"/>
    </w:p>
    <w:p w14:paraId="5A3F56E9">
      <w:pPr>
        <w:spacing w:line="360" w:lineRule="auto"/>
        <w:ind w:firstLine="422" w:firstLineChars="200"/>
        <w:rPr>
          <w:rFonts w:hAnsi="宋体"/>
          <w:b/>
          <w:szCs w:val="21"/>
        </w:rPr>
      </w:pPr>
      <w:r>
        <w:rPr>
          <w:rFonts w:hint="eastAsia" w:hAnsi="宋体"/>
          <w:b/>
          <w:szCs w:val="21"/>
        </w:rPr>
        <w:t>一、评审原则：</w:t>
      </w:r>
    </w:p>
    <w:p w14:paraId="78C35B8A">
      <w:pPr>
        <w:spacing w:line="360" w:lineRule="auto"/>
        <w:ind w:firstLine="420" w:firstLineChars="200"/>
        <w:rPr>
          <w:rFonts w:hAnsi="宋体"/>
          <w:szCs w:val="21"/>
        </w:rPr>
      </w:pPr>
      <w:r>
        <w:rPr>
          <w:rFonts w:hint="eastAsia" w:hAnsi="宋体"/>
          <w:szCs w:val="21"/>
        </w:rPr>
        <w:t>（一）谈判小组的构成：本采购项目的谈判小组由依法组成的评审专家三人组成，谈判与评审活动由依法组建的谈判小组负责。</w:t>
      </w:r>
    </w:p>
    <w:p w14:paraId="6D165D65">
      <w:pPr>
        <w:spacing w:line="360" w:lineRule="auto"/>
        <w:ind w:firstLine="420" w:firstLineChars="200"/>
        <w:rPr>
          <w:rFonts w:hAnsi="宋体"/>
          <w:szCs w:val="21"/>
        </w:rPr>
      </w:pPr>
      <w:r>
        <w:rPr>
          <w:rFonts w:hint="eastAsia" w:hAnsi="宋体"/>
          <w:szCs w:val="21"/>
        </w:rPr>
        <w:t>（二）评标依据：以谈判采购文件、响应文件为评定依据。</w:t>
      </w:r>
    </w:p>
    <w:p w14:paraId="263E1F64">
      <w:pPr>
        <w:spacing w:line="360" w:lineRule="auto"/>
        <w:ind w:firstLine="420" w:firstLineChars="200"/>
        <w:rPr>
          <w:rFonts w:hAnsi="宋体"/>
          <w:szCs w:val="21"/>
        </w:rPr>
      </w:pPr>
      <w:r>
        <w:rPr>
          <w:rFonts w:hint="eastAsia" w:hAnsi="宋体"/>
          <w:szCs w:val="21"/>
        </w:rPr>
        <w:t>（三）评标方法：在响应文件通过资格审查及符合性审查的前提下，根据质量和服务均能满足谈判采购文件实质性响应要求且最后评标报价最低的原则确定成交候选人。</w:t>
      </w:r>
    </w:p>
    <w:p w14:paraId="36AA6B5F">
      <w:pPr>
        <w:widowControl/>
        <w:spacing w:line="360" w:lineRule="auto"/>
        <w:ind w:firstLine="420" w:firstLineChars="200"/>
        <w:rPr>
          <w:rFonts w:ascii="宋体" w:hAnsi="宋体" w:cs="宋体"/>
          <w:szCs w:val="22"/>
        </w:rPr>
      </w:pPr>
      <w:r>
        <w:rPr>
          <w:rFonts w:hint="eastAsia" w:hAnsi="宋体"/>
          <w:szCs w:val="21"/>
        </w:rPr>
        <w:t>（四）</w:t>
      </w:r>
      <w:r>
        <w:rPr>
          <w:rFonts w:hint="eastAsia" w:ascii="宋体" w:hAnsi="宋体" w:cs="宋体"/>
          <w:szCs w:val="22"/>
          <w:lang w:bidi="ar"/>
        </w:rPr>
        <w:t>按照《政府采购促进中小企业发展管理办法》（财库﹝2020﹞46 号）、《贵港市财政局关于进一步加大政府采购 支持中小企业力度的通知》（贵财采〔2022〕7号）等的规定，对符合本办法规定的小微企业应当在响应文件中出具本办法规定的《中小企业声明函》，否则不得享受相关中小企业扶持政策。任何单位和个人不得要求供应商提供《中小企业声明函》之外的中小企业身份证明文件。对符合本办法规定的小微企业报价给予20%的扣除。</w:t>
      </w:r>
    </w:p>
    <w:p w14:paraId="6DF6E623">
      <w:pPr>
        <w:widowControl/>
        <w:spacing w:line="360" w:lineRule="auto"/>
        <w:ind w:firstLine="420" w:firstLineChars="200"/>
        <w:rPr>
          <w:rFonts w:ascii="宋体" w:hAnsi="宋体" w:cs="宋体"/>
          <w:szCs w:val="22"/>
        </w:rPr>
      </w:pPr>
      <w:r>
        <w:rPr>
          <w:rFonts w:hint="eastAsia" w:ascii="宋体" w:hAnsi="宋体" w:cs="宋体"/>
          <w:szCs w:val="22"/>
          <w:lang w:bidi="ar"/>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59C363BD">
      <w:pPr>
        <w:widowControl/>
        <w:spacing w:line="360" w:lineRule="auto"/>
        <w:ind w:firstLine="420" w:firstLineChars="200"/>
        <w:rPr>
          <w:rFonts w:ascii="宋体" w:hAnsi="宋体" w:cs="宋体"/>
          <w:szCs w:val="22"/>
        </w:rPr>
      </w:pPr>
      <w:r>
        <w:rPr>
          <w:rFonts w:hint="eastAsia" w:ascii="宋体" w:hAnsi="宋体" w:cs="宋体"/>
          <w:szCs w:val="22"/>
          <w:lang w:bidi="ar"/>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DAB0F7F">
      <w:pPr>
        <w:widowControl/>
        <w:spacing w:line="360" w:lineRule="auto"/>
        <w:ind w:firstLine="420" w:firstLineChars="200"/>
        <w:rPr>
          <w:rFonts w:ascii="宋体" w:hAnsi="宋体"/>
          <w:szCs w:val="21"/>
        </w:rPr>
      </w:pPr>
      <w:r>
        <w:rPr>
          <w:rFonts w:hint="eastAsia" w:ascii="宋体" w:hAnsi="宋体" w:cs="宋体"/>
          <w:szCs w:val="22"/>
          <w:lang w:bidi="ar"/>
        </w:rPr>
        <w:t>政策性扣除计算方法。供应商被认定为监狱企业或残疾人福利性单位或小型和微型企业且其所投标产品或服务为小型和微型企业产品的，该供应商的最终报价给予20%的扣除，扣除后的价格为评标报价，即评标报价=最终报价×（1-20%）；大中型企业和其他自然人、法人或者其他组织与小型、微型企业组成联合体投标，且联合体协议中约定小型、微型企业的协议合同金额占到联合体协议合同总金额30%以上的，联合体投标价给予6%的扣除，扣除后的价格为评标价，即评标报价=最终报价×（1-6%）；除上述情况外，评标报价=最终报价。</w:t>
      </w:r>
    </w:p>
    <w:p w14:paraId="02C9A6AF">
      <w:pPr>
        <w:spacing w:line="360" w:lineRule="auto"/>
        <w:ind w:firstLine="420" w:firstLineChars="200"/>
        <w:rPr>
          <w:rFonts w:hAnsi="宋体"/>
          <w:szCs w:val="21"/>
        </w:rPr>
      </w:pPr>
      <w:r>
        <w:rPr>
          <w:rFonts w:hint="eastAsia" w:hAnsi="宋体"/>
          <w:szCs w:val="21"/>
        </w:rPr>
        <w:t>（五）响应文件的报价如果出现计算或表达上的错误，修正错误的原则如下：</w:t>
      </w:r>
    </w:p>
    <w:p w14:paraId="314E66B7">
      <w:pPr>
        <w:spacing w:line="360" w:lineRule="auto"/>
        <w:ind w:firstLine="420" w:firstLineChars="200"/>
        <w:rPr>
          <w:rFonts w:hAnsi="宋体"/>
          <w:szCs w:val="21"/>
        </w:rPr>
      </w:pPr>
      <w:r>
        <w:rPr>
          <w:rFonts w:hint="eastAsia" w:hAnsi="宋体"/>
          <w:szCs w:val="21"/>
        </w:rPr>
        <w:t>（1）最终报价表内容与响应文件中相应内容不一致的，以最终报价表为准；</w:t>
      </w:r>
    </w:p>
    <w:p w14:paraId="4419B129">
      <w:pPr>
        <w:spacing w:line="360" w:lineRule="auto"/>
        <w:ind w:firstLine="420" w:firstLineChars="200"/>
        <w:rPr>
          <w:rFonts w:hAnsi="宋体"/>
          <w:szCs w:val="21"/>
        </w:rPr>
      </w:pPr>
      <w:r>
        <w:rPr>
          <w:rFonts w:hint="eastAsia" w:hAnsi="宋体"/>
          <w:szCs w:val="21"/>
        </w:rPr>
        <w:t>（2）大写金额和小写金额不一致的，以大写金额为准；</w:t>
      </w:r>
    </w:p>
    <w:p w14:paraId="52C912AE">
      <w:pPr>
        <w:spacing w:line="360" w:lineRule="auto"/>
        <w:ind w:firstLine="420" w:firstLineChars="200"/>
        <w:rPr>
          <w:rFonts w:hAnsi="宋体"/>
          <w:szCs w:val="21"/>
        </w:rPr>
      </w:pPr>
      <w:r>
        <w:rPr>
          <w:rFonts w:hint="eastAsia" w:hAnsi="宋体"/>
          <w:szCs w:val="21"/>
        </w:rPr>
        <w:t>（3）单价金额小数点或者百分比有明显错位的，以最终报价表的总价为准，并修改单价；</w:t>
      </w:r>
    </w:p>
    <w:p w14:paraId="2A64F72C">
      <w:pPr>
        <w:spacing w:line="360" w:lineRule="auto"/>
        <w:ind w:firstLine="420" w:firstLineChars="200"/>
        <w:rPr>
          <w:rFonts w:hAnsi="宋体"/>
          <w:szCs w:val="21"/>
        </w:rPr>
      </w:pPr>
      <w:r>
        <w:rPr>
          <w:rFonts w:hint="eastAsia" w:hAnsi="宋体"/>
          <w:szCs w:val="21"/>
        </w:rPr>
        <w:t>（4）总价金额与按单价汇总金额不一致的，以单价金额计算结果为准。</w:t>
      </w:r>
    </w:p>
    <w:p w14:paraId="471CE833">
      <w:pPr>
        <w:spacing w:line="360" w:lineRule="auto"/>
        <w:ind w:firstLine="420" w:firstLineChars="200"/>
        <w:rPr>
          <w:rFonts w:hAnsi="宋体"/>
          <w:szCs w:val="21"/>
        </w:rPr>
      </w:pPr>
      <w:r>
        <w:rPr>
          <w:rFonts w:hint="eastAsia" w:hAnsi="宋体"/>
          <w:szCs w:val="21"/>
        </w:rPr>
        <w:t>同时出现两种以上不一致的，按照前款规定的顺序修正。修正后的报价经供应商确认后产生约束力，供应商不确认的，其竞标无效。</w:t>
      </w:r>
    </w:p>
    <w:p w14:paraId="743784EE">
      <w:pPr>
        <w:spacing w:line="360" w:lineRule="auto"/>
        <w:ind w:firstLine="420" w:firstLineChars="200"/>
        <w:rPr>
          <w:rFonts w:ascii="宋体" w:hAnsi="宋体"/>
          <w:szCs w:val="21"/>
        </w:rPr>
      </w:pPr>
      <w:r>
        <w:rPr>
          <w:rFonts w:hint="eastAsia" w:hAnsi="宋体"/>
          <w:szCs w:val="21"/>
        </w:rPr>
        <w:t>（六）</w:t>
      </w:r>
      <w:r>
        <w:rPr>
          <w:rFonts w:hint="eastAsia" w:ascii="宋体" w:hAnsi="宋体"/>
          <w:szCs w:val="21"/>
        </w:rPr>
        <w:t xml:space="preserve">生产厂商授权给供应商后自己不得参加同一合同项下的政府采购活动；出现下列情形之一的，评审时，取其中通过资格审查、符合性审查且报价最低一家进行评审；当报价相同时，由采购人自主选择确定一家参加评审的供应商，其他竞标无效： </w:t>
      </w:r>
    </w:p>
    <w:p w14:paraId="44D05885">
      <w:pPr>
        <w:spacing w:line="360" w:lineRule="auto"/>
        <w:ind w:firstLine="420" w:firstLineChars="200"/>
        <w:rPr>
          <w:rFonts w:ascii="宋体" w:hAnsi="宋体"/>
          <w:szCs w:val="21"/>
        </w:rPr>
      </w:pPr>
      <w:r>
        <w:rPr>
          <w:rFonts w:hint="eastAsia" w:ascii="宋体" w:hAnsi="宋体"/>
          <w:szCs w:val="21"/>
        </w:rPr>
        <w:t>（1）若同一项目或同一分标的采购内容只有一项设备的，如其中两家或两家以上供应商所竞标产品均为同一品牌的（型号不同的除外）。</w:t>
      </w:r>
    </w:p>
    <w:p w14:paraId="1D9901C8">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若同一项目或同一分标的采购内容包含多项设备的，如其中两家或两家以上供应商所竞标核心产品均为同一品牌的（型号不同的除外）。核心产品的名称在第四章《采购项目需求</w:t>
      </w:r>
      <w:r>
        <w:rPr>
          <w:rFonts w:ascii="宋体" w:hAnsi="宋体"/>
          <w:szCs w:val="21"/>
        </w:rPr>
        <w:t>表</w:t>
      </w:r>
      <w:r>
        <w:rPr>
          <w:rFonts w:hint="eastAsia" w:ascii="宋体" w:hAnsi="宋体"/>
          <w:szCs w:val="21"/>
        </w:rPr>
        <w:t>》中载明。</w:t>
      </w:r>
    </w:p>
    <w:p w14:paraId="44ECD4E4">
      <w:pPr>
        <w:spacing w:line="360" w:lineRule="auto"/>
        <w:ind w:firstLine="525" w:firstLineChars="250"/>
        <w:rPr>
          <w:rFonts w:hAnsi="宋体"/>
          <w:szCs w:val="21"/>
        </w:rPr>
      </w:pPr>
      <w:r>
        <w:rPr>
          <w:rFonts w:hint="eastAsia" w:hAnsi="宋体"/>
          <w:szCs w:val="21"/>
        </w:rPr>
        <w:t>（七）谈判小组在评审过程中发现供应商的报价明显低于其他供应商的报价，</w:t>
      </w:r>
      <w:r>
        <w:rPr>
          <w:rFonts w:hint="eastAsia"/>
        </w:rPr>
        <w:t>有可能影响产品质量或者不能诚信履约的</w:t>
      </w:r>
      <w:r>
        <w:rPr>
          <w:rFonts w:hint="eastAsia" w:hAnsi="宋体"/>
          <w:szCs w:val="21"/>
        </w:rPr>
        <w:t>，应当要求该供应商做出书面说明</w:t>
      </w:r>
      <w:r>
        <w:rPr>
          <w:rFonts w:hint="eastAsia"/>
        </w:rPr>
        <w:t>，必要时提交相关证明材料</w:t>
      </w:r>
      <w:r>
        <w:rPr>
          <w:rFonts w:hint="eastAsia" w:hAnsi="宋体"/>
          <w:szCs w:val="21"/>
        </w:rPr>
        <w:t>。供应商不能</w:t>
      </w:r>
      <w:r>
        <w:rPr>
          <w:rFonts w:hint="eastAsia"/>
        </w:rPr>
        <w:t>证明其报价合理性的</w:t>
      </w:r>
      <w:r>
        <w:rPr>
          <w:rFonts w:hint="eastAsia" w:hAnsi="宋体"/>
          <w:szCs w:val="21"/>
        </w:rPr>
        <w:t>，视作该供应商报价</w:t>
      </w:r>
      <w:r>
        <w:rPr>
          <w:rFonts w:hint="eastAsia"/>
        </w:rPr>
        <w:t>影响货物质量或者不能诚信履约</w:t>
      </w:r>
      <w:r>
        <w:rPr>
          <w:rFonts w:hint="eastAsia" w:hAnsi="宋体"/>
          <w:szCs w:val="21"/>
        </w:rPr>
        <w:t>，其竞标无效。</w:t>
      </w:r>
    </w:p>
    <w:p w14:paraId="1603BF8E">
      <w:pPr>
        <w:spacing w:line="360" w:lineRule="auto"/>
        <w:ind w:firstLine="527" w:firstLineChars="250"/>
        <w:rPr>
          <w:rFonts w:hAnsi="宋体"/>
          <w:b/>
          <w:szCs w:val="21"/>
        </w:rPr>
      </w:pPr>
      <w:r>
        <w:rPr>
          <w:rFonts w:hint="eastAsia" w:hAnsi="宋体"/>
          <w:b/>
          <w:szCs w:val="21"/>
        </w:rPr>
        <w:t>二、成交候选供应商推荐原则：</w:t>
      </w:r>
    </w:p>
    <w:p w14:paraId="74514571">
      <w:pPr>
        <w:spacing w:line="360" w:lineRule="auto"/>
        <w:ind w:firstLine="420" w:firstLineChars="200"/>
        <w:rPr>
          <w:rFonts w:hAnsi="宋体"/>
          <w:szCs w:val="21"/>
        </w:rPr>
      </w:pPr>
      <w:r>
        <w:rPr>
          <w:rFonts w:hint="eastAsia" w:hAnsi="宋体"/>
          <w:szCs w:val="21"/>
        </w:rPr>
        <w:t>在响应文件通过资格和符合性评审的前提下，谈判小组应当从服务内容响应、货</w:t>
      </w:r>
      <w:r>
        <w:rPr>
          <w:rFonts w:hAnsi="宋体"/>
          <w:szCs w:val="21"/>
        </w:rPr>
        <w:t>物和</w:t>
      </w:r>
      <w:r>
        <w:rPr>
          <w:rFonts w:hint="eastAsia" w:hAnsi="宋体"/>
          <w:szCs w:val="21"/>
        </w:rPr>
        <w:t>服务质量和交付时间均能满足谈判文件实质性响应要求且最后评标报价最低的原则确定3名成交候选人</w:t>
      </w:r>
      <w:r>
        <w:rPr>
          <w:rFonts w:hint="eastAsia" w:ascii="宋体" w:hAnsi="宋体"/>
          <w:szCs w:val="21"/>
        </w:rPr>
        <w:t>(评标价相同时，依次按节能环保产品优先、技术指标高优先、质量保证期长优先、交货期短优先、故障响应时间短优先的顺序排列；评标价相同且前述指标均相同时，由谈判小组各成员对评标价相同的供应商当场投票表决，得票多者优先；按前述程序仍无法确定供应商排名顺序的，由谈判小组抽签决定)</w:t>
      </w:r>
      <w:r>
        <w:rPr>
          <w:rFonts w:hint="eastAsia" w:hAnsi="宋体"/>
          <w:szCs w:val="21"/>
        </w:rPr>
        <w:t>。采购人应当确定谈判小组推荐排名第一的成交候选人为成交人。排名第一的成交候选人放弃成交、因不可抗力提出不能履行合同，采购人可以确定排名第二的成交候选人为成交人。排名第二的成交候选人因前款规定的同样原因不能签订合同的，采购单位可以确定排名第三的成交候选人为成交人，其余以此类推；采购人也可以重新进行采购。</w:t>
      </w:r>
    </w:p>
    <w:p w14:paraId="1E103B4E">
      <w:pPr>
        <w:pStyle w:val="2"/>
        <w:spacing w:line="240" w:lineRule="atLeast"/>
        <w:jc w:val="center"/>
        <w:rPr>
          <w:sz w:val="36"/>
          <w:szCs w:val="36"/>
        </w:rPr>
      </w:pPr>
      <w:bookmarkStart w:id="43" w:name="_Toc13777"/>
      <w:bookmarkStart w:id="44" w:name="_Toc28697"/>
      <w:r>
        <w:rPr>
          <w:rFonts w:hint="eastAsia"/>
          <w:sz w:val="36"/>
          <w:szCs w:val="36"/>
        </w:rPr>
        <w:t>第四章采购项目需求</w:t>
      </w:r>
      <w:r>
        <w:rPr>
          <w:sz w:val="36"/>
          <w:szCs w:val="36"/>
        </w:rPr>
        <w:t>表</w:t>
      </w:r>
      <w:bookmarkEnd w:id="43"/>
    </w:p>
    <w:p w14:paraId="08FC0E04">
      <w:pPr>
        <w:spacing w:line="360" w:lineRule="auto"/>
        <w:rPr>
          <w:rFonts w:ascii="宋体" w:hAnsi="宋体" w:cs="宋体"/>
        </w:rPr>
      </w:pPr>
      <w:r>
        <w:rPr>
          <w:rFonts w:hint="eastAsia" w:ascii="宋体" w:hAnsi="宋体" w:cs="宋体"/>
        </w:rPr>
        <w:t>说明：</w:t>
      </w:r>
    </w:p>
    <w:p w14:paraId="253D72B4">
      <w:pPr>
        <w:spacing w:line="360" w:lineRule="auto"/>
        <w:rPr>
          <w:rFonts w:ascii="宋体" w:hAnsi="宋体" w:cs="宋体"/>
        </w:rPr>
      </w:pPr>
      <w:r>
        <w:rPr>
          <w:rFonts w:hint="eastAsia" w:ascii="宋体" w:hAnsi="宋体" w:cs="宋体"/>
        </w:rPr>
        <w:t>1.本需求表中的技术参数及其性能（配置）仅起参考作用，供应商可选用其他品牌型号替代，但这些替代的品牌型号要实质上相当于或优于参考品牌型号及其技术参数性能（配置）要求。</w:t>
      </w:r>
    </w:p>
    <w:p w14:paraId="4D7D91BF">
      <w:pPr>
        <w:spacing w:line="360" w:lineRule="auto"/>
        <w:rPr>
          <w:rFonts w:ascii="宋体" w:hAnsi="宋体" w:cs="宋体"/>
        </w:rPr>
      </w:pPr>
      <w:r>
        <w:rPr>
          <w:rFonts w:hint="eastAsia" w:ascii="宋体" w:hAnsi="宋体" w:cs="宋体"/>
        </w:rPr>
        <w:t>2.评标时如果发现本一览表中“技术参数及配置要求”中含有某一品牌特有的技术参数或限制要求，评标小组有权将其不作为实质性要求</w:t>
      </w:r>
    </w:p>
    <w:p w14:paraId="4E6B2ACE">
      <w:pPr>
        <w:spacing w:line="360" w:lineRule="auto"/>
        <w:rPr>
          <w:rFonts w:ascii="宋体" w:hAnsi="宋体" w:cs="宋体"/>
        </w:rPr>
      </w:pPr>
      <w:r>
        <w:rPr>
          <w:rFonts w:hint="eastAsia" w:ascii="宋体" w:hAnsi="宋体" w:cs="宋体"/>
        </w:rPr>
        <w:t>3.凡在“规格、型号等特殊要求”中表述为“标配”或“标准配置”的设备，供应商应在竞标报价明细表、技术响应表中将其标配参数详细列明，否则该竞标无效。</w:t>
      </w:r>
    </w:p>
    <w:p w14:paraId="090E1F30">
      <w:pPr>
        <w:spacing w:line="360" w:lineRule="auto"/>
        <w:rPr>
          <w:rFonts w:ascii="宋体" w:hAnsi="宋体" w:cs="宋体"/>
        </w:rPr>
      </w:pPr>
      <w:r>
        <w:rPr>
          <w:rFonts w:hint="eastAsia" w:ascii="宋体" w:hAnsi="宋体" w:cs="宋体"/>
        </w:rPr>
        <w:t>4.在“技术参数要求”中标注“</w:t>
      </w:r>
      <w:r>
        <w:rPr>
          <w:rFonts w:hint="eastAsia" w:ascii="宋体" w:hAnsi="宋体" w:cs="宋体"/>
          <w:kern w:val="0"/>
          <w:sz w:val="22"/>
          <w:szCs w:val="22"/>
          <w:lang w:bidi="ar"/>
        </w:rPr>
        <w:t>▲</w:t>
      </w:r>
      <w:r>
        <w:rPr>
          <w:rFonts w:hint="eastAsia" w:ascii="宋体" w:hAnsi="宋体" w:cs="宋体"/>
        </w:rPr>
        <w:t>”的为重要技术参数指标，不允许负偏离，否则投标无效。</w:t>
      </w:r>
    </w:p>
    <w:p w14:paraId="4A792CE9">
      <w:pPr>
        <w:spacing w:line="360" w:lineRule="auto"/>
        <w:rPr>
          <w:rFonts w:ascii="宋体" w:hAnsi="宋体" w:cs="宋体"/>
        </w:rPr>
      </w:pPr>
      <w:r>
        <w:rPr>
          <w:rFonts w:hint="eastAsia" w:ascii="宋体" w:hAnsi="宋体" w:cs="宋体"/>
        </w:rPr>
        <w:t>5.本项目不接受进口产品（即通过中国海关报关验放进入中国境内且产自关境外的产品）参与竞标。</w:t>
      </w:r>
    </w:p>
    <w:tbl>
      <w:tblPr>
        <w:tblStyle w:val="36"/>
        <w:tblW w:w="0" w:type="auto"/>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16"/>
        <w:gridCol w:w="806"/>
        <w:gridCol w:w="733"/>
        <w:gridCol w:w="745"/>
        <w:gridCol w:w="4950"/>
      </w:tblGrid>
      <w:tr w14:paraId="2D90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4CF3039A">
            <w:pPr>
              <w:spacing w:line="360" w:lineRule="auto"/>
              <w:jc w:val="left"/>
              <w:rPr>
                <w:rFonts w:ascii="宋体" w:hAnsi="宋体" w:cs="宋体"/>
                <w:sz w:val="24"/>
              </w:rPr>
            </w:pPr>
            <w:r>
              <w:rPr>
                <w:rFonts w:hint="eastAsia" w:ascii="宋体" w:hAnsi="宋体" w:cs="宋体"/>
                <w:sz w:val="24"/>
              </w:rPr>
              <w:t>序号</w:t>
            </w:r>
          </w:p>
        </w:tc>
        <w:tc>
          <w:tcPr>
            <w:tcW w:w="1622" w:type="dxa"/>
            <w:gridSpan w:val="2"/>
            <w:vAlign w:val="center"/>
          </w:tcPr>
          <w:p w14:paraId="69FBEF2D">
            <w:pPr>
              <w:spacing w:line="360" w:lineRule="auto"/>
              <w:jc w:val="left"/>
              <w:rPr>
                <w:rFonts w:ascii="宋体" w:hAnsi="宋体" w:cs="宋体"/>
                <w:sz w:val="24"/>
              </w:rPr>
            </w:pPr>
            <w:r>
              <w:rPr>
                <w:rFonts w:hint="eastAsia" w:ascii="宋体" w:hAnsi="宋体" w:cs="宋体"/>
                <w:sz w:val="24"/>
              </w:rPr>
              <w:t>产品名称</w:t>
            </w:r>
          </w:p>
        </w:tc>
        <w:tc>
          <w:tcPr>
            <w:tcW w:w="733" w:type="dxa"/>
            <w:vAlign w:val="center"/>
          </w:tcPr>
          <w:p w14:paraId="23CA8268">
            <w:pPr>
              <w:spacing w:line="360" w:lineRule="auto"/>
              <w:jc w:val="left"/>
              <w:rPr>
                <w:rFonts w:ascii="宋体" w:hAnsi="宋体" w:cs="宋体"/>
                <w:sz w:val="24"/>
              </w:rPr>
            </w:pPr>
            <w:r>
              <w:rPr>
                <w:rFonts w:hint="eastAsia" w:ascii="宋体" w:hAnsi="宋体" w:cs="宋体"/>
                <w:sz w:val="24"/>
              </w:rPr>
              <w:t>单位</w:t>
            </w:r>
          </w:p>
        </w:tc>
        <w:tc>
          <w:tcPr>
            <w:tcW w:w="745" w:type="dxa"/>
            <w:vAlign w:val="center"/>
          </w:tcPr>
          <w:p w14:paraId="3ADDA73E">
            <w:pPr>
              <w:spacing w:line="360" w:lineRule="auto"/>
              <w:jc w:val="left"/>
              <w:rPr>
                <w:rFonts w:ascii="宋体" w:hAnsi="宋体" w:cs="宋体"/>
                <w:sz w:val="24"/>
              </w:rPr>
            </w:pPr>
            <w:r>
              <w:rPr>
                <w:rFonts w:hint="eastAsia" w:ascii="宋体" w:hAnsi="宋体" w:cs="宋体"/>
                <w:sz w:val="24"/>
              </w:rPr>
              <w:t>数量</w:t>
            </w:r>
          </w:p>
        </w:tc>
        <w:tc>
          <w:tcPr>
            <w:tcW w:w="4950" w:type="dxa"/>
            <w:vAlign w:val="center"/>
          </w:tcPr>
          <w:p w14:paraId="35B32D67">
            <w:pPr>
              <w:spacing w:line="360" w:lineRule="auto"/>
              <w:jc w:val="center"/>
              <w:rPr>
                <w:rFonts w:ascii="宋体" w:hAnsi="宋体" w:cs="宋体"/>
                <w:sz w:val="24"/>
              </w:rPr>
            </w:pPr>
            <w:r>
              <w:rPr>
                <w:rFonts w:hint="eastAsia" w:ascii="宋体" w:hAnsi="宋体" w:cs="宋体"/>
                <w:sz w:val="24"/>
              </w:rPr>
              <w:t>技术要求</w:t>
            </w:r>
          </w:p>
        </w:tc>
      </w:tr>
      <w:tr w14:paraId="2BE0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1" w:type="dxa"/>
            <w:gridSpan w:val="6"/>
            <w:vAlign w:val="center"/>
          </w:tcPr>
          <w:p w14:paraId="0F8A2C53">
            <w:pPr>
              <w:spacing w:line="360" w:lineRule="auto"/>
              <w:rPr>
                <w:rFonts w:ascii="宋体" w:hAnsi="宋体" w:cs="宋体"/>
                <w:sz w:val="24"/>
              </w:rPr>
            </w:pPr>
            <w:r>
              <w:rPr>
                <w:rFonts w:hint="eastAsia" w:ascii="宋体" w:hAnsi="宋体" w:cs="宋体"/>
                <w:sz w:val="24"/>
              </w:rPr>
              <w:t>文物储藏架</w:t>
            </w:r>
          </w:p>
        </w:tc>
      </w:tr>
      <w:tr w14:paraId="5F03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2BD95F84">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1</w:t>
            </w:r>
          </w:p>
        </w:tc>
        <w:tc>
          <w:tcPr>
            <w:tcW w:w="1622" w:type="dxa"/>
            <w:gridSpan w:val="2"/>
            <w:vAlign w:val="center"/>
          </w:tcPr>
          <w:p w14:paraId="0FF512C8">
            <w:pPr>
              <w:widowControl/>
              <w:spacing w:line="360" w:lineRule="auto"/>
              <w:jc w:val="left"/>
              <w:textAlignment w:val="center"/>
              <w:rPr>
                <w:rFonts w:ascii="宋体" w:hAnsi="宋体" w:cs="宋体"/>
                <w:sz w:val="24"/>
              </w:rPr>
            </w:pPr>
            <w:r>
              <w:rPr>
                <w:rFonts w:hint="eastAsia" w:ascii="宋体" w:hAnsi="宋体" w:cs="宋体"/>
                <w:color w:val="000000"/>
                <w:kern w:val="0"/>
                <w:sz w:val="24"/>
                <w:lang w:bidi="ar"/>
              </w:rPr>
              <w:t>层板式多功能文物储藏柜</w:t>
            </w:r>
          </w:p>
        </w:tc>
        <w:tc>
          <w:tcPr>
            <w:tcW w:w="733" w:type="dxa"/>
            <w:vAlign w:val="center"/>
          </w:tcPr>
          <w:p w14:paraId="7A948C08">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台</w:t>
            </w:r>
          </w:p>
        </w:tc>
        <w:tc>
          <w:tcPr>
            <w:tcW w:w="745" w:type="dxa"/>
            <w:vAlign w:val="center"/>
          </w:tcPr>
          <w:p w14:paraId="1C38FA7A">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6</w:t>
            </w:r>
          </w:p>
        </w:tc>
        <w:tc>
          <w:tcPr>
            <w:tcW w:w="4950" w:type="dxa"/>
            <w:vAlign w:val="center"/>
          </w:tcPr>
          <w:p w14:paraId="595C755F">
            <w:pPr>
              <w:widowControl/>
              <w:numPr>
                <w:ilvl w:val="0"/>
                <w:numId w:val="5"/>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规格：1200*800*2200mm。</w:t>
            </w:r>
          </w:p>
          <w:p w14:paraId="33C51E2E">
            <w:pPr>
              <w:widowControl/>
              <w:numPr>
                <w:ilvl w:val="0"/>
                <w:numId w:val="5"/>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柜体结构：柜体主要由立柱、底梁、搁板、侧板、挂板、顶板、门板、背板等部件组成，模块化生产及拆装形成5层搁物平台，垂直方向高度可以根据文物大小进行调整。</w:t>
            </w:r>
          </w:p>
          <w:p w14:paraId="55B4EB94">
            <w:pPr>
              <w:widowControl/>
              <w:numPr>
                <w:ilvl w:val="0"/>
                <w:numId w:val="5"/>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材料：材料标准采用国内优质冷轧钢板，底框δ≥2.0，立柱δ≥1.5，挂板δ≥1.2，搁物板δ≥1.2，矩形顶板δ≥1.0，中（侧）封板δ≥1.0。</w:t>
            </w:r>
          </w:p>
          <w:p w14:paraId="59BEC346">
            <w:pPr>
              <w:widowControl/>
              <w:numPr>
                <w:ilvl w:val="0"/>
                <w:numId w:val="5"/>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门面锁具：采用椭圆形豪华锁，黑色锁壳为塑胶材质，旋钮、锁芯采用锌合金，锁片为碳钢。沿旋钮顺时针旋转90°可实现柜门开启或关闭。锁芯、锁片可镀铬、锌，根据客户需求定制。</w:t>
            </w:r>
          </w:p>
          <w:p w14:paraId="507ABA87">
            <w:pPr>
              <w:widowControl/>
              <w:numPr>
                <w:ilvl w:val="0"/>
                <w:numId w:val="5"/>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产品表面磷化处理工艺处理及质量水平符合国家标准规定要求。零件在涂覆前均应进行清洗、除锈、脱脂、防锈、表调、磷化等工序，涂层厚度为60—70um，光泽度为60—70%，冲击强度为＞4N/M。</w:t>
            </w:r>
          </w:p>
          <w:p w14:paraId="15B0C63C">
            <w:pPr>
              <w:widowControl/>
              <w:numPr>
                <w:ilvl w:val="0"/>
                <w:numId w:val="5"/>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（▲）层板式多功能文物储藏柜具有较好的抗菌性能，依据QB/T 4371-2012《家具抗菌性能的评价》要求检测，大肠杆菌、金黄色葡萄球菌抑菌率不小于99%，提供第三方检测机构出具的封面具有 CMA 标识的有效检测报告原件扫描件，并同时提供国家市场监督管理总局【全国认证认可信息公共服务平台】（查询网址：http://cx.cnca.cn/)的检测报告查询截图（查询截图须显示网址），否则视为无效投标。</w:t>
            </w:r>
          </w:p>
          <w:p w14:paraId="636B37DB">
            <w:pPr>
              <w:widowControl/>
              <w:numPr>
                <w:ilvl w:val="0"/>
                <w:numId w:val="5"/>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（▲）层板式多功能文物储藏柜具有较好的漆膜耐霉菌性能，依据GB/T 1741-2020《漆膜耐霉菌性测定法》要求检测，耐霉菌性等级达到0级，提供第三方检测机构出具的封面具有 CMA 标识的有效检测报告原件扫描件，并同时提供国家市场监督管理总局【全国认证认可信息公共服务平台】（查询网址：http://cx.cnca.cn/)的检测报告查询截图（查询截图须显示网址），否则视为无效投标。</w:t>
            </w:r>
          </w:p>
          <w:p w14:paraId="483B678C">
            <w:pPr>
              <w:widowControl/>
              <w:numPr>
                <w:ilvl w:val="0"/>
                <w:numId w:val="5"/>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（▲）层板式多功能文物储藏柜额定承载变形限量：储藏柜在总额定载荷不低于1000kg情况下，储藏柜的平行度、搁板左右倾斜角、搁板挠度符合GB/T 28200-2011《钢制储物柜（架）技术要求及试验方法》标准要求，提供第三方检测机构出具的封面具有 CMA 标识的有效检测报告原件扫描件，并同时提供国家市场监督管理总局【全国认证认可信息公共服务平台】（查询网址：http://cx.cnca.cn/)的检测报告查询截图（查询截图须显示网址），否则视为无效投标。</w:t>
            </w:r>
          </w:p>
          <w:p w14:paraId="786FFA97">
            <w:pPr>
              <w:widowControl/>
              <w:numPr>
                <w:ilvl w:val="0"/>
                <w:numId w:val="5"/>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（▲）层板式多功能文物储藏柜产品承载性能：储藏柜在产品总额定载荷不低于1000kg情况下，均布载荷强度试验、集中载荷强度试验符合GB/T 28200-2011《钢制储物柜（架）技术要求及试验方法》标准要求，提供第三方检测机构出具的封面具有 CMA 标识的有效检测报告原件扫描件，并同时提供国家市场监督管理总局【全国认证认可信息公共服务平台】（查询网址：http://cx.cnca.cn/)的检测报告查询截图（查询截图须显示网址），否则视为无效投标。</w:t>
            </w:r>
          </w:p>
          <w:p w14:paraId="4FC6CF33">
            <w:pPr>
              <w:widowControl/>
              <w:numPr>
                <w:ilvl w:val="0"/>
                <w:numId w:val="5"/>
              </w:numPr>
              <w:spacing w:line="360" w:lineRule="auto"/>
              <w:jc w:val="left"/>
              <w:rPr>
                <w:rFonts w:ascii="宋体" w:hAnsi="宋体" w:cs="宋体"/>
                <w:b/>
                <w:bCs/>
                <w:sz w:val="24"/>
              </w:rPr>
            </w:pPr>
            <w:r>
              <w:rPr>
                <w:rFonts w:hint="eastAsia" w:ascii="宋体" w:hAnsi="宋体" w:cs="宋体"/>
                <w:b/>
                <w:bCs/>
                <w:sz w:val="24"/>
              </w:rPr>
              <w:t>层板式多功能文物储藏柜柜内环境反馈模块</w:t>
            </w:r>
          </w:p>
          <w:p w14:paraId="6359C6FD">
            <w:pPr>
              <w:widowControl/>
              <w:spacing w:line="360" w:lineRule="auto"/>
              <w:ind w:firstLine="480" w:firstLineChars="200"/>
              <w:jc w:val="left"/>
              <w:rPr>
                <w:rFonts w:ascii="宋体" w:hAnsi="宋体" w:cs="宋体"/>
                <w:sz w:val="24"/>
              </w:rPr>
            </w:pPr>
            <w:r>
              <w:rPr>
                <w:rFonts w:hint="eastAsia" w:ascii="宋体" w:hAnsi="宋体" w:cs="宋体"/>
                <w:sz w:val="24"/>
              </w:rPr>
              <w:t>为验证文物保存环境状况，为</w:t>
            </w:r>
            <w:r>
              <w:rPr>
                <w:rFonts w:hint="eastAsia" w:ascii="宋体" w:hAnsi="宋体" w:cs="宋体"/>
                <w:color w:val="000000"/>
                <w:kern w:val="0"/>
                <w:sz w:val="24"/>
                <w:lang w:bidi="ar"/>
              </w:rPr>
              <w:t>层板式多功能文物储藏柜</w:t>
            </w:r>
            <w:r>
              <w:rPr>
                <w:rFonts w:hint="eastAsia" w:ascii="宋体" w:hAnsi="宋体" w:cs="宋体"/>
                <w:sz w:val="24"/>
              </w:rPr>
              <w:t>共配置6台</w:t>
            </w:r>
            <w:bookmarkStart w:id="45" w:name="_Hlk164774235"/>
            <w:r>
              <w:rPr>
                <w:rFonts w:hint="eastAsia" w:ascii="宋体" w:hAnsi="宋体" w:cs="宋体"/>
                <w:sz w:val="24"/>
              </w:rPr>
              <w:t>环境</w:t>
            </w:r>
            <w:bookmarkEnd w:id="45"/>
            <w:r>
              <w:rPr>
                <w:rFonts w:hint="eastAsia" w:ascii="宋体" w:hAnsi="宋体" w:cs="宋体"/>
                <w:sz w:val="24"/>
              </w:rPr>
              <w:t>监测终端和1台中继，环境监测终端包含：2台无线光照、紫外监测终端、2台无线大气有机挥发物总量VOC监测终端、2台无线甲醛监测终端。</w:t>
            </w:r>
          </w:p>
          <w:p w14:paraId="6C0E42B4">
            <w:pPr>
              <w:widowControl/>
              <w:numPr>
                <w:ilvl w:val="0"/>
                <w:numId w:val="6"/>
              </w:numPr>
              <w:spacing w:line="360" w:lineRule="auto"/>
              <w:jc w:val="left"/>
              <w:rPr>
                <w:rFonts w:ascii="宋体" w:hAnsi="宋体" w:cs="宋体"/>
                <w:sz w:val="24"/>
              </w:rPr>
            </w:pPr>
            <w:r>
              <w:rPr>
                <w:rFonts w:hint="eastAsia" w:ascii="宋体" w:hAnsi="宋体" w:cs="宋体"/>
                <w:sz w:val="24"/>
              </w:rPr>
              <w:t>（▲）无线光照、紫外监测终端</w:t>
            </w:r>
            <w:r>
              <w:rPr>
                <w:rFonts w:ascii="宋体" w:hAnsi="宋体" w:cs="宋体"/>
                <w:sz w:val="24"/>
              </w:rPr>
              <w:t>，光照测量范围：</w:t>
            </w:r>
            <w:r>
              <w:rPr>
                <w:rFonts w:hint="eastAsia" w:ascii="宋体" w:hAnsi="宋体" w:cs="宋体"/>
                <w:sz w:val="24"/>
              </w:rPr>
              <w:t>0.1～2000lux，测量精度：±4%示值；紫外测量范围：0.01～230μW/cm</w:t>
            </w:r>
            <w:r>
              <w:rPr>
                <w:rFonts w:hint="eastAsia" w:ascii="宋体" w:hAnsi="宋体" w:cs="宋体"/>
                <w:sz w:val="24"/>
                <w:vertAlign w:val="superscript"/>
              </w:rPr>
              <w:t>2</w:t>
            </w:r>
            <w:r>
              <w:rPr>
                <w:rFonts w:hint="eastAsia" w:ascii="宋体" w:hAnsi="宋体" w:cs="宋体"/>
                <w:sz w:val="24"/>
              </w:rPr>
              <w:t>(波长365nm±5nm)；测量精度：±8%；</w:t>
            </w:r>
            <w:r>
              <w:rPr>
                <w:rFonts w:hint="eastAsia" w:ascii="宋体" w:hAnsi="宋体" w:cs="宋体"/>
                <w:b/>
                <w:bCs/>
                <w:sz w:val="24"/>
              </w:rPr>
              <w:t>采用安全设计，具有防爆性能，投标文件中提供具有防爆性能的证明材料原件扫描件，证明材料要求有“光照”和“紫外”字样。</w:t>
            </w:r>
          </w:p>
          <w:p w14:paraId="1FCE0DCE">
            <w:pPr>
              <w:widowControl/>
              <w:numPr>
                <w:ilvl w:val="0"/>
                <w:numId w:val="6"/>
              </w:numPr>
              <w:spacing w:line="360" w:lineRule="auto"/>
              <w:jc w:val="left"/>
              <w:rPr>
                <w:rFonts w:ascii="宋体" w:hAnsi="宋体" w:cs="宋体"/>
                <w:sz w:val="24"/>
              </w:rPr>
            </w:pPr>
            <w:r>
              <w:rPr>
                <w:rFonts w:hint="eastAsia" w:ascii="宋体" w:hAnsi="宋体" w:cs="宋体"/>
                <w:sz w:val="24"/>
              </w:rPr>
              <w:t>（▲）无线大气有机挥发物总量VOC监测终端，VOC测量范围：0～20ppm(异丁烯)；测量精度：0.1ppm±8%示值；</w:t>
            </w:r>
            <w:r>
              <w:rPr>
                <w:rFonts w:hint="eastAsia" w:ascii="宋体" w:hAnsi="宋体" w:cs="宋体"/>
                <w:b/>
                <w:bCs/>
                <w:sz w:val="24"/>
              </w:rPr>
              <w:t>采用安全设计，具有防爆性能，投标文件中提供具有防爆性能的证明材料原件扫描件，证明材料要求有“挥发性有机物”或“挥发性有机化合物”或者“VOC”字样。</w:t>
            </w:r>
          </w:p>
          <w:p w14:paraId="40FC45DD">
            <w:pPr>
              <w:widowControl/>
              <w:numPr>
                <w:ilvl w:val="0"/>
                <w:numId w:val="6"/>
              </w:numPr>
              <w:spacing w:line="360" w:lineRule="auto"/>
              <w:jc w:val="left"/>
              <w:rPr>
                <w:rFonts w:ascii="宋体" w:hAnsi="宋体" w:cs="宋体"/>
                <w:sz w:val="24"/>
              </w:rPr>
            </w:pPr>
            <w:r>
              <w:rPr>
                <w:rFonts w:hint="eastAsia" w:ascii="宋体" w:hAnsi="宋体" w:cs="宋体"/>
                <w:sz w:val="24"/>
              </w:rPr>
              <w:t>（▲）无线甲醛监测终端要求，甲醛测量范围：0～10ppm；测量精度：0.02ppm±4%示值；</w:t>
            </w:r>
            <w:r>
              <w:rPr>
                <w:rFonts w:hint="eastAsia" w:ascii="宋体" w:hAnsi="宋体" w:cs="宋体"/>
                <w:b/>
                <w:bCs/>
                <w:sz w:val="24"/>
              </w:rPr>
              <w:t>采用安全设计，具有防爆性能，投标文件中提供具有防爆性能的证明材料原件扫描件，证明材料要求有“甲醛”字样。</w:t>
            </w:r>
          </w:p>
          <w:p w14:paraId="15B2F19B">
            <w:pPr>
              <w:widowControl/>
              <w:numPr>
                <w:ilvl w:val="0"/>
                <w:numId w:val="5"/>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中继要求：</w:t>
            </w:r>
            <w:r>
              <w:rPr>
                <w:rFonts w:hint="eastAsia" w:ascii="宋体" w:hAnsi="宋体" w:cs="宋体"/>
                <w:sz w:val="24"/>
              </w:rPr>
              <w:t>使用国家无委会免费赫兹频段，具有自组织网络的能力，能够自行搜索及加入网络，具有反馈能力，成功接收到数据包后，予以回复，表明成功接收状态，具有数据重发机制，当数据发送失败后，具有回避及重发机制，如果数据发送多次不成功，能够优选父节点，并重新发送，发送功率≤22dBm；通讯距离大于200 米（视距传输）</w:t>
            </w:r>
          </w:p>
        </w:tc>
      </w:tr>
      <w:tr w14:paraId="346C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1B9FE1A4">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2</w:t>
            </w:r>
          </w:p>
        </w:tc>
        <w:tc>
          <w:tcPr>
            <w:tcW w:w="1622" w:type="dxa"/>
            <w:gridSpan w:val="2"/>
            <w:vAlign w:val="center"/>
          </w:tcPr>
          <w:p w14:paraId="6E04AD78">
            <w:pPr>
              <w:widowControl/>
              <w:spacing w:line="360" w:lineRule="auto"/>
              <w:jc w:val="left"/>
              <w:textAlignment w:val="center"/>
              <w:rPr>
                <w:rFonts w:ascii="宋体" w:hAnsi="宋体" w:cs="宋体"/>
                <w:sz w:val="24"/>
              </w:rPr>
            </w:pPr>
            <w:r>
              <w:rPr>
                <w:rFonts w:hint="eastAsia" w:ascii="宋体" w:hAnsi="宋体" w:cs="宋体"/>
                <w:color w:val="000000"/>
                <w:kern w:val="0"/>
                <w:sz w:val="24"/>
                <w:lang w:bidi="ar"/>
              </w:rPr>
              <w:t>横梁式开架重型文物储藏柜</w:t>
            </w:r>
          </w:p>
        </w:tc>
        <w:tc>
          <w:tcPr>
            <w:tcW w:w="733" w:type="dxa"/>
            <w:vAlign w:val="center"/>
          </w:tcPr>
          <w:p w14:paraId="3B33748F">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台</w:t>
            </w:r>
          </w:p>
        </w:tc>
        <w:tc>
          <w:tcPr>
            <w:tcW w:w="745" w:type="dxa"/>
            <w:vAlign w:val="center"/>
          </w:tcPr>
          <w:p w14:paraId="5184D323">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32</w:t>
            </w:r>
          </w:p>
        </w:tc>
        <w:tc>
          <w:tcPr>
            <w:tcW w:w="4950" w:type="dxa"/>
            <w:vAlign w:val="center"/>
          </w:tcPr>
          <w:p w14:paraId="27D1A236">
            <w:pPr>
              <w:widowControl/>
              <w:numPr>
                <w:ilvl w:val="0"/>
                <w:numId w:val="7"/>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规格：2000*800*2200mm；</w:t>
            </w:r>
          </w:p>
          <w:p w14:paraId="55AB823C">
            <w:pPr>
              <w:widowControl/>
              <w:numPr>
                <w:ilvl w:val="0"/>
                <w:numId w:val="7"/>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主体结构由底座、立柱、P型横梁、横梁连接扣件、搁物板、护板及优质不锈联结配件组装而成，模块化生产及拆装。现场组装后，形成4层搁物平台，每层可定制托盘，垂直方向高度可以根据文物大小进行调整；</w:t>
            </w:r>
          </w:p>
          <w:p w14:paraId="46625874">
            <w:pPr>
              <w:widowControl/>
              <w:numPr>
                <w:ilvl w:val="0"/>
                <w:numId w:val="7"/>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各部件安装要求牢固可靠、间隙均匀、无松动现象，确保同列同层搁物板沿与P型横梁凸侧均在一个水平面上；</w:t>
            </w:r>
          </w:p>
          <w:p w14:paraId="761755F9">
            <w:pPr>
              <w:widowControl/>
              <w:numPr>
                <w:ilvl w:val="0"/>
                <w:numId w:val="7"/>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各部件采用冷轧钢板模具冲压成形，具有较强的互换性和通用性。整体稳定可靠，每层标准均匀承重需达到300Kg以上，架体、立柱无变形，架体无倾斜现象，经48小时承重试验后，搁物板最大挠度不能超过1mm，卸载后不能有任何裂纹及变形，残余变形量&lt;0.1mm。</w:t>
            </w:r>
          </w:p>
          <w:p w14:paraId="22B4BE4E">
            <w:pPr>
              <w:widowControl/>
              <w:numPr>
                <w:ilvl w:val="0"/>
                <w:numId w:val="7"/>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外观颜色搭配符合博物馆整体风格，要求简洁厚重、美观大方。护板采用优质冷轧钢板压折成型，并做凹凸造型，以增加结构强度，边缘做R5度角处理，满足人体工学，防止直角直边对工作人员的意外损伤；</w:t>
            </w:r>
          </w:p>
          <w:p w14:paraId="1BE0C12A">
            <w:pPr>
              <w:widowControl/>
              <w:numPr>
                <w:ilvl w:val="0"/>
                <w:numId w:val="7"/>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正护板上标准安装钢制目录标签框，以实现对当列文物存储信息的检索与查询；</w:t>
            </w:r>
          </w:p>
          <w:p w14:paraId="115E9F88">
            <w:pPr>
              <w:widowControl/>
              <w:numPr>
                <w:ilvl w:val="0"/>
                <w:numId w:val="7"/>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材料标准采用国内优质冷轧钢板，立柱δ≥2.5，P型管δ≥1.5（80*50），扣件δ≥2.5，搁物板δ≥1.2。静电喷涂采用环保塑粉，确保文物储藏柜的环保性达标；</w:t>
            </w:r>
          </w:p>
          <w:p w14:paraId="7838D233">
            <w:pPr>
              <w:widowControl/>
              <w:numPr>
                <w:ilvl w:val="0"/>
                <w:numId w:val="7"/>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产品表面磷化处理工艺处理及质量水平符合相关国家标准规定要求。零件在涂覆前均应进行清洗、除锈、脱脂、防锈、表调、磷化等工序，涂层厚度为60—70um，光泽度为60%—70%；冲击强度为＞4N/M；</w:t>
            </w:r>
          </w:p>
          <w:p w14:paraId="7829E701">
            <w:pPr>
              <w:widowControl/>
              <w:numPr>
                <w:ilvl w:val="0"/>
                <w:numId w:val="7"/>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所用焊件牢固，焊痕光滑、平整。各零件、组合件表面应光滑、平整、无尖角、突起，无裂痕伤痕。</w:t>
            </w:r>
          </w:p>
          <w:p w14:paraId="2D31BF41">
            <w:pPr>
              <w:widowControl/>
              <w:numPr>
                <w:ilvl w:val="0"/>
                <w:numId w:val="7"/>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（▲）横梁式开架重型文物储藏柜具有较好的抗菌性能，依据QB/T 4371-2012《家具抗菌性能的评价》要求检测，大肠杆菌、金黄色葡萄球菌抑菌率不小于99%，提供第三方检测机构出具的封面具有 CMA 标识的有效检测报告原件扫描件，并同时提供国家市场监督管理总局【全国认证认可信息公共服务平台】（查询网址：http://cx.cnca.cn/)的检测报告查询截图（查询截图须显示网址），否则视为无效投标。</w:t>
            </w:r>
          </w:p>
          <w:p w14:paraId="39FDBAE5">
            <w:pPr>
              <w:widowControl/>
              <w:numPr>
                <w:ilvl w:val="0"/>
                <w:numId w:val="7"/>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（▲）横梁式开架重型文物储藏柜额定承载变形限量：储藏柜在总额定载荷不低于1000kg情况下，储藏柜的平行度、搁板左右倾斜角、搁板挠度符合GB/T 28200-2011《钢制储物柜（架）技术要求及试验方法》标准要求，提供第三方检测机构出具的封面具有 CMA 标识的有效检测报告原件扫描件，并同时提供国家市场监督管理总局【全国认证认可信息公共服务平台】（查询网址：http://cx.cnca.cn/)的检测报告查询截图（查询截图须显示网址），否则视为无效投标。</w:t>
            </w:r>
          </w:p>
          <w:p w14:paraId="0956FB4F">
            <w:pPr>
              <w:widowControl/>
              <w:numPr>
                <w:ilvl w:val="0"/>
                <w:numId w:val="7"/>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（▲）横梁式开架重型文物储藏柜产品承载性能：储藏柜在产品总额定载荷不低于1000kg情况下，均布载荷强度试验、集中载荷强度试验符合GB/T 28200-2011《钢制储物柜（架）技术要求及试验方法》标准要求，提供第三方检测机构出具的封面具有 CMA 标识的有效检测报告原件扫描件，并同时提供国家市场监督管理总局【全国认证认可信息公共服务平台】（查询网址：http://cx.cnca.cn/)的检测报告查询截图（查询截图须显示网址），否则视为无效投标。</w:t>
            </w:r>
          </w:p>
        </w:tc>
      </w:tr>
      <w:tr w14:paraId="1319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0F788D7F">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3</w:t>
            </w:r>
          </w:p>
        </w:tc>
        <w:tc>
          <w:tcPr>
            <w:tcW w:w="1622" w:type="dxa"/>
            <w:gridSpan w:val="2"/>
            <w:vAlign w:val="center"/>
          </w:tcPr>
          <w:p w14:paraId="4024E04C">
            <w:pPr>
              <w:widowControl/>
              <w:spacing w:line="360" w:lineRule="auto"/>
              <w:jc w:val="left"/>
              <w:textAlignment w:val="center"/>
              <w:rPr>
                <w:rFonts w:ascii="宋体" w:hAnsi="宋体" w:cs="宋体"/>
                <w:sz w:val="24"/>
              </w:rPr>
            </w:pPr>
            <w:r>
              <w:rPr>
                <w:rFonts w:hint="eastAsia" w:ascii="宋体" w:hAnsi="宋体" w:cs="宋体"/>
                <w:color w:val="000000"/>
                <w:kern w:val="0"/>
                <w:sz w:val="24"/>
                <w:lang w:bidi="ar"/>
              </w:rPr>
              <w:t>隔板式恒湿储藏柜</w:t>
            </w:r>
          </w:p>
        </w:tc>
        <w:tc>
          <w:tcPr>
            <w:tcW w:w="733" w:type="dxa"/>
            <w:vAlign w:val="center"/>
          </w:tcPr>
          <w:p w14:paraId="083A8064">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台</w:t>
            </w:r>
          </w:p>
        </w:tc>
        <w:tc>
          <w:tcPr>
            <w:tcW w:w="745" w:type="dxa"/>
            <w:vAlign w:val="center"/>
          </w:tcPr>
          <w:p w14:paraId="5E1ECA85">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3</w:t>
            </w:r>
          </w:p>
        </w:tc>
        <w:tc>
          <w:tcPr>
            <w:tcW w:w="4950" w:type="dxa"/>
            <w:vAlign w:val="center"/>
          </w:tcPr>
          <w:p w14:paraId="170CDABD">
            <w:pPr>
              <w:widowControl/>
              <w:numPr>
                <w:ilvl w:val="0"/>
                <w:numId w:val="8"/>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规格：1200*800*1950mm；</w:t>
            </w:r>
          </w:p>
          <w:p w14:paraId="1B9F53EF">
            <w:pPr>
              <w:widowControl/>
              <w:numPr>
                <w:ilvl w:val="0"/>
                <w:numId w:val="8"/>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材料：高承载钢制柜体，钢板厚度不小于1.0mm；</w:t>
            </w:r>
          </w:p>
          <w:p w14:paraId="031FC062">
            <w:pPr>
              <w:widowControl/>
              <w:numPr>
                <w:ilvl w:val="0"/>
                <w:numId w:val="8"/>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结构：隔板层数根据需要设定，每层隔板高度可自动调整，至少4层；上下分体式设计，同时保证良好的密封性。整体方便活动搬移，柜体底部采用优质钢制滚轮，经久耐用；</w:t>
            </w:r>
          </w:p>
          <w:p w14:paraId="0A1832FB">
            <w:pPr>
              <w:widowControl/>
              <w:numPr>
                <w:ilvl w:val="0"/>
                <w:numId w:val="8"/>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涂层采用静电喷涂，采用优质环保漆，长时间使用（十年内）不泛黄；</w:t>
            </w:r>
          </w:p>
          <w:p w14:paraId="4792A159">
            <w:pPr>
              <w:widowControl/>
              <w:numPr>
                <w:ilvl w:val="0"/>
                <w:numId w:val="8"/>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采用优质锁具，坚固耐用，长时间使用（十年内）锁具及钥匙不变形；</w:t>
            </w:r>
          </w:p>
          <w:p w14:paraId="3FF5DFF7">
            <w:pPr>
              <w:widowControl/>
              <w:numPr>
                <w:ilvl w:val="0"/>
                <w:numId w:val="8"/>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所用焊件牢固，焊痕光滑、平整。各零件、组合件表面光滑、平整、无尖角、突起，无裂痕伤痕；</w:t>
            </w:r>
          </w:p>
          <w:p w14:paraId="0B95534E">
            <w:pPr>
              <w:widowControl/>
              <w:numPr>
                <w:ilvl w:val="0"/>
                <w:numId w:val="8"/>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控湿范围：25%RH-70%RH；</w:t>
            </w:r>
          </w:p>
          <w:p w14:paraId="6538F47F">
            <w:pPr>
              <w:widowControl/>
              <w:numPr>
                <w:ilvl w:val="0"/>
                <w:numId w:val="8"/>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使用电源：220VAC,50HZ,1A；</w:t>
            </w:r>
          </w:p>
          <w:p w14:paraId="35001654">
            <w:pPr>
              <w:widowControl/>
              <w:numPr>
                <w:ilvl w:val="0"/>
                <w:numId w:val="8"/>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消耗功率：最大：200W/平均：60W；</w:t>
            </w:r>
          </w:p>
          <w:p w14:paraId="48A27BE0">
            <w:pPr>
              <w:widowControl/>
              <w:numPr>
                <w:ilvl w:val="0"/>
                <w:numId w:val="8"/>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（▲）隔板式恒湿储藏柜配置有LCD彩色显示屏，并显示工作状态、实际测量温湿度、设置目标湿度等信息，提供国家认可的第三方专业检测机构出具的封面具有 CMA 标识的有效检测报告原件扫描件，并同时提供国家市场监督管理总局【全国认证认可信息公共服务平台】（查询网址：http://cx.cnca.cn/)的检测报告查询截图（查询截图须显示网址），否则视为无效。</w:t>
            </w:r>
          </w:p>
          <w:p w14:paraId="66B19013">
            <w:pPr>
              <w:widowControl/>
              <w:numPr>
                <w:ilvl w:val="0"/>
                <w:numId w:val="8"/>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免补水功能：适宜外界环境湿度下，将除湿的冷凝水进行过滤、净化，自动收集至内置水箱，补充恒湿机内液位，为加湿功能提供水源，无须人工加（补）水；水箱水满后，停止补水，将冷凝水挥发到空气中，无须人工排（倒）水。</w:t>
            </w:r>
          </w:p>
          <w:p w14:paraId="5C483651">
            <w:pPr>
              <w:widowControl/>
              <w:numPr>
                <w:ilvl w:val="0"/>
                <w:numId w:val="8"/>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（▲）隔板式恒湿储藏柜柜内甲醛含量≤0.05mg/m</w:t>
            </w:r>
            <w:r>
              <w:rPr>
                <w:rFonts w:hint="eastAsia" w:ascii="宋体" w:hAnsi="宋体" w:cs="宋体"/>
                <w:color w:val="000000"/>
                <w:kern w:val="0"/>
                <w:sz w:val="24"/>
                <w:vertAlign w:val="superscript"/>
                <w:lang w:bidi="ar"/>
              </w:rPr>
              <w:t>3</w:t>
            </w:r>
            <w:r>
              <w:rPr>
                <w:rFonts w:hint="eastAsia" w:ascii="宋体" w:hAnsi="宋体" w:cs="宋体"/>
                <w:color w:val="000000"/>
                <w:kern w:val="0"/>
                <w:sz w:val="24"/>
                <w:lang w:bidi="ar"/>
              </w:rPr>
              <w:t>、苯含量≤0.05mg/m</w:t>
            </w:r>
            <w:r>
              <w:rPr>
                <w:rFonts w:hint="eastAsia" w:ascii="宋体" w:hAnsi="宋体" w:cs="宋体"/>
                <w:color w:val="000000"/>
                <w:kern w:val="0"/>
                <w:sz w:val="24"/>
                <w:vertAlign w:val="superscript"/>
                <w:lang w:bidi="ar"/>
              </w:rPr>
              <w:t>3</w:t>
            </w:r>
            <w:r>
              <w:rPr>
                <w:rFonts w:hint="eastAsia" w:ascii="宋体" w:hAnsi="宋体" w:cs="宋体"/>
                <w:color w:val="000000"/>
                <w:kern w:val="0"/>
                <w:sz w:val="24"/>
                <w:lang w:bidi="ar"/>
              </w:rPr>
              <w:t>、TVOC含量≤0.5mg/m</w:t>
            </w:r>
            <w:r>
              <w:rPr>
                <w:rFonts w:hint="eastAsia" w:ascii="宋体" w:hAnsi="宋体" w:cs="宋体"/>
                <w:color w:val="000000"/>
                <w:kern w:val="0"/>
                <w:sz w:val="24"/>
                <w:vertAlign w:val="superscript"/>
                <w:lang w:bidi="ar"/>
              </w:rPr>
              <w:t>3</w:t>
            </w:r>
            <w:r>
              <w:rPr>
                <w:rFonts w:hint="eastAsia" w:ascii="宋体" w:hAnsi="宋体" w:cs="宋体"/>
                <w:color w:val="000000"/>
                <w:kern w:val="0"/>
                <w:sz w:val="24"/>
                <w:lang w:bidi="ar"/>
              </w:rPr>
              <w:t>,提供第三方专业检测机构出具的封面具有CMA标识的有效检测报告原件扫描件，并同时提供国家市场监督管理总局【全国认证认可信息公共服务平台】（查询网址：http://cx.cnca.cn/)的检测报告查询截图（查询截图须显示网址），否则视为无效投标。</w:t>
            </w:r>
          </w:p>
          <w:p w14:paraId="7588D5B3">
            <w:pPr>
              <w:widowControl/>
              <w:numPr>
                <w:ilvl w:val="0"/>
                <w:numId w:val="6"/>
              </w:numPr>
              <w:spacing w:line="360" w:lineRule="auto"/>
              <w:jc w:val="left"/>
              <w:rPr>
                <w:rFonts w:ascii="宋体" w:hAnsi="宋体" w:cs="宋体"/>
                <w:color w:val="000000"/>
                <w:kern w:val="0"/>
                <w:sz w:val="24"/>
                <w:lang w:bidi="ar"/>
              </w:rPr>
            </w:pPr>
            <w:r>
              <w:rPr>
                <w:rFonts w:hint="eastAsia" w:ascii="宋体" w:hAnsi="宋体" w:cs="宋体"/>
                <w:sz w:val="24"/>
              </w:rPr>
              <w:t>（▲）为验证文物保存环境状况，为</w:t>
            </w:r>
            <w:r>
              <w:rPr>
                <w:rFonts w:hint="eastAsia" w:ascii="宋体" w:hAnsi="宋体" w:cs="宋体"/>
                <w:color w:val="000000"/>
                <w:kern w:val="0"/>
                <w:sz w:val="24"/>
                <w:lang w:bidi="ar"/>
              </w:rPr>
              <w:t>隔板式恒湿储藏柜</w:t>
            </w:r>
            <w:r>
              <w:rPr>
                <w:rFonts w:hint="eastAsia" w:ascii="宋体" w:hAnsi="宋体" w:cs="宋体"/>
                <w:sz w:val="24"/>
              </w:rPr>
              <w:t>配置1台无线温湿度监测终端，无线温湿度监测终端技术要求，温度测量范围：-30～70℃，测量精度：±0.3℃；湿度测量范围：0～100%RH；测量精度：±2%RH；</w:t>
            </w:r>
            <w:r>
              <w:rPr>
                <w:rFonts w:hint="eastAsia" w:ascii="宋体" w:hAnsi="宋体" w:cs="宋体"/>
                <w:b/>
                <w:bCs/>
                <w:sz w:val="24"/>
              </w:rPr>
              <w:t>采用安全设计，具有防爆性能，投标文件中提供具有防爆性能的证明材料原件扫描件，证明材料要求有“温湿度”字样。</w:t>
            </w:r>
          </w:p>
          <w:p w14:paraId="1DBBBEDE">
            <w:pPr>
              <w:widowControl/>
              <w:numPr>
                <w:ilvl w:val="0"/>
                <w:numId w:val="8"/>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w:t>
            </w:r>
            <w:r>
              <w:rPr>
                <w:rFonts w:ascii="宋体" w:hAnsi="宋体" w:cs="宋体"/>
                <w:color w:val="000000"/>
                <w:kern w:val="0"/>
                <w:sz w:val="24"/>
                <w:lang w:bidi="ar"/>
              </w:rPr>
              <w:t>配套文物保存环境监测软件，能实时接收、存储、监测和分析柜内数据，</w:t>
            </w:r>
            <w:r>
              <w:rPr>
                <w:rFonts w:hint="eastAsia" w:ascii="宋体" w:hAnsi="宋体" w:cs="宋体"/>
                <w:color w:val="000000"/>
                <w:kern w:val="0"/>
                <w:sz w:val="24"/>
                <w:lang w:bidi="ar"/>
              </w:rPr>
              <w:t>软件符合《信息安全等级保护管理办法》二级测评要求，投标文件中提供软件测评结果通知书，结果为二级或以上级别。</w:t>
            </w:r>
          </w:p>
        </w:tc>
      </w:tr>
      <w:tr w14:paraId="09EF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56D4C667">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4</w:t>
            </w:r>
          </w:p>
        </w:tc>
        <w:tc>
          <w:tcPr>
            <w:tcW w:w="1622" w:type="dxa"/>
            <w:gridSpan w:val="2"/>
            <w:vAlign w:val="center"/>
          </w:tcPr>
          <w:p w14:paraId="6348B79E">
            <w:pPr>
              <w:widowControl/>
              <w:spacing w:line="360" w:lineRule="auto"/>
              <w:jc w:val="left"/>
              <w:textAlignment w:val="center"/>
              <w:rPr>
                <w:rFonts w:ascii="宋体" w:hAnsi="宋体" w:cs="宋体"/>
                <w:sz w:val="24"/>
              </w:rPr>
            </w:pPr>
            <w:r>
              <w:rPr>
                <w:rFonts w:hint="eastAsia" w:ascii="宋体" w:hAnsi="宋体" w:cs="宋体"/>
                <w:color w:val="000000"/>
                <w:kern w:val="0"/>
                <w:sz w:val="24"/>
                <w:lang w:bidi="ar"/>
              </w:rPr>
              <w:t>抽屉式恒湿储藏柜</w:t>
            </w:r>
          </w:p>
        </w:tc>
        <w:tc>
          <w:tcPr>
            <w:tcW w:w="733" w:type="dxa"/>
            <w:vAlign w:val="center"/>
          </w:tcPr>
          <w:p w14:paraId="6BD05253">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台</w:t>
            </w:r>
          </w:p>
        </w:tc>
        <w:tc>
          <w:tcPr>
            <w:tcW w:w="745" w:type="dxa"/>
            <w:vAlign w:val="center"/>
          </w:tcPr>
          <w:p w14:paraId="70E07373">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3</w:t>
            </w:r>
          </w:p>
        </w:tc>
        <w:tc>
          <w:tcPr>
            <w:tcW w:w="4950" w:type="dxa"/>
            <w:vAlign w:val="center"/>
          </w:tcPr>
          <w:p w14:paraId="239C367C">
            <w:pPr>
              <w:widowControl/>
              <w:numPr>
                <w:ilvl w:val="0"/>
                <w:numId w:val="9"/>
              </w:numPr>
              <w:spacing w:line="360" w:lineRule="auto"/>
              <w:jc w:val="left"/>
              <w:textAlignment w:val="center"/>
              <w:rPr>
                <w:rFonts w:ascii="宋体" w:hAnsi="宋体" w:cs="宋体"/>
                <w:sz w:val="24"/>
              </w:rPr>
            </w:pPr>
            <w:r>
              <w:rPr>
                <w:rFonts w:hint="eastAsia" w:ascii="宋体" w:hAnsi="宋体" w:cs="宋体"/>
                <w:sz w:val="24"/>
              </w:rPr>
              <w:t>规格：1200*800*1950mm；</w:t>
            </w:r>
          </w:p>
          <w:p w14:paraId="72599507">
            <w:pPr>
              <w:pStyle w:val="16"/>
              <w:numPr>
                <w:ilvl w:val="0"/>
                <w:numId w:val="9"/>
              </w:numPr>
              <w:tabs>
                <w:tab w:val="left" w:pos="0"/>
              </w:tabs>
              <w:spacing w:line="360" w:lineRule="auto"/>
              <w:rPr>
                <w:rFonts w:hAnsi="宋体" w:cs="宋体"/>
                <w:sz w:val="24"/>
              </w:rPr>
            </w:pPr>
            <w:r>
              <w:rPr>
                <w:rFonts w:hint="eastAsia" w:hAnsi="宋体" w:cs="宋体"/>
                <w:sz w:val="24"/>
              </w:rPr>
              <w:t>材料：高承载钢制柜体，钢板厚度不小于1.0mm；</w:t>
            </w:r>
          </w:p>
          <w:p w14:paraId="3A7C88DC">
            <w:pPr>
              <w:pStyle w:val="16"/>
              <w:numPr>
                <w:ilvl w:val="0"/>
                <w:numId w:val="9"/>
              </w:numPr>
              <w:tabs>
                <w:tab w:val="left" w:pos="0"/>
              </w:tabs>
              <w:spacing w:line="360" w:lineRule="auto"/>
              <w:rPr>
                <w:rFonts w:hAnsi="宋体" w:cs="宋体"/>
                <w:sz w:val="24"/>
              </w:rPr>
            </w:pPr>
            <w:r>
              <w:rPr>
                <w:rFonts w:hint="eastAsia" w:hAnsi="宋体" w:cs="宋体"/>
                <w:sz w:val="24"/>
              </w:rPr>
              <w:t>结构：抽屉层数不少于10层；上下分体式设计，同时保证良好的密封性。整体方便活动搬移，柜体底部采用优质钢制滚轮，经久耐用；</w:t>
            </w:r>
          </w:p>
          <w:p w14:paraId="31F7251A">
            <w:pPr>
              <w:pStyle w:val="16"/>
              <w:numPr>
                <w:ilvl w:val="0"/>
                <w:numId w:val="9"/>
              </w:numPr>
              <w:tabs>
                <w:tab w:val="left" w:pos="0"/>
              </w:tabs>
              <w:spacing w:line="360" w:lineRule="auto"/>
              <w:rPr>
                <w:rFonts w:hAnsi="宋体" w:cs="宋体"/>
                <w:sz w:val="24"/>
              </w:rPr>
            </w:pPr>
            <w:r>
              <w:rPr>
                <w:rFonts w:hint="eastAsia" w:hAnsi="宋体" w:cs="宋体"/>
                <w:sz w:val="24"/>
              </w:rPr>
              <w:t>工艺：静电喷涂，采用优质环保漆，长时间使用（十年内）不泛黄；采用优质锁具，坚固耐用，长时间使用（十年内）锁具及钥匙不变形；所用焊件牢固，焊痕光滑、平整。各零件、组合件表面光滑、平整、无尖角、突起，无裂痕伤痕；</w:t>
            </w:r>
          </w:p>
          <w:p w14:paraId="560F8035">
            <w:pPr>
              <w:pStyle w:val="16"/>
              <w:numPr>
                <w:ilvl w:val="0"/>
                <w:numId w:val="9"/>
              </w:numPr>
              <w:tabs>
                <w:tab w:val="left" w:pos="0"/>
              </w:tabs>
              <w:spacing w:line="360" w:lineRule="auto"/>
              <w:rPr>
                <w:rFonts w:hAnsi="宋体" w:cs="宋体"/>
                <w:sz w:val="24"/>
              </w:rPr>
            </w:pPr>
            <w:r>
              <w:rPr>
                <w:rFonts w:hint="eastAsia" w:hAnsi="宋体" w:cs="宋体"/>
                <w:sz w:val="24"/>
              </w:rPr>
              <w:t>控湿范围：25%RH-70%RH；</w:t>
            </w:r>
          </w:p>
          <w:p w14:paraId="3EA8C22C">
            <w:pPr>
              <w:pStyle w:val="16"/>
              <w:numPr>
                <w:ilvl w:val="0"/>
                <w:numId w:val="9"/>
              </w:numPr>
              <w:tabs>
                <w:tab w:val="left" w:pos="0"/>
              </w:tabs>
              <w:spacing w:line="360" w:lineRule="auto"/>
              <w:rPr>
                <w:rFonts w:hAnsi="宋体" w:cs="宋体"/>
                <w:sz w:val="24"/>
              </w:rPr>
            </w:pPr>
            <w:r>
              <w:rPr>
                <w:rFonts w:hint="eastAsia" w:hAnsi="宋体" w:cs="宋体"/>
                <w:sz w:val="24"/>
              </w:rPr>
              <w:t>日波动范围：±3%RH；</w:t>
            </w:r>
          </w:p>
          <w:p w14:paraId="6DDE159E">
            <w:pPr>
              <w:pStyle w:val="16"/>
              <w:numPr>
                <w:ilvl w:val="0"/>
                <w:numId w:val="9"/>
              </w:numPr>
              <w:tabs>
                <w:tab w:val="left" w:pos="0"/>
              </w:tabs>
              <w:spacing w:line="360" w:lineRule="auto"/>
              <w:rPr>
                <w:rFonts w:hAnsi="宋体" w:cs="宋体"/>
                <w:sz w:val="24"/>
              </w:rPr>
            </w:pPr>
            <w:r>
              <w:rPr>
                <w:rFonts w:hint="eastAsia" w:hAnsi="宋体" w:cs="宋体"/>
                <w:sz w:val="24"/>
              </w:rPr>
              <w:t>使用电源：220VAC,50HZ,1A；</w:t>
            </w:r>
          </w:p>
          <w:p w14:paraId="5519CC6A">
            <w:pPr>
              <w:pStyle w:val="16"/>
              <w:numPr>
                <w:ilvl w:val="0"/>
                <w:numId w:val="9"/>
              </w:numPr>
              <w:tabs>
                <w:tab w:val="left" w:pos="0"/>
              </w:tabs>
              <w:spacing w:line="360" w:lineRule="auto"/>
              <w:rPr>
                <w:rFonts w:hAnsi="宋体" w:cs="宋体"/>
                <w:sz w:val="24"/>
              </w:rPr>
            </w:pPr>
            <w:r>
              <w:rPr>
                <w:rFonts w:hint="eastAsia" w:hAnsi="宋体" w:cs="宋体"/>
                <w:sz w:val="24"/>
              </w:rPr>
              <w:t>消耗功率：最大：200W/平均：60W；</w:t>
            </w:r>
          </w:p>
          <w:p w14:paraId="788ED369">
            <w:pPr>
              <w:pStyle w:val="16"/>
              <w:numPr>
                <w:ilvl w:val="0"/>
                <w:numId w:val="9"/>
              </w:numPr>
              <w:tabs>
                <w:tab w:val="left" w:pos="0"/>
              </w:tabs>
              <w:spacing w:line="360" w:lineRule="auto"/>
              <w:rPr>
                <w:rFonts w:hAnsi="宋体" w:cs="宋体"/>
                <w:sz w:val="24"/>
              </w:rPr>
            </w:pPr>
            <w:r>
              <w:rPr>
                <w:rFonts w:hint="eastAsia" w:hAnsi="宋体" w:cs="宋体"/>
                <w:sz w:val="24"/>
              </w:rPr>
              <w:t>（▲）抽屉式恒湿储藏柜配置有LCD彩色显示屏，并显示工作状态、实际测量温湿度、设置目标湿度等信息，提供国家认可的第三方专业检测机构出具的封面具有 CMA 标识的有效检测报告原件扫描件</w:t>
            </w:r>
            <w:r>
              <w:rPr>
                <w:rFonts w:hint="eastAsia" w:hAnsi="宋体" w:cs="宋体"/>
                <w:color w:val="000000"/>
                <w:sz w:val="24"/>
                <w:lang w:bidi="ar"/>
              </w:rPr>
              <w:t>，并同时提供国家市场监督管理总局【全国认证认可信息公共服务平台】（查询网址：http://cx.cnca.cn/)的检测报告查询截图（查询截图须显示网址），否则视为无效投标。</w:t>
            </w:r>
          </w:p>
          <w:p w14:paraId="2EE56D02">
            <w:pPr>
              <w:pStyle w:val="16"/>
              <w:numPr>
                <w:ilvl w:val="0"/>
                <w:numId w:val="9"/>
              </w:numPr>
              <w:tabs>
                <w:tab w:val="left" w:pos="0"/>
              </w:tabs>
              <w:spacing w:line="360" w:lineRule="auto"/>
              <w:rPr>
                <w:rFonts w:hAnsi="宋体" w:cs="宋体"/>
                <w:sz w:val="24"/>
              </w:rPr>
            </w:pPr>
            <w:r>
              <w:rPr>
                <w:rFonts w:hint="eastAsia" w:hAnsi="宋体" w:cs="宋体"/>
                <w:sz w:val="24"/>
              </w:rPr>
              <w:t>免补水功能：适宜外界环境湿度下，将除湿的冷凝水进行过滤、净化，自动收集至内置水箱，补充恒湿机内液位，为加湿功能提供水源，无需人工加（补）水；水箱水满后，停止补水，将冷凝水挥发到空气中，无需人工排（倒）水；</w:t>
            </w:r>
          </w:p>
          <w:p w14:paraId="4DC4474C">
            <w:pPr>
              <w:pStyle w:val="16"/>
              <w:numPr>
                <w:ilvl w:val="0"/>
                <w:numId w:val="9"/>
              </w:numPr>
              <w:tabs>
                <w:tab w:val="left" w:pos="0"/>
              </w:tabs>
              <w:spacing w:line="360" w:lineRule="auto"/>
              <w:rPr>
                <w:rFonts w:hAnsi="宋体" w:cs="宋体"/>
                <w:sz w:val="24"/>
              </w:rPr>
            </w:pPr>
            <w:r>
              <w:rPr>
                <w:rFonts w:hint="eastAsia" w:hAnsi="宋体" w:cs="宋体"/>
                <w:sz w:val="24"/>
              </w:rPr>
              <w:t>（▲）抽屉式恒湿储藏柜内甲醛含量≤0.05mg/</w:t>
            </w:r>
            <w:r>
              <w:rPr>
                <w:rFonts w:hint="eastAsia" w:hAnsi="宋体" w:cs="宋体"/>
                <w:color w:val="000000"/>
                <w:sz w:val="24"/>
                <w:lang w:bidi="ar"/>
              </w:rPr>
              <w:t>m</w:t>
            </w:r>
            <w:r>
              <w:rPr>
                <w:rFonts w:hint="eastAsia" w:hAnsi="宋体" w:cs="宋体"/>
                <w:color w:val="000000"/>
                <w:sz w:val="24"/>
                <w:vertAlign w:val="superscript"/>
                <w:lang w:bidi="ar"/>
              </w:rPr>
              <w:t>3</w:t>
            </w:r>
            <w:r>
              <w:rPr>
                <w:rFonts w:hint="eastAsia" w:hAnsi="宋体" w:cs="宋体"/>
                <w:sz w:val="24"/>
              </w:rPr>
              <w:t>、苯含量≤0.05mg/</w:t>
            </w:r>
            <w:r>
              <w:rPr>
                <w:rFonts w:hint="eastAsia" w:hAnsi="宋体" w:cs="宋体"/>
                <w:color w:val="000000"/>
                <w:sz w:val="24"/>
                <w:lang w:bidi="ar"/>
              </w:rPr>
              <w:t>m</w:t>
            </w:r>
            <w:r>
              <w:rPr>
                <w:rFonts w:hint="eastAsia" w:hAnsi="宋体" w:cs="宋体"/>
                <w:color w:val="000000"/>
                <w:sz w:val="24"/>
                <w:vertAlign w:val="superscript"/>
                <w:lang w:bidi="ar"/>
              </w:rPr>
              <w:t>3</w:t>
            </w:r>
            <w:r>
              <w:rPr>
                <w:rFonts w:hint="eastAsia" w:hAnsi="宋体" w:cs="宋体"/>
                <w:sz w:val="24"/>
              </w:rPr>
              <w:t>、TVOC含量≤0.5mg/</w:t>
            </w:r>
            <w:r>
              <w:rPr>
                <w:rFonts w:hint="eastAsia" w:hAnsi="宋体" w:cs="宋体"/>
                <w:color w:val="000000"/>
                <w:sz w:val="24"/>
                <w:lang w:bidi="ar"/>
              </w:rPr>
              <w:t>m</w:t>
            </w:r>
            <w:r>
              <w:rPr>
                <w:rFonts w:hint="eastAsia" w:hAnsi="宋体" w:cs="宋体"/>
                <w:color w:val="000000"/>
                <w:sz w:val="24"/>
                <w:vertAlign w:val="superscript"/>
                <w:lang w:bidi="ar"/>
              </w:rPr>
              <w:t>3</w:t>
            </w:r>
            <w:r>
              <w:rPr>
                <w:rFonts w:hint="eastAsia" w:hAnsi="宋体" w:cs="宋体"/>
                <w:sz w:val="24"/>
              </w:rPr>
              <w:t>，提供国家认可的第三方专业检测机构出具的封面具有 CMA 标识的有效检测报告原件扫描件，并同时提供国家市场监督管理总局【全国认证认可信息公共服务平台】（查询网址：http://cx.cnca.cn/)的检测报告查询截图（查询截图须显示网址），否则视为无效。</w:t>
            </w:r>
          </w:p>
          <w:p w14:paraId="0E0C6147">
            <w:pPr>
              <w:pStyle w:val="16"/>
              <w:numPr>
                <w:ilvl w:val="0"/>
                <w:numId w:val="9"/>
              </w:numPr>
              <w:tabs>
                <w:tab w:val="left" w:pos="0"/>
              </w:tabs>
              <w:spacing w:line="360" w:lineRule="auto"/>
            </w:pPr>
            <w:r>
              <w:rPr>
                <w:rFonts w:hint="eastAsia" w:hAnsi="宋体" w:cs="宋体"/>
                <w:color w:val="000000"/>
                <w:sz w:val="24"/>
                <w:lang w:bidi="ar"/>
              </w:rPr>
              <w:t>配套文物保存环境监测软件，能实时接收、存储、监测和分析柜内数据，软件符合《信息安全等级保护管理办法》二级测评要求。</w:t>
            </w:r>
          </w:p>
        </w:tc>
      </w:tr>
      <w:tr w14:paraId="2A45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2C6F8FC7">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5</w:t>
            </w:r>
          </w:p>
        </w:tc>
        <w:tc>
          <w:tcPr>
            <w:tcW w:w="1622" w:type="dxa"/>
            <w:gridSpan w:val="2"/>
            <w:vAlign w:val="center"/>
          </w:tcPr>
          <w:p w14:paraId="7F448318">
            <w:pPr>
              <w:widowControl/>
              <w:spacing w:line="360" w:lineRule="auto"/>
              <w:jc w:val="left"/>
              <w:textAlignment w:val="center"/>
              <w:rPr>
                <w:rFonts w:ascii="宋体" w:hAnsi="宋体" w:cs="宋体"/>
                <w:sz w:val="24"/>
              </w:rPr>
            </w:pPr>
            <w:r>
              <w:rPr>
                <w:rFonts w:hint="eastAsia" w:ascii="宋体" w:hAnsi="宋体" w:cs="宋体"/>
                <w:color w:val="000000"/>
                <w:kern w:val="0"/>
                <w:sz w:val="24"/>
                <w:lang w:bidi="ar"/>
              </w:rPr>
              <w:t>恒温恒湿储藏柜</w:t>
            </w:r>
          </w:p>
        </w:tc>
        <w:tc>
          <w:tcPr>
            <w:tcW w:w="733" w:type="dxa"/>
            <w:vAlign w:val="center"/>
          </w:tcPr>
          <w:p w14:paraId="77B5A825">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台</w:t>
            </w:r>
          </w:p>
        </w:tc>
        <w:tc>
          <w:tcPr>
            <w:tcW w:w="745" w:type="dxa"/>
            <w:vAlign w:val="center"/>
          </w:tcPr>
          <w:p w14:paraId="0E3CC3F5">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3</w:t>
            </w:r>
          </w:p>
        </w:tc>
        <w:tc>
          <w:tcPr>
            <w:tcW w:w="4950" w:type="dxa"/>
            <w:vAlign w:val="center"/>
          </w:tcPr>
          <w:p w14:paraId="01E0F9D7">
            <w:pPr>
              <w:widowControl/>
              <w:numPr>
                <w:ilvl w:val="0"/>
                <w:numId w:val="1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规格：1200*800*1950mm。</w:t>
            </w:r>
          </w:p>
          <w:p w14:paraId="02F80BA3">
            <w:pPr>
              <w:widowControl/>
              <w:numPr>
                <w:ilvl w:val="0"/>
                <w:numId w:val="1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材料：材质采用厚度≥1mm 优质冷轧钢，每层承重≥50KG；</w:t>
            </w:r>
          </w:p>
          <w:p w14:paraId="5B1027A5">
            <w:pPr>
              <w:widowControl/>
              <w:numPr>
                <w:ilvl w:val="0"/>
                <w:numId w:val="1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结构：标准款为≥6层层板式；</w:t>
            </w:r>
          </w:p>
          <w:p w14:paraId="29BCC241">
            <w:pPr>
              <w:widowControl/>
              <w:numPr>
                <w:ilvl w:val="0"/>
                <w:numId w:val="1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柜内温度控制范围：15℃～30℃;</w:t>
            </w:r>
          </w:p>
          <w:p w14:paraId="4CE89B57">
            <w:pPr>
              <w:widowControl/>
              <w:numPr>
                <w:ilvl w:val="0"/>
                <w:numId w:val="1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柜内湿度控制范围：40%RH～70%RH；</w:t>
            </w:r>
          </w:p>
          <w:p w14:paraId="31A22770">
            <w:pPr>
              <w:widowControl/>
              <w:numPr>
                <w:ilvl w:val="0"/>
                <w:numId w:val="1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温度控制稳定性：温度值≤±2℃;</w:t>
            </w:r>
          </w:p>
          <w:p w14:paraId="1B30A606">
            <w:pPr>
              <w:widowControl/>
              <w:numPr>
                <w:ilvl w:val="0"/>
                <w:numId w:val="1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湿度控制稳定性：湿度值≤±3%RH；</w:t>
            </w:r>
          </w:p>
          <w:p w14:paraId="45A395F6">
            <w:pPr>
              <w:widowControl/>
              <w:numPr>
                <w:ilvl w:val="0"/>
                <w:numId w:val="1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加湿水箱：水箱容积≥3L，带液位指示，带液位开关，手动加水；</w:t>
            </w:r>
          </w:p>
          <w:p w14:paraId="4D4A51B2">
            <w:pPr>
              <w:widowControl/>
              <w:numPr>
                <w:ilvl w:val="0"/>
                <w:numId w:val="1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柜内空气净化：尼龙网+HEPA+改性椰壳活性炭+银离子涂层（复合滤网）；</w:t>
            </w:r>
          </w:p>
          <w:p w14:paraId="151C7039">
            <w:pPr>
              <w:widowControl/>
              <w:numPr>
                <w:ilvl w:val="0"/>
                <w:numId w:val="1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通讯功能：支持以太网、MQTT DTU 方式组网；</w:t>
            </w:r>
          </w:p>
          <w:p w14:paraId="563C15F3">
            <w:pPr>
              <w:widowControl/>
              <w:numPr>
                <w:ilvl w:val="0"/>
                <w:numId w:val="1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远程诊断：具有设备自检和远程诊断功能；</w:t>
            </w:r>
          </w:p>
          <w:p w14:paraId="61182D14">
            <w:pPr>
              <w:widowControl/>
              <w:numPr>
                <w:ilvl w:val="0"/>
                <w:numId w:val="1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保护功能：电路过载保护、短路保护、漏电保护；</w:t>
            </w:r>
          </w:p>
          <w:p w14:paraId="271D5389">
            <w:pPr>
              <w:widowControl/>
              <w:numPr>
                <w:ilvl w:val="0"/>
                <w:numId w:val="1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制冷系统具有制冷剂高压保护、低压保护功能，压缩机具有过热保护功能；恒温PTC加热器具有过温、过流保护功能；</w:t>
            </w:r>
          </w:p>
          <w:p w14:paraId="1B82714B">
            <w:pPr>
              <w:widowControl/>
              <w:numPr>
                <w:ilvl w:val="0"/>
                <w:numId w:val="1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加湿水箱缺水、满水保护功能；柜内湿度超标警示和保护功能； 故障报警和维护保养提示功能；</w:t>
            </w:r>
          </w:p>
          <w:p w14:paraId="002BB63C">
            <w:pPr>
              <w:widowControl/>
              <w:numPr>
                <w:ilvl w:val="0"/>
                <w:numId w:val="1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噪音：正前方1m处运转噪音不超过50dB(A)，消音室环境下测量；</w:t>
            </w:r>
          </w:p>
          <w:p w14:paraId="5F2AC3B0">
            <w:pPr>
              <w:widowControl/>
              <w:numPr>
                <w:ilvl w:val="0"/>
                <w:numId w:val="1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（▲）恒温恒湿储藏柜内甲醛含量≤0.05mg/m</w:t>
            </w:r>
            <w:r>
              <w:rPr>
                <w:rFonts w:hint="eastAsia" w:ascii="宋体" w:hAnsi="宋体" w:cs="宋体"/>
                <w:color w:val="000000"/>
                <w:kern w:val="0"/>
                <w:sz w:val="24"/>
                <w:vertAlign w:val="superscript"/>
                <w:lang w:bidi="ar"/>
              </w:rPr>
              <w:t>3</w:t>
            </w:r>
            <w:r>
              <w:rPr>
                <w:rFonts w:hint="eastAsia" w:ascii="宋体" w:hAnsi="宋体" w:cs="宋体"/>
                <w:color w:val="000000"/>
                <w:kern w:val="0"/>
                <w:sz w:val="24"/>
                <w:lang w:bidi="ar"/>
              </w:rPr>
              <w:t>、苯含量≤0.05mg/m</w:t>
            </w:r>
            <w:r>
              <w:rPr>
                <w:rFonts w:hint="eastAsia" w:ascii="宋体" w:hAnsi="宋体" w:cs="宋体"/>
                <w:color w:val="000000"/>
                <w:kern w:val="0"/>
                <w:sz w:val="24"/>
                <w:vertAlign w:val="superscript"/>
                <w:lang w:bidi="ar"/>
              </w:rPr>
              <w:t>3</w:t>
            </w:r>
            <w:r>
              <w:rPr>
                <w:rFonts w:hint="eastAsia" w:ascii="宋体" w:hAnsi="宋体" w:cs="宋体"/>
                <w:color w:val="000000"/>
                <w:kern w:val="0"/>
                <w:sz w:val="24"/>
                <w:lang w:bidi="ar"/>
              </w:rPr>
              <w:t>、TVOC含量≤0.5mg/m</w:t>
            </w:r>
            <w:r>
              <w:rPr>
                <w:rFonts w:hint="eastAsia" w:ascii="宋体" w:hAnsi="宋体" w:cs="宋体"/>
                <w:color w:val="000000"/>
                <w:kern w:val="0"/>
                <w:sz w:val="24"/>
                <w:vertAlign w:val="superscript"/>
                <w:lang w:bidi="ar"/>
              </w:rPr>
              <w:t>3</w:t>
            </w:r>
            <w:r>
              <w:rPr>
                <w:rFonts w:hint="eastAsia" w:ascii="宋体" w:hAnsi="宋体" w:cs="宋体"/>
                <w:color w:val="000000"/>
                <w:kern w:val="0"/>
                <w:sz w:val="24"/>
                <w:lang w:bidi="ar"/>
              </w:rPr>
              <w:t>，提供第三方专业检测机构出具的封面具有CMA标识的有效检测报告原件扫描件，并同时提供国家市场监督管理总局【全国认证认可信息公共服务平台】（查询网址：http://cx.cnca.cn/)的检测报告查询截图（查询截图须显示网址），否则视为无效。</w:t>
            </w:r>
          </w:p>
          <w:p w14:paraId="0389D6EA">
            <w:pPr>
              <w:widowControl/>
              <w:numPr>
                <w:ilvl w:val="0"/>
                <w:numId w:val="1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恒温恒湿储藏柜配置有LCD彩色显示屏，并显示工作状态、实际测量温湿度、设置目标湿度等信息，并同时提供国家市场监督管理总局【全国认证认可信息公共服务平台】（查询网址：http://cx.cnca.cn/)的检测报告查询截图（查询截图须显示网址），否则视为无效。</w:t>
            </w:r>
          </w:p>
          <w:p w14:paraId="04339487">
            <w:pPr>
              <w:widowControl/>
              <w:numPr>
                <w:ilvl w:val="0"/>
                <w:numId w:val="10"/>
              </w:numPr>
              <w:spacing w:line="360" w:lineRule="auto"/>
              <w:jc w:val="left"/>
              <w:textAlignment w:val="center"/>
              <w:rPr>
                <w:rFonts w:ascii="宋体" w:hAnsi="宋体" w:cs="宋体"/>
                <w:color w:val="000000"/>
                <w:kern w:val="0"/>
                <w:sz w:val="24"/>
                <w:lang w:bidi="ar"/>
              </w:rPr>
            </w:pPr>
            <w:r>
              <w:rPr>
                <w:rFonts w:ascii="宋体" w:hAnsi="宋体" w:cs="宋体"/>
                <w:color w:val="000000"/>
                <w:kern w:val="0"/>
                <w:sz w:val="24"/>
                <w:lang w:bidi="ar"/>
              </w:rPr>
              <w:t>配套文物保存环境监测软件，能实时接收、存储、监测和分析柜内数据，</w:t>
            </w:r>
            <w:r>
              <w:rPr>
                <w:rFonts w:hint="eastAsia" w:ascii="宋体" w:hAnsi="宋体" w:cs="宋体"/>
                <w:color w:val="000000"/>
                <w:kern w:val="0"/>
                <w:sz w:val="24"/>
                <w:lang w:bidi="ar"/>
              </w:rPr>
              <w:t>软件符合《信息安全等级保护管理办法》二级测评要求。</w:t>
            </w:r>
          </w:p>
        </w:tc>
      </w:tr>
      <w:tr w14:paraId="55EB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1" w:type="dxa"/>
            <w:gridSpan w:val="6"/>
            <w:vAlign w:val="center"/>
          </w:tcPr>
          <w:p w14:paraId="25BCA717">
            <w:pPr>
              <w:spacing w:line="360" w:lineRule="auto"/>
              <w:rPr>
                <w:rFonts w:ascii="宋体" w:hAnsi="宋体" w:cs="宋体"/>
                <w:sz w:val="24"/>
              </w:rPr>
            </w:pPr>
            <w:r>
              <w:rPr>
                <w:rFonts w:hint="eastAsia" w:ascii="宋体" w:hAnsi="宋体" w:cs="宋体"/>
                <w:sz w:val="24"/>
              </w:rPr>
              <w:t>库房辅助设备</w:t>
            </w:r>
          </w:p>
        </w:tc>
      </w:tr>
      <w:tr w14:paraId="205B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09F9F700">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1</w:t>
            </w:r>
          </w:p>
        </w:tc>
        <w:tc>
          <w:tcPr>
            <w:tcW w:w="1622" w:type="dxa"/>
            <w:gridSpan w:val="2"/>
            <w:vAlign w:val="center"/>
          </w:tcPr>
          <w:p w14:paraId="25465058">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文物转运箱</w:t>
            </w:r>
          </w:p>
        </w:tc>
        <w:tc>
          <w:tcPr>
            <w:tcW w:w="733" w:type="dxa"/>
            <w:vAlign w:val="center"/>
          </w:tcPr>
          <w:p w14:paraId="4F806A03">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个</w:t>
            </w:r>
          </w:p>
        </w:tc>
        <w:tc>
          <w:tcPr>
            <w:tcW w:w="745" w:type="dxa"/>
            <w:vAlign w:val="center"/>
          </w:tcPr>
          <w:p w14:paraId="3241E194">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2</w:t>
            </w:r>
          </w:p>
        </w:tc>
        <w:tc>
          <w:tcPr>
            <w:tcW w:w="4950" w:type="dxa"/>
            <w:vAlign w:val="center"/>
          </w:tcPr>
          <w:p w14:paraId="389656B5">
            <w:pPr>
              <w:widowControl/>
              <w:numPr>
                <w:ilvl w:val="0"/>
                <w:numId w:val="11"/>
              </w:numPr>
              <w:spacing w:line="360" w:lineRule="auto"/>
              <w:jc w:val="left"/>
              <w:textAlignment w:val="center"/>
              <w:rPr>
                <w:rFonts w:ascii="宋体" w:hAnsi="宋体" w:cs="宋体"/>
                <w:sz w:val="24"/>
              </w:rPr>
            </w:pPr>
            <w:r>
              <w:rPr>
                <w:rFonts w:hint="eastAsia" w:ascii="宋体" w:hAnsi="宋体" w:cs="宋体"/>
                <w:sz w:val="24"/>
              </w:rPr>
              <w:t>规格尺寸：800*600*600mm。</w:t>
            </w:r>
          </w:p>
          <w:p w14:paraId="2B5021CB">
            <w:pPr>
              <w:pStyle w:val="16"/>
              <w:numPr>
                <w:ilvl w:val="0"/>
                <w:numId w:val="11"/>
              </w:numPr>
              <w:tabs>
                <w:tab w:val="left" w:pos="0"/>
              </w:tabs>
              <w:spacing w:line="360" w:lineRule="auto"/>
              <w:rPr>
                <w:rFonts w:hAnsi="宋体" w:cs="宋体"/>
                <w:sz w:val="24"/>
              </w:rPr>
            </w:pPr>
            <w:r>
              <w:rPr>
                <w:rFonts w:hint="eastAsia" w:hAnsi="宋体" w:cs="宋体"/>
                <w:sz w:val="24"/>
              </w:rPr>
              <w:t>箱体采用不低于E0级≥10mm厚防水板板外贴≥2mm厚黑色麻面铝板；</w:t>
            </w:r>
          </w:p>
          <w:p w14:paraId="2FD9939C">
            <w:pPr>
              <w:pStyle w:val="16"/>
              <w:numPr>
                <w:ilvl w:val="0"/>
                <w:numId w:val="11"/>
              </w:numPr>
              <w:tabs>
                <w:tab w:val="left" w:pos="0"/>
              </w:tabs>
              <w:spacing w:line="360" w:lineRule="auto"/>
              <w:rPr>
                <w:rFonts w:hAnsi="宋体" w:cs="宋体"/>
                <w:sz w:val="24"/>
              </w:rPr>
            </w:pPr>
            <w:r>
              <w:rPr>
                <w:rFonts w:hint="eastAsia" w:hAnsi="宋体" w:cs="宋体"/>
                <w:sz w:val="24"/>
              </w:rPr>
              <w:t>脚轮采用对角刹车设计；</w:t>
            </w:r>
          </w:p>
          <w:p w14:paraId="5DEE0067">
            <w:pPr>
              <w:pStyle w:val="16"/>
              <w:numPr>
                <w:ilvl w:val="0"/>
                <w:numId w:val="11"/>
              </w:numPr>
              <w:tabs>
                <w:tab w:val="left" w:pos="0"/>
              </w:tabs>
              <w:spacing w:line="360" w:lineRule="auto"/>
              <w:rPr>
                <w:rFonts w:hAnsi="宋体" w:cs="宋体"/>
                <w:sz w:val="24"/>
              </w:rPr>
            </w:pPr>
            <w:r>
              <w:rPr>
                <w:rFonts w:hint="eastAsia" w:hAnsi="宋体" w:cs="宋体"/>
                <w:sz w:val="24"/>
              </w:rPr>
              <w:t>箱体每条棱边均采用≥4cm宽的包边铝进行包边处理，提高各个连接处的整体性强度；</w:t>
            </w:r>
          </w:p>
          <w:p w14:paraId="37A7AA6A">
            <w:pPr>
              <w:pStyle w:val="16"/>
              <w:numPr>
                <w:ilvl w:val="0"/>
                <w:numId w:val="11"/>
              </w:numPr>
              <w:tabs>
                <w:tab w:val="left" w:pos="0"/>
              </w:tabs>
              <w:spacing w:line="360" w:lineRule="auto"/>
              <w:rPr>
                <w:rFonts w:hAnsi="宋体" w:cs="宋体"/>
                <w:sz w:val="24"/>
              </w:rPr>
            </w:pPr>
            <w:r>
              <w:rPr>
                <w:rFonts w:hint="eastAsia" w:hAnsi="宋体" w:cs="宋体"/>
                <w:sz w:val="24"/>
              </w:rPr>
              <w:t>锁扣用蝴蝶锁扣，旋转打开，锁扣旁边有锁孔位，可加锁；</w:t>
            </w:r>
          </w:p>
          <w:p w14:paraId="5084AB53">
            <w:pPr>
              <w:pStyle w:val="16"/>
              <w:numPr>
                <w:ilvl w:val="0"/>
                <w:numId w:val="11"/>
              </w:numPr>
              <w:tabs>
                <w:tab w:val="left" w:pos="0"/>
              </w:tabs>
              <w:spacing w:line="360" w:lineRule="auto"/>
              <w:rPr>
                <w:rFonts w:hAnsi="宋体" w:cs="宋体"/>
                <w:sz w:val="24"/>
              </w:rPr>
            </w:pPr>
            <w:r>
              <w:rPr>
                <w:rFonts w:hint="eastAsia" w:hAnsi="宋体" w:cs="宋体"/>
                <w:sz w:val="24"/>
              </w:rPr>
              <w:t>箱体两侧均安装双弹簧提手扣；</w:t>
            </w:r>
          </w:p>
          <w:p w14:paraId="64736B97">
            <w:pPr>
              <w:pStyle w:val="16"/>
              <w:numPr>
                <w:ilvl w:val="0"/>
                <w:numId w:val="11"/>
              </w:numPr>
              <w:tabs>
                <w:tab w:val="left" w:pos="0"/>
              </w:tabs>
              <w:spacing w:line="360" w:lineRule="auto"/>
              <w:rPr>
                <w:rFonts w:hAnsi="宋体" w:cs="宋体"/>
                <w:sz w:val="24"/>
              </w:rPr>
            </w:pPr>
            <w:r>
              <w:rPr>
                <w:rFonts w:hint="eastAsia" w:hAnsi="宋体" w:cs="宋体"/>
                <w:sz w:val="24"/>
              </w:rPr>
              <w:t>箱体四个角用圆包角进行包角处理；</w:t>
            </w:r>
          </w:p>
          <w:p w14:paraId="1357FEFC">
            <w:pPr>
              <w:pStyle w:val="16"/>
              <w:numPr>
                <w:ilvl w:val="0"/>
                <w:numId w:val="11"/>
              </w:numPr>
              <w:tabs>
                <w:tab w:val="left" w:pos="0"/>
              </w:tabs>
              <w:spacing w:line="360" w:lineRule="auto"/>
              <w:rPr>
                <w:rFonts w:hAnsi="宋体" w:cs="宋体"/>
                <w:sz w:val="24"/>
              </w:rPr>
            </w:pPr>
            <w:r>
              <w:rPr>
                <w:rFonts w:hint="eastAsia" w:hAnsi="宋体" w:cs="宋体"/>
                <w:sz w:val="24"/>
              </w:rPr>
              <w:t>转运箱内部运用物理发泡的高弹力无酸环保PE发泡棉，外用金丝绒包裹，PE缓冲厚度为≥4cm；</w:t>
            </w:r>
          </w:p>
          <w:p w14:paraId="3F8B6F1F">
            <w:pPr>
              <w:pStyle w:val="16"/>
              <w:numPr>
                <w:ilvl w:val="0"/>
                <w:numId w:val="11"/>
              </w:numPr>
              <w:tabs>
                <w:tab w:val="left" w:pos="0"/>
              </w:tabs>
              <w:spacing w:line="360" w:lineRule="auto"/>
              <w:rPr>
                <w:rFonts w:hAnsi="宋体" w:cs="宋体"/>
                <w:sz w:val="24"/>
              </w:rPr>
            </w:pPr>
            <w:r>
              <w:rPr>
                <w:rFonts w:hint="eastAsia" w:hAnsi="宋体" w:cs="宋体"/>
                <w:sz w:val="24"/>
              </w:rPr>
              <w:t>箱体内部加装≥15mm厚香樟板固定于箱底；</w:t>
            </w:r>
          </w:p>
          <w:p w14:paraId="53204509">
            <w:pPr>
              <w:pStyle w:val="16"/>
              <w:numPr>
                <w:ilvl w:val="0"/>
                <w:numId w:val="11"/>
              </w:numPr>
              <w:tabs>
                <w:tab w:val="left" w:pos="0"/>
              </w:tabs>
              <w:spacing w:line="360" w:lineRule="auto"/>
              <w:rPr>
                <w:rFonts w:hAnsi="宋体" w:cs="宋体"/>
                <w:sz w:val="24"/>
              </w:rPr>
            </w:pPr>
            <w:r>
              <w:rPr>
                <w:rFonts w:hint="eastAsia" w:hAnsi="宋体" w:cs="宋体"/>
                <w:sz w:val="24"/>
              </w:rPr>
              <w:t>箱子所用所有铝材表面均经过喷砂氧化处理。</w:t>
            </w:r>
          </w:p>
        </w:tc>
      </w:tr>
      <w:tr w14:paraId="4172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0061BC8D">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2</w:t>
            </w:r>
          </w:p>
        </w:tc>
        <w:tc>
          <w:tcPr>
            <w:tcW w:w="1622" w:type="dxa"/>
            <w:gridSpan w:val="2"/>
            <w:vAlign w:val="center"/>
          </w:tcPr>
          <w:p w14:paraId="2786970B">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库房登高梯</w:t>
            </w:r>
          </w:p>
        </w:tc>
        <w:tc>
          <w:tcPr>
            <w:tcW w:w="733" w:type="dxa"/>
            <w:vAlign w:val="center"/>
          </w:tcPr>
          <w:p w14:paraId="1F892B1B">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个</w:t>
            </w:r>
          </w:p>
        </w:tc>
        <w:tc>
          <w:tcPr>
            <w:tcW w:w="745" w:type="dxa"/>
            <w:vAlign w:val="center"/>
          </w:tcPr>
          <w:p w14:paraId="73B903C7">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2</w:t>
            </w:r>
          </w:p>
        </w:tc>
        <w:tc>
          <w:tcPr>
            <w:tcW w:w="4950" w:type="dxa"/>
            <w:vAlign w:val="center"/>
          </w:tcPr>
          <w:p w14:paraId="38FD5D8D">
            <w:pPr>
              <w:widowControl/>
              <w:numPr>
                <w:ilvl w:val="0"/>
                <w:numId w:val="12"/>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规格：700*500*1650mm；</w:t>
            </w:r>
          </w:p>
          <w:p w14:paraId="43158B59">
            <w:pPr>
              <w:widowControl/>
              <w:numPr>
                <w:ilvl w:val="0"/>
                <w:numId w:val="12"/>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框架整体焊接结构，有扶手；</w:t>
            </w:r>
          </w:p>
          <w:p w14:paraId="2844EAE7">
            <w:pPr>
              <w:widowControl/>
              <w:numPr>
                <w:ilvl w:val="0"/>
                <w:numId w:val="12"/>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踏板加装塑胶防滑垫，或软毡,下带万向轮，移动方便，并保证稳定性；当人踩踏上去之后，登高梯底部万向轮自动缩进，稳当可靠；所用焊件牢固，焊痕光滑、平整。各零件、组合件表面光滑、平整、无尖角、突起，无裂痕伤痕。</w:t>
            </w:r>
          </w:p>
        </w:tc>
      </w:tr>
      <w:tr w14:paraId="03C4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7C7DC97F">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3</w:t>
            </w:r>
          </w:p>
        </w:tc>
        <w:tc>
          <w:tcPr>
            <w:tcW w:w="1622" w:type="dxa"/>
            <w:gridSpan w:val="2"/>
            <w:vAlign w:val="center"/>
          </w:tcPr>
          <w:p w14:paraId="4AE08EDE">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文物手推车</w:t>
            </w:r>
          </w:p>
        </w:tc>
        <w:tc>
          <w:tcPr>
            <w:tcW w:w="733" w:type="dxa"/>
            <w:vAlign w:val="center"/>
          </w:tcPr>
          <w:p w14:paraId="3B712E3B">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个</w:t>
            </w:r>
          </w:p>
        </w:tc>
        <w:tc>
          <w:tcPr>
            <w:tcW w:w="745" w:type="dxa"/>
            <w:vAlign w:val="center"/>
          </w:tcPr>
          <w:p w14:paraId="07A63C11">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2</w:t>
            </w:r>
          </w:p>
        </w:tc>
        <w:tc>
          <w:tcPr>
            <w:tcW w:w="4950" w:type="dxa"/>
            <w:vAlign w:val="center"/>
          </w:tcPr>
          <w:p w14:paraId="6F354661">
            <w:pPr>
              <w:widowControl/>
              <w:numPr>
                <w:ilvl w:val="0"/>
                <w:numId w:val="13"/>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规格：1000*600*1000mm；</w:t>
            </w:r>
          </w:p>
          <w:p w14:paraId="4FCB3708">
            <w:pPr>
              <w:widowControl/>
              <w:numPr>
                <w:ilvl w:val="0"/>
                <w:numId w:val="13"/>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箱体式结构，有推手，上层可加四周护板，底部四万向轮，单支承重≥80kg；万向轮下带弹簧，当有重物放置，起到减震解压作用；</w:t>
            </w:r>
          </w:p>
          <w:p w14:paraId="7CAFCB39">
            <w:pPr>
              <w:widowControl/>
              <w:numPr>
                <w:ilvl w:val="0"/>
                <w:numId w:val="13"/>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所用焊件牢固，焊痕光滑、平整。各零件、组合件表面光滑、平整、无尖角、突起，无裂痕伤痕。</w:t>
            </w:r>
          </w:p>
        </w:tc>
      </w:tr>
      <w:tr w14:paraId="103B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1" w:type="dxa"/>
            <w:gridSpan w:val="6"/>
            <w:vAlign w:val="center"/>
          </w:tcPr>
          <w:p w14:paraId="7EA2BA8C">
            <w:pPr>
              <w:spacing w:line="360" w:lineRule="auto"/>
              <w:rPr>
                <w:rFonts w:ascii="宋体" w:hAnsi="宋体" w:cs="宋体"/>
                <w:sz w:val="24"/>
              </w:rPr>
            </w:pPr>
            <w:r>
              <w:rPr>
                <w:rFonts w:hint="eastAsia" w:ascii="宋体" w:hAnsi="宋体" w:cs="宋体"/>
                <w:sz w:val="24"/>
              </w:rPr>
              <w:t>文物囊匣</w:t>
            </w:r>
          </w:p>
        </w:tc>
      </w:tr>
      <w:tr w14:paraId="37DB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1" w:type="dxa"/>
            <w:gridSpan w:val="6"/>
            <w:vAlign w:val="center"/>
          </w:tcPr>
          <w:p w14:paraId="4AB1F38F">
            <w:pPr>
              <w:numPr>
                <w:ilvl w:val="0"/>
                <w:numId w:val="14"/>
              </w:numPr>
              <w:spacing w:line="360" w:lineRule="auto"/>
              <w:rPr>
                <w:rFonts w:ascii="宋体" w:hAnsi="宋体" w:cs="宋体"/>
                <w:sz w:val="24"/>
              </w:rPr>
            </w:pPr>
            <w:r>
              <w:rPr>
                <w:rFonts w:hint="eastAsia" w:ascii="宋体" w:hAnsi="宋体" w:cs="宋体"/>
                <w:sz w:val="24"/>
              </w:rPr>
              <w:t>为了保证方便文物外展需求，囊匣采用三层材质，外层为硬度较高的木质层（奥松板）加环保布料或纤维材质或直接无酸纸(根据实际情况而定)，保证囊匣的硬度，同时，内层采用无酸瓦楞纸板，保证内部环境的无酸，兼具硬度和无酸性，内囊与文物充分填充，更好的保护囊匣内文物的安全。</w:t>
            </w:r>
          </w:p>
          <w:p w14:paraId="57D80FE4">
            <w:pPr>
              <w:numPr>
                <w:ilvl w:val="0"/>
                <w:numId w:val="14"/>
              </w:numPr>
              <w:spacing w:line="360" w:lineRule="auto"/>
              <w:rPr>
                <w:rFonts w:ascii="宋体" w:hAnsi="宋体" w:cs="宋体"/>
                <w:sz w:val="24"/>
              </w:rPr>
            </w:pPr>
            <w:r>
              <w:rPr>
                <w:rFonts w:hint="eastAsia" w:ascii="宋体" w:hAnsi="宋体" w:cs="宋体"/>
                <w:sz w:val="24"/>
              </w:rPr>
              <w:t>囊匣木质外层：</w:t>
            </w:r>
          </w:p>
          <w:p w14:paraId="3BAD6697">
            <w:pPr>
              <w:numPr>
                <w:ilvl w:val="0"/>
                <w:numId w:val="15"/>
              </w:numPr>
              <w:spacing w:line="360" w:lineRule="auto"/>
              <w:rPr>
                <w:rFonts w:ascii="宋体" w:hAnsi="宋体" w:cs="宋体"/>
                <w:sz w:val="24"/>
              </w:rPr>
            </w:pPr>
            <w:r>
              <w:rPr>
                <w:rFonts w:hint="eastAsia" w:ascii="宋体" w:hAnsi="宋体" w:cs="宋体"/>
                <w:sz w:val="24"/>
              </w:rPr>
              <w:t>木质外层采用优质奥松板，内部结合强度高，硬度大，不易变形；</w:t>
            </w:r>
          </w:p>
          <w:p w14:paraId="45019A1C">
            <w:pPr>
              <w:numPr>
                <w:ilvl w:val="0"/>
                <w:numId w:val="15"/>
              </w:numPr>
              <w:spacing w:line="360" w:lineRule="auto"/>
              <w:rPr>
                <w:rFonts w:ascii="宋体" w:hAnsi="宋体" w:cs="宋体"/>
                <w:sz w:val="24"/>
              </w:rPr>
            </w:pPr>
            <w:r>
              <w:rPr>
                <w:rFonts w:hint="eastAsia" w:ascii="宋体" w:hAnsi="宋体" w:cs="宋体"/>
                <w:sz w:val="24"/>
              </w:rPr>
              <w:t>（▲）采用环保材料，奥松板符合 E1 级标准。甲醛释放量可达到 E1 级，奥松板甲醛释放量≤0.124mg/m³，提供第三方专业检测机构出具的封面具有 CMA 标识的有效检测报告原件扫描件</w:t>
            </w:r>
            <w:r>
              <w:rPr>
                <w:rFonts w:hint="eastAsia" w:ascii="宋体" w:hAnsi="宋体" w:cs="宋体"/>
                <w:color w:val="000000"/>
                <w:kern w:val="0"/>
                <w:sz w:val="24"/>
                <w:lang w:bidi="ar"/>
              </w:rPr>
              <w:t>，并同时提供国家市场监督管理总局【全国认证认可信息公共服务平台】（查询网址：http://cx.cnca.cn/)的检测报告查询截图（查询截图须显示网址），否则视为无效投标。</w:t>
            </w:r>
          </w:p>
          <w:p w14:paraId="1970FA01">
            <w:pPr>
              <w:numPr>
                <w:ilvl w:val="0"/>
                <w:numId w:val="14"/>
              </w:numPr>
              <w:spacing w:line="360" w:lineRule="auto"/>
              <w:rPr>
                <w:rFonts w:ascii="宋体" w:hAnsi="宋体" w:cs="宋体"/>
                <w:sz w:val="24"/>
              </w:rPr>
            </w:pPr>
            <w:r>
              <w:rPr>
                <w:rFonts w:hint="eastAsia" w:ascii="宋体" w:hAnsi="宋体" w:cs="宋体"/>
                <w:sz w:val="24"/>
              </w:rPr>
              <w:t>无酸纸材料：</w:t>
            </w:r>
          </w:p>
          <w:p w14:paraId="202B9FD6">
            <w:pPr>
              <w:numPr>
                <w:ilvl w:val="0"/>
                <w:numId w:val="16"/>
              </w:numPr>
              <w:spacing w:line="360" w:lineRule="auto"/>
              <w:rPr>
                <w:rFonts w:ascii="宋体" w:hAnsi="宋体" w:cs="宋体"/>
                <w:sz w:val="24"/>
              </w:rPr>
            </w:pPr>
            <w:r>
              <w:rPr>
                <w:rFonts w:hint="eastAsia" w:ascii="宋体" w:hAnsi="宋体" w:cs="宋体"/>
                <w:sz w:val="24"/>
              </w:rPr>
              <w:t>浆料由100%纯木浆或棉浆制成，不含回收浆；</w:t>
            </w:r>
          </w:p>
          <w:p w14:paraId="73EB66F8">
            <w:pPr>
              <w:numPr>
                <w:ilvl w:val="0"/>
                <w:numId w:val="16"/>
              </w:numPr>
              <w:spacing w:line="360" w:lineRule="auto"/>
              <w:rPr>
                <w:rFonts w:ascii="宋体" w:hAnsi="宋体" w:cs="宋体"/>
                <w:sz w:val="24"/>
              </w:rPr>
            </w:pPr>
            <w:r>
              <w:rPr>
                <w:rFonts w:hint="eastAsia" w:ascii="宋体" w:hAnsi="宋体" w:cs="宋体"/>
                <w:sz w:val="24"/>
              </w:rPr>
              <w:t>金属离子含量（铜离子、铁离子）总含量不高于50mg/kg；</w:t>
            </w:r>
          </w:p>
          <w:p w14:paraId="090FCFE6">
            <w:pPr>
              <w:numPr>
                <w:ilvl w:val="0"/>
                <w:numId w:val="16"/>
              </w:numPr>
              <w:spacing w:line="360" w:lineRule="auto"/>
              <w:rPr>
                <w:rFonts w:ascii="宋体" w:hAnsi="宋体" w:cs="宋体"/>
                <w:sz w:val="24"/>
              </w:rPr>
            </w:pPr>
            <w:r>
              <w:rPr>
                <w:rFonts w:hint="eastAsia" w:ascii="宋体" w:hAnsi="宋体" w:cs="宋体"/>
                <w:sz w:val="24"/>
              </w:rPr>
              <w:t>木质素卡伯值不超过5；</w:t>
            </w:r>
          </w:p>
          <w:p w14:paraId="5152C805">
            <w:pPr>
              <w:numPr>
                <w:ilvl w:val="0"/>
                <w:numId w:val="16"/>
              </w:numPr>
              <w:spacing w:line="360" w:lineRule="auto"/>
              <w:rPr>
                <w:rFonts w:ascii="宋体" w:hAnsi="宋体" w:cs="宋体"/>
                <w:sz w:val="24"/>
              </w:rPr>
            </w:pPr>
            <w:r>
              <w:rPr>
                <w:rFonts w:hint="eastAsia" w:ascii="宋体" w:hAnsi="宋体" w:cs="宋体"/>
                <w:sz w:val="24"/>
              </w:rPr>
              <w:t>pH值：无缓冲剂的无酸纸板的pH值为7.0～7.5；带缓冲剂的无酸纸板的pH值为8.0-9.5或中性；</w:t>
            </w:r>
          </w:p>
          <w:p w14:paraId="0117FF64">
            <w:pPr>
              <w:numPr>
                <w:ilvl w:val="0"/>
                <w:numId w:val="16"/>
              </w:numPr>
              <w:spacing w:line="360" w:lineRule="auto"/>
              <w:rPr>
                <w:rFonts w:ascii="宋体" w:hAnsi="宋体" w:cs="宋体"/>
                <w:sz w:val="24"/>
              </w:rPr>
            </w:pPr>
            <w:r>
              <w:rPr>
                <w:rFonts w:hint="eastAsia" w:ascii="宋体" w:hAnsi="宋体" w:cs="宋体"/>
                <w:sz w:val="24"/>
              </w:rPr>
              <w:t>碱性缓冲剂：带缓冲剂的无酸纸板/纸的碱性缓冲剂含量在2%～5%之间（以CaCO3计）；</w:t>
            </w:r>
          </w:p>
          <w:p w14:paraId="23670A6A">
            <w:pPr>
              <w:numPr>
                <w:ilvl w:val="0"/>
                <w:numId w:val="16"/>
              </w:numPr>
              <w:spacing w:line="360" w:lineRule="auto"/>
              <w:rPr>
                <w:rFonts w:ascii="宋体" w:hAnsi="宋体" w:cs="宋体"/>
                <w:sz w:val="24"/>
              </w:rPr>
            </w:pPr>
            <w:r>
              <w:rPr>
                <w:rFonts w:hint="eastAsia" w:ascii="宋体" w:hAnsi="宋体" w:cs="宋体"/>
                <w:sz w:val="24"/>
              </w:rPr>
              <w:t>不含硫化物；不含荧光增白剂。</w:t>
            </w:r>
          </w:p>
          <w:p w14:paraId="124A8EBC">
            <w:pPr>
              <w:numPr>
                <w:ilvl w:val="0"/>
                <w:numId w:val="14"/>
              </w:numPr>
              <w:spacing w:line="360" w:lineRule="auto"/>
              <w:rPr>
                <w:rFonts w:ascii="宋体" w:hAnsi="宋体" w:cs="宋体"/>
                <w:sz w:val="24"/>
              </w:rPr>
            </w:pPr>
            <w:r>
              <w:rPr>
                <w:rFonts w:hint="eastAsia" w:ascii="宋体" w:hAnsi="宋体" w:cs="宋体"/>
                <w:sz w:val="24"/>
              </w:rPr>
              <w:t>内囊：应采用质地柔软、富有弹性、不易老化、变形，且无污染、不释放有害物质的馆藏文物保护适用材料作为盒内填充与缓冲材料。应由优质EPE（聚乙烯）发泡材料、丙纶（聚丙烯）丝绵和腈纶（聚丙烯腈纤维）棉三种材料组成。EPE厚度需≥10毫米，丙纶、腈纶棉要有一定厚度并外加无酸纸包装，确实起到EPE硬度的缓冲作用。</w:t>
            </w:r>
          </w:p>
          <w:p w14:paraId="2D354331">
            <w:pPr>
              <w:numPr>
                <w:ilvl w:val="0"/>
                <w:numId w:val="14"/>
              </w:numPr>
              <w:spacing w:line="360" w:lineRule="auto"/>
              <w:rPr>
                <w:rFonts w:ascii="宋体" w:hAnsi="宋体" w:cs="宋体"/>
                <w:sz w:val="24"/>
              </w:rPr>
            </w:pPr>
            <w:r>
              <w:rPr>
                <w:rFonts w:hint="eastAsia" w:ascii="宋体" w:hAnsi="宋体" w:cs="宋体"/>
                <w:sz w:val="24"/>
              </w:rPr>
              <w:t>固定材料：应尽量避免使用胶粘剂。若使用，须为无酸胶粘剂，胶粘剂中不能含有塑化剂、硫化物、铜离子、铁离子、氧化剂等物质。不引起长霉、发黄、变色、分层等。若使用胶带，应为无酸性，不腐蚀被粘物，不脱胶、溢胶，黏性持久不发黄变质。</w:t>
            </w:r>
          </w:p>
          <w:p w14:paraId="55167CAF">
            <w:pPr>
              <w:numPr>
                <w:ilvl w:val="0"/>
                <w:numId w:val="14"/>
              </w:numPr>
              <w:spacing w:line="360" w:lineRule="auto"/>
              <w:rPr>
                <w:rFonts w:ascii="宋体" w:hAnsi="宋体" w:cs="宋体"/>
                <w:sz w:val="24"/>
              </w:rPr>
            </w:pPr>
            <w:r>
              <w:rPr>
                <w:rFonts w:hint="eastAsia" w:ascii="宋体" w:hAnsi="宋体" w:cs="宋体"/>
                <w:sz w:val="24"/>
              </w:rPr>
              <w:t>（▲）配件：配件坚固耐用，使用环保材料，囊匣所用提扣、旋扣、信息卡、包角和胶条不含塑化剂，提供第三方检测机构出具的封面具有 CMA 标识的有效检测报告原件扫描件</w:t>
            </w:r>
            <w:r>
              <w:rPr>
                <w:rFonts w:hint="eastAsia" w:ascii="宋体" w:hAnsi="宋体" w:cs="宋体"/>
                <w:color w:val="000000"/>
                <w:kern w:val="0"/>
                <w:sz w:val="24"/>
                <w:lang w:bidi="ar"/>
              </w:rPr>
              <w:t>，并同时提供国家市场监督管理总局【全国认证认可信息公共服务平台】（查询网址：http://cx.cnca.cn/)的检测报告查询截图（查询截图须显示网址），否则视为无效投标。</w:t>
            </w:r>
          </w:p>
        </w:tc>
      </w:tr>
      <w:tr w14:paraId="1EFE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061CBF06">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1</w:t>
            </w:r>
          </w:p>
        </w:tc>
        <w:tc>
          <w:tcPr>
            <w:tcW w:w="1622" w:type="dxa"/>
            <w:gridSpan w:val="2"/>
            <w:vAlign w:val="center"/>
          </w:tcPr>
          <w:p w14:paraId="78DB6A74">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天地盖式囊匣</w:t>
            </w:r>
          </w:p>
        </w:tc>
        <w:tc>
          <w:tcPr>
            <w:tcW w:w="733" w:type="dxa"/>
            <w:vAlign w:val="center"/>
          </w:tcPr>
          <w:p w14:paraId="3AF7FF72">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个</w:t>
            </w:r>
          </w:p>
        </w:tc>
        <w:tc>
          <w:tcPr>
            <w:tcW w:w="745" w:type="dxa"/>
            <w:vAlign w:val="center"/>
          </w:tcPr>
          <w:p w14:paraId="64B7FFAD">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15</w:t>
            </w:r>
          </w:p>
        </w:tc>
        <w:tc>
          <w:tcPr>
            <w:tcW w:w="4950" w:type="dxa"/>
            <w:vAlign w:val="center"/>
          </w:tcPr>
          <w:p w14:paraId="6916BD60">
            <w:pPr>
              <w:widowControl/>
              <w:spacing w:line="360" w:lineRule="auto"/>
              <w:jc w:val="left"/>
              <w:textAlignment w:val="center"/>
              <w:rPr>
                <w:rFonts w:ascii="宋体" w:hAnsi="宋体" w:cs="宋体"/>
                <w:sz w:val="24"/>
              </w:rPr>
            </w:pPr>
            <w:r>
              <w:rPr>
                <w:rFonts w:hint="eastAsia" w:ascii="宋体" w:hAnsi="宋体" w:cs="宋体"/>
                <w:color w:val="000000"/>
                <w:kern w:val="0"/>
                <w:sz w:val="24"/>
                <w:lang w:bidi="ar"/>
              </w:rPr>
              <w:t>根据文物尺寸定制</w:t>
            </w:r>
          </w:p>
        </w:tc>
      </w:tr>
      <w:tr w14:paraId="764B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41D34A58">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2</w:t>
            </w:r>
          </w:p>
        </w:tc>
        <w:tc>
          <w:tcPr>
            <w:tcW w:w="1622" w:type="dxa"/>
            <w:gridSpan w:val="2"/>
            <w:vAlign w:val="center"/>
          </w:tcPr>
          <w:p w14:paraId="726A8DD8">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摇盖式囊匣</w:t>
            </w:r>
          </w:p>
        </w:tc>
        <w:tc>
          <w:tcPr>
            <w:tcW w:w="733" w:type="dxa"/>
            <w:vAlign w:val="center"/>
          </w:tcPr>
          <w:p w14:paraId="16BBFC9A">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个</w:t>
            </w:r>
          </w:p>
        </w:tc>
        <w:tc>
          <w:tcPr>
            <w:tcW w:w="745" w:type="dxa"/>
            <w:vAlign w:val="center"/>
          </w:tcPr>
          <w:p w14:paraId="1B7D834B">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65</w:t>
            </w:r>
          </w:p>
        </w:tc>
        <w:tc>
          <w:tcPr>
            <w:tcW w:w="4950" w:type="dxa"/>
            <w:vAlign w:val="center"/>
          </w:tcPr>
          <w:p w14:paraId="122648D7">
            <w:pPr>
              <w:widowControl/>
              <w:spacing w:line="360" w:lineRule="auto"/>
              <w:jc w:val="left"/>
              <w:textAlignment w:val="center"/>
              <w:rPr>
                <w:rFonts w:ascii="宋体" w:hAnsi="宋体" w:cs="宋体"/>
                <w:sz w:val="24"/>
              </w:rPr>
            </w:pPr>
            <w:r>
              <w:rPr>
                <w:rFonts w:hint="eastAsia" w:ascii="宋体" w:hAnsi="宋体" w:cs="宋体"/>
                <w:color w:val="000000"/>
                <w:kern w:val="0"/>
                <w:sz w:val="24"/>
                <w:lang w:bidi="ar"/>
              </w:rPr>
              <w:t>根据文物尺寸定制</w:t>
            </w:r>
          </w:p>
        </w:tc>
      </w:tr>
      <w:tr w14:paraId="3565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1" w:type="dxa"/>
            <w:gridSpan w:val="6"/>
            <w:vAlign w:val="center"/>
          </w:tcPr>
          <w:p w14:paraId="2C3136CE">
            <w:pPr>
              <w:spacing w:line="360" w:lineRule="auto"/>
              <w:rPr>
                <w:rFonts w:ascii="宋体" w:hAnsi="宋体" w:cs="宋体"/>
                <w:sz w:val="24"/>
              </w:rPr>
            </w:pPr>
            <w:r>
              <w:rPr>
                <w:rFonts w:hint="eastAsia" w:ascii="宋体" w:hAnsi="宋体" w:cs="宋体"/>
                <w:sz w:val="24"/>
              </w:rPr>
              <w:t>文物展藏环境调控设备</w:t>
            </w:r>
          </w:p>
        </w:tc>
      </w:tr>
      <w:tr w14:paraId="0737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0F8F1D7F">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1</w:t>
            </w:r>
          </w:p>
        </w:tc>
        <w:tc>
          <w:tcPr>
            <w:tcW w:w="1622" w:type="dxa"/>
            <w:gridSpan w:val="2"/>
            <w:vAlign w:val="center"/>
          </w:tcPr>
          <w:p w14:paraId="24CFD071">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除湿机</w:t>
            </w:r>
          </w:p>
        </w:tc>
        <w:tc>
          <w:tcPr>
            <w:tcW w:w="733" w:type="dxa"/>
            <w:vAlign w:val="center"/>
          </w:tcPr>
          <w:p w14:paraId="3B5EE936">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台</w:t>
            </w:r>
          </w:p>
        </w:tc>
        <w:tc>
          <w:tcPr>
            <w:tcW w:w="745" w:type="dxa"/>
            <w:vAlign w:val="center"/>
          </w:tcPr>
          <w:p w14:paraId="746EC60A">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6</w:t>
            </w:r>
          </w:p>
        </w:tc>
        <w:tc>
          <w:tcPr>
            <w:tcW w:w="4950" w:type="dxa"/>
            <w:vAlign w:val="center"/>
          </w:tcPr>
          <w:p w14:paraId="589F70D9">
            <w:pPr>
              <w:widowControl/>
              <w:numPr>
                <w:ilvl w:val="0"/>
                <w:numId w:val="17"/>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风量：≥1000m³/h；</w:t>
            </w:r>
          </w:p>
          <w:p w14:paraId="05671826">
            <w:pPr>
              <w:widowControl/>
              <w:numPr>
                <w:ilvl w:val="0"/>
                <w:numId w:val="17"/>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除湿量：≥90L/D；</w:t>
            </w:r>
          </w:p>
          <w:p w14:paraId="378BFF46">
            <w:pPr>
              <w:widowControl/>
              <w:numPr>
                <w:ilvl w:val="0"/>
                <w:numId w:val="17"/>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适用范围：90-120㎡（层高≥2.6m）；</w:t>
            </w:r>
          </w:p>
          <w:p w14:paraId="4A8B0FE7">
            <w:pPr>
              <w:widowControl/>
              <w:numPr>
                <w:ilvl w:val="0"/>
                <w:numId w:val="17"/>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噪音：≤50dB；</w:t>
            </w:r>
          </w:p>
          <w:p w14:paraId="1521D1BD">
            <w:pPr>
              <w:widowControl/>
              <w:numPr>
                <w:ilvl w:val="0"/>
                <w:numId w:val="17"/>
              </w:numPr>
              <w:spacing w:line="360" w:lineRule="auto"/>
              <w:jc w:val="left"/>
              <w:textAlignment w:val="center"/>
              <w:rPr>
                <w:rFonts w:ascii="宋体" w:hAnsi="宋体" w:cs="宋体"/>
                <w:sz w:val="24"/>
              </w:rPr>
            </w:pPr>
            <w:r>
              <w:rPr>
                <w:rFonts w:hint="eastAsia" w:ascii="宋体" w:hAnsi="宋体" w:cs="宋体"/>
                <w:color w:val="000000"/>
                <w:kern w:val="0"/>
                <w:sz w:val="24"/>
                <w:lang w:bidi="ar"/>
              </w:rPr>
              <w:t>排水方式：软管全自动排水</w:t>
            </w:r>
          </w:p>
        </w:tc>
      </w:tr>
      <w:tr w14:paraId="77F2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3FC751A5">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2</w:t>
            </w:r>
          </w:p>
        </w:tc>
        <w:tc>
          <w:tcPr>
            <w:tcW w:w="1622" w:type="dxa"/>
            <w:gridSpan w:val="2"/>
            <w:vAlign w:val="center"/>
          </w:tcPr>
          <w:p w14:paraId="332ADA7A">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RP保护袋</w:t>
            </w:r>
          </w:p>
        </w:tc>
        <w:tc>
          <w:tcPr>
            <w:tcW w:w="733" w:type="dxa"/>
            <w:vAlign w:val="center"/>
          </w:tcPr>
          <w:p w14:paraId="4BEFC885">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卷</w:t>
            </w:r>
          </w:p>
        </w:tc>
        <w:tc>
          <w:tcPr>
            <w:tcW w:w="745" w:type="dxa"/>
            <w:vAlign w:val="center"/>
          </w:tcPr>
          <w:p w14:paraId="364EA073">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1</w:t>
            </w:r>
          </w:p>
        </w:tc>
        <w:tc>
          <w:tcPr>
            <w:tcW w:w="4950" w:type="dxa"/>
            <w:vAlign w:val="center"/>
          </w:tcPr>
          <w:p w14:paraId="6608B1D0">
            <w:pPr>
              <w:widowControl/>
              <w:numPr>
                <w:ilvl w:val="0"/>
                <w:numId w:val="18"/>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240mm*100米</w:t>
            </w:r>
          </w:p>
          <w:p w14:paraId="43BCD20C">
            <w:pPr>
              <w:pStyle w:val="16"/>
              <w:numPr>
                <w:ilvl w:val="0"/>
                <w:numId w:val="18"/>
              </w:numPr>
              <w:tabs>
                <w:tab w:val="left" w:pos="0"/>
              </w:tabs>
              <w:spacing w:line="360" w:lineRule="auto"/>
              <w:rPr>
                <w:rFonts w:hAnsi="宋体" w:cs="宋体"/>
                <w:sz w:val="24"/>
              </w:rPr>
            </w:pPr>
            <w:r>
              <w:rPr>
                <w:rFonts w:hint="eastAsia" w:hAnsi="宋体" w:cs="宋体"/>
                <w:sz w:val="24"/>
              </w:rPr>
              <w:t>复合膜结构：GL-PET12/NY15/PE7，可用手提式链动封口机制作密封袋。</w:t>
            </w:r>
          </w:p>
        </w:tc>
      </w:tr>
      <w:tr w14:paraId="12AE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65473A03">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3</w:t>
            </w:r>
          </w:p>
        </w:tc>
        <w:tc>
          <w:tcPr>
            <w:tcW w:w="1622" w:type="dxa"/>
            <w:gridSpan w:val="2"/>
            <w:vAlign w:val="center"/>
          </w:tcPr>
          <w:p w14:paraId="7160720C">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RP保护袋</w:t>
            </w:r>
          </w:p>
        </w:tc>
        <w:tc>
          <w:tcPr>
            <w:tcW w:w="733" w:type="dxa"/>
            <w:vAlign w:val="center"/>
          </w:tcPr>
          <w:p w14:paraId="080C40CB">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卷</w:t>
            </w:r>
          </w:p>
        </w:tc>
        <w:tc>
          <w:tcPr>
            <w:tcW w:w="745" w:type="dxa"/>
            <w:vAlign w:val="center"/>
          </w:tcPr>
          <w:p w14:paraId="0F99C844">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2</w:t>
            </w:r>
          </w:p>
        </w:tc>
        <w:tc>
          <w:tcPr>
            <w:tcW w:w="4950" w:type="dxa"/>
            <w:vAlign w:val="center"/>
          </w:tcPr>
          <w:p w14:paraId="055A790E">
            <w:pPr>
              <w:widowControl/>
              <w:numPr>
                <w:ilvl w:val="0"/>
                <w:numId w:val="19"/>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480mm*100米</w:t>
            </w:r>
          </w:p>
          <w:p w14:paraId="2956D0A4">
            <w:pPr>
              <w:widowControl/>
              <w:numPr>
                <w:ilvl w:val="0"/>
                <w:numId w:val="19"/>
              </w:numPr>
              <w:spacing w:line="360" w:lineRule="auto"/>
              <w:jc w:val="left"/>
              <w:textAlignment w:val="center"/>
              <w:rPr>
                <w:rFonts w:ascii="宋体" w:hAnsi="宋体" w:cs="宋体"/>
                <w:color w:val="000000"/>
                <w:kern w:val="0"/>
                <w:sz w:val="24"/>
                <w:lang w:bidi="ar"/>
              </w:rPr>
            </w:pPr>
            <w:r>
              <w:rPr>
                <w:rFonts w:hint="eastAsia" w:ascii="宋体" w:hAnsi="宋体" w:cs="宋体"/>
                <w:sz w:val="24"/>
              </w:rPr>
              <w:t>复合膜结构：GL-PET12/NY15/PE7，可用手提式链动封口机制作密封袋。</w:t>
            </w:r>
          </w:p>
        </w:tc>
      </w:tr>
      <w:tr w14:paraId="7161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08308285">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4</w:t>
            </w:r>
          </w:p>
        </w:tc>
        <w:tc>
          <w:tcPr>
            <w:tcW w:w="1622" w:type="dxa"/>
            <w:gridSpan w:val="2"/>
            <w:vAlign w:val="center"/>
          </w:tcPr>
          <w:p w14:paraId="2FB17DF0">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手提式链动封口机</w:t>
            </w:r>
          </w:p>
        </w:tc>
        <w:tc>
          <w:tcPr>
            <w:tcW w:w="733" w:type="dxa"/>
            <w:vAlign w:val="center"/>
          </w:tcPr>
          <w:p w14:paraId="72D7786F">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台</w:t>
            </w:r>
          </w:p>
        </w:tc>
        <w:tc>
          <w:tcPr>
            <w:tcW w:w="745" w:type="dxa"/>
            <w:vAlign w:val="center"/>
          </w:tcPr>
          <w:p w14:paraId="65674BDB">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1</w:t>
            </w:r>
          </w:p>
        </w:tc>
        <w:tc>
          <w:tcPr>
            <w:tcW w:w="4950" w:type="dxa"/>
            <w:vAlign w:val="center"/>
          </w:tcPr>
          <w:p w14:paraId="65526FC7">
            <w:pPr>
              <w:widowControl/>
              <w:numPr>
                <w:ilvl w:val="0"/>
                <w:numId w:val="2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封口速度：≥3.3米／分；</w:t>
            </w:r>
          </w:p>
          <w:p w14:paraId="70DDEA0F">
            <w:pPr>
              <w:widowControl/>
              <w:numPr>
                <w:ilvl w:val="0"/>
                <w:numId w:val="2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温度表范围：0-200℃；</w:t>
            </w:r>
          </w:p>
          <w:p w14:paraId="56B9D06E">
            <w:pPr>
              <w:widowControl/>
              <w:numPr>
                <w:ilvl w:val="0"/>
                <w:numId w:val="2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总功率：≥230W；</w:t>
            </w:r>
          </w:p>
          <w:p w14:paraId="23A82FD7">
            <w:pPr>
              <w:widowControl/>
              <w:numPr>
                <w:ilvl w:val="0"/>
                <w:numId w:val="2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电源：220V/50HZ；</w:t>
            </w:r>
          </w:p>
          <w:p w14:paraId="472C6653">
            <w:pPr>
              <w:widowControl/>
              <w:numPr>
                <w:ilvl w:val="0"/>
                <w:numId w:val="2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电动机转速不小于60转/分；</w:t>
            </w:r>
          </w:p>
          <w:p w14:paraId="065027DA">
            <w:pPr>
              <w:widowControl/>
              <w:numPr>
                <w:ilvl w:val="0"/>
                <w:numId w:val="2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可持续封口。</w:t>
            </w:r>
          </w:p>
        </w:tc>
      </w:tr>
      <w:tr w14:paraId="3A3F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1" w:type="dxa"/>
            <w:gridSpan w:val="6"/>
            <w:vAlign w:val="center"/>
          </w:tcPr>
          <w:p w14:paraId="637B3E46">
            <w:pPr>
              <w:spacing w:line="360" w:lineRule="auto"/>
              <w:rPr>
                <w:rFonts w:ascii="宋体" w:hAnsi="宋体" w:cs="宋体"/>
                <w:sz w:val="24"/>
              </w:rPr>
            </w:pPr>
            <w:r>
              <w:rPr>
                <w:rFonts w:hint="eastAsia" w:ascii="宋体" w:hAnsi="宋体" w:cs="宋体"/>
                <w:sz w:val="24"/>
              </w:rPr>
              <w:t>文物环境检测设备</w:t>
            </w:r>
          </w:p>
        </w:tc>
      </w:tr>
      <w:tr w14:paraId="01E6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0D740AD0">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1</w:t>
            </w:r>
          </w:p>
        </w:tc>
        <w:tc>
          <w:tcPr>
            <w:tcW w:w="1622" w:type="dxa"/>
            <w:gridSpan w:val="2"/>
            <w:vAlign w:val="center"/>
          </w:tcPr>
          <w:p w14:paraId="48B56AB5">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温湿度测量仪</w:t>
            </w:r>
          </w:p>
        </w:tc>
        <w:tc>
          <w:tcPr>
            <w:tcW w:w="733" w:type="dxa"/>
            <w:vAlign w:val="center"/>
          </w:tcPr>
          <w:p w14:paraId="4819F187">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台</w:t>
            </w:r>
          </w:p>
        </w:tc>
        <w:tc>
          <w:tcPr>
            <w:tcW w:w="745" w:type="dxa"/>
            <w:vAlign w:val="center"/>
          </w:tcPr>
          <w:p w14:paraId="791BAB68">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1</w:t>
            </w:r>
          </w:p>
        </w:tc>
        <w:tc>
          <w:tcPr>
            <w:tcW w:w="4950" w:type="dxa"/>
            <w:vAlign w:val="center"/>
          </w:tcPr>
          <w:p w14:paraId="13A9A9B7">
            <w:pPr>
              <w:numPr>
                <w:ilvl w:val="0"/>
                <w:numId w:val="21"/>
              </w:numPr>
              <w:spacing w:line="360" w:lineRule="auto"/>
              <w:rPr>
                <w:rFonts w:ascii="宋体" w:hAnsi="宋体" w:cs="宋体"/>
                <w:sz w:val="24"/>
              </w:rPr>
            </w:pPr>
            <w:r>
              <w:rPr>
                <w:rFonts w:hint="eastAsia" w:ascii="宋体" w:hAnsi="宋体" w:cs="宋体"/>
                <w:sz w:val="24"/>
              </w:rPr>
              <w:t>温度测量范围：-20～70℃</w:t>
            </w:r>
          </w:p>
          <w:p w14:paraId="6063DFE0">
            <w:pPr>
              <w:numPr>
                <w:ilvl w:val="0"/>
                <w:numId w:val="21"/>
              </w:numPr>
              <w:spacing w:line="360" w:lineRule="auto"/>
              <w:rPr>
                <w:rFonts w:ascii="宋体" w:hAnsi="宋体" w:cs="宋体"/>
                <w:sz w:val="24"/>
              </w:rPr>
            </w:pPr>
            <w:r>
              <w:rPr>
                <w:rFonts w:hint="eastAsia" w:ascii="宋体" w:hAnsi="宋体" w:cs="宋体"/>
                <w:sz w:val="24"/>
              </w:rPr>
              <w:t>温度精度：±0.3℃；</w:t>
            </w:r>
          </w:p>
          <w:p w14:paraId="0EFE8587">
            <w:pPr>
              <w:numPr>
                <w:ilvl w:val="0"/>
                <w:numId w:val="21"/>
              </w:numPr>
              <w:spacing w:line="360" w:lineRule="auto"/>
              <w:rPr>
                <w:rFonts w:ascii="宋体" w:hAnsi="宋体" w:cs="宋体"/>
                <w:sz w:val="24"/>
              </w:rPr>
            </w:pPr>
            <w:r>
              <w:rPr>
                <w:rFonts w:hint="eastAsia" w:ascii="宋体" w:hAnsi="宋体" w:cs="宋体"/>
                <w:sz w:val="24"/>
              </w:rPr>
              <w:t>湿度测量范围：0 ～ 100%RH；</w:t>
            </w:r>
          </w:p>
          <w:p w14:paraId="47AB14A6">
            <w:pPr>
              <w:numPr>
                <w:ilvl w:val="0"/>
                <w:numId w:val="21"/>
              </w:numPr>
              <w:spacing w:line="360" w:lineRule="auto"/>
              <w:rPr>
                <w:rFonts w:ascii="宋体" w:hAnsi="宋体" w:cs="宋体"/>
                <w:sz w:val="24"/>
              </w:rPr>
            </w:pPr>
            <w:r>
              <w:rPr>
                <w:rFonts w:hint="eastAsia" w:ascii="宋体" w:hAnsi="宋体" w:cs="宋体"/>
                <w:sz w:val="24"/>
              </w:rPr>
              <w:t>湿度测量精度：±2%RH；</w:t>
            </w:r>
          </w:p>
        </w:tc>
      </w:tr>
      <w:tr w14:paraId="00B1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2E6E40F6">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2</w:t>
            </w:r>
          </w:p>
        </w:tc>
        <w:tc>
          <w:tcPr>
            <w:tcW w:w="1622" w:type="dxa"/>
            <w:gridSpan w:val="2"/>
            <w:vAlign w:val="center"/>
          </w:tcPr>
          <w:p w14:paraId="48EC7AC9">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温湿度记录仪</w:t>
            </w:r>
          </w:p>
        </w:tc>
        <w:tc>
          <w:tcPr>
            <w:tcW w:w="733" w:type="dxa"/>
            <w:vAlign w:val="center"/>
          </w:tcPr>
          <w:p w14:paraId="2A195DD8">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台</w:t>
            </w:r>
          </w:p>
        </w:tc>
        <w:tc>
          <w:tcPr>
            <w:tcW w:w="745" w:type="dxa"/>
            <w:vAlign w:val="center"/>
          </w:tcPr>
          <w:p w14:paraId="659D6331">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2</w:t>
            </w:r>
          </w:p>
        </w:tc>
        <w:tc>
          <w:tcPr>
            <w:tcW w:w="4950" w:type="dxa"/>
            <w:vAlign w:val="center"/>
          </w:tcPr>
          <w:p w14:paraId="62CEFFBF">
            <w:pPr>
              <w:numPr>
                <w:ilvl w:val="0"/>
                <w:numId w:val="22"/>
              </w:numPr>
              <w:spacing w:line="360" w:lineRule="auto"/>
              <w:rPr>
                <w:rFonts w:ascii="宋体" w:hAnsi="宋体" w:cs="宋体"/>
                <w:sz w:val="24"/>
              </w:rPr>
            </w:pPr>
            <w:r>
              <w:rPr>
                <w:rFonts w:hint="eastAsia" w:ascii="宋体" w:hAnsi="宋体" w:cs="宋体"/>
                <w:sz w:val="24"/>
              </w:rPr>
              <w:t>温度测量范围：-20～70℃</w:t>
            </w:r>
          </w:p>
          <w:p w14:paraId="4B60FB91">
            <w:pPr>
              <w:numPr>
                <w:ilvl w:val="0"/>
                <w:numId w:val="22"/>
              </w:numPr>
              <w:spacing w:line="360" w:lineRule="auto"/>
              <w:rPr>
                <w:rFonts w:ascii="宋体" w:hAnsi="宋体" w:cs="宋体"/>
                <w:sz w:val="24"/>
              </w:rPr>
            </w:pPr>
            <w:r>
              <w:rPr>
                <w:rFonts w:hint="eastAsia" w:ascii="宋体" w:hAnsi="宋体" w:cs="宋体"/>
                <w:sz w:val="24"/>
              </w:rPr>
              <w:t>温度精度：±0.3℃；</w:t>
            </w:r>
          </w:p>
          <w:p w14:paraId="0A97C9A5">
            <w:pPr>
              <w:numPr>
                <w:ilvl w:val="0"/>
                <w:numId w:val="22"/>
              </w:numPr>
              <w:spacing w:line="360" w:lineRule="auto"/>
              <w:rPr>
                <w:rFonts w:ascii="宋体" w:hAnsi="宋体" w:cs="宋体"/>
                <w:sz w:val="24"/>
              </w:rPr>
            </w:pPr>
            <w:r>
              <w:rPr>
                <w:rFonts w:hint="eastAsia" w:ascii="宋体" w:hAnsi="宋体" w:cs="宋体"/>
                <w:sz w:val="24"/>
              </w:rPr>
              <w:t>湿度测量范围：0 ～ 100%RH；</w:t>
            </w:r>
          </w:p>
          <w:p w14:paraId="7C629A52">
            <w:pPr>
              <w:numPr>
                <w:ilvl w:val="0"/>
                <w:numId w:val="22"/>
              </w:numPr>
              <w:spacing w:line="360" w:lineRule="auto"/>
              <w:rPr>
                <w:rFonts w:ascii="宋体" w:hAnsi="宋体" w:cs="宋体"/>
                <w:sz w:val="24"/>
              </w:rPr>
            </w:pPr>
            <w:r>
              <w:rPr>
                <w:rFonts w:hint="eastAsia" w:ascii="宋体" w:hAnsi="宋体" w:cs="宋体"/>
                <w:sz w:val="24"/>
              </w:rPr>
              <w:t>湿度测量精度：±2%RH；</w:t>
            </w:r>
          </w:p>
          <w:p w14:paraId="0E39FC65">
            <w:pPr>
              <w:numPr>
                <w:ilvl w:val="0"/>
                <w:numId w:val="22"/>
              </w:numPr>
              <w:spacing w:line="360" w:lineRule="auto"/>
              <w:rPr>
                <w:rFonts w:ascii="宋体" w:hAnsi="宋体" w:cs="宋体"/>
                <w:sz w:val="24"/>
              </w:rPr>
            </w:pPr>
            <w:r>
              <w:rPr>
                <w:rFonts w:hint="eastAsia" w:ascii="宋体" w:hAnsi="宋体" w:cs="宋体"/>
                <w:sz w:val="24"/>
              </w:rPr>
              <w:t>能记录至少30000条数据；</w:t>
            </w:r>
          </w:p>
          <w:p w14:paraId="5CA57A40">
            <w:pPr>
              <w:numPr>
                <w:ilvl w:val="0"/>
                <w:numId w:val="22"/>
              </w:numPr>
              <w:spacing w:line="360" w:lineRule="auto"/>
              <w:rPr>
                <w:rFonts w:ascii="宋体" w:hAnsi="宋体" w:cs="宋体"/>
                <w:sz w:val="24"/>
              </w:rPr>
            </w:pPr>
            <w:r>
              <w:rPr>
                <w:rFonts w:hint="eastAsia" w:ascii="宋体" w:hAnsi="宋体" w:cs="宋体"/>
                <w:sz w:val="24"/>
              </w:rPr>
              <w:t>配套数据下载和分析软件，对记录仪所记录数据进行统计和分析；</w:t>
            </w:r>
          </w:p>
        </w:tc>
      </w:tr>
      <w:tr w14:paraId="2F4E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39974369">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3</w:t>
            </w:r>
          </w:p>
        </w:tc>
        <w:tc>
          <w:tcPr>
            <w:tcW w:w="1622" w:type="dxa"/>
            <w:gridSpan w:val="2"/>
            <w:vAlign w:val="center"/>
          </w:tcPr>
          <w:p w14:paraId="1FE2B07E">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便携式照度与紫外合一检测仪</w:t>
            </w:r>
          </w:p>
        </w:tc>
        <w:tc>
          <w:tcPr>
            <w:tcW w:w="733" w:type="dxa"/>
            <w:vAlign w:val="center"/>
          </w:tcPr>
          <w:p w14:paraId="6C8CFA53">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台</w:t>
            </w:r>
          </w:p>
        </w:tc>
        <w:tc>
          <w:tcPr>
            <w:tcW w:w="745" w:type="dxa"/>
            <w:vAlign w:val="center"/>
          </w:tcPr>
          <w:p w14:paraId="611F6CD7">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1</w:t>
            </w:r>
          </w:p>
        </w:tc>
        <w:tc>
          <w:tcPr>
            <w:tcW w:w="4950" w:type="dxa"/>
            <w:vAlign w:val="center"/>
          </w:tcPr>
          <w:p w14:paraId="56436E37">
            <w:pPr>
              <w:numPr>
                <w:ilvl w:val="0"/>
                <w:numId w:val="23"/>
              </w:numPr>
              <w:spacing w:line="360" w:lineRule="auto"/>
              <w:rPr>
                <w:rFonts w:ascii="宋体" w:hAnsi="宋体" w:cs="宋体"/>
                <w:sz w:val="24"/>
              </w:rPr>
            </w:pPr>
            <w:r>
              <w:rPr>
                <w:rFonts w:hint="eastAsia" w:ascii="宋体" w:hAnsi="宋体" w:cs="宋体"/>
                <w:sz w:val="24"/>
              </w:rPr>
              <w:t>紫外测量范围：0～300 μw/cm</w:t>
            </w:r>
            <w:r>
              <w:rPr>
                <w:rFonts w:hint="eastAsia" w:ascii="宋体" w:hAnsi="宋体" w:cs="宋体"/>
                <w:sz w:val="24"/>
                <w:vertAlign w:val="superscript"/>
              </w:rPr>
              <w:t>2</w:t>
            </w:r>
            <w:r>
              <w:rPr>
                <w:rFonts w:hint="eastAsia" w:ascii="宋体" w:hAnsi="宋体" w:cs="宋体"/>
                <w:sz w:val="24"/>
              </w:rPr>
              <w:t>；</w:t>
            </w:r>
          </w:p>
          <w:p w14:paraId="083C2CBC">
            <w:pPr>
              <w:numPr>
                <w:ilvl w:val="0"/>
                <w:numId w:val="23"/>
              </w:numPr>
              <w:spacing w:line="360" w:lineRule="auto"/>
              <w:rPr>
                <w:rFonts w:ascii="宋体" w:hAnsi="宋体" w:cs="宋体"/>
                <w:sz w:val="24"/>
              </w:rPr>
            </w:pPr>
            <w:r>
              <w:rPr>
                <w:rFonts w:hint="eastAsia" w:ascii="宋体" w:hAnsi="宋体" w:cs="宋体"/>
                <w:sz w:val="24"/>
              </w:rPr>
              <w:t>紫外测量精度：±8%读数；</w:t>
            </w:r>
          </w:p>
          <w:p w14:paraId="533CD20C">
            <w:pPr>
              <w:numPr>
                <w:ilvl w:val="0"/>
                <w:numId w:val="23"/>
              </w:numPr>
              <w:spacing w:line="360" w:lineRule="auto"/>
              <w:rPr>
                <w:rFonts w:ascii="宋体" w:hAnsi="宋体" w:cs="宋体"/>
                <w:sz w:val="24"/>
              </w:rPr>
            </w:pPr>
            <w:r>
              <w:rPr>
                <w:rFonts w:hint="eastAsia" w:ascii="宋体" w:hAnsi="宋体" w:cs="宋体"/>
                <w:sz w:val="24"/>
              </w:rPr>
              <w:t>光照测量范围：0～2000lx；</w:t>
            </w:r>
          </w:p>
          <w:p w14:paraId="1F127482">
            <w:pPr>
              <w:numPr>
                <w:ilvl w:val="0"/>
                <w:numId w:val="23"/>
              </w:numPr>
              <w:spacing w:line="360" w:lineRule="auto"/>
              <w:rPr>
                <w:rFonts w:ascii="宋体" w:hAnsi="宋体" w:cs="宋体"/>
                <w:sz w:val="24"/>
              </w:rPr>
            </w:pPr>
            <w:r>
              <w:rPr>
                <w:rFonts w:hint="eastAsia" w:ascii="宋体" w:hAnsi="宋体" w:cs="宋体"/>
                <w:sz w:val="24"/>
              </w:rPr>
              <w:t>光照测量精度：±4%读数；</w:t>
            </w:r>
          </w:p>
        </w:tc>
      </w:tr>
      <w:tr w14:paraId="421D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48895314">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4</w:t>
            </w:r>
          </w:p>
        </w:tc>
        <w:tc>
          <w:tcPr>
            <w:tcW w:w="1622" w:type="dxa"/>
            <w:gridSpan w:val="2"/>
            <w:vAlign w:val="center"/>
          </w:tcPr>
          <w:p w14:paraId="5E92F85D">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二氧化碳检测仪</w:t>
            </w:r>
          </w:p>
        </w:tc>
        <w:tc>
          <w:tcPr>
            <w:tcW w:w="733" w:type="dxa"/>
            <w:vAlign w:val="center"/>
          </w:tcPr>
          <w:p w14:paraId="66B4DABC">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台</w:t>
            </w:r>
          </w:p>
        </w:tc>
        <w:tc>
          <w:tcPr>
            <w:tcW w:w="745" w:type="dxa"/>
            <w:vAlign w:val="center"/>
          </w:tcPr>
          <w:p w14:paraId="4F2D776A">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1</w:t>
            </w:r>
          </w:p>
        </w:tc>
        <w:tc>
          <w:tcPr>
            <w:tcW w:w="4950" w:type="dxa"/>
            <w:vAlign w:val="center"/>
          </w:tcPr>
          <w:p w14:paraId="0D65FFB2">
            <w:pPr>
              <w:numPr>
                <w:ilvl w:val="0"/>
                <w:numId w:val="24"/>
              </w:numPr>
              <w:spacing w:line="360" w:lineRule="auto"/>
              <w:rPr>
                <w:rFonts w:ascii="宋体" w:hAnsi="宋体" w:cs="宋体"/>
                <w:sz w:val="24"/>
              </w:rPr>
            </w:pPr>
            <w:r>
              <w:rPr>
                <w:rFonts w:hint="eastAsia" w:ascii="宋体" w:hAnsi="宋体" w:cs="宋体"/>
                <w:sz w:val="24"/>
              </w:rPr>
              <w:t>测量范围：0～5000ppm；</w:t>
            </w:r>
          </w:p>
          <w:p w14:paraId="79EC3CD2">
            <w:pPr>
              <w:numPr>
                <w:ilvl w:val="0"/>
                <w:numId w:val="24"/>
              </w:numPr>
              <w:spacing w:line="360" w:lineRule="auto"/>
              <w:rPr>
                <w:rFonts w:ascii="宋体" w:hAnsi="宋体" w:cs="宋体"/>
                <w:sz w:val="24"/>
              </w:rPr>
            </w:pPr>
            <w:r>
              <w:rPr>
                <w:rFonts w:hint="eastAsia" w:ascii="宋体" w:hAnsi="宋体" w:cs="宋体"/>
                <w:sz w:val="24"/>
              </w:rPr>
              <w:t>精度：±30ppm±3%读数；</w:t>
            </w:r>
          </w:p>
        </w:tc>
      </w:tr>
      <w:tr w14:paraId="6FE9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1" w:type="dxa"/>
            <w:gridSpan w:val="6"/>
            <w:vAlign w:val="center"/>
          </w:tcPr>
          <w:p w14:paraId="62DFBA6B">
            <w:pPr>
              <w:widowControl/>
              <w:jc w:val="center"/>
              <w:textAlignment w:val="center"/>
              <w:rPr>
                <w:rFonts w:ascii="宋体" w:hAnsi="宋体" w:cs="宋体"/>
                <w:sz w:val="24"/>
              </w:rPr>
            </w:pPr>
            <w:r>
              <w:rPr>
                <w:rFonts w:hint="eastAsia" w:ascii="宋体" w:hAnsi="宋体" w:cs="宋体"/>
                <w:color w:val="000000"/>
                <w:kern w:val="0"/>
                <w:sz w:val="24"/>
                <w:lang w:bidi="ar"/>
              </w:rPr>
              <w:t>商务要求</w:t>
            </w:r>
          </w:p>
        </w:tc>
      </w:tr>
      <w:tr w14:paraId="5FDE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gridSpan w:val="2"/>
            <w:vAlign w:val="center"/>
          </w:tcPr>
          <w:p w14:paraId="679A1579">
            <w:pPr>
              <w:spacing w:line="360" w:lineRule="auto"/>
              <w:ind w:right="76"/>
              <w:rPr>
                <w:rFonts w:ascii="宋体" w:hAnsi="宋体" w:cs="宋体"/>
                <w:color w:val="000000"/>
                <w:kern w:val="0"/>
                <w:sz w:val="24"/>
                <w:lang w:bidi="ar"/>
              </w:rPr>
            </w:pPr>
            <w:r>
              <w:rPr>
                <w:rFonts w:hint="eastAsia" w:ascii="宋体" w:hAnsi="宋体" w:cs="宋体"/>
                <w:b/>
                <w:bCs/>
                <w:szCs w:val="21"/>
              </w:rPr>
              <w:t>质保期</w:t>
            </w:r>
          </w:p>
        </w:tc>
        <w:tc>
          <w:tcPr>
            <w:tcW w:w="7234" w:type="dxa"/>
            <w:gridSpan w:val="4"/>
            <w:vAlign w:val="center"/>
          </w:tcPr>
          <w:p w14:paraId="3C0C77C9">
            <w:pPr>
              <w:spacing w:line="360" w:lineRule="auto"/>
              <w:ind w:right="76"/>
              <w:rPr>
                <w:rFonts w:ascii="宋体" w:hAnsi="宋体" w:cs="宋体"/>
                <w:sz w:val="24"/>
              </w:rPr>
            </w:pPr>
            <w:r>
              <w:rPr>
                <w:rFonts w:hint="eastAsia" w:ascii="宋体" w:hAnsi="宋体" w:cs="宋体"/>
                <w:szCs w:val="21"/>
              </w:rPr>
              <w:t>自项目验收合格之日起计算，整体项目质保期为3</w:t>
            </w:r>
            <w:r>
              <w:rPr>
                <w:rFonts w:ascii="宋体" w:hAnsi="宋体" w:cs="宋体"/>
                <w:szCs w:val="21"/>
              </w:rPr>
              <w:t>年，质保期超过</w:t>
            </w:r>
            <w:r>
              <w:rPr>
                <w:rFonts w:hint="eastAsia" w:ascii="宋体" w:hAnsi="宋体" w:cs="宋体"/>
                <w:szCs w:val="21"/>
              </w:rPr>
              <w:t>3</w:t>
            </w:r>
            <w:r>
              <w:rPr>
                <w:rFonts w:ascii="宋体" w:hAnsi="宋体" w:cs="宋体"/>
                <w:szCs w:val="21"/>
              </w:rPr>
              <w:t>年的单项产品以单项产品的技术参数及其性能（配置）要求的质保期或提供的原厂售后服务为准。质保期内，中标人将负责处理并解决故障，并免费更换有故障的零、部件（配件因人为因素损坏除外）。质保期过后，须定期上门回访，对设备提供终身维修、维护，系统的维修、维护费用另行协商。</w:t>
            </w:r>
          </w:p>
        </w:tc>
      </w:tr>
      <w:tr w14:paraId="6AB2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gridSpan w:val="2"/>
            <w:vAlign w:val="center"/>
          </w:tcPr>
          <w:p w14:paraId="50C0F045">
            <w:pPr>
              <w:spacing w:line="360" w:lineRule="auto"/>
              <w:rPr>
                <w:rFonts w:ascii="宋体" w:hAnsi="宋体" w:cs="宋体"/>
                <w:color w:val="000000"/>
                <w:kern w:val="0"/>
                <w:sz w:val="24"/>
                <w:lang w:bidi="ar"/>
              </w:rPr>
            </w:pPr>
            <w:r>
              <w:rPr>
                <w:rFonts w:hint="eastAsia" w:ascii="宋体" w:hAnsi="宋体"/>
                <w:b/>
                <w:bCs/>
                <w:szCs w:val="21"/>
              </w:rPr>
              <w:t>合同履约期限</w:t>
            </w:r>
          </w:p>
        </w:tc>
        <w:tc>
          <w:tcPr>
            <w:tcW w:w="7234" w:type="dxa"/>
            <w:gridSpan w:val="4"/>
            <w:vAlign w:val="center"/>
          </w:tcPr>
          <w:p w14:paraId="33025039">
            <w:pPr>
              <w:spacing w:line="360" w:lineRule="auto"/>
              <w:rPr>
                <w:rFonts w:ascii="宋体" w:hAnsi="宋体" w:cs="宋体"/>
                <w:sz w:val="24"/>
              </w:rPr>
            </w:pPr>
            <w:r>
              <w:rPr>
                <w:rFonts w:hint="eastAsia" w:ascii="宋体" w:hAnsi="宋体" w:cs="宋体"/>
                <w:szCs w:val="21"/>
              </w:rPr>
              <w:t>签订合同之日起90日内</w:t>
            </w:r>
          </w:p>
        </w:tc>
      </w:tr>
      <w:tr w14:paraId="71C6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gridSpan w:val="2"/>
            <w:vAlign w:val="center"/>
          </w:tcPr>
          <w:p w14:paraId="18F7FAFC">
            <w:pPr>
              <w:spacing w:line="360" w:lineRule="auto"/>
              <w:rPr>
                <w:rFonts w:ascii="宋体" w:hAnsi="宋体"/>
                <w:b/>
                <w:bCs/>
                <w:szCs w:val="21"/>
              </w:rPr>
            </w:pPr>
            <w:r>
              <w:rPr>
                <w:rFonts w:hint="eastAsia" w:ascii="宋体" w:hAnsi="宋体"/>
                <w:b/>
                <w:bCs/>
                <w:szCs w:val="21"/>
              </w:rPr>
              <w:t>交货地点</w:t>
            </w:r>
          </w:p>
        </w:tc>
        <w:tc>
          <w:tcPr>
            <w:tcW w:w="7234" w:type="dxa"/>
            <w:gridSpan w:val="4"/>
            <w:vAlign w:val="center"/>
          </w:tcPr>
          <w:p w14:paraId="0678099B">
            <w:pPr>
              <w:spacing w:line="360" w:lineRule="auto"/>
              <w:rPr>
                <w:rFonts w:ascii="宋体" w:hAnsi="宋体" w:cs="宋体"/>
                <w:szCs w:val="21"/>
              </w:rPr>
            </w:pPr>
            <w:r>
              <w:rPr>
                <w:rFonts w:hint="eastAsia" w:ascii="宋体" w:hAnsi="宋体" w:cs="宋体"/>
                <w:szCs w:val="21"/>
              </w:rPr>
              <w:t>采购人指定地点</w:t>
            </w:r>
          </w:p>
        </w:tc>
      </w:tr>
      <w:tr w14:paraId="428A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gridSpan w:val="2"/>
            <w:vAlign w:val="center"/>
          </w:tcPr>
          <w:p w14:paraId="1013A347">
            <w:pPr>
              <w:spacing w:line="360" w:lineRule="auto"/>
              <w:rPr>
                <w:rFonts w:ascii="宋体" w:hAnsi="宋体"/>
                <w:b/>
                <w:bCs/>
                <w:szCs w:val="21"/>
              </w:rPr>
            </w:pPr>
            <w:r>
              <w:rPr>
                <w:rFonts w:hint="eastAsia" w:ascii="宋体" w:hAnsi="宋体"/>
                <w:b/>
                <w:bCs/>
                <w:szCs w:val="21"/>
              </w:rPr>
              <w:t>售后服务保障及维修响应时间要求</w:t>
            </w:r>
          </w:p>
        </w:tc>
        <w:tc>
          <w:tcPr>
            <w:tcW w:w="7234" w:type="dxa"/>
            <w:gridSpan w:val="4"/>
            <w:vAlign w:val="center"/>
          </w:tcPr>
          <w:p w14:paraId="37E68421">
            <w:pPr>
              <w:numPr>
                <w:ilvl w:val="0"/>
                <w:numId w:val="25"/>
              </w:numPr>
              <w:spacing w:line="360" w:lineRule="exact"/>
            </w:pPr>
            <w:r>
              <w:rPr>
                <w:rFonts w:hint="eastAsia" w:ascii="宋体" w:hAnsi="宋体" w:cs="宋体"/>
                <w:szCs w:val="21"/>
              </w:rPr>
              <w:t>质保期：自项目验收合格之日起计算，整体项目质保期为3年（设备技术参数有要求优先按技术参数要求为准），质保期超过3年的单项产品以单项产品的技术参数及其性能（配置）要求的质保期或提供的原厂售后服务为准。质保期内，中标人将负责处理并解决故障，并免费更换有故障的零、部件（配件因人为或自然因素损坏除外），质保期内负责上门服务、维修、更换配件，不得收取任何费用。质保期过后，须定期上门回访，对</w:t>
            </w:r>
            <w:r>
              <w:rPr>
                <w:rFonts w:hint="eastAsia"/>
              </w:rPr>
              <w:t>硬件部分免费</w:t>
            </w:r>
            <w:r>
              <w:rPr>
                <w:rFonts w:hint="eastAsia" w:ascii="宋体" w:hAnsi="宋体" w:cs="宋体"/>
                <w:szCs w:val="21"/>
              </w:rPr>
              <w:t>提供终身维保、维护，需更换配件时只收取部件成本费用。</w:t>
            </w:r>
          </w:p>
          <w:p w14:paraId="23546003">
            <w:pPr>
              <w:spacing w:line="360" w:lineRule="auto"/>
              <w:rPr>
                <w:rFonts w:ascii="宋体" w:hAnsi="宋体" w:cs="宋体"/>
                <w:szCs w:val="21"/>
              </w:rPr>
            </w:pPr>
            <w:r>
              <w:rPr>
                <w:rFonts w:hint="eastAsia" w:ascii="宋体" w:hAnsi="宋体" w:cs="宋体"/>
                <w:szCs w:val="21"/>
              </w:rPr>
              <w:t xml:space="preserve">2.售后服务费用包含在报价中，售后服务内容如下： </w:t>
            </w:r>
          </w:p>
          <w:p w14:paraId="4F7FA199">
            <w:pPr>
              <w:spacing w:line="360" w:lineRule="auto"/>
              <w:rPr>
                <w:rFonts w:ascii="宋体" w:hAnsi="宋体" w:cs="宋体"/>
                <w:szCs w:val="21"/>
              </w:rPr>
            </w:pPr>
            <w:r>
              <w:rPr>
                <w:rFonts w:hint="eastAsia" w:ascii="宋体" w:hAnsi="宋体" w:cs="宋体"/>
                <w:szCs w:val="21"/>
              </w:rPr>
              <w:t>（1）负责送货上门，安装调试，培训操作人员。</w:t>
            </w:r>
          </w:p>
          <w:p w14:paraId="1412C4BA">
            <w:pPr>
              <w:spacing w:line="360" w:lineRule="auto"/>
              <w:rPr>
                <w:rFonts w:ascii="宋体" w:hAnsi="宋体" w:cs="宋体"/>
                <w:szCs w:val="21"/>
              </w:rPr>
            </w:pPr>
            <w:r>
              <w:rPr>
                <w:rFonts w:hint="eastAsia" w:ascii="宋体" w:hAnsi="宋体" w:cs="宋体"/>
                <w:szCs w:val="21"/>
              </w:rPr>
              <w:t>（2）不能正常使用的必须提供备用机。</w:t>
            </w:r>
          </w:p>
          <w:p w14:paraId="3AD0847A">
            <w:pPr>
              <w:spacing w:line="360" w:lineRule="auto"/>
              <w:rPr>
                <w:rFonts w:ascii="宋体" w:hAnsi="宋体" w:cs="宋体"/>
                <w:szCs w:val="21"/>
              </w:rPr>
            </w:pPr>
            <w:r>
              <w:rPr>
                <w:rFonts w:hint="eastAsia" w:ascii="宋体" w:hAnsi="宋体" w:cs="宋体"/>
                <w:szCs w:val="21"/>
              </w:rPr>
              <w:t>（3）定期回访以及对设备维修。</w:t>
            </w:r>
          </w:p>
          <w:p w14:paraId="10F30D34">
            <w:pPr>
              <w:spacing w:line="360" w:lineRule="auto"/>
              <w:rPr>
                <w:rFonts w:ascii="宋体" w:hAnsi="宋体" w:cs="宋体"/>
                <w:szCs w:val="21"/>
              </w:rPr>
            </w:pPr>
            <w:r>
              <w:rPr>
                <w:rFonts w:hint="eastAsia" w:ascii="宋体" w:hAnsi="宋体" w:cs="宋体"/>
                <w:szCs w:val="21"/>
              </w:rPr>
              <w:t>（4）其余按厂家承诺。</w:t>
            </w:r>
          </w:p>
        </w:tc>
      </w:tr>
      <w:tr w14:paraId="12F9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gridSpan w:val="2"/>
            <w:vAlign w:val="center"/>
          </w:tcPr>
          <w:p w14:paraId="3439B262">
            <w:pPr>
              <w:spacing w:line="360" w:lineRule="auto"/>
              <w:rPr>
                <w:rFonts w:ascii="宋体" w:hAnsi="宋体"/>
                <w:b/>
                <w:bCs/>
                <w:szCs w:val="21"/>
              </w:rPr>
            </w:pPr>
            <w:r>
              <w:rPr>
                <w:rFonts w:hint="eastAsia" w:ascii="宋体" w:hAnsi="宋体" w:cs="宋体"/>
                <w:b/>
                <w:bCs/>
                <w:szCs w:val="21"/>
              </w:rPr>
              <w:t>其他要求</w:t>
            </w:r>
          </w:p>
        </w:tc>
        <w:tc>
          <w:tcPr>
            <w:tcW w:w="7234" w:type="dxa"/>
            <w:gridSpan w:val="4"/>
            <w:vAlign w:val="center"/>
          </w:tcPr>
          <w:p w14:paraId="122AA038">
            <w:pPr>
              <w:spacing w:line="360" w:lineRule="auto"/>
              <w:rPr>
                <w:rFonts w:ascii="宋体" w:hAnsi="宋体" w:cs="宋体"/>
                <w:szCs w:val="21"/>
              </w:rPr>
            </w:pPr>
            <w:r>
              <w:rPr>
                <w:rFonts w:hint="eastAsia" w:ascii="宋体" w:hAnsi="宋体" w:cs="宋体"/>
                <w:szCs w:val="21"/>
              </w:rPr>
              <w:t>1项目验收均严格按国家、行业相关验收标准及采购文件、中标人投标和承诺的技术参数及性能等有关标准逐条进行验收，达不到要求的不予验收，视为产品验收不合格，采购人可解除双方的采购合同按违约及虚假响应处理，投标人承担所有责任和费用，采购人保留进一步追究责任的权利并报财政监管部门处罚。</w:t>
            </w:r>
          </w:p>
        </w:tc>
      </w:tr>
    </w:tbl>
    <w:p w14:paraId="072066B3">
      <w:pPr>
        <w:pStyle w:val="2"/>
        <w:spacing w:line="240" w:lineRule="atLeast"/>
        <w:jc w:val="center"/>
        <w:rPr>
          <w:sz w:val="36"/>
          <w:szCs w:val="36"/>
        </w:rPr>
      </w:pPr>
      <w:r>
        <w:rPr>
          <w:rFonts w:hint="eastAsia"/>
        </w:rPr>
        <w:br w:type="page"/>
      </w:r>
      <w:r>
        <w:rPr>
          <w:rFonts w:hint="eastAsia"/>
          <w:sz w:val="36"/>
          <w:szCs w:val="36"/>
        </w:rPr>
        <w:t>第五章合同条款及格式</w:t>
      </w:r>
      <w:bookmarkEnd w:id="44"/>
    </w:p>
    <w:p w14:paraId="3500F353">
      <w:pPr>
        <w:snapToGrid w:val="0"/>
        <w:spacing w:line="400" w:lineRule="exact"/>
        <w:jc w:val="center"/>
        <w:rPr>
          <w:rFonts w:ascii="宋体" w:hAnsi="宋体"/>
          <w:b/>
          <w:sz w:val="32"/>
          <w:szCs w:val="32"/>
        </w:rPr>
      </w:pPr>
    </w:p>
    <w:p w14:paraId="4F2A9DBF">
      <w:pPr>
        <w:pStyle w:val="16"/>
        <w:spacing w:after="0" w:line="360" w:lineRule="auto"/>
        <w:jc w:val="center"/>
        <w:rPr>
          <w:rFonts w:hAnsi="宋体" w:cs="宋体"/>
          <w:b/>
          <w:bCs/>
          <w:spacing w:val="-20"/>
          <w:kern w:val="44"/>
          <w:sz w:val="48"/>
          <w:szCs w:val="48"/>
        </w:rPr>
      </w:pPr>
      <w:r>
        <w:rPr>
          <w:rFonts w:hint="eastAsia" w:hAnsi="宋体" w:cs="宋体"/>
          <w:b/>
          <w:bCs/>
          <w:spacing w:val="-20"/>
          <w:kern w:val="44"/>
          <w:sz w:val="48"/>
          <w:szCs w:val="48"/>
        </w:rPr>
        <w:t>政府采购货物买卖合同</w:t>
      </w:r>
    </w:p>
    <w:p w14:paraId="78936935">
      <w:pPr>
        <w:pStyle w:val="16"/>
        <w:spacing w:after="0" w:line="360" w:lineRule="auto"/>
        <w:jc w:val="center"/>
        <w:rPr>
          <w:rFonts w:hAnsi="宋体" w:cs="宋体"/>
          <w:b/>
          <w:bCs/>
          <w:spacing w:val="-20"/>
          <w:kern w:val="44"/>
          <w:sz w:val="48"/>
          <w:szCs w:val="48"/>
        </w:rPr>
      </w:pPr>
      <w:r>
        <w:rPr>
          <w:rFonts w:hint="eastAsia" w:hAnsi="宋体" w:cs="宋体"/>
          <w:b/>
          <w:bCs/>
          <w:spacing w:val="-20"/>
          <w:kern w:val="44"/>
          <w:sz w:val="48"/>
          <w:szCs w:val="48"/>
        </w:rPr>
        <w:t>（试行）</w:t>
      </w:r>
    </w:p>
    <w:p w14:paraId="3C7D5178">
      <w:pPr>
        <w:rPr>
          <w:rFonts w:ascii="宋体" w:hAnsi="宋体" w:cs="宋体"/>
          <w:b/>
          <w:bCs/>
          <w:spacing w:val="-20"/>
          <w:kern w:val="44"/>
          <w:sz w:val="40"/>
          <w:szCs w:val="40"/>
        </w:rPr>
      </w:pPr>
    </w:p>
    <w:p w14:paraId="5BCB0C1A">
      <w:pPr>
        <w:rPr>
          <w:rFonts w:ascii="宋体" w:hAnsi="宋体" w:cs="宋体"/>
          <w:b/>
          <w:bCs/>
          <w:spacing w:val="-20"/>
          <w:kern w:val="44"/>
          <w:sz w:val="40"/>
          <w:szCs w:val="40"/>
        </w:rPr>
      </w:pPr>
    </w:p>
    <w:p w14:paraId="0100FDEF">
      <w:pPr>
        <w:rPr>
          <w:rFonts w:ascii="宋体" w:hAnsi="宋体" w:cs="宋体"/>
          <w:b/>
          <w:bCs/>
          <w:spacing w:val="-20"/>
          <w:kern w:val="44"/>
          <w:sz w:val="40"/>
          <w:szCs w:val="40"/>
        </w:rPr>
      </w:pPr>
    </w:p>
    <w:p w14:paraId="1FC5E537">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61C9BEB">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1BC47E4F">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3FB1A00D">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6D415C82">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E0B2A44"/>
    <w:p w14:paraId="4EB85317">
      <w:pPr>
        <w:rPr>
          <w:rFonts w:eastAsia="黑体"/>
          <w:sz w:val="44"/>
          <w:szCs w:val="44"/>
        </w:rPr>
      </w:pPr>
      <w:r>
        <w:rPr>
          <w:rFonts w:eastAsia="黑体"/>
          <w:sz w:val="44"/>
          <w:szCs w:val="44"/>
        </w:rPr>
        <w:br w:type="page"/>
      </w:r>
    </w:p>
    <w:p w14:paraId="17BBC20A">
      <w:pPr>
        <w:rPr>
          <w:rFonts w:eastAsia="黑体"/>
          <w:sz w:val="44"/>
          <w:szCs w:val="44"/>
        </w:rPr>
      </w:pPr>
    </w:p>
    <w:p w14:paraId="18C49B6F">
      <w:pPr>
        <w:rPr>
          <w:rFonts w:eastAsia="黑体"/>
          <w:sz w:val="44"/>
          <w:szCs w:val="44"/>
        </w:rPr>
      </w:pPr>
    </w:p>
    <w:p w14:paraId="3EEE48C5">
      <w:pPr>
        <w:jc w:val="center"/>
        <w:rPr>
          <w:rFonts w:eastAsia="黑体"/>
          <w:sz w:val="44"/>
          <w:szCs w:val="44"/>
        </w:rPr>
      </w:pPr>
      <w:r>
        <w:rPr>
          <w:rFonts w:hint="eastAsia" w:eastAsia="黑体"/>
          <w:sz w:val="44"/>
          <w:szCs w:val="44"/>
        </w:rPr>
        <w:t>使 用 说 明</w:t>
      </w:r>
    </w:p>
    <w:p w14:paraId="33BE9080">
      <w:pPr>
        <w:ind w:firstLine="640" w:firstLineChars="200"/>
        <w:rPr>
          <w:rFonts w:ascii="仿宋_GB2312" w:hAnsi="仿宋_GB2312" w:eastAsia="仿宋_GB2312" w:cs="仿宋_GB2312"/>
          <w:sz w:val="32"/>
          <w:szCs w:val="32"/>
        </w:rPr>
      </w:pPr>
    </w:p>
    <w:p w14:paraId="0F3D654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437AF633">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684A6CA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49EDBECE">
      <w:pPr>
        <w:ind w:firstLine="880" w:firstLineChars="200"/>
        <w:rPr>
          <w:rFonts w:eastAsia="黑体"/>
          <w:sz w:val="44"/>
          <w:szCs w:val="44"/>
        </w:rPr>
        <w:sectPr>
          <w:footerReference r:id="rId13" w:type="default"/>
          <w:pgSz w:w="11906" w:h="16838"/>
          <w:pgMar w:top="1440" w:right="1800" w:bottom="1440" w:left="1800" w:header="851" w:footer="992" w:gutter="0"/>
          <w:cols w:space="425" w:num="1"/>
          <w:docGrid w:type="lines" w:linePitch="312" w:charSpace="0"/>
        </w:sectPr>
      </w:pPr>
    </w:p>
    <w:p w14:paraId="3D16C7A8">
      <w:pPr>
        <w:pStyle w:val="3"/>
        <w:adjustRightInd w:val="0"/>
        <w:snapToGrid w:val="0"/>
        <w:spacing w:line="400" w:lineRule="exact"/>
        <w:jc w:val="center"/>
        <w:rPr>
          <w:rFonts w:ascii="黑体" w:hAnsi="黑体"/>
          <w:sz w:val="28"/>
          <w:szCs w:val="28"/>
        </w:rPr>
      </w:pPr>
      <w:bookmarkStart w:id="46" w:name="_Toc22209"/>
    </w:p>
    <w:p w14:paraId="60465A95">
      <w:pPr>
        <w:pStyle w:val="3"/>
        <w:adjustRightInd w:val="0"/>
        <w:snapToGrid w:val="0"/>
        <w:spacing w:line="400" w:lineRule="exact"/>
        <w:jc w:val="center"/>
        <w:rPr>
          <w:rFonts w:ascii="黑体" w:hAnsi="华文中宋"/>
          <w:b w:val="0"/>
          <w:bCs w:val="0"/>
          <w:sz w:val="28"/>
          <w:szCs w:val="28"/>
        </w:rPr>
      </w:pPr>
      <w:r>
        <w:rPr>
          <w:rFonts w:hint="eastAsia" w:ascii="黑体" w:hAnsi="黑体"/>
          <w:b w:val="0"/>
          <w:bCs w:val="0"/>
          <w:sz w:val="28"/>
          <w:szCs w:val="28"/>
        </w:rPr>
        <w:t xml:space="preserve">第一节 </w:t>
      </w:r>
      <w:r>
        <w:rPr>
          <w:rFonts w:hint="eastAsia" w:ascii="黑体" w:hAnsi="华文中宋"/>
          <w:b w:val="0"/>
          <w:bCs w:val="0"/>
          <w:sz w:val="28"/>
          <w:szCs w:val="28"/>
        </w:rPr>
        <w:t>政府采购合同协议书</w:t>
      </w:r>
      <w:bookmarkEnd w:id="46"/>
    </w:p>
    <w:p w14:paraId="71F8C654">
      <w:pPr>
        <w:pStyle w:val="3"/>
        <w:adjustRightInd w:val="0"/>
        <w:snapToGrid w:val="0"/>
        <w:spacing w:line="400" w:lineRule="exact"/>
        <w:jc w:val="center"/>
        <w:rPr>
          <w:rFonts w:ascii="黑体" w:hAnsi="华文中宋"/>
          <w:b w:val="0"/>
          <w:bCs w:val="0"/>
          <w:sz w:val="28"/>
          <w:szCs w:val="28"/>
        </w:rPr>
      </w:pPr>
    </w:p>
    <w:p w14:paraId="04F0F2FB">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贵港市自然博物馆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4EA15785">
      <w:pPr>
        <w:adjustRightInd w:val="0"/>
        <w:snapToGrid w:val="0"/>
        <w:spacing w:line="400" w:lineRule="exact"/>
        <w:rPr>
          <w:rFonts w:ascii="宋体" w:hAnsi="宋体"/>
          <w:szCs w:val="21"/>
        </w:rPr>
      </w:pPr>
      <w:r>
        <w:rPr>
          <w:rFonts w:hint="eastAsia" w:ascii="宋体" w:hAnsi="宋体"/>
          <w:szCs w:val="21"/>
        </w:rPr>
        <w:t>乙方（全称）：</w:t>
      </w:r>
      <w:r>
        <w:rPr>
          <w:rFonts w:hint="eastAsia" w:ascii="宋体" w:hAnsi="宋体"/>
          <w:szCs w:val="21"/>
          <w:u w:val="single"/>
        </w:rPr>
        <w:t xml:space="preserve">                       </w:t>
      </w:r>
      <w:r>
        <w:rPr>
          <w:rFonts w:hint="eastAsia" w:ascii="宋体" w:hAnsi="宋体"/>
          <w:szCs w:val="21"/>
        </w:rPr>
        <w:t>（供应商）</w:t>
      </w:r>
    </w:p>
    <w:p w14:paraId="66BE15C7">
      <w:pPr>
        <w:spacing w:line="400" w:lineRule="exact"/>
      </w:pPr>
    </w:p>
    <w:p w14:paraId="7BAA9C0C">
      <w:pPr>
        <w:pStyle w:val="17"/>
        <w:adjustRightInd w:val="0"/>
        <w:snapToGrid w:val="0"/>
        <w:spacing w:line="400" w:lineRule="exact"/>
        <w:ind w:firstLine="344" w:firstLineChars="200"/>
        <w:rPr>
          <w:rFonts w:hAnsi="宋体"/>
          <w:szCs w:val="21"/>
        </w:rPr>
      </w:pPr>
      <w:r>
        <w:rPr>
          <w:rFonts w:hint="eastAsia"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A9DD190">
      <w:pPr>
        <w:numPr>
          <w:ilvl w:val="0"/>
          <w:numId w:val="26"/>
        </w:numPr>
        <w:adjustRightInd w:val="0"/>
        <w:snapToGrid w:val="0"/>
        <w:spacing w:line="400" w:lineRule="exact"/>
        <w:ind w:firstLine="422" w:firstLineChars="200"/>
        <w:rPr>
          <w:rFonts w:ascii="宋体" w:hAnsi="宋体"/>
          <w:b/>
          <w:szCs w:val="21"/>
        </w:rPr>
      </w:pPr>
      <w:r>
        <w:rPr>
          <w:rFonts w:hint="eastAsia" w:ascii="宋体" w:hAnsi="宋体"/>
          <w:b/>
          <w:szCs w:val="21"/>
        </w:rPr>
        <w:t>项目信息</w:t>
      </w:r>
    </w:p>
    <w:p w14:paraId="689FA9F7">
      <w:pPr>
        <w:pStyle w:val="17"/>
        <w:numPr>
          <w:ilvl w:val="0"/>
          <w:numId w:val="27"/>
        </w:numPr>
        <w:adjustRightInd w:val="0"/>
        <w:snapToGrid w:val="0"/>
        <w:spacing w:line="400" w:lineRule="exact"/>
        <w:ind w:firstLine="344" w:firstLineChars="200"/>
        <w:rPr>
          <w:rFonts w:hAnsi="宋体"/>
          <w:szCs w:val="21"/>
          <w:u w:val="single"/>
        </w:rPr>
      </w:pPr>
      <w:r>
        <w:rPr>
          <w:rFonts w:hint="eastAsia" w:hAnsi="宋体"/>
          <w:szCs w:val="21"/>
        </w:rPr>
        <w:t>采购项目名称：</w:t>
      </w:r>
      <w:r>
        <w:rPr>
          <w:rFonts w:hAnsi="宋体"/>
          <w:szCs w:val="21"/>
          <w:u w:val="single"/>
        </w:rPr>
        <w:t xml:space="preserve">  </w:t>
      </w:r>
      <w:r>
        <w:rPr>
          <w:rFonts w:hint="eastAsia" w:hAnsi="宋体"/>
          <w:szCs w:val="21"/>
          <w:u w:val="single"/>
        </w:rPr>
        <w:t>贵港市自然博物馆馆藏文物预防性保护项目</w:t>
      </w:r>
      <w:r>
        <w:rPr>
          <w:rFonts w:hAnsi="宋体"/>
          <w:szCs w:val="21"/>
          <w:u w:val="single"/>
        </w:rPr>
        <w:t xml:space="preserve">  </w:t>
      </w:r>
    </w:p>
    <w:p w14:paraId="1E8BCE2A">
      <w:pPr>
        <w:pStyle w:val="17"/>
        <w:numPr>
          <w:ilvl w:val="255"/>
          <w:numId w:val="0"/>
        </w:numPr>
        <w:tabs>
          <w:tab w:val="left" w:pos="999"/>
        </w:tabs>
        <w:adjustRightInd w:val="0"/>
        <w:snapToGrid w:val="0"/>
        <w:spacing w:line="400" w:lineRule="exact"/>
        <w:rPr>
          <w:rFonts w:hAnsi="宋体"/>
          <w:szCs w:val="21"/>
        </w:rPr>
      </w:pPr>
      <w:r>
        <w:rPr>
          <w:rFonts w:hint="eastAsia" w:hAnsi="宋体"/>
          <w:szCs w:val="21"/>
        </w:rPr>
        <w:t xml:space="preserve">         采购项目编号：</w:t>
      </w:r>
      <w:r>
        <w:rPr>
          <w:rFonts w:hAnsi="宋体"/>
          <w:szCs w:val="21"/>
          <w:u w:val="single"/>
        </w:rPr>
        <w:t xml:space="preserve">  </w:t>
      </w:r>
    </w:p>
    <w:p w14:paraId="5EB46EE7">
      <w:pPr>
        <w:pStyle w:val="17"/>
        <w:adjustRightInd w:val="0"/>
        <w:snapToGrid w:val="0"/>
        <w:spacing w:line="400" w:lineRule="exact"/>
        <w:ind w:firstLine="344" w:firstLineChars="200"/>
        <w:rPr>
          <w:rFonts w:hAnsi="宋体"/>
          <w:szCs w:val="21"/>
        </w:rPr>
      </w:pPr>
      <w:r>
        <w:rPr>
          <w:rFonts w:hint="eastAsia" w:hAnsi="宋体"/>
          <w:szCs w:val="21"/>
        </w:rPr>
        <w:t>（2）采购计划编号：</w:t>
      </w:r>
      <w:r>
        <w:rPr>
          <w:rFonts w:hAnsi="宋体"/>
          <w:szCs w:val="21"/>
          <w:u w:val="single"/>
        </w:rPr>
        <w:t xml:space="preserve">    </w:t>
      </w:r>
      <w:r>
        <w:rPr>
          <w:rFonts w:hAnsi="宋体"/>
          <w:szCs w:val="21"/>
        </w:rPr>
        <w:t xml:space="preserve"> </w:t>
      </w:r>
    </w:p>
    <w:p w14:paraId="23B621A4">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14:paraId="788426C8">
      <w:pPr>
        <w:adjustRightInd w:val="0"/>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14:paraId="3996C9E5">
      <w:pPr>
        <w:numPr>
          <w:ilvl w:val="255"/>
          <w:numId w:val="0"/>
        </w:numPr>
        <w:adjustRightInd w:val="0"/>
        <w:snapToGrid w:val="0"/>
        <w:spacing w:line="400" w:lineRule="exact"/>
        <w:ind w:firstLine="420" w:firstLineChars="200"/>
        <w:rPr>
          <w:rFonts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14:paraId="1141B12D">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14:paraId="538A8BC4">
      <w:pPr>
        <w:numPr>
          <w:ilvl w:val="255"/>
          <w:numId w:val="0"/>
        </w:numPr>
        <w:adjustRightInd w:val="0"/>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39C660C7">
      <w:pPr>
        <w:numPr>
          <w:ilvl w:val="255"/>
          <w:numId w:val="0"/>
        </w:num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14:paraId="6107E6FB">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1718CED9">
      <w:pPr>
        <w:pStyle w:val="53"/>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16E67A11">
      <w:pPr>
        <w:pStyle w:val="53"/>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1ABCC030">
      <w:pPr>
        <w:pStyle w:val="53"/>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17A0155A">
      <w:pPr>
        <w:pStyle w:val="53"/>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7325469E">
      <w:pPr>
        <w:pStyle w:val="53"/>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044859B9">
      <w:pPr>
        <w:pStyle w:val="53"/>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14:paraId="39300C48">
      <w:pPr>
        <w:pStyle w:val="53"/>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lang w:val="en"/>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14:paraId="655D45F3">
      <w:pPr>
        <w:pStyle w:val="53"/>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lang w:val="en"/>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70D537E3">
      <w:pPr>
        <w:pStyle w:val="53"/>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2FB57014">
      <w:pPr>
        <w:pStyle w:val="53"/>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14:paraId="741622D8">
      <w:pPr>
        <w:pStyle w:val="53"/>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lang w:val="en"/>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603AE7BB">
      <w:pPr>
        <w:numPr>
          <w:ilvl w:val="255"/>
          <w:numId w:val="0"/>
        </w:num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798CDF5">
      <w:pPr>
        <w:numPr>
          <w:ilvl w:val="255"/>
          <w:numId w:val="0"/>
        </w:num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AAD75AF">
      <w:pPr>
        <w:numPr>
          <w:ilvl w:val="255"/>
          <w:numId w:val="0"/>
        </w:num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0B7C72F">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D99E330">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470243B">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5CADC3C9">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14:paraId="507D3237">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3C5B0C42">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467156E6">
      <w:pPr>
        <w:adjustRightInd w:val="0"/>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38763B88">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28797D89">
      <w:pPr>
        <w:numPr>
          <w:ilvl w:val="255"/>
          <w:numId w:val="0"/>
        </w:num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38A52998">
      <w:pPr>
        <w:pStyle w:val="53"/>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12A583A7">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14:paraId="32DFAFF7">
      <w:pPr>
        <w:numPr>
          <w:ilvl w:val="255"/>
          <w:numId w:val="0"/>
        </w:num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7924D79B">
      <w:pPr>
        <w:numPr>
          <w:ilvl w:val="255"/>
          <w:numId w:val="0"/>
        </w:numPr>
        <w:adjustRightInd w:val="0"/>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4112DDD6">
      <w:pPr>
        <w:adjustRightInd w:val="0"/>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284F396A">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14:paraId="61293707">
      <w:pPr>
        <w:numPr>
          <w:ilvl w:val="255"/>
          <w:numId w:val="0"/>
        </w:num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54E49E40">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6892FAF7">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5010BC49">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14:paraId="0DFA21F9">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0DA7ACBE">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17AECBA1">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024783C0">
      <w:pPr>
        <w:pStyle w:val="53"/>
        <w:numPr>
          <w:ilvl w:val="255"/>
          <w:numId w:val="0"/>
        </w:numPr>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2C81B1EC">
      <w:pPr>
        <w:pStyle w:val="53"/>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78C6E450">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7C5C8AFE">
      <w:pPr>
        <w:pStyle w:val="53"/>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178250B3">
      <w:pPr>
        <w:numPr>
          <w:ilvl w:val="255"/>
          <w:numId w:val="0"/>
        </w:num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6BD5DDFB">
      <w:pPr>
        <w:numPr>
          <w:ilvl w:val="255"/>
          <w:numId w:val="0"/>
        </w:numPr>
        <w:adjustRightInd w:val="0"/>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7909DD9C">
      <w:pPr>
        <w:numPr>
          <w:ilvl w:val="0"/>
          <w:numId w:val="26"/>
        </w:numPr>
        <w:adjustRightInd w:val="0"/>
        <w:snapToGrid w:val="0"/>
        <w:spacing w:line="400" w:lineRule="exact"/>
        <w:ind w:firstLine="422" w:firstLineChars="200"/>
        <w:rPr>
          <w:rFonts w:ascii="宋体" w:hAnsi="宋体"/>
          <w:b/>
          <w:szCs w:val="21"/>
        </w:rPr>
      </w:pPr>
      <w:r>
        <w:rPr>
          <w:rFonts w:hint="eastAsia" w:ascii="宋体" w:hAnsi="宋体"/>
          <w:b/>
          <w:szCs w:val="21"/>
        </w:rPr>
        <w:t>合同金额</w:t>
      </w:r>
    </w:p>
    <w:p w14:paraId="0FCE0522">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028CCD9F">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0EE7FFF9">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5DB0290C">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40D672A1">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71EB2417">
      <w:pPr>
        <w:numPr>
          <w:ilvl w:val="255"/>
          <w:numId w:val="0"/>
        </w:num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65286034">
      <w:pPr>
        <w:adjustRightInd w:val="0"/>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4CF83374">
      <w:pPr>
        <w:pStyle w:val="112"/>
        <w:spacing w:line="400" w:lineRule="exact"/>
        <w:ind w:firstLine="400"/>
      </w:pPr>
      <w:r>
        <w:rPr>
          <w:rFonts w:hint="eastAsia" w:ascii="宋体" w:hAnsi="宋体"/>
        </w:rPr>
        <w:t>（3）付款方式（按项目实际勾选填写）：</w:t>
      </w:r>
    </w:p>
    <w:p w14:paraId="70B5A823">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5693F0C6">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FE"/>
      </w:r>
      <w:r>
        <w:rPr>
          <w:rFonts w:hint="eastAsia" w:ascii="宋体" w:hAnsi="宋体"/>
          <w:szCs w:val="21"/>
        </w:rPr>
        <w:t>分期付款：</w:t>
      </w:r>
      <w:r>
        <w:rPr>
          <w:rFonts w:hint="eastAsia" w:ascii="宋体" w:hAnsi="宋体"/>
          <w:szCs w:val="21"/>
          <w:u w:val="single"/>
        </w:rPr>
        <w:t xml:space="preserve">  预付款 ：本项目合同正式签订生效后，采购人在7 个工作日内向供应商支付合同总金额的 30% 作为预付款。</w:t>
      </w:r>
    </w:p>
    <w:p w14:paraId="51F678E9">
      <w:pPr>
        <w:adjustRightInd w:val="0"/>
        <w:snapToGrid w:val="0"/>
        <w:spacing w:line="400" w:lineRule="exact"/>
        <w:ind w:firstLine="630" w:firstLineChars="300"/>
        <w:rPr>
          <w:rFonts w:ascii="宋体" w:hAnsi="宋体"/>
          <w:szCs w:val="21"/>
          <w:u w:val="single"/>
        </w:rPr>
      </w:pPr>
      <w:r>
        <w:rPr>
          <w:rFonts w:hint="eastAsia" w:ascii="宋体" w:hAnsi="宋体"/>
          <w:szCs w:val="21"/>
          <w:u w:val="single"/>
        </w:rPr>
        <w:t>到货付款 ：供应商按照合同约定的时间和地点将货物全部送达现场，并经采购人签收后，采购人在 7个工作日内支付合同金额的 40% 作为到货款。</w:t>
      </w:r>
    </w:p>
    <w:p w14:paraId="69E17958">
      <w:pPr>
        <w:adjustRightInd w:val="0"/>
        <w:snapToGrid w:val="0"/>
        <w:spacing w:line="400" w:lineRule="exact"/>
        <w:ind w:firstLine="420" w:firstLineChars="200"/>
        <w:rPr>
          <w:rFonts w:ascii="宋体" w:hAnsi="宋体"/>
          <w:szCs w:val="21"/>
          <w:u w:val="single"/>
        </w:rPr>
      </w:pPr>
      <w:r>
        <w:rPr>
          <w:rFonts w:hint="eastAsia" w:ascii="宋体" w:hAnsi="宋体"/>
          <w:szCs w:val="21"/>
          <w:u w:val="single"/>
        </w:rPr>
        <w:t>施工完结付款 ：在供应商完成货物的安装、调试等施工工作，并经采购人验收合格后，采购人在7 个工作日内支付合同金额的 27%。</w:t>
      </w:r>
    </w:p>
    <w:p w14:paraId="34FA19E8">
      <w:pPr>
        <w:adjustRightInd w:val="0"/>
        <w:snapToGrid w:val="0"/>
        <w:spacing w:line="400" w:lineRule="exact"/>
        <w:ind w:firstLine="630" w:firstLineChars="300"/>
        <w:rPr>
          <w:rFonts w:ascii="宋体" w:hAnsi="宋体"/>
          <w:szCs w:val="21"/>
          <w:u w:val="single"/>
        </w:rPr>
      </w:pPr>
      <w:r>
        <w:rPr>
          <w:rFonts w:hint="eastAsia" w:ascii="宋体" w:hAnsi="宋体"/>
          <w:szCs w:val="21"/>
          <w:u w:val="single"/>
        </w:rPr>
        <w:t>质量保证金支付 ：合同总金额的 3% 作为质量保证金。在货物验收合格并交付使用满一年后，采购人在无息支付给供应商。</w:t>
      </w:r>
    </w:p>
    <w:p w14:paraId="6CD6491A">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47474772">
      <w:pPr>
        <w:adjustRightInd w:val="0"/>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6BE099EF">
      <w:pPr>
        <w:numPr>
          <w:ilvl w:val="0"/>
          <w:numId w:val="26"/>
        </w:numPr>
        <w:adjustRightInd w:val="0"/>
        <w:snapToGrid w:val="0"/>
        <w:spacing w:line="400" w:lineRule="exact"/>
        <w:ind w:firstLine="422" w:firstLineChars="200"/>
        <w:rPr>
          <w:rFonts w:ascii="宋体" w:hAnsi="宋体"/>
          <w:b/>
          <w:szCs w:val="21"/>
          <w:u w:val="single"/>
        </w:rPr>
      </w:pPr>
      <w:r>
        <w:rPr>
          <w:rFonts w:hint="eastAsia" w:ascii="宋体" w:hAnsi="宋体"/>
          <w:b/>
          <w:szCs w:val="21"/>
        </w:rPr>
        <w:t>合同履行</w:t>
      </w:r>
    </w:p>
    <w:p w14:paraId="11C27D47">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A3004AF">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6F204F56">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53D3AFD8">
      <w:pPr>
        <w:pStyle w:val="53"/>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1BAECC94">
      <w:pPr>
        <w:pStyle w:val="53"/>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336DD753">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3DA8BD2E">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5AEB6A07">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65E33FE6">
      <w:pPr>
        <w:numPr>
          <w:ilvl w:val="0"/>
          <w:numId w:val="26"/>
        </w:numPr>
        <w:adjustRightInd w:val="0"/>
        <w:snapToGrid w:val="0"/>
        <w:spacing w:line="400" w:lineRule="exact"/>
        <w:ind w:firstLine="422" w:firstLineChars="200"/>
        <w:rPr>
          <w:rFonts w:ascii="宋体" w:hAnsi="宋体"/>
          <w:b/>
          <w:szCs w:val="21"/>
        </w:rPr>
      </w:pPr>
      <w:r>
        <w:rPr>
          <w:rFonts w:hint="eastAsia" w:ascii="宋体" w:hAnsi="宋体"/>
          <w:b/>
          <w:szCs w:val="21"/>
        </w:rPr>
        <w:t>合同验收</w:t>
      </w:r>
    </w:p>
    <w:p w14:paraId="15FF7264">
      <w:pPr>
        <w:numPr>
          <w:ilvl w:val="0"/>
          <w:numId w:val="28"/>
        </w:numPr>
        <w:adjustRightInd w:val="0"/>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0DABE8BD">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7B8FF19F">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4D5FEB65">
      <w:pPr>
        <w:adjustRightInd w:val="0"/>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46AB2A86">
      <w:pPr>
        <w:adjustRightInd w:val="0"/>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4D8FA724">
      <w:pPr>
        <w:adjustRightInd w:val="0"/>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0CCDA87A">
      <w:pPr>
        <w:adjustRightInd w:val="0"/>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6C7272A4">
      <w:pPr>
        <w:adjustRightInd w:val="0"/>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52666264">
      <w:pPr>
        <w:adjustRightInd w:val="0"/>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02D5F5C7">
      <w:pPr>
        <w:adjustRightInd w:val="0"/>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567F6A96">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0D9F58DC">
      <w:pPr>
        <w:adjustRightInd w:val="0"/>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6E18C48C">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14:paraId="0CDB2627">
      <w:pPr>
        <w:adjustRightInd w:val="0"/>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6A74AB7B">
      <w:pPr>
        <w:adjustRightInd w:val="0"/>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6903C023">
      <w:pPr>
        <w:adjustRightInd w:val="0"/>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1AC61B1D">
      <w:pPr>
        <w:pStyle w:val="53"/>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74489257">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1F684A6E">
      <w:pPr>
        <w:numPr>
          <w:ilvl w:val="0"/>
          <w:numId w:val="26"/>
        </w:numPr>
        <w:adjustRightInd w:val="0"/>
        <w:snapToGrid w:val="0"/>
        <w:spacing w:line="400" w:lineRule="exact"/>
        <w:ind w:firstLine="422" w:firstLineChars="200"/>
        <w:rPr>
          <w:rFonts w:ascii="宋体" w:hAnsi="宋体"/>
          <w:b/>
          <w:szCs w:val="21"/>
        </w:rPr>
      </w:pPr>
      <w:r>
        <w:rPr>
          <w:rFonts w:hint="eastAsia" w:ascii="宋体" w:hAnsi="宋体"/>
          <w:b/>
          <w:szCs w:val="21"/>
        </w:rPr>
        <w:t>组成合同的文件</w:t>
      </w:r>
    </w:p>
    <w:p w14:paraId="6A2F4DCD">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29378297">
      <w:pPr>
        <w:adjustRightInd w:val="0"/>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14:paraId="26731246">
      <w:pPr>
        <w:adjustRightInd w:val="0"/>
        <w:snapToGrid w:val="0"/>
        <w:spacing w:line="400" w:lineRule="exact"/>
        <w:ind w:firstLine="420" w:firstLineChars="200"/>
        <w:rPr>
          <w:rFonts w:ascii="宋体" w:hAnsi="宋体"/>
          <w:szCs w:val="21"/>
        </w:rPr>
      </w:pPr>
      <w:r>
        <w:rPr>
          <w:rFonts w:hint="eastAsia" w:ascii="宋体" w:hAnsi="宋体"/>
          <w:szCs w:val="21"/>
        </w:rPr>
        <w:t>（2）政府采购合同专用条款</w:t>
      </w:r>
    </w:p>
    <w:p w14:paraId="5B072271">
      <w:pPr>
        <w:adjustRightInd w:val="0"/>
        <w:snapToGrid w:val="0"/>
        <w:spacing w:line="400" w:lineRule="exact"/>
        <w:ind w:firstLine="420" w:firstLineChars="200"/>
        <w:rPr>
          <w:rFonts w:ascii="宋体" w:hAnsi="宋体"/>
          <w:szCs w:val="21"/>
        </w:rPr>
      </w:pPr>
      <w:r>
        <w:rPr>
          <w:rFonts w:hint="eastAsia" w:ascii="宋体" w:hAnsi="宋体"/>
          <w:szCs w:val="21"/>
        </w:rPr>
        <w:t>（3）政府采购合同通用条款</w:t>
      </w:r>
    </w:p>
    <w:p w14:paraId="136D55DC">
      <w:pPr>
        <w:adjustRightInd w:val="0"/>
        <w:snapToGrid w:val="0"/>
        <w:spacing w:line="400" w:lineRule="exact"/>
        <w:ind w:firstLine="420" w:firstLineChars="200"/>
        <w:rPr>
          <w:rFonts w:ascii="宋体" w:hAnsi="宋体"/>
          <w:szCs w:val="21"/>
        </w:rPr>
      </w:pPr>
      <w:r>
        <w:rPr>
          <w:rFonts w:hint="eastAsia" w:ascii="宋体" w:hAnsi="宋体"/>
          <w:szCs w:val="21"/>
        </w:rPr>
        <w:t>（4）中标（成交）通知书</w:t>
      </w:r>
    </w:p>
    <w:p w14:paraId="1558875D">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14:paraId="7471C5C3">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14:paraId="49753263">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14:paraId="7F000C2C">
      <w:pPr>
        <w:pStyle w:val="53"/>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634758CA">
      <w:pPr>
        <w:numPr>
          <w:ilvl w:val="0"/>
          <w:numId w:val="26"/>
        </w:numPr>
        <w:adjustRightInd w:val="0"/>
        <w:snapToGrid w:val="0"/>
        <w:spacing w:line="400" w:lineRule="exact"/>
        <w:ind w:firstLine="422" w:firstLineChars="200"/>
        <w:rPr>
          <w:rFonts w:ascii="宋体" w:hAnsi="宋体"/>
          <w:b/>
          <w:szCs w:val="21"/>
        </w:rPr>
      </w:pPr>
      <w:r>
        <w:rPr>
          <w:rFonts w:hint="eastAsia" w:ascii="宋体" w:hAnsi="宋体"/>
          <w:b/>
          <w:szCs w:val="21"/>
        </w:rPr>
        <w:t>合同生效</w:t>
      </w:r>
    </w:p>
    <w:p w14:paraId="5B20D3F0">
      <w:pPr>
        <w:adjustRightInd w:val="0"/>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69B2858E">
      <w:pPr>
        <w:numPr>
          <w:ilvl w:val="0"/>
          <w:numId w:val="26"/>
        </w:numPr>
        <w:adjustRightInd w:val="0"/>
        <w:snapToGrid w:val="0"/>
        <w:spacing w:line="400" w:lineRule="exact"/>
        <w:ind w:firstLine="422" w:firstLineChars="200"/>
        <w:rPr>
          <w:rFonts w:ascii="宋体" w:hAnsi="宋体"/>
          <w:b/>
          <w:szCs w:val="21"/>
        </w:rPr>
      </w:pPr>
      <w:r>
        <w:rPr>
          <w:rFonts w:hint="eastAsia" w:ascii="宋体" w:hAnsi="宋体"/>
          <w:b/>
          <w:szCs w:val="21"/>
        </w:rPr>
        <w:t>合同份数</w:t>
      </w:r>
    </w:p>
    <w:p w14:paraId="1DCA8CCE">
      <w:pPr>
        <w:adjustRightInd w:val="0"/>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153581EC">
      <w:pPr>
        <w:adjustRightInd w:val="0"/>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712F28B">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43B277AD">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14:paraId="0E937EDC">
      <w:pPr>
        <w:pStyle w:val="112"/>
        <w:spacing w:line="400" w:lineRule="exact"/>
        <w:ind w:firstLine="400"/>
      </w:pPr>
    </w:p>
    <w:p w14:paraId="7E925C9A">
      <w:pPr>
        <w:pStyle w:val="3"/>
        <w:spacing w:line="400" w:lineRule="exact"/>
        <w:rPr>
          <w:rFonts w:ascii="宋体" w:hAnsi="宋体"/>
          <w:b w:val="0"/>
          <w:bCs w:val="0"/>
          <w:sz w:val="21"/>
          <w:szCs w:val="21"/>
        </w:rPr>
      </w:pPr>
      <w:r>
        <w:rPr>
          <w:lang w:val="en"/>
        </w:rPr>
        <w:t xml:space="preserve">   </w:t>
      </w:r>
    </w:p>
    <w:p w14:paraId="282C23DC">
      <w:r>
        <w:rPr>
          <w:rFonts w:hint="eastAsia"/>
        </w:rPr>
        <w:br w:type="page"/>
      </w:r>
    </w:p>
    <w:p w14:paraId="3DE28BAB">
      <w:pPr>
        <w:pStyle w:val="112"/>
        <w:ind w:firstLine="400"/>
      </w:pPr>
    </w:p>
    <w:tbl>
      <w:tblPr>
        <w:tblStyle w:val="3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10"/>
        <w:gridCol w:w="2693"/>
        <w:gridCol w:w="2209"/>
        <w:gridCol w:w="2363"/>
      </w:tblGrid>
      <w:tr w14:paraId="18AD2A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E7105DC">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6CA1D8E8">
            <w:pPr>
              <w:adjustRightInd w:val="0"/>
              <w:snapToGrid w:val="0"/>
              <w:spacing w:line="300" w:lineRule="exact"/>
              <w:jc w:val="center"/>
            </w:pPr>
            <w:r>
              <w:rPr>
                <w:szCs w:val="21"/>
              </w:rPr>
              <w:t>乙方</w:t>
            </w:r>
            <w:r>
              <w:rPr>
                <w:rFonts w:hint="eastAsia"/>
                <w:szCs w:val="21"/>
              </w:rPr>
              <w:t>（供应商）</w:t>
            </w:r>
          </w:p>
        </w:tc>
      </w:tr>
      <w:tr w14:paraId="382787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7E5723EF">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B6F30E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C3F5FEE">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color="auto" w:sz="2" w:space="0"/>
              <w:left w:val="single" w:color="auto" w:sz="2" w:space="0"/>
              <w:bottom w:val="single" w:color="auto" w:sz="2" w:space="0"/>
            </w:tcBorders>
            <w:vAlign w:val="center"/>
          </w:tcPr>
          <w:p w14:paraId="04E90ADA">
            <w:pPr>
              <w:adjustRightInd w:val="0"/>
              <w:snapToGrid w:val="0"/>
              <w:spacing w:line="300" w:lineRule="exact"/>
              <w:jc w:val="center"/>
              <w:rPr>
                <w:spacing w:val="20"/>
                <w:szCs w:val="21"/>
              </w:rPr>
            </w:pPr>
          </w:p>
        </w:tc>
      </w:tr>
      <w:tr w14:paraId="75028D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C66AE0B">
            <w:pPr>
              <w:adjustRightInd w:val="0"/>
              <w:snapToGrid w:val="0"/>
              <w:spacing w:line="300" w:lineRule="exact"/>
              <w:jc w:val="center"/>
              <w:rPr>
                <w:szCs w:val="21"/>
              </w:rPr>
            </w:pPr>
            <w:r>
              <w:rPr>
                <w:szCs w:val="21"/>
              </w:rPr>
              <w:t>法定代表人</w:t>
            </w:r>
          </w:p>
          <w:p w14:paraId="056881D0">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69364F29">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63262178">
            <w:pPr>
              <w:adjustRightInd w:val="0"/>
              <w:snapToGrid w:val="0"/>
              <w:spacing w:line="300" w:lineRule="exact"/>
              <w:jc w:val="center"/>
              <w:rPr>
                <w:szCs w:val="21"/>
              </w:rPr>
            </w:pPr>
            <w:r>
              <w:rPr>
                <w:szCs w:val="21"/>
              </w:rPr>
              <w:t>法定代表人</w:t>
            </w:r>
          </w:p>
          <w:p w14:paraId="466BD3D3">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09F4D516">
            <w:pPr>
              <w:adjustRightInd w:val="0"/>
              <w:snapToGrid w:val="0"/>
              <w:spacing w:line="300" w:lineRule="exact"/>
              <w:jc w:val="center"/>
              <w:rPr>
                <w:szCs w:val="21"/>
              </w:rPr>
            </w:pPr>
          </w:p>
        </w:tc>
      </w:tr>
      <w:tr w14:paraId="1D2879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BA152B2">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578C1BD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714A147">
            <w:pPr>
              <w:adjustRightInd w:val="0"/>
              <w:snapToGrid w:val="0"/>
              <w:spacing w:line="300" w:lineRule="exact"/>
              <w:jc w:val="center"/>
              <w:rPr>
                <w:szCs w:val="21"/>
              </w:rPr>
            </w:pPr>
            <w:r>
              <w:rPr>
                <w:rFonts w:hint="eastAsia"/>
                <w:szCs w:val="21"/>
              </w:rPr>
              <w:t>拥有者性别</w:t>
            </w:r>
          </w:p>
        </w:tc>
        <w:tc>
          <w:tcPr>
            <w:tcW w:w="1259" w:type="pct"/>
            <w:tcBorders>
              <w:top w:val="single" w:color="auto" w:sz="2" w:space="0"/>
              <w:left w:val="single" w:color="auto" w:sz="2" w:space="0"/>
              <w:bottom w:val="single" w:color="auto" w:sz="2" w:space="0"/>
            </w:tcBorders>
            <w:vAlign w:val="center"/>
          </w:tcPr>
          <w:p w14:paraId="321ED587">
            <w:pPr>
              <w:adjustRightInd w:val="0"/>
              <w:snapToGrid w:val="0"/>
              <w:spacing w:line="300" w:lineRule="exact"/>
              <w:jc w:val="center"/>
              <w:rPr>
                <w:spacing w:val="20"/>
                <w:szCs w:val="21"/>
              </w:rPr>
            </w:pPr>
          </w:p>
        </w:tc>
      </w:tr>
      <w:tr w14:paraId="471F27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6EDEA53">
            <w:pPr>
              <w:adjustRightInd w:val="0"/>
              <w:snapToGrid w:val="0"/>
              <w:spacing w:line="300" w:lineRule="exact"/>
              <w:jc w:val="center"/>
              <w:rPr>
                <w:szCs w:val="21"/>
              </w:rPr>
            </w:pPr>
            <w:r>
              <w:rPr>
                <w:rFonts w:hint="eastAsia"/>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246AD18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D598E2A">
            <w:pPr>
              <w:adjustRightInd w:val="0"/>
              <w:snapToGrid w:val="0"/>
              <w:spacing w:line="300" w:lineRule="exact"/>
              <w:jc w:val="center"/>
              <w:rPr>
                <w:szCs w:val="21"/>
              </w:rPr>
            </w:pPr>
            <w:r>
              <w:rPr>
                <w:rFonts w:hint="eastAsia"/>
                <w:szCs w:val="21"/>
              </w:rPr>
              <w:t>住  所</w:t>
            </w:r>
          </w:p>
        </w:tc>
        <w:tc>
          <w:tcPr>
            <w:tcW w:w="1259" w:type="pct"/>
            <w:tcBorders>
              <w:top w:val="single" w:color="auto" w:sz="2" w:space="0"/>
              <w:left w:val="single" w:color="auto" w:sz="2" w:space="0"/>
              <w:bottom w:val="single" w:color="auto" w:sz="2" w:space="0"/>
            </w:tcBorders>
            <w:vAlign w:val="center"/>
          </w:tcPr>
          <w:p w14:paraId="6BF9BA51">
            <w:pPr>
              <w:adjustRightInd w:val="0"/>
              <w:snapToGrid w:val="0"/>
              <w:spacing w:line="300" w:lineRule="exact"/>
              <w:jc w:val="center"/>
              <w:rPr>
                <w:spacing w:val="20"/>
                <w:szCs w:val="21"/>
              </w:rPr>
            </w:pPr>
          </w:p>
        </w:tc>
      </w:tr>
      <w:tr w14:paraId="45E28E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9C39927">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70D767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F7736F0">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65AB4C8B">
            <w:pPr>
              <w:adjustRightInd w:val="0"/>
              <w:snapToGrid w:val="0"/>
              <w:spacing w:line="300" w:lineRule="exact"/>
              <w:jc w:val="center"/>
              <w:rPr>
                <w:spacing w:val="20"/>
                <w:szCs w:val="21"/>
              </w:rPr>
            </w:pPr>
          </w:p>
        </w:tc>
      </w:tr>
      <w:tr w14:paraId="419C9C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97ED4D4">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B9DB5F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06658BC">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7B5EDC6C">
            <w:pPr>
              <w:adjustRightInd w:val="0"/>
              <w:snapToGrid w:val="0"/>
              <w:spacing w:line="300" w:lineRule="exact"/>
              <w:jc w:val="center"/>
              <w:rPr>
                <w:spacing w:val="20"/>
                <w:szCs w:val="21"/>
              </w:rPr>
            </w:pPr>
          </w:p>
        </w:tc>
      </w:tr>
      <w:tr w14:paraId="17FF98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82F9BF2">
            <w:pPr>
              <w:adjustRightInd w:val="0"/>
              <w:snapToGrid w:val="0"/>
              <w:spacing w:line="300" w:lineRule="exact"/>
              <w:jc w:val="center"/>
              <w:rPr>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303236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C927E49">
            <w:pPr>
              <w:adjustRightInd w:val="0"/>
              <w:snapToGrid w:val="0"/>
              <w:spacing w:line="300" w:lineRule="exact"/>
              <w:jc w:val="center"/>
              <w:rPr>
                <w:szCs w:val="21"/>
              </w:rPr>
            </w:pPr>
            <w:r>
              <w:rPr>
                <w:rFonts w:hint="eastAsia"/>
                <w:szCs w:val="21"/>
              </w:rPr>
              <w:t>通信地址</w:t>
            </w:r>
          </w:p>
        </w:tc>
        <w:tc>
          <w:tcPr>
            <w:tcW w:w="1259" w:type="pct"/>
            <w:tcBorders>
              <w:top w:val="single" w:color="auto" w:sz="2" w:space="0"/>
              <w:left w:val="single" w:color="auto" w:sz="2" w:space="0"/>
              <w:bottom w:val="single" w:color="auto" w:sz="2" w:space="0"/>
            </w:tcBorders>
            <w:vAlign w:val="center"/>
          </w:tcPr>
          <w:p w14:paraId="09DDD0E3">
            <w:pPr>
              <w:adjustRightInd w:val="0"/>
              <w:snapToGrid w:val="0"/>
              <w:spacing w:line="300" w:lineRule="exact"/>
              <w:jc w:val="center"/>
              <w:rPr>
                <w:spacing w:val="20"/>
                <w:szCs w:val="21"/>
              </w:rPr>
            </w:pPr>
          </w:p>
        </w:tc>
      </w:tr>
      <w:tr w14:paraId="5BEBA0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B7D48B">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99D434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40F54CE">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2EB04489">
            <w:pPr>
              <w:adjustRightInd w:val="0"/>
              <w:snapToGrid w:val="0"/>
              <w:spacing w:line="300" w:lineRule="exact"/>
              <w:jc w:val="center"/>
              <w:rPr>
                <w:spacing w:val="20"/>
                <w:szCs w:val="21"/>
              </w:rPr>
            </w:pPr>
          </w:p>
        </w:tc>
      </w:tr>
      <w:tr w14:paraId="7890DA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2094DB3">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5F3659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0E4A78C">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32ADBC2A">
            <w:pPr>
              <w:adjustRightInd w:val="0"/>
              <w:snapToGrid w:val="0"/>
              <w:spacing w:line="300" w:lineRule="exact"/>
              <w:jc w:val="center"/>
              <w:rPr>
                <w:spacing w:val="20"/>
                <w:szCs w:val="21"/>
              </w:rPr>
            </w:pPr>
          </w:p>
        </w:tc>
      </w:tr>
      <w:tr w14:paraId="62C8CB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D18E0FD">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2599EF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E2E0C5D">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40AA0DF7">
            <w:pPr>
              <w:adjustRightInd w:val="0"/>
              <w:snapToGrid w:val="0"/>
              <w:spacing w:line="300" w:lineRule="exact"/>
              <w:jc w:val="center"/>
              <w:rPr>
                <w:spacing w:val="20"/>
                <w:szCs w:val="21"/>
              </w:rPr>
            </w:pPr>
          </w:p>
        </w:tc>
      </w:tr>
      <w:tr w14:paraId="57A7EC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E2E0C58">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22C2F3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CC77ACC">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61A455FF">
            <w:pPr>
              <w:adjustRightInd w:val="0"/>
              <w:snapToGrid w:val="0"/>
              <w:spacing w:line="300" w:lineRule="exact"/>
              <w:jc w:val="center"/>
              <w:rPr>
                <w:spacing w:val="20"/>
                <w:szCs w:val="21"/>
              </w:rPr>
            </w:pPr>
          </w:p>
        </w:tc>
      </w:tr>
      <w:tr w14:paraId="31550F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64ECC3C">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C9870E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56A4383">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00E8540A">
            <w:pPr>
              <w:adjustRightInd w:val="0"/>
              <w:snapToGrid w:val="0"/>
              <w:spacing w:line="300" w:lineRule="exact"/>
              <w:jc w:val="center"/>
              <w:rPr>
                <w:spacing w:val="20"/>
                <w:szCs w:val="21"/>
              </w:rPr>
            </w:pPr>
          </w:p>
        </w:tc>
      </w:tr>
      <w:tr w14:paraId="5A5EBD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0B026D3">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CE2536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32E1F76">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7E68AAC8">
            <w:pPr>
              <w:adjustRightInd w:val="0"/>
              <w:snapToGrid w:val="0"/>
              <w:spacing w:line="300" w:lineRule="exact"/>
              <w:jc w:val="center"/>
              <w:rPr>
                <w:spacing w:val="20"/>
                <w:szCs w:val="21"/>
              </w:rPr>
            </w:pPr>
          </w:p>
        </w:tc>
      </w:tr>
      <w:tr w14:paraId="0F6C67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2C0B0C4">
            <w:pPr>
              <w:pStyle w:val="17"/>
              <w:adjustRightInd w:val="0"/>
              <w:snapToGrid w:val="0"/>
              <w:spacing w:before="156" w:beforeLines="50" w:line="360" w:lineRule="auto"/>
              <w:jc w:val="left"/>
              <w:rPr>
                <w:spacing w:val="20"/>
                <w:szCs w:val="21"/>
              </w:rPr>
            </w:pPr>
            <w:r>
              <w:rPr>
                <w:rFonts w:hint="eastAsia" w:hAnsi="宋体"/>
                <w:szCs w:val="21"/>
              </w:rPr>
              <w:t>注：涉及联合体或其他合同主体的信息应按上表格式加列。</w:t>
            </w:r>
          </w:p>
        </w:tc>
      </w:tr>
    </w:tbl>
    <w:p w14:paraId="0B3CCDDC">
      <w:pPr>
        <w:pStyle w:val="3"/>
        <w:adjustRightInd w:val="0"/>
        <w:snapToGrid w:val="0"/>
        <w:spacing w:before="156" w:beforeLines="50"/>
        <w:jc w:val="center"/>
        <w:rPr>
          <w:rFonts w:ascii="黑体" w:hAnsi="黑体"/>
          <w:sz w:val="28"/>
          <w:szCs w:val="28"/>
        </w:rPr>
      </w:pPr>
      <w:r>
        <w:rPr>
          <w:rFonts w:ascii="宋体" w:hAnsi="宋体"/>
          <w:sz w:val="21"/>
          <w:szCs w:val="21"/>
          <w:u w:val="single"/>
        </w:rPr>
        <w:br w:type="page"/>
      </w:r>
      <w:bookmarkStart w:id="47" w:name="_Toc27624"/>
      <w:r>
        <w:rPr>
          <w:rFonts w:hint="eastAsia" w:ascii="黑体" w:hAnsi="黑体"/>
          <w:b w:val="0"/>
          <w:bCs w:val="0"/>
          <w:sz w:val="28"/>
          <w:szCs w:val="28"/>
        </w:rPr>
        <w:t>第二节 政府采购合同通用条款</w:t>
      </w:r>
      <w:bookmarkEnd w:id="47"/>
    </w:p>
    <w:p w14:paraId="06C5BC58">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3CDB052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1.1合同当事人</w:t>
      </w:r>
    </w:p>
    <w:p w14:paraId="55279C5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37BDB94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1CEC34F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64899B59">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14:paraId="718B9EC2">
      <w:pPr>
        <w:adjustRightInd w:val="0"/>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06819D72">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12A19A0B">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hint="eastAsia" w:ascii="宋体" w:hAnsi="宋体"/>
          <w:szCs w:val="21"/>
        </w:rPr>
        <w:t>技术资料和材料等。</w:t>
      </w:r>
    </w:p>
    <w:p w14:paraId="2C5E3540">
      <w:pPr>
        <w:adjustRightInd w:val="0"/>
        <w:snapToGrid w:val="0"/>
        <w:spacing w:line="400" w:lineRule="exact"/>
        <w:ind w:firstLine="420"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lang w:val="en"/>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hint="eastAsia" w:ascii="宋体" w:hAnsi="宋体"/>
          <w:szCs w:val="21"/>
        </w:rPr>
        <w:t>义务。</w:t>
      </w:r>
    </w:p>
    <w:p w14:paraId="3DEDD2C8">
      <w:pPr>
        <w:adjustRightInd w:val="0"/>
        <w:snapToGrid w:val="0"/>
        <w:spacing w:line="400" w:lineRule="exact"/>
        <w:ind w:firstLine="420"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342E9CEB">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4833079F">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5E6013D8">
      <w:pPr>
        <w:numPr>
          <w:ilvl w:val="0"/>
          <w:numId w:val="29"/>
        </w:numPr>
        <w:autoSpaceDE w:val="0"/>
        <w:autoSpaceDN w:val="0"/>
        <w:adjustRightInd w:val="0"/>
        <w:snapToGrid w:val="0"/>
        <w:spacing w:line="400" w:lineRule="exact"/>
        <w:jc w:val="left"/>
        <w:rPr>
          <w:rFonts w:ascii="宋体" w:hAnsi="宋体"/>
          <w:b/>
          <w:bCs/>
          <w:sz w:val="24"/>
        </w:rPr>
      </w:pPr>
      <w:r>
        <w:rPr>
          <w:rFonts w:hint="eastAsia" w:ascii="宋体" w:hAnsi="宋体"/>
          <w:b/>
          <w:sz w:val="24"/>
        </w:rPr>
        <w:t>合同标的及金额</w:t>
      </w:r>
    </w:p>
    <w:p w14:paraId="38D8B7DF">
      <w:pPr>
        <w:autoSpaceDE w:val="0"/>
        <w:autoSpaceDN w:val="0"/>
        <w:adjustRightInd w:val="0"/>
        <w:snapToGrid w:val="0"/>
        <w:spacing w:line="400" w:lineRule="exact"/>
        <w:ind w:firstLine="420"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hint="eastAsia" w:ascii="宋体" w:hAnsi="宋体"/>
          <w:szCs w:val="21"/>
        </w:rPr>
        <w:t>任何费用。</w:t>
      </w:r>
    </w:p>
    <w:p w14:paraId="0F47DE9B">
      <w:pPr>
        <w:adjustRightInd w:val="0"/>
        <w:snapToGrid w:val="0"/>
        <w:spacing w:line="400" w:lineRule="exact"/>
        <w:jc w:val="left"/>
        <w:rPr>
          <w:rFonts w:ascii="宋体" w:hAnsi="宋体"/>
          <w:b/>
          <w:sz w:val="24"/>
        </w:rPr>
      </w:pPr>
      <w:r>
        <w:rPr>
          <w:rFonts w:hint="eastAsia" w:ascii="宋体" w:hAnsi="宋体"/>
          <w:b/>
          <w:sz w:val="24"/>
        </w:rPr>
        <w:t>3. 履行合同的时间、地点和方式</w:t>
      </w:r>
    </w:p>
    <w:p w14:paraId="681BD76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5BA841FC">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4. 甲方的权利和义务</w:t>
      </w:r>
    </w:p>
    <w:p w14:paraId="53E30EE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0C64696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6E429FB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2253FADC">
      <w:pPr>
        <w:snapToGrid w:val="0"/>
        <w:spacing w:line="400"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0C6A69BE">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33982C0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1D0B39A5">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5. 乙方的权利和义务</w:t>
      </w:r>
    </w:p>
    <w:p w14:paraId="0DBF199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73ACE46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37B9F8B1">
      <w:pPr>
        <w:pStyle w:val="16"/>
        <w:spacing w:after="0" w:line="400" w:lineRule="exact"/>
        <w:ind w:firstLine="369" w:firstLineChars="176"/>
        <w:rPr>
          <w:rFonts w:hAnsi="宋体"/>
          <w:kern w:val="2"/>
          <w:sz w:val="21"/>
          <w:szCs w:val="21"/>
        </w:rPr>
      </w:pPr>
      <w:r>
        <w:rPr>
          <w:rFonts w:hint="eastAsia" w:hAnsi="宋体"/>
          <w:kern w:val="2"/>
          <w:sz w:val="21"/>
          <w:szCs w:val="21"/>
        </w:rPr>
        <w:t>5.3乙方有权根据合同约定向甲方收取合同价款。</w:t>
      </w:r>
    </w:p>
    <w:p w14:paraId="1E757376">
      <w:pPr>
        <w:pStyle w:val="16"/>
        <w:spacing w:after="0" w:line="400" w:lineRule="exact"/>
        <w:ind w:firstLine="369" w:firstLineChars="176"/>
        <w:rPr>
          <w:rFonts w:hAnsi="宋体"/>
          <w:kern w:val="2"/>
          <w:sz w:val="21"/>
          <w:szCs w:val="21"/>
        </w:rPr>
      </w:pPr>
      <w:r>
        <w:rPr>
          <w:rFonts w:hint="eastAsia" w:hAnsi="宋体"/>
          <w:kern w:val="2"/>
          <w:sz w:val="21"/>
          <w:szCs w:val="21"/>
        </w:rPr>
        <w:t>5.4国家法律法规规定及【政府采购合同专用条款】约定应由乙方承担的其他义务和责任。</w:t>
      </w:r>
    </w:p>
    <w:p w14:paraId="395416C0">
      <w:pPr>
        <w:numPr>
          <w:ilvl w:val="0"/>
          <w:numId w:val="30"/>
        </w:numPr>
        <w:autoSpaceDE w:val="0"/>
        <w:autoSpaceDN w:val="0"/>
        <w:adjustRightInd w:val="0"/>
        <w:snapToGrid w:val="0"/>
        <w:spacing w:line="400" w:lineRule="exact"/>
        <w:jc w:val="left"/>
        <w:rPr>
          <w:rFonts w:ascii="宋体" w:hAnsi="宋体"/>
          <w:b/>
          <w:bCs/>
          <w:sz w:val="24"/>
        </w:rPr>
      </w:pPr>
      <w:r>
        <w:rPr>
          <w:rFonts w:hint="eastAsia" w:ascii="宋体" w:hAnsi="宋体"/>
          <w:b/>
          <w:bCs/>
          <w:sz w:val="24"/>
        </w:rPr>
        <w:t>合同履行</w:t>
      </w:r>
    </w:p>
    <w:p w14:paraId="55C5C3A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7E1167EC">
      <w:pPr>
        <w:autoSpaceDE w:val="0"/>
        <w:autoSpaceDN w:val="0"/>
        <w:adjustRightInd w:val="0"/>
        <w:snapToGrid w:val="0"/>
        <w:spacing w:line="400"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36743EB3">
      <w:pPr>
        <w:adjustRightInd w:val="0"/>
        <w:snapToGrid w:val="0"/>
        <w:spacing w:line="400" w:lineRule="exact"/>
        <w:jc w:val="left"/>
        <w:rPr>
          <w:rFonts w:ascii="宋体" w:hAnsi="宋体"/>
          <w:b/>
          <w:bCs/>
          <w:sz w:val="24"/>
        </w:rPr>
      </w:pPr>
      <w:r>
        <w:rPr>
          <w:rFonts w:hint="eastAsia" w:ascii="宋体" w:hAnsi="宋体"/>
          <w:b/>
          <w:bCs/>
          <w:sz w:val="24"/>
        </w:rPr>
        <w:t>7. 货物包装、运输、保险和交付要求</w:t>
      </w:r>
    </w:p>
    <w:p w14:paraId="57E16E3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700A5C35">
      <w:pPr>
        <w:adjustRightInd w:val="0"/>
        <w:snapToGrid w:val="0"/>
        <w:spacing w:line="400"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0BC541AE">
      <w:pPr>
        <w:adjustRightInd w:val="0"/>
        <w:snapToGrid w:val="0"/>
        <w:spacing w:line="400"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2708062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4E49A4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73E97B97">
      <w:pPr>
        <w:pStyle w:val="53"/>
        <w:ind w:firstLine="420"/>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17D29DA8">
      <w:pPr>
        <w:adjustRightInd w:val="0"/>
        <w:snapToGrid w:val="0"/>
        <w:spacing w:line="400" w:lineRule="exact"/>
        <w:jc w:val="left"/>
        <w:rPr>
          <w:rFonts w:ascii="宋体" w:hAnsi="宋体"/>
          <w:b/>
          <w:sz w:val="24"/>
        </w:rPr>
      </w:pPr>
      <w:r>
        <w:rPr>
          <w:rFonts w:hint="eastAsia" w:ascii="宋体" w:hAnsi="宋体"/>
          <w:b/>
          <w:sz w:val="24"/>
        </w:rPr>
        <w:t>8. 质量标准和保证</w:t>
      </w:r>
    </w:p>
    <w:p w14:paraId="329AAE2F">
      <w:pPr>
        <w:pStyle w:val="19"/>
        <w:adjustRightInd w:val="0"/>
        <w:snapToGrid w:val="0"/>
        <w:spacing w:line="400" w:lineRule="exact"/>
        <w:ind w:firstLine="420" w:firstLineChars="200"/>
        <w:jc w:val="left"/>
        <w:rPr>
          <w:rFonts w:hAnsi="宋体"/>
          <w:b/>
        </w:rPr>
      </w:pPr>
      <w:r>
        <w:rPr>
          <w:rFonts w:hint="eastAsia" w:hAnsi="宋体"/>
        </w:rPr>
        <w:t>8.1 质量标准</w:t>
      </w:r>
    </w:p>
    <w:p w14:paraId="25849BC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FA5ED74">
      <w:pPr>
        <w:pStyle w:val="19"/>
        <w:adjustRightInd w:val="0"/>
        <w:snapToGrid w:val="0"/>
        <w:spacing w:line="400" w:lineRule="exact"/>
        <w:ind w:firstLine="420" w:firstLineChars="200"/>
        <w:jc w:val="left"/>
        <w:rPr>
          <w:rFonts w:hAnsi="宋体"/>
        </w:rPr>
      </w:pPr>
      <w:r>
        <w:rPr>
          <w:rFonts w:hint="eastAsia" w:hAnsi="宋体"/>
        </w:rPr>
        <w:t>（2）采用中华人民共和国法定计量单位。</w:t>
      </w:r>
    </w:p>
    <w:p w14:paraId="4FB6BE1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14:paraId="05D0237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2DB9205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8.2 保证</w:t>
      </w:r>
    </w:p>
    <w:p w14:paraId="0E9D5C5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4CFEC20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14:paraId="1A5B1EA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40DCD0E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57A1D866">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2ABED05B">
      <w:pPr>
        <w:adjustRightInd w:val="0"/>
        <w:snapToGrid w:val="0"/>
        <w:spacing w:line="400" w:lineRule="exact"/>
        <w:jc w:val="left"/>
        <w:rPr>
          <w:rFonts w:ascii="宋体" w:hAnsi="宋体"/>
          <w:b/>
          <w:bCs/>
          <w:sz w:val="24"/>
        </w:rPr>
      </w:pPr>
      <w:r>
        <w:rPr>
          <w:rFonts w:hint="eastAsia" w:ascii="宋体" w:hAnsi="宋体"/>
          <w:b/>
          <w:bCs/>
          <w:sz w:val="24"/>
        </w:rPr>
        <w:t>9. 权利瑕疵担保</w:t>
      </w:r>
    </w:p>
    <w:p w14:paraId="0C08995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9.1 乙方保证对其出售的货物享有合法的权利。</w:t>
      </w:r>
    </w:p>
    <w:p w14:paraId="281175E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108D63F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14:paraId="73AE0600">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10. 知识产权保护</w:t>
      </w:r>
    </w:p>
    <w:p w14:paraId="24BFCEB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48"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48"/>
      <w:r>
        <w:rPr>
          <w:rFonts w:hint="eastAsia" w:ascii="宋体" w:hAnsi="宋体"/>
          <w:szCs w:val="21"/>
        </w:rPr>
        <w:t>。</w:t>
      </w:r>
    </w:p>
    <w:p w14:paraId="11334EED">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14:paraId="2782BA9E">
      <w:pPr>
        <w:autoSpaceDE w:val="0"/>
        <w:autoSpaceDN w:val="0"/>
        <w:adjustRightInd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00CDF4F2">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14:paraId="28582149">
      <w:pPr>
        <w:adjustRightInd w:val="0"/>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14:paraId="613613D2">
      <w:pPr>
        <w:pStyle w:val="3"/>
        <w:spacing w:line="400" w:lineRule="exact"/>
        <w:ind w:firstLine="420" w:firstLineChars="200"/>
        <w:rPr>
          <w:rFonts w:eastAsia="宋体"/>
        </w:rPr>
      </w:pPr>
      <w:r>
        <w:rPr>
          <w:rFonts w:hint="eastAsia" w:ascii="宋体" w:hAnsi="宋体"/>
          <w:b w:val="0"/>
          <w:bCs w:val="0"/>
          <w:sz w:val="21"/>
          <w:szCs w:val="21"/>
        </w:rPr>
        <w:t xml:space="preserve">12.2 </w:t>
      </w:r>
      <w:r>
        <w:rPr>
          <w:rFonts w:hint="eastAsia" w:ascii="宋体" w:hAnsi="宋体" w:eastAsia="宋体"/>
          <w:b w:val="0"/>
          <w:bCs w:val="0"/>
          <w:sz w:val="21"/>
          <w:szCs w:val="21"/>
        </w:rPr>
        <w:t>对于满足合同约定支付条件的，甲方原则上应当自收到发票后10个工作日内将资金支付到合同约定的</w:t>
      </w:r>
      <w:r>
        <w:rPr>
          <w:rFonts w:hint="eastAsia" w:ascii="宋体" w:hAnsi="宋体"/>
          <w:b w:val="0"/>
          <w:bCs w:val="0"/>
          <w:sz w:val="21"/>
          <w:szCs w:val="21"/>
        </w:rPr>
        <w:t>乙方</w:t>
      </w:r>
      <w:r>
        <w:rPr>
          <w:rFonts w:hint="eastAsia" w:ascii="宋体" w:hAnsi="宋体" w:eastAsia="宋体"/>
          <w:b w:val="0"/>
          <w:bCs w:val="0"/>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sz w:val="21"/>
          <w:szCs w:val="21"/>
        </w:rPr>
        <w:t>政府采购合同专用条款</w:t>
      </w:r>
      <w:r>
        <w:rPr>
          <w:rFonts w:hint="eastAsia" w:ascii="宋体" w:hAnsi="宋体" w:eastAsia="宋体"/>
          <w:b w:val="0"/>
          <w:bCs w:val="0"/>
          <w:sz w:val="21"/>
          <w:szCs w:val="21"/>
        </w:rPr>
        <w:t>】中</w:t>
      </w:r>
      <w:r>
        <w:rPr>
          <w:rFonts w:hint="eastAsia" w:ascii="宋体" w:hAnsi="宋体"/>
          <w:b w:val="0"/>
          <w:bCs w:val="0"/>
          <w:sz w:val="21"/>
          <w:szCs w:val="21"/>
        </w:rPr>
        <w:t>约</w:t>
      </w:r>
      <w:r>
        <w:rPr>
          <w:rFonts w:hint="eastAsia" w:ascii="宋体" w:hAnsi="宋体" w:eastAsia="宋体"/>
          <w:b w:val="0"/>
          <w:bCs w:val="0"/>
          <w:sz w:val="21"/>
          <w:szCs w:val="21"/>
        </w:rPr>
        <w:t>定。</w:t>
      </w:r>
    </w:p>
    <w:p w14:paraId="0FEF9637">
      <w:pPr>
        <w:pStyle w:val="16"/>
        <w:spacing w:after="0" w:line="400" w:lineRule="exact"/>
        <w:rPr>
          <w:rFonts w:hAnsi="宋体"/>
          <w:b/>
          <w:bCs/>
          <w:sz w:val="24"/>
          <w:szCs w:val="24"/>
        </w:rPr>
      </w:pPr>
      <w:r>
        <w:rPr>
          <w:rFonts w:hint="eastAsia" w:hAnsi="宋体"/>
          <w:b/>
          <w:bCs/>
          <w:sz w:val="24"/>
          <w:szCs w:val="24"/>
        </w:rPr>
        <w:t>13. 履约保证金</w:t>
      </w:r>
    </w:p>
    <w:p w14:paraId="5D854488">
      <w:pPr>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1AA8D7A7">
      <w:pPr>
        <w:adjustRightInd w:val="0"/>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3657E740">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563C7322">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276E6B2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7718698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14:paraId="0961DCE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14:paraId="45409EB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7C1EB4F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6444623F">
      <w:pPr>
        <w:pStyle w:val="53"/>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16C85E7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6F1F84A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31F5B1CD">
      <w:pPr>
        <w:adjustRightInd w:val="0"/>
        <w:snapToGrid w:val="0"/>
        <w:spacing w:line="400" w:lineRule="exact"/>
        <w:jc w:val="left"/>
        <w:rPr>
          <w:rFonts w:ascii="宋体" w:hAnsi="宋体"/>
          <w:b/>
          <w:bCs/>
          <w:sz w:val="24"/>
        </w:rPr>
      </w:pPr>
      <w:r>
        <w:rPr>
          <w:rFonts w:hint="eastAsia" w:ascii="宋体" w:hAnsi="宋体"/>
          <w:b/>
          <w:bCs/>
          <w:sz w:val="24"/>
        </w:rPr>
        <w:t>15. 违约责任</w:t>
      </w:r>
    </w:p>
    <w:p w14:paraId="3C1DDBB7">
      <w:pPr>
        <w:adjustRightInd w:val="0"/>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14:paraId="2250E29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2097B1F4">
      <w:pPr>
        <w:autoSpaceDE w:val="0"/>
        <w:autoSpaceDN w:val="0"/>
        <w:adjustRightInd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14:paraId="544C89C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8D2C26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541F10C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14:paraId="48325EC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12DB8F23">
      <w:pPr>
        <w:adjustRightInd w:val="0"/>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0F6E17B8">
      <w:pPr>
        <w:numPr>
          <w:ilvl w:val="0"/>
          <w:numId w:val="31"/>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14:paraId="11614EFC">
      <w:pPr>
        <w:adjustRightInd w:val="0"/>
        <w:snapToGrid w:val="0"/>
        <w:spacing w:line="400" w:lineRule="exact"/>
        <w:jc w:val="left"/>
        <w:rPr>
          <w:rFonts w:ascii="宋体" w:hAnsi="宋体"/>
          <w:szCs w:val="21"/>
        </w:rPr>
      </w:pPr>
      <w:r>
        <w:rPr>
          <w:rFonts w:hint="eastAsia" w:ascii="宋体" w:hAnsi="宋体"/>
          <w:szCs w:val="21"/>
        </w:rPr>
        <w:t xml:space="preserve">    16.1合同的变更</w:t>
      </w:r>
    </w:p>
    <w:p w14:paraId="7F3AA4C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1A18F254">
      <w:pPr>
        <w:adjustRightInd w:val="0"/>
        <w:snapToGrid w:val="0"/>
        <w:spacing w:line="400" w:lineRule="exact"/>
        <w:ind w:firstLine="420" w:firstLineChars="200"/>
        <w:jc w:val="left"/>
        <w:rPr>
          <w:rFonts w:ascii="宋体" w:hAnsi="宋体"/>
          <w:szCs w:val="21"/>
        </w:rPr>
      </w:pPr>
      <w:r>
        <w:rPr>
          <w:rFonts w:hint="eastAsia" w:ascii="宋体" w:hAnsi="宋体"/>
          <w:szCs w:val="21"/>
        </w:rPr>
        <w:t>16.2合同的中止</w:t>
      </w:r>
    </w:p>
    <w:p w14:paraId="06ECB46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18D3031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3ADBA9D">
      <w:pPr>
        <w:pStyle w:val="53"/>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15FB1F88">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3EB67ED4">
      <w:pPr>
        <w:adjustRightInd w:val="0"/>
        <w:snapToGrid w:val="0"/>
        <w:spacing w:line="400" w:lineRule="exact"/>
        <w:ind w:firstLine="420" w:firstLineChars="200"/>
        <w:jc w:val="left"/>
        <w:rPr>
          <w:rFonts w:ascii="宋体" w:hAnsi="宋体"/>
          <w:szCs w:val="21"/>
        </w:rPr>
      </w:pPr>
      <w:r>
        <w:rPr>
          <w:rFonts w:hint="eastAsia" w:ascii="宋体" w:hAnsi="宋体"/>
          <w:szCs w:val="21"/>
        </w:rPr>
        <w:t>16.3合同的终止</w:t>
      </w:r>
    </w:p>
    <w:p w14:paraId="0E6EBFE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14:paraId="3D74A2F1">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6F4FDB5C">
      <w:pPr>
        <w:pStyle w:val="53"/>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2BC8D864">
      <w:pPr>
        <w:pStyle w:val="53"/>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0DB9686F">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14:paraId="6BFBBC2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2B6CFB9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0A17C97C">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14:paraId="7B2D650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2CE370B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5D4B81B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EED7004">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14:paraId="18F52034">
      <w:pPr>
        <w:pStyle w:val="53"/>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283AE6CF">
      <w:pPr>
        <w:pStyle w:val="53"/>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3431CF1">
      <w:pPr>
        <w:pStyle w:val="53"/>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1085FFD0">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14:paraId="6DF9EAE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24DA9237">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020D13A7">
      <w:pPr>
        <w:pStyle w:val="16"/>
        <w:spacing w:after="0" w:line="400" w:lineRule="exact"/>
        <w:rPr>
          <w:rFonts w:hAnsi="宋体"/>
          <w:kern w:val="2"/>
          <w:sz w:val="21"/>
          <w:szCs w:val="21"/>
        </w:rPr>
      </w:pPr>
      <w:r>
        <w:rPr>
          <w:rFonts w:hint="eastAsia" w:hAnsi="宋体"/>
          <w:kern w:val="2"/>
          <w:sz w:val="21"/>
          <w:szCs w:val="21"/>
        </w:rPr>
        <w:t xml:space="preserve">   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51EF4B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21. 法律适用</w:t>
      </w:r>
    </w:p>
    <w:p w14:paraId="6CF7A1D5">
      <w:pPr>
        <w:pStyle w:val="53"/>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440F7892">
      <w:pPr>
        <w:pStyle w:val="53"/>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4F0A7B08">
      <w:pPr>
        <w:numPr>
          <w:ilvl w:val="255"/>
          <w:numId w:val="0"/>
        </w:num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14:paraId="48760B90">
      <w:pPr>
        <w:pStyle w:val="53"/>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21CF1FB9">
      <w:pPr>
        <w:pStyle w:val="53"/>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1D198808">
      <w:pPr>
        <w:adjustRightInd w:val="0"/>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7884C4A2">
      <w:pPr>
        <w:adjustRightInd w:val="0"/>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122441C7">
      <w:pPr>
        <w:numPr>
          <w:ilvl w:val="0"/>
          <w:numId w:val="32"/>
        </w:numPr>
        <w:adjustRightInd w:val="0"/>
        <w:snapToGrid w:val="0"/>
        <w:spacing w:line="400" w:lineRule="exact"/>
        <w:jc w:val="left"/>
        <w:rPr>
          <w:rFonts w:ascii="宋体" w:hAnsi="宋体"/>
          <w:b/>
          <w:bCs/>
          <w:sz w:val="24"/>
        </w:rPr>
      </w:pPr>
      <w:r>
        <w:rPr>
          <w:rFonts w:hint="eastAsia" w:ascii="宋体" w:hAnsi="宋体"/>
          <w:b/>
          <w:bCs/>
          <w:sz w:val="24"/>
        </w:rPr>
        <w:t>合同未尽事项</w:t>
      </w:r>
    </w:p>
    <w:p w14:paraId="7A2DFD06">
      <w:pPr>
        <w:adjustRightInd w:val="0"/>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315E1F05">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49" w:name="_Toc20313"/>
    </w:p>
    <w:p w14:paraId="296A0507">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6C150F33">
      <w:pPr>
        <w:pStyle w:val="3"/>
        <w:adjustRightInd w:val="0"/>
        <w:snapToGrid w:val="0"/>
        <w:jc w:val="center"/>
        <w:rPr>
          <w:rFonts w:ascii="黑体" w:hAnsi="华文中宋"/>
          <w:b w:val="0"/>
          <w:bCs w:val="0"/>
          <w:sz w:val="28"/>
          <w:szCs w:val="28"/>
        </w:rPr>
      </w:pPr>
      <w:r>
        <w:rPr>
          <w:rFonts w:hint="eastAsia" w:ascii="黑体" w:hAnsi="华文中宋"/>
          <w:b w:val="0"/>
          <w:bCs w:val="0"/>
          <w:sz w:val="28"/>
          <w:szCs w:val="28"/>
        </w:rPr>
        <w:t>第三节 政府采购合同专用条款</w:t>
      </w:r>
      <w:bookmarkEnd w:id="49"/>
    </w:p>
    <w:tbl>
      <w:tblPr>
        <w:tblStyle w:val="3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DE92A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2EB4BE">
            <w:pPr>
              <w:adjustRightInd w:val="0"/>
              <w:snapToGrid w:val="0"/>
              <w:jc w:val="center"/>
              <w:rPr>
                <w:rFonts w:ascii="宋体" w:hAnsi="宋体"/>
                <w:szCs w:val="21"/>
              </w:rPr>
            </w:pPr>
            <w:r>
              <w:rPr>
                <w:rFonts w:hint="eastAsia" w:ascii="宋体" w:hAnsi="宋体"/>
                <w:szCs w:val="21"/>
              </w:rPr>
              <w:t>第二节</w:t>
            </w:r>
          </w:p>
          <w:p w14:paraId="5EB7BA76">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14:paraId="46FC9DC3">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14:paraId="1768D7B3">
            <w:pPr>
              <w:adjustRightInd w:val="0"/>
              <w:snapToGrid w:val="0"/>
              <w:jc w:val="left"/>
              <w:rPr>
                <w:rFonts w:ascii="宋体" w:hAnsi="宋体"/>
                <w:szCs w:val="21"/>
              </w:rPr>
            </w:pPr>
          </w:p>
        </w:tc>
      </w:tr>
      <w:tr w14:paraId="0FB002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8098EDC">
            <w:pPr>
              <w:adjustRightInd w:val="0"/>
              <w:snapToGrid w:val="0"/>
              <w:jc w:val="center"/>
              <w:rPr>
                <w:rFonts w:ascii="宋体" w:hAnsi="宋体"/>
                <w:szCs w:val="21"/>
              </w:rPr>
            </w:pPr>
            <w:r>
              <w:rPr>
                <w:rFonts w:hint="eastAsia" w:ascii="宋体" w:hAnsi="宋体"/>
                <w:szCs w:val="21"/>
              </w:rPr>
              <w:t>第二节</w:t>
            </w:r>
          </w:p>
          <w:p w14:paraId="335A631D">
            <w:pPr>
              <w:adjustRightInd w:val="0"/>
              <w:snapToGrid w:val="0"/>
              <w:jc w:val="center"/>
              <w:rPr>
                <w:rFonts w:ascii="宋体" w:hAnsi="宋体"/>
                <w:szCs w:val="21"/>
              </w:rPr>
            </w:pPr>
            <w:r>
              <w:rPr>
                <w:rFonts w:hint="eastAsia" w:ascii="宋体" w:hAnsi="宋体"/>
                <w:szCs w:val="21"/>
              </w:rPr>
              <w:t>第1.2（7）项</w:t>
            </w:r>
          </w:p>
        </w:tc>
        <w:tc>
          <w:tcPr>
            <w:tcW w:w="1742" w:type="dxa"/>
            <w:vAlign w:val="center"/>
          </w:tcPr>
          <w:p w14:paraId="67E809BA">
            <w:pPr>
              <w:adjustRightInd w:val="0"/>
              <w:snapToGrid w:val="0"/>
              <w:jc w:val="left"/>
              <w:rPr>
                <w:rFonts w:ascii="宋体" w:hAnsi="宋体"/>
                <w:szCs w:val="21"/>
              </w:rPr>
            </w:pPr>
            <w:r>
              <w:rPr>
                <w:rFonts w:hint="eastAsia" w:ascii="宋体" w:hAnsi="宋体"/>
                <w:szCs w:val="21"/>
              </w:rPr>
              <w:t>其他术语解释</w:t>
            </w:r>
          </w:p>
        </w:tc>
        <w:tc>
          <w:tcPr>
            <w:tcW w:w="5170" w:type="dxa"/>
            <w:vAlign w:val="center"/>
          </w:tcPr>
          <w:p w14:paraId="282280C2">
            <w:pPr>
              <w:adjustRightInd w:val="0"/>
              <w:snapToGrid w:val="0"/>
              <w:jc w:val="left"/>
              <w:rPr>
                <w:rFonts w:ascii="宋体" w:hAnsi="宋体"/>
                <w:szCs w:val="21"/>
              </w:rPr>
            </w:pPr>
          </w:p>
        </w:tc>
      </w:tr>
      <w:tr w14:paraId="68B7AB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3E9378">
            <w:pPr>
              <w:adjustRightInd w:val="0"/>
              <w:snapToGrid w:val="0"/>
              <w:jc w:val="center"/>
              <w:rPr>
                <w:rFonts w:ascii="宋体" w:hAnsi="宋体"/>
                <w:szCs w:val="21"/>
              </w:rPr>
            </w:pPr>
            <w:r>
              <w:rPr>
                <w:rFonts w:hint="eastAsia" w:ascii="宋体" w:hAnsi="宋体"/>
                <w:szCs w:val="21"/>
              </w:rPr>
              <w:t>第二节</w:t>
            </w:r>
          </w:p>
          <w:p w14:paraId="689CF45A">
            <w:pPr>
              <w:adjustRightInd w:val="0"/>
              <w:snapToGrid w:val="0"/>
              <w:jc w:val="center"/>
              <w:rPr>
                <w:rFonts w:ascii="宋体" w:hAnsi="宋体"/>
                <w:szCs w:val="21"/>
              </w:rPr>
            </w:pPr>
            <w:r>
              <w:rPr>
                <w:rFonts w:hint="eastAsia" w:ascii="宋体" w:hAnsi="宋体"/>
                <w:szCs w:val="21"/>
              </w:rPr>
              <w:t>第4.4款</w:t>
            </w:r>
          </w:p>
        </w:tc>
        <w:tc>
          <w:tcPr>
            <w:tcW w:w="1742" w:type="dxa"/>
            <w:vAlign w:val="center"/>
          </w:tcPr>
          <w:p w14:paraId="3A9D3355">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14:paraId="4FA4DB51">
            <w:pPr>
              <w:adjustRightInd w:val="0"/>
              <w:snapToGrid w:val="0"/>
              <w:jc w:val="left"/>
              <w:rPr>
                <w:rFonts w:ascii="宋体" w:hAnsi="宋体"/>
                <w:szCs w:val="21"/>
              </w:rPr>
            </w:pPr>
          </w:p>
        </w:tc>
      </w:tr>
      <w:tr w14:paraId="756CFA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2AB2F9">
            <w:pPr>
              <w:adjustRightInd w:val="0"/>
              <w:snapToGrid w:val="0"/>
              <w:jc w:val="center"/>
              <w:rPr>
                <w:rFonts w:ascii="宋体" w:hAnsi="宋体"/>
                <w:szCs w:val="21"/>
              </w:rPr>
            </w:pPr>
            <w:r>
              <w:rPr>
                <w:rFonts w:hint="eastAsia" w:ascii="宋体" w:hAnsi="宋体"/>
                <w:szCs w:val="21"/>
              </w:rPr>
              <w:t>第二节</w:t>
            </w:r>
          </w:p>
          <w:p w14:paraId="3A3CA2D8">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14:paraId="09BB5E6F">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14:paraId="71712E7F">
            <w:pPr>
              <w:adjustRightInd w:val="0"/>
              <w:snapToGrid w:val="0"/>
              <w:jc w:val="left"/>
              <w:rPr>
                <w:rFonts w:ascii="宋体" w:hAnsi="宋体"/>
                <w:szCs w:val="21"/>
              </w:rPr>
            </w:pPr>
          </w:p>
        </w:tc>
      </w:tr>
      <w:tr w14:paraId="774837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9AC329">
            <w:pPr>
              <w:adjustRightInd w:val="0"/>
              <w:snapToGrid w:val="0"/>
              <w:jc w:val="center"/>
              <w:rPr>
                <w:rFonts w:ascii="宋体" w:hAnsi="宋体"/>
                <w:szCs w:val="21"/>
              </w:rPr>
            </w:pPr>
            <w:r>
              <w:rPr>
                <w:rFonts w:hint="eastAsia" w:ascii="宋体" w:hAnsi="宋体"/>
                <w:szCs w:val="21"/>
              </w:rPr>
              <w:t>第二节</w:t>
            </w:r>
          </w:p>
          <w:p w14:paraId="79ECAA80">
            <w:pPr>
              <w:snapToGrid w:val="0"/>
              <w:jc w:val="center"/>
            </w:pPr>
            <w:r>
              <w:rPr>
                <w:rFonts w:hint="eastAsia" w:ascii="宋体" w:hAnsi="宋体"/>
                <w:szCs w:val="21"/>
              </w:rPr>
              <w:t>第5.4款</w:t>
            </w:r>
          </w:p>
        </w:tc>
        <w:tc>
          <w:tcPr>
            <w:tcW w:w="1742" w:type="dxa"/>
            <w:vAlign w:val="center"/>
          </w:tcPr>
          <w:p w14:paraId="7C06D6E8">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14:paraId="6A67773F">
            <w:pPr>
              <w:adjustRightInd w:val="0"/>
              <w:snapToGrid w:val="0"/>
              <w:jc w:val="left"/>
              <w:rPr>
                <w:rFonts w:ascii="宋体" w:hAnsi="宋体"/>
                <w:szCs w:val="21"/>
              </w:rPr>
            </w:pPr>
          </w:p>
        </w:tc>
      </w:tr>
      <w:tr w14:paraId="718643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F0C9C9">
            <w:pPr>
              <w:adjustRightInd w:val="0"/>
              <w:snapToGrid w:val="0"/>
              <w:jc w:val="center"/>
              <w:rPr>
                <w:rFonts w:ascii="宋体" w:hAnsi="宋体"/>
                <w:szCs w:val="21"/>
              </w:rPr>
            </w:pPr>
            <w:r>
              <w:rPr>
                <w:rFonts w:hint="eastAsia" w:ascii="宋体" w:hAnsi="宋体"/>
                <w:szCs w:val="21"/>
              </w:rPr>
              <w:t>第二节</w:t>
            </w:r>
          </w:p>
          <w:p w14:paraId="16C2B95F">
            <w:pPr>
              <w:snapToGrid w:val="0"/>
              <w:jc w:val="center"/>
              <w:rPr>
                <w:rFonts w:ascii="宋体" w:hAnsi="宋体"/>
                <w:szCs w:val="21"/>
              </w:rPr>
            </w:pPr>
            <w:r>
              <w:rPr>
                <w:rFonts w:hint="eastAsia" w:ascii="宋体" w:hAnsi="宋体"/>
                <w:szCs w:val="21"/>
              </w:rPr>
              <w:t>第6.1款</w:t>
            </w:r>
          </w:p>
        </w:tc>
        <w:tc>
          <w:tcPr>
            <w:tcW w:w="1742" w:type="dxa"/>
            <w:vAlign w:val="center"/>
          </w:tcPr>
          <w:p w14:paraId="62019443">
            <w:pPr>
              <w:adjustRightInd w:val="0"/>
              <w:snapToGrid w:val="0"/>
              <w:jc w:val="left"/>
              <w:rPr>
                <w:rFonts w:ascii="宋体" w:hAnsi="宋体"/>
                <w:szCs w:val="21"/>
              </w:rPr>
            </w:pPr>
            <w:r>
              <w:rPr>
                <w:rFonts w:hint="eastAsia" w:ascii="宋体" w:hAnsi="宋体"/>
                <w:szCs w:val="21"/>
              </w:rPr>
              <w:t>履行合同义务的顺序</w:t>
            </w:r>
          </w:p>
        </w:tc>
        <w:tc>
          <w:tcPr>
            <w:tcW w:w="5170" w:type="dxa"/>
            <w:vAlign w:val="center"/>
          </w:tcPr>
          <w:p w14:paraId="41111F91">
            <w:pPr>
              <w:adjustRightInd w:val="0"/>
              <w:snapToGrid w:val="0"/>
              <w:jc w:val="left"/>
              <w:rPr>
                <w:rFonts w:ascii="宋体" w:hAnsi="宋体"/>
                <w:szCs w:val="21"/>
              </w:rPr>
            </w:pPr>
          </w:p>
        </w:tc>
      </w:tr>
      <w:tr w14:paraId="2E6CB7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4E9B67C">
            <w:pPr>
              <w:adjustRightInd w:val="0"/>
              <w:snapToGrid w:val="0"/>
              <w:jc w:val="center"/>
              <w:rPr>
                <w:rFonts w:ascii="宋体" w:hAnsi="宋体"/>
                <w:szCs w:val="21"/>
              </w:rPr>
            </w:pPr>
            <w:r>
              <w:rPr>
                <w:rFonts w:hint="eastAsia" w:ascii="宋体" w:hAnsi="宋体"/>
                <w:szCs w:val="21"/>
              </w:rPr>
              <w:t>第二节</w:t>
            </w:r>
          </w:p>
          <w:p w14:paraId="38719359">
            <w:pPr>
              <w:adjustRightInd w:val="0"/>
              <w:snapToGrid w:val="0"/>
              <w:jc w:val="center"/>
              <w:rPr>
                <w:rFonts w:ascii="宋体" w:hAnsi="宋体"/>
                <w:szCs w:val="21"/>
              </w:rPr>
            </w:pPr>
            <w:r>
              <w:rPr>
                <w:rFonts w:hint="eastAsia" w:ascii="宋体" w:hAnsi="宋体"/>
                <w:szCs w:val="21"/>
              </w:rPr>
              <w:t>第7.1款</w:t>
            </w:r>
          </w:p>
        </w:tc>
        <w:tc>
          <w:tcPr>
            <w:tcW w:w="1742" w:type="dxa"/>
            <w:vAlign w:val="center"/>
          </w:tcPr>
          <w:p w14:paraId="58012DF7">
            <w:pPr>
              <w:adjustRightInd w:val="0"/>
              <w:snapToGrid w:val="0"/>
              <w:jc w:val="left"/>
              <w:rPr>
                <w:rFonts w:ascii="宋体" w:hAnsi="宋体"/>
                <w:szCs w:val="21"/>
              </w:rPr>
            </w:pPr>
            <w:r>
              <w:rPr>
                <w:rFonts w:hint="eastAsia" w:ascii="宋体" w:hAnsi="宋体"/>
                <w:szCs w:val="21"/>
              </w:rPr>
              <w:t>包装特殊要求</w:t>
            </w:r>
          </w:p>
        </w:tc>
        <w:tc>
          <w:tcPr>
            <w:tcW w:w="5170" w:type="dxa"/>
            <w:vAlign w:val="center"/>
          </w:tcPr>
          <w:p w14:paraId="47F622A7"/>
        </w:tc>
      </w:tr>
      <w:tr w14:paraId="7BADAB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13667BE">
            <w:pPr>
              <w:adjustRightInd w:val="0"/>
              <w:snapToGrid w:val="0"/>
              <w:jc w:val="center"/>
              <w:rPr>
                <w:rFonts w:ascii="宋体" w:hAnsi="宋体"/>
                <w:szCs w:val="21"/>
              </w:rPr>
            </w:pPr>
          </w:p>
        </w:tc>
        <w:tc>
          <w:tcPr>
            <w:tcW w:w="1742" w:type="dxa"/>
            <w:vAlign w:val="center"/>
          </w:tcPr>
          <w:p w14:paraId="4EF68A5B">
            <w:pPr>
              <w:adjustRightInd w:val="0"/>
              <w:snapToGrid w:val="0"/>
              <w:jc w:val="left"/>
              <w:rPr>
                <w:rFonts w:ascii="宋体" w:hAnsi="宋体"/>
                <w:szCs w:val="21"/>
              </w:rPr>
            </w:pPr>
            <w:r>
              <w:rPr>
                <w:rFonts w:hint="eastAsia" w:ascii="宋体" w:hAnsi="宋体"/>
                <w:szCs w:val="21"/>
              </w:rPr>
              <w:t>指定现场</w:t>
            </w:r>
          </w:p>
        </w:tc>
        <w:tc>
          <w:tcPr>
            <w:tcW w:w="5170" w:type="dxa"/>
            <w:vAlign w:val="center"/>
          </w:tcPr>
          <w:p w14:paraId="347FCD39"/>
        </w:tc>
      </w:tr>
      <w:tr w14:paraId="537737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6AD5859">
            <w:pPr>
              <w:adjustRightInd w:val="0"/>
              <w:snapToGrid w:val="0"/>
              <w:jc w:val="center"/>
              <w:rPr>
                <w:rFonts w:ascii="宋体" w:hAnsi="宋体"/>
                <w:szCs w:val="21"/>
              </w:rPr>
            </w:pPr>
            <w:r>
              <w:rPr>
                <w:rFonts w:hint="eastAsia" w:ascii="宋体" w:hAnsi="宋体"/>
                <w:szCs w:val="21"/>
              </w:rPr>
              <w:t>第二节</w:t>
            </w:r>
          </w:p>
          <w:p w14:paraId="264A641A">
            <w:pPr>
              <w:adjustRightInd w:val="0"/>
              <w:snapToGrid w:val="0"/>
              <w:jc w:val="center"/>
              <w:rPr>
                <w:rFonts w:ascii="宋体" w:hAnsi="宋体"/>
                <w:szCs w:val="21"/>
              </w:rPr>
            </w:pPr>
            <w:r>
              <w:rPr>
                <w:rFonts w:hint="eastAsia" w:ascii="宋体" w:hAnsi="宋体"/>
                <w:szCs w:val="21"/>
              </w:rPr>
              <w:t>第7.2款</w:t>
            </w:r>
          </w:p>
        </w:tc>
        <w:tc>
          <w:tcPr>
            <w:tcW w:w="1742" w:type="dxa"/>
            <w:vAlign w:val="center"/>
          </w:tcPr>
          <w:p w14:paraId="2780A62D">
            <w:pPr>
              <w:adjustRightInd w:val="0"/>
              <w:snapToGrid w:val="0"/>
              <w:jc w:val="left"/>
              <w:rPr>
                <w:rFonts w:ascii="宋体" w:hAnsi="宋体"/>
                <w:szCs w:val="21"/>
              </w:rPr>
            </w:pPr>
            <w:r>
              <w:rPr>
                <w:rFonts w:hint="eastAsia" w:ascii="宋体" w:hAnsi="宋体"/>
                <w:szCs w:val="21"/>
              </w:rPr>
              <w:t>运输特殊要求</w:t>
            </w:r>
          </w:p>
        </w:tc>
        <w:tc>
          <w:tcPr>
            <w:tcW w:w="5170" w:type="dxa"/>
            <w:vAlign w:val="center"/>
          </w:tcPr>
          <w:p w14:paraId="39D7E946"/>
        </w:tc>
      </w:tr>
      <w:tr w14:paraId="29273B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0466554">
            <w:pPr>
              <w:adjustRightInd w:val="0"/>
              <w:snapToGrid w:val="0"/>
              <w:jc w:val="center"/>
              <w:rPr>
                <w:rFonts w:ascii="宋体" w:hAnsi="宋体"/>
                <w:szCs w:val="21"/>
              </w:rPr>
            </w:pPr>
            <w:r>
              <w:rPr>
                <w:rFonts w:hint="eastAsia" w:ascii="宋体" w:hAnsi="宋体"/>
                <w:szCs w:val="21"/>
              </w:rPr>
              <w:t>第二节</w:t>
            </w:r>
          </w:p>
          <w:p w14:paraId="0663E8F4">
            <w:pPr>
              <w:adjustRightInd w:val="0"/>
              <w:snapToGrid w:val="0"/>
              <w:jc w:val="center"/>
              <w:rPr>
                <w:rFonts w:ascii="宋体" w:hAnsi="宋体"/>
                <w:szCs w:val="21"/>
              </w:rPr>
            </w:pPr>
            <w:r>
              <w:rPr>
                <w:rFonts w:hint="eastAsia" w:ascii="宋体" w:hAnsi="宋体"/>
                <w:szCs w:val="21"/>
              </w:rPr>
              <w:t>第7.3款</w:t>
            </w:r>
          </w:p>
        </w:tc>
        <w:tc>
          <w:tcPr>
            <w:tcW w:w="1742" w:type="dxa"/>
            <w:vAlign w:val="center"/>
          </w:tcPr>
          <w:p w14:paraId="3BC1EAD3">
            <w:pPr>
              <w:adjustRightInd w:val="0"/>
              <w:snapToGrid w:val="0"/>
              <w:jc w:val="left"/>
              <w:rPr>
                <w:rFonts w:ascii="宋体" w:hAnsi="宋体"/>
                <w:szCs w:val="21"/>
              </w:rPr>
            </w:pPr>
            <w:r>
              <w:rPr>
                <w:rFonts w:hint="eastAsia" w:ascii="宋体" w:hAnsi="宋体"/>
                <w:szCs w:val="21"/>
              </w:rPr>
              <w:t>保险要求</w:t>
            </w:r>
          </w:p>
        </w:tc>
        <w:tc>
          <w:tcPr>
            <w:tcW w:w="5170" w:type="dxa"/>
            <w:vAlign w:val="center"/>
          </w:tcPr>
          <w:p w14:paraId="391F4879"/>
        </w:tc>
      </w:tr>
      <w:tr w14:paraId="1DD44D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C5B2FD">
            <w:pPr>
              <w:adjustRightInd w:val="0"/>
              <w:snapToGrid w:val="0"/>
              <w:jc w:val="center"/>
              <w:rPr>
                <w:rFonts w:ascii="宋体" w:hAnsi="宋体"/>
                <w:szCs w:val="21"/>
              </w:rPr>
            </w:pPr>
            <w:r>
              <w:rPr>
                <w:rFonts w:hint="eastAsia" w:ascii="宋体" w:hAnsi="宋体"/>
                <w:szCs w:val="21"/>
              </w:rPr>
              <w:t>第二节</w:t>
            </w:r>
          </w:p>
          <w:p w14:paraId="07D98C92">
            <w:pPr>
              <w:adjustRightInd w:val="0"/>
              <w:snapToGrid w:val="0"/>
              <w:jc w:val="center"/>
              <w:rPr>
                <w:rFonts w:ascii="宋体" w:hAnsi="宋体"/>
                <w:szCs w:val="21"/>
              </w:rPr>
            </w:pPr>
            <w:r>
              <w:rPr>
                <w:rFonts w:hint="eastAsia" w:ascii="宋体" w:hAnsi="宋体"/>
                <w:szCs w:val="21"/>
              </w:rPr>
              <w:t>第8.2（1）项</w:t>
            </w:r>
          </w:p>
        </w:tc>
        <w:tc>
          <w:tcPr>
            <w:tcW w:w="1742" w:type="dxa"/>
            <w:vAlign w:val="center"/>
          </w:tcPr>
          <w:p w14:paraId="102DED00">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54061554">
            <w:pPr>
              <w:autoSpaceDE w:val="0"/>
              <w:autoSpaceDN w:val="0"/>
              <w:adjustRightInd w:val="0"/>
              <w:snapToGrid w:val="0"/>
              <w:ind w:firstLine="420" w:firstLineChars="200"/>
              <w:jc w:val="left"/>
              <w:rPr>
                <w:rFonts w:ascii="宋体" w:hAnsi="宋体"/>
                <w:szCs w:val="21"/>
              </w:rPr>
            </w:pPr>
            <w:r>
              <w:rPr>
                <w:rFonts w:hint="eastAsia" w:ascii="宋体" w:hAnsi="宋体"/>
                <w:szCs w:val="21"/>
              </w:rPr>
              <w:t>按乙方承诺，但是不得低于国家相关标准</w:t>
            </w:r>
          </w:p>
        </w:tc>
      </w:tr>
      <w:tr w14:paraId="0513D4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AC1C4A">
            <w:pPr>
              <w:adjustRightInd w:val="0"/>
              <w:snapToGrid w:val="0"/>
              <w:jc w:val="center"/>
              <w:rPr>
                <w:rFonts w:ascii="宋体" w:hAnsi="宋体"/>
                <w:szCs w:val="21"/>
              </w:rPr>
            </w:pPr>
            <w:r>
              <w:rPr>
                <w:rFonts w:hint="eastAsia" w:ascii="宋体" w:hAnsi="宋体"/>
                <w:szCs w:val="21"/>
              </w:rPr>
              <w:t>第二节</w:t>
            </w:r>
          </w:p>
          <w:p w14:paraId="422619DB">
            <w:pPr>
              <w:adjustRightInd w:val="0"/>
              <w:snapToGrid w:val="0"/>
              <w:jc w:val="center"/>
              <w:rPr>
                <w:rFonts w:ascii="宋体" w:hAnsi="宋体"/>
                <w:szCs w:val="21"/>
              </w:rPr>
            </w:pPr>
            <w:r>
              <w:rPr>
                <w:rFonts w:hint="eastAsia" w:ascii="宋体" w:hAnsi="宋体"/>
                <w:szCs w:val="21"/>
              </w:rPr>
              <w:t>第8.2（3）项</w:t>
            </w:r>
          </w:p>
        </w:tc>
        <w:tc>
          <w:tcPr>
            <w:tcW w:w="1742" w:type="dxa"/>
            <w:vAlign w:val="center"/>
          </w:tcPr>
          <w:p w14:paraId="60913C07">
            <w:pPr>
              <w:adjustRightInd w:val="0"/>
              <w:snapToGrid w:val="0"/>
              <w:jc w:val="left"/>
              <w:rPr>
                <w:rFonts w:ascii="宋体" w:hAnsi="宋体"/>
                <w:szCs w:val="21"/>
              </w:rPr>
            </w:pPr>
            <w:r>
              <w:rPr>
                <w:rFonts w:hint="eastAsia" w:ascii="宋体" w:hAnsi="宋体"/>
                <w:szCs w:val="21"/>
              </w:rPr>
              <w:t>货物质量缺陷</w:t>
            </w:r>
          </w:p>
          <w:p w14:paraId="49BC8D9C">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7CAC8C93">
            <w:pPr>
              <w:adjustRightInd w:val="0"/>
              <w:snapToGrid w:val="0"/>
              <w:jc w:val="left"/>
              <w:rPr>
                <w:rFonts w:ascii="宋体" w:hAnsi="宋体"/>
                <w:szCs w:val="21"/>
              </w:rPr>
            </w:pPr>
          </w:p>
        </w:tc>
      </w:tr>
      <w:tr w14:paraId="76B85E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70D536">
            <w:pPr>
              <w:snapToGrid w:val="0"/>
              <w:jc w:val="center"/>
              <w:rPr>
                <w:rFonts w:ascii="宋体" w:hAnsi="宋体" w:cs="宋体"/>
                <w:szCs w:val="21"/>
              </w:rPr>
            </w:pPr>
            <w:r>
              <w:rPr>
                <w:rFonts w:hint="eastAsia" w:ascii="宋体" w:hAnsi="宋体" w:cs="宋体"/>
                <w:szCs w:val="21"/>
              </w:rPr>
              <w:t>第二节</w:t>
            </w:r>
          </w:p>
          <w:p w14:paraId="7E81AA54">
            <w:pPr>
              <w:pStyle w:val="53"/>
              <w:ind w:firstLine="0" w:firstLineChars="0"/>
              <w:jc w:val="center"/>
            </w:pPr>
            <w:r>
              <w:rPr>
                <w:rFonts w:hint="eastAsia" w:ascii="宋体" w:hAnsi="宋体" w:eastAsia="宋体" w:cs="宋体"/>
              </w:rPr>
              <w:t>第11.1款</w:t>
            </w:r>
          </w:p>
        </w:tc>
        <w:tc>
          <w:tcPr>
            <w:tcW w:w="1742" w:type="dxa"/>
            <w:vAlign w:val="center"/>
          </w:tcPr>
          <w:p w14:paraId="64B7C33E">
            <w:pPr>
              <w:adjustRightInd w:val="0"/>
              <w:snapToGrid w:val="0"/>
              <w:rPr>
                <w:rFonts w:ascii="宋体" w:hAnsi="宋体"/>
                <w:szCs w:val="21"/>
              </w:rPr>
            </w:pPr>
            <w:r>
              <w:rPr>
                <w:rFonts w:hint="eastAsia" w:ascii="宋体" w:hAnsi="宋体"/>
                <w:szCs w:val="21"/>
              </w:rPr>
              <w:t>其他应当保密的信息</w:t>
            </w:r>
          </w:p>
        </w:tc>
        <w:tc>
          <w:tcPr>
            <w:tcW w:w="5170" w:type="dxa"/>
            <w:vAlign w:val="center"/>
          </w:tcPr>
          <w:p w14:paraId="6A236B28">
            <w:pPr>
              <w:adjustRightInd w:val="0"/>
              <w:snapToGrid w:val="0"/>
              <w:jc w:val="left"/>
              <w:rPr>
                <w:rFonts w:ascii="宋体" w:hAnsi="宋体"/>
                <w:szCs w:val="21"/>
              </w:rPr>
            </w:pPr>
          </w:p>
        </w:tc>
      </w:tr>
      <w:tr w14:paraId="6BF0FB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CB3D77D">
            <w:pPr>
              <w:adjustRightInd w:val="0"/>
              <w:snapToGrid w:val="0"/>
              <w:jc w:val="center"/>
              <w:rPr>
                <w:rFonts w:ascii="宋体" w:hAnsi="宋体"/>
                <w:szCs w:val="21"/>
              </w:rPr>
            </w:pPr>
            <w:r>
              <w:rPr>
                <w:rFonts w:hint="eastAsia" w:ascii="宋体" w:hAnsi="宋体"/>
                <w:szCs w:val="21"/>
              </w:rPr>
              <w:t>第二节</w:t>
            </w:r>
          </w:p>
          <w:p w14:paraId="6BA85752">
            <w:pPr>
              <w:adjustRightInd w:val="0"/>
              <w:snapToGrid w:val="0"/>
              <w:jc w:val="center"/>
              <w:rPr>
                <w:rFonts w:ascii="宋体" w:hAnsi="宋体"/>
                <w:szCs w:val="21"/>
              </w:rPr>
            </w:pPr>
            <w:r>
              <w:rPr>
                <w:rFonts w:hint="eastAsia" w:ascii="宋体" w:hAnsi="宋体"/>
                <w:szCs w:val="21"/>
              </w:rPr>
              <w:t>第12.2款</w:t>
            </w:r>
          </w:p>
        </w:tc>
        <w:tc>
          <w:tcPr>
            <w:tcW w:w="1742" w:type="dxa"/>
            <w:vAlign w:val="center"/>
          </w:tcPr>
          <w:p w14:paraId="79970AB2">
            <w:pPr>
              <w:adjustRightInd w:val="0"/>
              <w:snapToGrid w:val="0"/>
              <w:jc w:val="left"/>
              <w:rPr>
                <w:rFonts w:ascii="宋体" w:hAnsi="宋体"/>
                <w:szCs w:val="21"/>
              </w:rPr>
            </w:pPr>
            <w:r>
              <w:rPr>
                <w:rFonts w:hint="eastAsia" w:ascii="宋体" w:hAnsi="宋体"/>
                <w:szCs w:val="21"/>
              </w:rPr>
              <w:t>合同价款支付时间</w:t>
            </w:r>
          </w:p>
        </w:tc>
        <w:tc>
          <w:tcPr>
            <w:tcW w:w="5170" w:type="dxa"/>
            <w:vAlign w:val="center"/>
          </w:tcPr>
          <w:p w14:paraId="0CEC05B4">
            <w:pPr>
              <w:adjustRightInd w:val="0"/>
              <w:snapToGrid w:val="0"/>
              <w:jc w:val="left"/>
              <w:rPr>
                <w:rFonts w:ascii="宋体" w:hAnsi="宋体"/>
                <w:szCs w:val="21"/>
              </w:rPr>
            </w:pPr>
          </w:p>
        </w:tc>
      </w:tr>
      <w:tr w14:paraId="4EA12E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B3D3D56">
            <w:pPr>
              <w:adjustRightInd w:val="0"/>
              <w:snapToGrid w:val="0"/>
              <w:jc w:val="center"/>
              <w:rPr>
                <w:rFonts w:ascii="宋体" w:hAnsi="宋体"/>
                <w:szCs w:val="21"/>
              </w:rPr>
            </w:pPr>
            <w:r>
              <w:rPr>
                <w:rFonts w:hint="eastAsia" w:ascii="宋体" w:hAnsi="宋体"/>
                <w:szCs w:val="21"/>
              </w:rPr>
              <w:t>第二节</w:t>
            </w:r>
          </w:p>
          <w:p w14:paraId="0CEC7EBB">
            <w:pPr>
              <w:adjustRightInd w:val="0"/>
              <w:snapToGrid w:val="0"/>
              <w:jc w:val="center"/>
              <w:rPr>
                <w:rFonts w:ascii="宋体" w:hAnsi="宋体"/>
                <w:szCs w:val="21"/>
              </w:rPr>
            </w:pPr>
            <w:r>
              <w:rPr>
                <w:rFonts w:hint="eastAsia" w:ascii="宋体" w:hAnsi="宋体"/>
                <w:szCs w:val="21"/>
              </w:rPr>
              <w:t>第13.2款</w:t>
            </w:r>
          </w:p>
        </w:tc>
        <w:tc>
          <w:tcPr>
            <w:tcW w:w="1742" w:type="dxa"/>
            <w:vAlign w:val="center"/>
          </w:tcPr>
          <w:p w14:paraId="0193085D">
            <w:pPr>
              <w:adjustRightInd w:val="0"/>
              <w:snapToGrid w:val="0"/>
              <w:jc w:val="left"/>
              <w:rPr>
                <w:rFonts w:ascii="宋体" w:hAnsi="宋体"/>
                <w:szCs w:val="21"/>
              </w:rPr>
            </w:pPr>
            <w:r>
              <w:rPr>
                <w:rFonts w:hint="eastAsia" w:ascii="宋体" w:hAnsi="宋体"/>
                <w:szCs w:val="21"/>
              </w:rPr>
              <w:t>履约保证金不予退还的情形</w:t>
            </w:r>
          </w:p>
        </w:tc>
        <w:tc>
          <w:tcPr>
            <w:tcW w:w="5170" w:type="dxa"/>
            <w:vAlign w:val="center"/>
          </w:tcPr>
          <w:p w14:paraId="7B30910B">
            <w:pPr>
              <w:adjustRightInd w:val="0"/>
              <w:snapToGrid w:val="0"/>
              <w:jc w:val="left"/>
              <w:rPr>
                <w:rFonts w:ascii="宋体" w:hAnsi="宋体"/>
                <w:szCs w:val="21"/>
              </w:rPr>
            </w:pPr>
          </w:p>
        </w:tc>
      </w:tr>
      <w:tr w14:paraId="5112E6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D6372C">
            <w:pPr>
              <w:adjustRightInd w:val="0"/>
              <w:snapToGrid w:val="0"/>
              <w:jc w:val="center"/>
              <w:rPr>
                <w:rFonts w:ascii="宋体" w:hAnsi="宋体"/>
                <w:szCs w:val="21"/>
              </w:rPr>
            </w:pPr>
            <w:r>
              <w:rPr>
                <w:rFonts w:hint="eastAsia" w:ascii="宋体" w:hAnsi="宋体"/>
                <w:szCs w:val="21"/>
              </w:rPr>
              <w:t>第二节</w:t>
            </w:r>
          </w:p>
          <w:p w14:paraId="49BB0754">
            <w:pPr>
              <w:adjustRightInd w:val="0"/>
              <w:snapToGrid w:val="0"/>
              <w:jc w:val="center"/>
              <w:rPr>
                <w:rFonts w:ascii="宋体" w:hAnsi="宋体"/>
                <w:szCs w:val="21"/>
              </w:rPr>
            </w:pPr>
            <w:r>
              <w:rPr>
                <w:rFonts w:hint="eastAsia" w:ascii="宋体" w:hAnsi="宋体"/>
                <w:szCs w:val="21"/>
              </w:rPr>
              <w:t>第13.3款</w:t>
            </w:r>
          </w:p>
        </w:tc>
        <w:tc>
          <w:tcPr>
            <w:tcW w:w="1742" w:type="dxa"/>
            <w:vAlign w:val="center"/>
          </w:tcPr>
          <w:p w14:paraId="541E2082">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14:paraId="7733237B">
            <w:pPr>
              <w:adjustRightInd w:val="0"/>
              <w:snapToGrid w:val="0"/>
              <w:jc w:val="left"/>
              <w:rPr>
                <w:rFonts w:ascii="宋体" w:hAnsi="宋体"/>
                <w:szCs w:val="21"/>
              </w:rPr>
            </w:pPr>
          </w:p>
        </w:tc>
      </w:tr>
      <w:tr w14:paraId="4C5715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28FF40F">
            <w:pPr>
              <w:adjustRightInd w:val="0"/>
              <w:snapToGrid w:val="0"/>
              <w:jc w:val="center"/>
              <w:rPr>
                <w:rFonts w:ascii="宋体" w:hAnsi="宋体"/>
                <w:szCs w:val="21"/>
              </w:rPr>
            </w:pPr>
            <w:r>
              <w:rPr>
                <w:rFonts w:hint="eastAsia" w:ascii="宋体" w:hAnsi="宋体"/>
                <w:szCs w:val="21"/>
              </w:rPr>
              <w:t>第二节</w:t>
            </w:r>
          </w:p>
          <w:p w14:paraId="54145189">
            <w:pPr>
              <w:adjustRightInd w:val="0"/>
              <w:snapToGrid w:val="0"/>
              <w:jc w:val="center"/>
              <w:rPr>
                <w:rFonts w:ascii="宋体" w:hAnsi="宋体"/>
                <w:szCs w:val="21"/>
              </w:rPr>
            </w:pPr>
            <w:r>
              <w:rPr>
                <w:rFonts w:hint="eastAsia" w:ascii="宋体" w:hAnsi="宋体"/>
                <w:szCs w:val="21"/>
              </w:rPr>
              <w:t>第14.1（3）项</w:t>
            </w:r>
          </w:p>
        </w:tc>
        <w:tc>
          <w:tcPr>
            <w:tcW w:w="1742" w:type="dxa"/>
            <w:vAlign w:val="center"/>
          </w:tcPr>
          <w:p w14:paraId="7651BFCE">
            <w:pPr>
              <w:adjustRightInd w:val="0"/>
              <w:snapToGrid w:val="0"/>
              <w:jc w:val="left"/>
              <w:rPr>
                <w:rFonts w:ascii="宋体" w:hAnsi="宋体"/>
                <w:szCs w:val="21"/>
              </w:rPr>
            </w:pPr>
            <w:r>
              <w:rPr>
                <w:rFonts w:hint="eastAsia" w:ascii="宋体" w:hAnsi="宋体"/>
                <w:szCs w:val="21"/>
              </w:rPr>
              <w:t>运行监督、维修期限</w:t>
            </w:r>
          </w:p>
        </w:tc>
        <w:tc>
          <w:tcPr>
            <w:tcW w:w="5170" w:type="dxa"/>
            <w:vAlign w:val="center"/>
          </w:tcPr>
          <w:p w14:paraId="5B374E70">
            <w:pPr>
              <w:adjustRightInd w:val="0"/>
              <w:snapToGrid w:val="0"/>
              <w:jc w:val="left"/>
              <w:rPr>
                <w:rFonts w:ascii="宋体" w:hAnsi="宋体"/>
                <w:szCs w:val="21"/>
              </w:rPr>
            </w:pPr>
          </w:p>
        </w:tc>
      </w:tr>
      <w:tr w14:paraId="5F820B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0FA2CAF">
            <w:pPr>
              <w:adjustRightInd w:val="0"/>
              <w:snapToGrid w:val="0"/>
              <w:jc w:val="center"/>
              <w:rPr>
                <w:rFonts w:ascii="宋体" w:hAnsi="宋体"/>
                <w:szCs w:val="21"/>
              </w:rPr>
            </w:pPr>
            <w:r>
              <w:rPr>
                <w:rFonts w:hint="eastAsia" w:ascii="宋体" w:hAnsi="宋体"/>
                <w:szCs w:val="21"/>
              </w:rPr>
              <w:t>第二节</w:t>
            </w:r>
          </w:p>
          <w:p w14:paraId="765E6935">
            <w:pPr>
              <w:adjustRightInd w:val="0"/>
              <w:snapToGrid w:val="0"/>
              <w:jc w:val="center"/>
              <w:rPr>
                <w:rFonts w:ascii="宋体" w:hAnsi="宋体"/>
                <w:szCs w:val="21"/>
              </w:rPr>
            </w:pPr>
            <w:r>
              <w:rPr>
                <w:rFonts w:hint="eastAsia" w:ascii="宋体" w:hAnsi="宋体"/>
                <w:szCs w:val="21"/>
              </w:rPr>
              <w:t>第14.1（5）项</w:t>
            </w:r>
          </w:p>
        </w:tc>
        <w:tc>
          <w:tcPr>
            <w:tcW w:w="1742" w:type="dxa"/>
            <w:vAlign w:val="center"/>
          </w:tcPr>
          <w:p w14:paraId="73F4C43E">
            <w:pPr>
              <w:adjustRightInd w:val="0"/>
              <w:snapToGrid w:val="0"/>
              <w:jc w:val="left"/>
              <w:rPr>
                <w:rFonts w:ascii="宋体" w:hAnsi="宋体"/>
                <w:szCs w:val="21"/>
              </w:rPr>
            </w:pPr>
            <w:r>
              <w:rPr>
                <w:rFonts w:hint="eastAsia" w:ascii="宋体" w:hAnsi="宋体"/>
                <w:szCs w:val="21"/>
              </w:rPr>
              <w:t>货物回收的约定</w:t>
            </w:r>
          </w:p>
        </w:tc>
        <w:tc>
          <w:tcPr>
            <w:tcW w:w="5170" w:type="dxa"/>
            <w:vAlign w:val="center"/>
          </w:tcPr>
          <w:p w14:paraId="3E89FC0C">
            <w:pPr>
              <w:adjustRightInd w:val="0"/>
              <w:snapToGrid w:val="0"/>
              <w:jc w:val="left"/>
              <w:rPr>
                <w:rFonts w:ascii="宋体" w:hAnsi="宋体"/>
                <w:szCs w:val="21"/>
              </w:rPr>
            </w:pPr>
          </w:p>
        </w:tc>
      </w:tr>
      <w:tr w14:paraId="600865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8FE994">
            <w:pPr>
              <w:adjustRightInd w:val="0"/>
              <w:snapToGrid w:val="0"/>
              <w:jc w:val="center"/>
              <w:rPr>
                <w:rFonts w:ascii="宋体" w:hAnsi="宋体"/>
                <w:szCs w:val="21"/>
              </w:rPr>
            </w:pPr>
            <w:r>
              <w:rPr>
                <w:rFonts w:hint="eastAsia" w:ascii="宋体" w:hAnsi="宋体"/>
                <w:szCs w:val="21"/>
              </w:rPr>
              <w:t>第二节</w:t>
            </w:r>
          </w:p>
          <w:p w14:paraId="3E02FA4E">
            <w:pPr>
              <w:adjustRightInd w:val="0"/>
              <w:snapToGrid w:val="0"/>
              <w:jc w:val="center"/>
              <w:rPr>
                <w:rFonts w:ascii="宋体" w:hAnsi="宋体"/>
                <w:szCs w:val="21"/>
              </w:rPr>
            </w:pPr>
            <w:r>
              <w:rPr>
                <w:rFonts w:hint="eastAsia" w:ascii="宋体" w:hAnsi="宋体"/>
                <w:szCs w:val="21"/>
              </w:rPr>
              <w:t>第14.1（6）项</w:t>
            </w:r>
          </w:p>
        </w:tc>
        <w:tc>
          <w:tcPr>
            <w:tcW w:w="1742" w:type="dxa"/>
            <w:vAlign w:val="center"/>
          </w:tcPr>
          <w:p w14:paraId="13BCF328">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70612658">
            <w:pPr>
              <w:adjustRightInd w:val="0"/>
              <w:snapToGrid w:val="0"/>
              <w:jc w:val="left"/>
              <w:rPr>
                <w:rFonts w:ascii="宋体" w:hAnsi="宋体"/>
                <w:szCs w:val="21"/>
              </w:rPr>
            </w:pPr>
          </w:p>
        </w:tc>
      </w:tr>
      <w:tr w14:paraId="2D7BAA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3E9019">
            <w:pPr>
              <w:adjustRightInd w:val="0"/>
              <w:snapToGrid w:val="0"/>
              <w:jc w:val="center"/>
              <w:rPr>
                <w:rFonts w:ascii="宋体" w:hAnsi="宋体"/>
                <w:szCs w:val="21"/>
              </w:rPr>
            </w:pPr>
            <w:r>
              <w:rPr>
                <w:rFonts w:hint="eastAsia" w:ascii="宋体" w:hAnsi="宋体"/>
                <w:szCs w:val="21"/>
              </w:rPr>
              <w:t>第二节</w:t>
            </w:r>
          </w:p>
          <w:p w14:paraId="31B4A468">
            <w:pPr>
              <w:adjustRightInd w:val="0"/>
              <w:snapToGrid w:val="0"/>
              <w:jc w:val="center"/>
              <w:rPr>
                <w:rFonts w:ascii="宋体" w:hAnsi="宋体"/>
                <w:szCs w:val="21"/>
              </w:rPr>
            </w:pPr>
            <w:r>
              <w:rPr>
                <w:rFonts w:hint="eastAsia" w:ascii="宋体" w:hAnsi="宋体"/>
                <w:szCs w:val="21"/>
              </w:rPr>
              <w:t>第15.1款</w:t>
            </w:r>
          </w:p>
        </w:tc>
        <w:tc>
          <w:tcPr>
            <w:tcW w:w="1742" w:type="dxa"/>
            <w:vAlign w:val="center"/>
          </w:tcPr>
          <w:p w14:paraId="0BA93EF6">
            <w:pPr>
              <w:adjustRightInd w:val="0"/>
              <w:snapToGrid w:val="0"/>
              <w:jc w:val="left"/>
              <w:rPr>
                <w:rFonts w:ascii="宋体" w:hAnsi="宋体"/>
                <w:szCs w:val="21"/>
              </w:rPr>
            </w:pPr>
            <w:r>
              <w:rPr>
                <w:rFonts w:hint="eastAsia" w:ascii="宋体" w:hAnsi="宋体"/>
                <w:szCs w:val="21"/>
              </w:rPr>
              <w:t>修理、重作、更换相关具体规定</w:t>
            </w:r>
          </w:p>
        </w:tc>
        <w:tc>
          <w:tcPr>
            <w:tcW w:w="5170" w:type="dxa"/>
            <w:vAlign w:val="center"/>
          </w:tcPr>
          <w:p w14:paraId="3128FC2F">
            <w:pPr>
              <w:adjustRightInd w:val="0"/>
              <w:snapToGrid w:val="0"/>
              <w:jc w:val="left"/>
              <w:rPr>
                <w:rFonts w:ascii="宋体" w:hAnsi="宋体"/>
                <w:szCs w:val="21"/>
              </w:rPr>
            </w:pPr>
          </w:p>
        </w:tc>
      </w:tr>
      <w:tr w14:paraId="1DE088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F68B83">
            <w:pPr>
              <w:adjustRightInd w:val="0"/>
              <w:snapToGrid w:val="0"/>
              <w:jc w:val="center"/>
              <w:rPr>
                <w:rFonts w:ascii="宋体" w:hAnsi="宋体"/>
                <w:szCs w:val="21"/>
              </w:rPr>
            </w:pPr>
            <w:r>
              <w:rPr>
                <w:rFonts w:hint="eastAsia" w:ascii="宋体" w:hAnsi="宋体"/>
                <w:szCs w:val="21"/>
              </w:rPr>
              <w:t>第二节</w:t>
            </w:r>
          </w:p>
          <w:p w14:paraId="7DA058A8">
            <w:pPr>
              <w:adjustRightInd w:val="0"/>
              <w:snapToGrid w:val="0"/>
              <w:jc w:val="center"/>
              <w:rPr>
                <w:rFonts w:ascii="宋体" w:hAnsi="宋体"/>
                <w:szCs w:val="21"/>
              </w:rPr>
            </w:pPr>
            <w:r>
              <w:rPr>
                <w:rFonts w:hint="eastAsia" w:ascii="宋体" w:hAnsi="宋体"/>
                <w:szCs w:val="21"/>
              </w:rPr>
              <w:t>第15.2（2）项</w:t>
            </w:r>
          </w:p>
        </w:tc>
        <w:tc>
          <w:tcPr>
            <w:tcW w:w="1742" w:type="dxa"/>
            <w:vAlign w:val="center"/>
          </w:tcPr>
          <w:p w14:paraId="1BC50414">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6B4387BE">
            <w:pPr>
              <w:adjustRightInd w:val="0"/>
              <w:snapToGrid w:val="0"/>
              <w:jc w:val="left"/>
              <w:rPr>
                <w:rFonts w:ascii="宋体" w:hAnsi="宋体"/>
                <w:szCs w:val="21"/>
                <w:u w:val="single"/>
              </w:rPr>
            </w:pPr>
          </w:p>
        </w:tc>
      </w:tr>
      <w:tr w14:paraId="345F6C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D54FB2">
            <w:pPr>
              <w:adjustRightInd w:val="0"/>
              <w:snapToGrid w:val="0"/>
              <w:jc w:val="center"/>
              <w:rPr>
                <w:rFonts w:ascii="宋体" w:hAnsi="宋体"/>
                <w:szCs w:val="21"/>
              </w:rPr>
            </w:pPr>
            <w:r>
              <w:rPr>
                <w:rFonts w:hint="eastAsia" w:ascii="宋体" w:hAnsi="宋体"/>
                <w:szCs w:val="21"/>
              </w:rPr>
              <w:t>第二节</w:t>
            </w:r>
          </w:p>
          <w:p w14:paraId="7F0CF067">
            <w:pPr>
              <w:adjustRightInd w:val="0"/>
              <w:snapToGrid w:val="0"/>
              <w:jc w:val="center"/>
              <w:rPr>
                <w:rFonts w:ascii="宋体" w:hAnsi="宋体"/>
                <w:szCs w:val="21"/>
              </w:rPr>
            </w:pPr>
            <w:r>
              <w:rPr>
                <w:rFonts w:hint="eastAsia" w:ascii="宋体" w:hAnsi="宋体"/>
                <w:szCs w:val="21"/>
              </w:rPr>
              <w:t>第15.3款</w:t>
            </w:r>
          </w:p>
        </w:tc>
        <w:tc>
          <w:tcPr>
            <w:tcW w:w="1742" w:type="dxa"/>
            <w:vAlign w:val="center"/>
          </w:tcPr>
          <w:p w14:paraId="2E56D6CE">
            <w:pPr>
              <w:adjustRightInd w:val="0"/>
              <w:snapToGrid w:val="0"/>
              <w:jc w:val="left"/>
              <w:rPr>
                <w:rFonts w:ascii="宋体" w:hAnsi="宋体"/>
                <w:szCs w:val="21"/>
              </w:rPr>
            </w:pPr>
            <w:r>
              <w:rPr>
                <w:rFonts w:hint="eastAsia" w:ascii="宋体" w:hAnsi="宋体"/>
                <w:szCs w:val="21"/>
              </w:rPr>
              <w:t>逾期付款利息</w:t>
            </w:r>
          </w:p>
        </w:tc>
        <w:tc>
          <w:tcPr>
            <w:tcW w:w="5170" w:type="dxa"/>
            <w:vAlign w:val="center"/>
          </w:tcPr>
          <w:p w14:paraId="79BCEE88">
            <w:pPr>
              <w:adjustRightInd w:val="0"/>
              <w:snapToGrid w:val="0"/>
              <w:jc w:val="left"/>
              <w:rPr>
                <w:rFonts w:ascii="宋体" w:hAnsi="宋体"/>
                <w:szCs w:val="21"/>
                <w:u w:val="single"/>
              </w:rPr>
            </w:pPr>
          </w:p>
        </w:tc>
      </w:tr>
      <w:tr w14:paraId="0F6B34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10F8BDE">
            <w:pPr>
              <w:adjustRightInd w:val="0"/>
              <w:snapToGrid w:val="0"/>
              <w:jc w:val="center"/>
              <w:rPr>
                <w:rFonts w:ascii="宋体" w:hAnsi="宋体"/>
                <w:szCs w:val="21"/>
              </w:rPr>
            </w:pPr>
            <w:r>
              <w:rPr>
                <w:rFonts w:hint="eastAsia" w:ascii="宋体" w:hAnsi="宋体"/>
                <w:szCs w:val="21"/>
              </w:rPr>
              <w:t>第二节</w:t>
            </w:r>
          </w:p>
          <w:p w14:paraId="6F550134">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1F00AD3B">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31EA05DC">
            <w:pPr>
              <w:adjustRightInd w:val="0"/>
              <w:snapToGrid w:val="0"/>
              <w:jc w:val="left"/>
              <w:rPr>
                <w:rFonts w:ascii="宋体" w:hAnsi="宋体"/>
                <w:szCs w:val="21"/>
                <w:u w:val="single"/>
              </w:rPr>
            </w:pPr>
          </w:p>
        </w:tc>
      </w:tr>
      <w:tr w14:paraId="62C966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4278550">
            <w:pPr>
              <w:adjustRightInd w:val="0"/>
              <w:snapToGrid w:val="0"/>
              <w:jc w:val="center"/>
              <w:rPr>
                <w:rFonts w:ascii="宋体" w:hAnsi="宋体"/>
                <w:szCs w:val="21"/>
              </w:rPr>
            </w:pPr>
            <w:r>
              <w:rPr>
                <w:rFonts w:hint="eastAsia" w:ascii="宋体" w:hAnsi="宋体"/>
                <w:szCs w:val="21"/>
              </w:rPr>
              <w:t>第二节</w:t>
            </w:r>
          </w:p>
          <w:p w14:paraId="652995DD">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7E02BB75">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6CF4E1D4">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14:paraId="3A938D8E">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4B949481">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14:paraId="3C18A9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08BD192">
            <w:pPr>
              <w:adjustRightInd w:val="0"/>
              <w:snapToGrid w:val="0"/>
              <w:jc w:val="center"/>
              <w:rPr>
                <w:rFonts w:ascii="宋体" w:hAnsi="宋体"/>
                <w:szCs w:val="21"/>
              </w:rPr>
            </w:pPr>
            <w:r>
              <w:rPr>
                <w:rFonts w:hint="eastAsia" w:ascii="宋体" w:hAnsi="宋体"/>
                <w:szCs w:val="21"/>
              </w:rPr>
              <w:t>第二节</w:t>
            </w:r>
          </w:p>
          <w:p w14:paraId="2252A9B4">
            <w:pPr>
              <w:adjustRightInd w:val="0"/>
              <w:snapToGrid w:val="0"/>
              <w:jc w:val="center"/>
              <w:rPr>
                <w:rFonts w:ascii="宋体" w:hAnsi="宋体"/>
                <w:szCs w:val="21"/>
              </w:rPr>
            </w:pPr>
            <w:r>
              <w:rPr>
                <w:rFonts w:hint="eastAsia" w:ascii="宋体" w:hAnsi="宋体"/>
                <w:szCs w:val="21"/>
              </w:rPr>
              <w:t>第23.1款</w:t>
            </w:r>
          </w:p>
        </w:tc>
        <w:tc>
          <w:tcPr>
            <w:tcW w:w="1742" w:type="dxa"/>
            <w:vAlign w:val="center"/>
          </w:tcPr>
          <w:p w14:paraId="7300F99C">
            <w:pPr>
              <w:adjustRightInd w:val="0"/>
              <w:snapToGrid w:val="0"/>
              <w:jc w:val="left"/>
              <w:rPr>
                <w:rFonts w:ascii="宋体" w:hAnsi="宋体"/>
                <w:szCs w:val="21"/>
              </w:rPr>
            </w:pPr>
            <w:r>
              <w:rPr>
                <w:rFonts w:hint="eastAsia" w:ascii="宋体" w:hAnsi="宋体"/>
                <w:bCs/>
                <w:szCs w:val="21"/>
              </w:rPr>
              <w:t>其他专用条款</w:t>
            </w:r>
          </w:p>
        </w:tc>
        <w:tc>
          <w:tcPr>
            <w:tcW w:w="5170" w:type="dxa"/>
            <w:vAlign w:val="center"/>
          </w:tcPr>
          <w:p w14:paraId="5EDD5B6E">
            <w:pPr>
              <w:adjustRightInd w:val="0"/>
              <w:snapToGrid w:val="0"/>
              <w:jc w:val="left"/>
              <w:rPr>
                <w:rFonts w:ascii="宋体" w:hAnsi="宋体"/>
                <w:szCs w:val="21"/>
              </w:rPr>
            </w:pPr>
          </w:p>
        </w:tc>
      </w:tr>
    </w:tbl>
    <w:p w14:paraId="5556A432"/>
    <w:p w14:paraId="01029B5C"/>
    <w:p w14:paraId="283BB387">
      <w:pPr>
        <w:snapToGrid w:val="0"/>
        <w:spacing w:line="400" w:lineRule="exact"/>
        <w:jc w:val="center"/>
        <w:rPr>
          <w:rFonts w:ascii="宋体" w:hAnsi="宋体"/>
          <w:b/>
          <w:bCs/>
          <w:szCs w:val="21"/>
        </w:rPr>
      </w:pPr>
    </w:p>
    <w:p w14:paraId="1071FC96">
      <w:pPr>
        <w:snapToGrid w:val="0"/>
        <w:spacing w:line="400" w:lineRule="exact"/>
        <w:jc w:val="center"/>
        <w:rPr>
          <w:rFonts w:ascii="宋体" w:hAnsi="宋体"/>
          <w:b/>
          <w:bCs/>
          <w:sz w:val="32"/>
          <w:szCs w:val="32"/>
        </w:rPr>
      </w:pPr>
    </w:p>
    <w:p w14:paraId="0529F20D">
      <w:pPr>
        <w:snapToGrid w:val="0"/>
        <w:spacing w:line="400" w:lineRule="exact"/>
        <w:jc w:val="center"/>
        <w:rPr>
          <w:rFonts w:ascii="宋体" w:hAnsi="宋体"/>
          <w:b/>
          <w:bCs/>
          <w:sz w:val="32"/>
          <w:szCs w:val="32"/>
        </w:rPr>
      </w:pPr>
    </w:p>
    <w:p w14:paraId="59545B0E">
      <w:pPr>
        <w:snapToGrid w:val="0"/>
        <w:spacing w:line="400" w:lineRule="exact"/>
        <w:rPr>
          <w:rFonts w:ascii="宋体" w:hAnsi="宋体"/>
          <w:b/>
          <w:bCs/>
          <w:sz w:val="32"/>
          <w:szCs w:val="32"/>
        </w:rPr>
      </w:pPr>
    </w:p>
    <w:p w14:paraId="6F01AB7A">
      <w:pPr>
        <w:spacing w:line="500" w:lineRule="exact"/>
        <w:jc w:val="left"/>
        <w:rPr>
          <w:rFonts w:ascii="宋体" w:hAnsi="宋体"/>
          <w:b/>
          <w:sz w:val="24"/>
        </w:rPr>
      </w:pPr>
      <w:r>
        <w:rPr>
          <w:rFonts w:hint="eastAsia" w:ascii="宋体" w:hAnsi="宋体"/>
          <w:b/>
          <w:sz w:val="24"/>
        </w:rPr>
        <w:t>附件1</w:t>
      </w:r>
    </w:p>
    <w:p w14:paraId="63EC37D7">
      <w:pPr>
        <w:widowControl/>
        <w:shd w:val="clear" w:color="auto" w:fill="FFFFFF"/>
        <w:spacing w:line="480" w:lineRule="atLeast"/>
        <w:jc w:val="center"/>
        <w:rPr>
          <w:rFonts w:ascii="仿宋" w:hAnsi="仿宋" w:eastAsia="仿宋" w:cs="宋体"/>
          <w:kern w:val="0"/>
          <w:sz w:val="32"/>
          <w:szCs w:val="32"/>
        </w:rPr>
      </w:pPr>
      <w:r>
        <w:rPr>
          <w:rFonts w:hint="eastAsia" w:ascii="宋体" w:hAnsi="宋体" w:cs="黑体"/>
          <w:kern w:val="0"/>
          <w:sz w:val="32"/>
          <w:szCs w:val="32"/>
        </w:rPr>
        <w:t>广西壮族自治区政府采购项目合同验收书</w:t>
      </w:r>
      <w:r>
        <w:rPr>
          <w:rFonts w:hint="eastAsia" w:ascii="宋体" w:hAnsi="宋体" w:cs="宋体"/>
          <w:kern w:val="0"/>
          <w:sz w:val="32"/>
          <w:szCs w:val="32"/>
        </w:rPr>
        <w:t>（格式）</w:t>
      </w:r>
    </w:p>
    <w:p w14:paraId="0EAB6897">
      <w:pPr>
        <w:widowControl/>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政府采购项目中标（或成交）供应商（</w:t>
      </w:r>
      <w:r>
        <w:rPr>
          <w:rFonts w:hint="eastAsia" w:ascii="宋体" w:hAnsi="宋体" w:cs="宋体"/>
          <w:kern w:val="0"/>
          <w:szCs w:val="21"/>
          <w:u w:val="single"/>
        </w:rPr>
        <w:t xml:space="preserve"> 公司名称 </w:t>
      </w:r>
      <w:r>
        <w:rPr>
          <w:rFonts w:hint="eastAsia" w:ascii="宋体" w:hAnsi="宋体" w:cs="宋体"/>
          <w:kern w:val="0"/>
          <w:szCs w:val="21"/>
        </w:rPr>
        <w:t>） 提供的货物（或工程、服务）进行了验收，验收情况如下：</w:t>
      </w:r>
    </w:p>
    <w:tbl>
      <w:tblPr>
        <w:tblStyle w:val="35"/>
        <w:tblW w:w="8930"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1913"/>
      </w:tblGrid>
      <w:tr w14:paraId="2D471D3A">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31A1C348">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kern w:val="0"/>
                <w:szCs w:val="21"/>
              </w:rPr>
              <w:t>验收方式：</w:t>
            </w:r>
          </w:p>
        </w:tc>
        <w:tc>
          <w:tcPr>
            <w:tcW w:w="5678" w:type="dxa"/>
            <w:gridSpan w:val="6"/>
            <w:tcBorders>
              <w:top w:val="single" w:color="auto" w:sz="8" w:space="0"/>
              <w:left w:val="nil"/>
              <w:bottom w:val="single" w:color="auto" w:sz="8" w:space="0"/>
              <w:right w:val="single" w:color="auto" w:sz="8" w:space="0"/>
            </w:tcBorders>
            <w:vAlign w:val="center"/>
          </w:tcPr>
          <w:p w14:paraId="1006BC1E">
            <w:pPr>
              <w:widowControl/>
              <w:snapToGrid w:val="0"/>
              <w:spacing w:before="100" w:beforeAutospacing="1" w:after="100" w:afterAutospacing="1" w:line="320" w:lineRule="atLeast"/>
              <w:ind w:firstLine="480"/>
              <w:jc w:val="center"/>
              <w:rPr>
                <w:rFonts w:ascii="宋体" w:hAnsi="宋体" w:cs="宋体"/>
                <w:kern w:val="0"/>
                <w:szCs w:val="21"/>
              </w:rPr>
            </w:pPr>
            <w:r>
              <w:rPr>
                <w:rFonts w:ascii="宋体" w:hAnsi="宋体" w:cs="宋体"/>
                <w:kern w:val="0"/>
                <w:szCs w:val="21"/>
              </w:rPr>
              <w:t>□自行验收 □委托验收</w:t>
            </w:r>
          </w:p>
        </w:tc>
      </w:tr>
      <w:tr w14:paraId="794786BD">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3F9763F4">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序号</w:t>
            </w:r>
          </w:p>
        </w:tc>
        <w:tc>
          <w:tcPr>
            <w:tcW w:w="1921" w:type="dxa"/>
            <w:tcBorders>
              <w:top w:val="nil"/>
              <w:left w:val="nil"/>
              <w:bottom w:val="single" w:color="auto" w:sz="8" w:space="0"/>
              <w:right w:val="single" w:color="auto" w:sz="8" w:space="0"/>
            </w:tcBorders>
            <w:vAlign w:val="center"/>
          </w:tcPr>
          <w:p w14:paraId="0410E13F">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名 称</w:t>
            </w:r>
          </w:p>
        </w:tc>
        <w:tc>
          <w:tcPr>
            <w:tcW w:w="2902" w:type="dxa"/>
            <w:gridSpan w:val="3"/>
            <w:tcBorders>
              <w:top w:val="nil"/>
              <w:left w:val="nil"/>
              <w:bottom w:val="single" w:color="auto" w:sz="8" w:space="0"/>
              <w:right w:val="single" w:color="auto" w:sz="8" w:space="0"/>
            </w:tcBorders>
            <w:vAlign w:val="center"/>
          </w:tcPr>
          <w:p w14:paraId="695DBC58">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货物型号规格</w:t>
            </w:r>
            <w:r>
              <w:rPr>
                <w:rFonts w:hint="eastAsia" w:ascii="宋体" w:hAnsi="宋体" w:cs="宋体"/>
                <w:kern w:val="0"/>
                <w:szCs w:val="21"/>
              </w:rPr>
              <w:t>、</w:t>
            </w:r>
            <w:r>
              <w:rPr>
                <w:rFonts w:ascii="宋体" w:hAnsi="宋体" w:cs="宋体"/>
                <w:kern w:val="0"/>
                <w:szCs w:val="21"/>
              </w:rPr>
              <w:t>标准及配置等（或服务内容.标准）</w:t>
            </w:r>
          </w:p>
        </w:tc>
        <w:tc>
          <w:tcPr>
            <w:tcW w:w="863" w:type="dxa"/>
            <w:gridSpan w:val="2"/>
            <w:tcBorders>
              <w:top w:val="nil"/>
              <w:left w:val="nil"/>
              <w:bottom w:val="single" w:color="auto" w:sz="8" w:space="0"/>
              <w:right w:val="single" w:color="auto" w:sz="8" w:space="0"/>
            </w:tcBorders>
            <w:vAlign w:val="center"/>
          </w:tcPr>
          <w:p w14:paraId="2A75F3FC">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kern w:val="0"/>
                <w:szCs w:val="21"/>
              </w:rPr>
              <w:t>数量</w:t>
            </w:r>
          </w:p>
        </w:tc>
        <w:tc>
          <w:tcPr>
            <w:tcW w:w="1913" w:type="dxa"/>
            <w:tcBorders>
              <w:top w:val="nil"/>
              <w:left w:val="nil"/>
              <w:bottom w:val="single" w:color="auto" w:sz="8" w:space="0"/>
              <w:right w:val="single" w:color="auto" w:sz="8" w:space="0"/>
            </w:tcBorders>
            <w:vAlign w:val="center"/>
          </w:tcPr>
          <w:p w14:paraId="0B023B9C">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金 额</w:t>
            </w:r>
          </w:p>
        </w:tc>
      </w:tr>
      <w:tr w14:paraId="1502F870">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5DF64C37">
            <w:pPr>
              <w:widowControl/>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vAlign w:val="center"/>
          </w:tcPr>
          <w:p w14:paraId="2EF78A62">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12387773">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0B7BE190">
            <w:pPr>
              <w:widowControl/>
              <w:spacing w:before="100" w:beforeAutospacing="1" w:after="100" w:afterAutospacing="1" w:line="240" w:lineRule="atLeast"/>
              <w:jc w:val="center"/>
              <w:rPr>
                <w:rFonts w:ascii="宋体" w:hAnsi="宋体" w:cs="宋体"/>
                <w:kern w:val="0"/>
                <w:szCs w:val="21"/>
              </w:rPr>
            </w:pPr>
          </w:p>
        </w:tc>
        <w:tc>
          <w:tcPr>
            <w:tcW w:w="1913" w:type="dxa"/>
            <w:tcBorders>
              <w:top w:val="nil"/>
              <w:left w:val="nil"/>
              <w:bottom w:val="single" w:color="auto" w:sz="8" w:space="0"/>
              <w:right w:val="single" w:color="auto" w:sz="8" w:space="0"/>
            </w:tcBorders>
            <w:vAlign w:val="center"/>
          </w:tcPr>
          <w:p w14:paraId="3885519E">
            <w:pPr>
              <w:widowControl/>
              <w:spacing w:before="100" w:beforeAutospacing="1" w:after="100" w:afterAutospacing="1" w:line="240" w:lineRule="atLeast"/>
              <w:jc w:val="center"/>
              <w:rPr>
                <w:rFonts w:ascii="宋体" w:hAnsi="宋体" w:cs="宋体"/>
                <w:kern w:val="0"/>
                <w:szCs w:val="21"/>
              </w:rPr>
            </w:pPr>
          </w:p>
        </w:tc>
      </w:tr>
      <w:tr w14:paraId="08DC2752">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DCC4EAF">
            <w:pPr>
              <w:widowControl/>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vAlign w:val="center"/>
          </w:tcPr>
          <w:p w14:paraId="31893E00">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3C363F74">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6FDFF590">
            <w:pPr>
              <w:widowControl/>
              <w:spacing w:before="100" w:beforeAutospacing="1" w:after="100" w:afterAutospacing="1" w:line="240" w:lineRule="atLeast"/>
              <w:jc w:val="center"/>
              <w:rPr>
                <w:rFonts w:ascii="宋体" w:hAnsi="宋体" w:cs="宋体"/>
                <w:kern w:val="0"/>
                <w:szCs w:val="21"/>
              </w:rPr>
            </w:pPr>
          </w:p>
        </w:tc>
        <w:tc>
          <w:tcPr>
            <w:tcW w:w="1913" w:type="dxa"/>
            <w:tcBorders>
              <w:top w:val="nil"/>
              <w:left w:val="nil"/>
              <w:bottom w:val="single" w:color="auto" w:sz="8" w:space="0"/>
              <w:right w:val="single" w:color="auto" w:sz="8" w:space="0"/>
            </w:tcBorders>
            <w:vAlign w:val="center"/>
          </w:tcPr>
          <w:p w14:paraId="47C4F732">
            <w:pPr>
              <w:widowControl/>
              <w:spacing w:before="100" w:beforeAutospacing="1" w:after="100" w:afterAutospacing="1" w:line="240" w:lineRule="atLeast"/>
              <w:jc w:val="center"/>
              <w:rPr>
                <w:rFonts w:ascii="宋体" w:hAnsi="宋体" w:cs="宋体"/>
                <w:kern w:val="0"/>
                <w:szCs w:val="21"/>
              </w:rPr>
            </w:pPr>
          </w:p>
        </w:tc>
      </w:tr>
      <w:tr w14:paraId="402F4A5E">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70E2AFEE">
            <w:pPr>
              <w:widowControl/>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vAlign w:val="center"/>
          </w:tcPr>
          <w:p w14:paraId="39E86408">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73FD4D19">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44EFA3F6">
            <w:pPr>
              <w:widowControl/>
              <w:spacing w:before="100" w:beforeAutospacing="1" w:after="100" w:afterAutospacing="1" w:line="240" w:lineRule="atLeast"/>
              <w:jc w:val="center"/>
              <w:rPr>
                <w:rFonts w:ascii="宋体" w:hAnsi="宋体" w:cs="宋体"/>
                <w:kern w:val="0"/>
                <w:szCs w:val="21"/>
              </w:rPr>
            </w:pPr>
          </w:p>
        </w:tc>
        <w:tc>
          <w:tcPr>
            <w:tcW w:w="1913" w:type="dxa"/>
            <w:tcBorders>
              <w:top w:val="nil"/>
              <w:left w:val="nil"/>
              <w:bottom w:val="single" w:color="auto" w:sz="8" w:space="0"/>
              <w:right w:val="single" w:color="auto" w:sz="8" w:space="0"/>
            </w:tcBorders>
            <w:vAlign w:val="center"/>
          </w:tcPr>
          <w:p w14:paraId="045A5B60">
            <w:pPr>
              <w:widowControl/>
              <w:spacing w:before="100" w:beforeAutospacing="1" w:after="100" w:afterAutospacing="1" w:line="240" w:lineRule="atLeast"/>
              <w:jc w:val="center"/>
              <w:rPr>
                <w:rFonts w:ascii="宋体" w:hAnsi="宋体" w:cs="宋体"/>
                <w:kern w:val="0"/>
                <w:szCs w:val="21"/>
              </w:rPr>
            </w:pPr>
          </w:p>
        </w:tc>
      </w:tr>
      <w:tr w14:paraId="0D93CE3D">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6CD3D8EB">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kern w:val="0"/>
                <w:szCs w:val="21"/>
              </w:rPr>
              <w:t>合 计</w:t>
            </w:r>
          </w:p>
        </w:tc>
        <w:tc>
          <w:tcPr>
            <w:tcW w:w="863" w:type="dxa"/>
            <w:gridSpan w:val="2"/>
            <w:tcBorders>
              <w:top w:val="nil"/>
              <w:left w:val="nil"/>
              <w:bottom w:val="single" w:color="auto" w:sz="8" w:space="0"/>
              <w:right w:val="single" w:color="auto" w:sz="8" w:space="0"/>
            </w:tcBorders>
            <w:vAlign w:val="center"/>
          </w:tcPr>
          <w:p w14:paraId="2386290C">
            <w:pPr>
              <w:widowControl/>
              <w:spacing w:before="100" w:beforeAutospacing="1" w:after="100" w:afterAutospacing="1" w:line="240" w:lineRule="atLeast"/>
              <w:jc w:val="center"/>
              <w:rPr>
                <w:rFonts w:ascii="宋体" w:hAnsi="宋体" w:cs="宋体"/>
                <w:kern w:val="0"/>
                <w:szCs w:val="21"/>
              </w:rPr>
            </w:pPr>
          </w:p>
        </w:tc>
        <w:tc>
          <w:tcPr>
            <w:tcW w:w="1913" w:type="dxa"/>
            <w:tcBorders>
              <w:top w:val="nil"/>
              <w:left w:val="nil"/>
              <w:bottom w:val="single" w:color="auto" w:sz="8" w:space="0"/>
              <w:right w:val="single" w:color="auto" w:sz="8" w:space="0"/>
            </w:tcBorders>
            <w:vAlign w:val="center"/>
          </w:tcPr>
          <w:p w14:paraId="589E404C">
            <w:pPr>
              <w:widowControl/>
              <w:spacing w:before="100" w:beforeAutospacing="1" w:after="100" w:afterAutospacing="1" w:line="240" w:lineRule="atLeast"/>
              <w:jc w:val="center"/>
              <w:rPr>
                <w:rFonts w:ascii="宋体" w:hAnsi="宋体" w:cs="宋体"/>
                <w:kern w:val="0"/>
                <w:szCs w:val="21"/>
              </w:rPr>
            </w:pPr>
          </w:p>
        </w:tc>
      </w:tr>
      <w:tr w14:paraId="3B889B3F">
        <w:tblPrEx>
          <w:tblCellMar>
            <w:top w:w="0" w:type="dxa"/>
            <w:left w:w="0" w:type="dxa"/>
            <w:bottom w:w="0" w:type="dxa"/>
            <w:right w:w="0" w:type="dxa"/>
          </w:tblCellMar>
        </w:tblPrEx>
        <w:trPr>
          <w:trHeight w:val="641" w:hRule="atLeast"/>
          <w:jc w:val="center"/>
        </w:trPr>
        <w:tc>
          <w:tcPr>
            <w:tcW w:w="8930" w:type="dxa"/>
            <w:gridSpan w:val="8"/>
            <w:tcBorders>
              <w:top w:val="nil"/>
              <w:left w:val="single" w:color="auto" w:sz="8" w:space="0"/>
              <w:bottom w:val="single" w:color="auto" w:sz="8" w:space="0"/>
              <w:right w:val="single" w:color="auto" w:sz="8" w:space="0"/>
            </w:tcBorders>
            <w:vAlign w:val="center"/>
          </w:tcPr>
          <w:p w14:paraId="5EE7C159">
            <w:pPr>
              <w:widowControl/>
              <w:snapToGrid w:val="0"/>
              <w:spacing w:before="100" w:beforeAutospacing="1" w:after="100" w:afterAutospacing="1" w:line="320" w:lineRule="atLeast"/>
              <w:ind w:firstLine="2"/>
              <w:jc w:val="left"/>
              <w:rPr>
                <w:rFonts w:ascii="宋体" w:hAnsi="宋体" w:cs="宋体"/>
                <w:kern w:val="0"/>
                <w:szCs w:val="21"/>
              </w:rPr>
            </w:pPr>
            <w:r>
              <w:rPr>
                <w:rFonts w:ascii="宋体" w:hAnsi="宋体" w:cs="宋体"/>
                <w:kern w:val="0"/>
                <w:szCs w:val="21"/>
              </w:rPr>
              <w:t>合计大写金额： 仟 佰 拾 万 仟 佰 拾 元</w:t>
            </w:r>
          </w:p>
        </w:tc>
      </w:tr>
      <w:tr w14:paraId="524075CA">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5D17FC31">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14:paraId="01DCDDE2">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14:paraId="095ADF3E">
            <w:pPr>
              <w:widowControl/>
              <w:snapToGrid w:val="0"/>
              <w:spacing w:before="100" w:beforeAutospacing="1" w:after="100" w:afterAutospacing="1" w:line="320" w:lineRule="atLeast"/>
              <w:ind w:firstLine="46"/>
              <w:jc w:val="center"/>
              <w:rPr>
                <w:rFonts w:ascii="宋体" w:hAnsi="宋体" w:cs="宋体"/>
                <w:kern w:val="0"/>
                <w:szCs w:val="21"/>
              </w:rPr>
            </w:pPr>
            <w:r>
              <w:rPr>
                <w:rFonts w:ascii="宋体" w:hAnsi="宋体" w:cs="宋体"/>
                <w:kern w:val="0"/>
                <w:szCs w:val="21"/>
              </w:rPr>
              <w:t>合同交货验收日期</w:t>
            </w:r>
          </w:p>
        </w:tc>
        <w:tc>
          <w:tcPr>
            <w:tcW w:w="2598" w:type="dxa"/>
            <w:gridSpan w:val="2"/>
            <w:tcBorders>
              <w:top w:val="nil"/>
              <w:left w:val="nil"/>
              <w:bottom w:val="single" w:color="auto" w:sz="8" w:space="0"/>
              <w:right w:val="single" w:color="auto" w:sz="8" w:space="0"/>
            </w:tcBorders>
            <w:vAlign w:val="center"/>
          </w:tcPr>
          <w:p w14:paraId="3AF8EA6C">
            <w:pPr>
              <w:widowControl/>
              <w:spacing w:before="100" w:beforeAutospacing="1" w:after="100" w:afterAutospacing="1" w:line="240" w:lineRule="atLeast"/>
              <w:jc w:val="center"/>
              <w:rPr>
                <w:rFonts w:ascii="宋体" w:hAnsi="宋体" w:cs="宋体"/>
                <w:kern w:val="0"/>
                <w:szCs w:val="21"/>
              </w:rPr>
            </w:pPr>
          </w:p>
        </w:tc>
      </w:tr>
      <w:tr w14:paraId="5C5A0394">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6241563B">
            <w:pPr>
              <w:widowControl/>
              <w:spacing w:before="100" w:beforeAutospacing="1" w:after="100" w:afterAutospacing="1" w:line="240" w:lineRule="atLeast"/>
              <w:jc w:val="center"/>
              <w:rPr>
                <w:rFonts w:ascii="宋体" w:hAnsi="宋体" w:cs="宋体"/>
                <w:kern w:val="0"/>
                <w:szCs w:val="21"/>
              </w:rPr>
            </w:pPr>
          </w:p>
        </w:tc>
        <w:tc>
          <w:tcPr>
            <w:tcW w:w="2719" w:type="dxa"/>
            <w:gridSpan w:val="2"/>
            <w:tcBorders>
              <w:top w:val="nil"/>
              <w:left w:val="nil"/>
              <w:bottom w:val="single" w:color="auto" w:sz="8" w:space="0"/>
              <w:right w:val="single" w:color="auto" w:sz="8" w:space="0"/>
            </w:tcBorders>
            <w:vAlign w:val="center"/>
          </w:tcPr>
          <w:p w14:paraId="37C99F2F">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14:paraId="0E6E40A6">
            <w:pPr>
              <w:widowControl/>
              <w:spacing w:before="100" w:beforeAutospacing="1" w:after="100" w:afterAutospacing="1" w:line="240" w:lineRule="atLeast"/>
              <w:jc w:val="center"/>
              <w:rPr>
                <w:rFonts w:ascii="宋体" w:hAnsi="宋体" w:cs="宋体"/>
                <w:kern w:val="0"/>
                <w:szCs w:val="21"/>
              </w:rPr>
            </w:pPr>
          </w:p>
        </w:tc>
        <w:tc>
          <w:tcPr>
            <w:tcW w:w="2598" w:type="dxa"/>
            <w:gridSpan w:val="2"/>
            <w:tcBorders>
              <w:top w:val="nil"/>
              <w:left w:val="nil"/>
              <w:bottom w:val="single" w:color="auto" w:sz="8" w:space="0"/>
              <w:right w:val="single" w:color="auto" w:sz="8" w:space="0"/>
            </w:tcBorders>
            <w:vAlign w:val="center"/>
          </w:tcPr>
          <w:p w14:paraId="49C79BE5">
            <w:pPr>
              <w:widowControl/>
              <w:spacing w:before="100" w:beforeAutospacing="1" w:after="100" w:afterAutospacing="1" w:line="240" w:lineRule="atLeast"/>
              <w:jc w:val="center"/>
              <w:rPr>
                <w:rFonts w:ascii="宋体" w:hAnsi="宋体" w:cs="宋体"/>
                <w:kern w:val="0"/>
                <w:szCs w:val="21"/>
              </w:rPr>
            </w:pPr>
          </w:p>
        </w:tc>
      </w:tr>
      <w:tr w14:paraId="6F13EFE6">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E81069">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验收具体内容</w:t>
            </w:r>
          </w:p>
        </w:tc>
        <w:tc>
          <w:tcPr>
            <w:tcW w:w="7599"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36A16F8B">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kern w:val="0"/>
                <w:szCs w:val="21"/>
              </w:rPr>
              <w:t>（应按采购合同.采购文件.</w:t>
            </w:r>
            <w:r>
              <w:rPr>
                <w:rFonts w:hint="eastAsia" w:ascii="宋体" w:hAnsi="宋体" w:cs="宋体"/>
                <w:kern w:val="0"/>
                <w:szCs w:val="21"/>
              </w:rPr>
              <w:t>竞标</w:t>
            </w:r>
            <w:r>
              <w:rPr>
                <w:rFonts w:ascii="宋体" w:hAnsi="宋体" w:cs="宋体"/>
                <w:kern w:val="0"/>
                <w:szCs w:val="21"/>
              </w:rPr>
              <w:t>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2086D280">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26DC42">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验收小组意见</w:t>
            </w:r>
          </w:p>
        </w:tc>
        <w:tc>
          <w:tcPr>
            <w:tcW w:w="7599" w:type="dxa"/>
            <w:gridSpan w:val="7"/>
            <w:tcBorders>
              <w:top w:val="nil"/>
              <w:left w:val="nil"/>
              <w:bottom w:val="single" w:color="auto" w:sz="8" w:space="0"/>
              <w:right w:val="single" w:color="auto" w:sz="8" w:space="0"/>
            </w:tcBorders>
            <w:vAlign w:val="center"/>
          </w:tcPr>
          <w:p w14:paraId="5ADA72FF">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验收结论性意见：</w:t>
            </w:r>
          </w:p>
        </w:tc>
      </w:tr>
      <w:tr w14:paraId="712EA96A">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6AEE304C">
            <w:pPr>
              <w:widowControl/>
              <w:jc w:val="left"/>
              <w:rPr>
                <w:rFonts w:ascii="宋体" w:hAnsi="宋体" w:cs="宋体"/>
                <w:kern w:val="0"/>
                <w:szCs w:val="21"/>
              </w:rPr>
            </w:pPr>
          </w:p>
        </w:tc>
        <w:tc>
          <w:tcPr>
            <w:tcW w:w="7599" w:type="dxa"/>
            <w:gridSpan w:val="7"/>
            <w:tcBorders>
              <w:top w:val="nil"/>
              <w:left w:val="nil"/>
              <w:bottom w:val="single" w:color="auto" w:sz="8" w:space="0"/>
              <w:right w:val="single" w:color="auto" w:sz="8" w:space="0"/>
            </w:tcBorders>
            <w:vAlign w:val="center"/>
          </w:tcPr>
          <w:p w14:paraId="5AB83A5E">
            <w:pPr>
              <w:widowControl/>
              <w:spacing w:before="100" w:beforeAutospacing="1" w:after="100" w:afterAutospacing="1" w:line="320" w:lineRule="atLeast"/>
              <w:ind w:firstLine="96"/>
              <w:jc w:val="left"/>
              <w:rPr>
                <w:rFonts w:ascii="宋体" w:hAnsi="宋体" w:cs="宋体"/>
                <w:kern w:val="0"/>
                <w:szCs w:val="21"/>
              </w:rPr>
            </w:pPr>
            <w:r>
              <w:rPr>
                <w:rFonts w:ascii="宋体" w:hAnsi="宋体" w:cs="宋体"/>
                <w:kern w:val="0"/>
                <w:szCs w:val="21"/>
              </w:rPr>
              <w:t>有异议的意见和说明理由：</w:t>
            </w:r>
          </w:p>
          <w:p w14:paraId="1E071332">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签字：</w:t>
            </w:r>
          </w:p>
        </w:tc>
      </w:tr>
      <w:tr w14:paraId="4FCD74F3">
        <w:tblPrEx>
          <w:tblCellMar>
            <w:top w:w="0" w:type="dxa"/>
            <w:left w:w="0" w:type="dxa"/>
            <w:bottom w:w="0" w:type="dxa"/>
            <w:right w:w="0" w:type="dxa"/>
          </w:tblCellMar>
        </w:tblPrEx>
        <w:trPr>
          <w:trHeight w:val="507" w:hRule="atLeast"/>
          <w:jc w:val="center"/>
        </w:trPr>
        <w:tc>
          <w:tcPr>
            <w:tcW w:w="8930"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27C725">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验收小组成员签字：</w:t>
            </w:r>
          </w:p>
        </w:tc>
      </w:tr>
      <w:tr w14:paraId="22DEFE9E">
        <w:tblPrEx>
          <w:tblCellMar>
            <w:top w:w="0" w:type="dxa"/>
            <w:left w:w="0" w:type="dxa"/>
            <w:bottom w:w="0" w:type="dxa"/>
            <w:right w:w="0" w:type="dxa"/>
          </w:tblCellMar>
        </w:tblPrEx>
        <w:trPr>
          <w:trHeight w:val="736" w:hRule="atLeast"/>
          <w:jc w:val="center"/>
        </w:trPr>
        <w:tc>
          <w:tcPr>
            <w:tcW w:w="8930"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51248F">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监督人员或其他相关人员签字：</w:t>
            </w:r>
          </w:p>
          <w:p w14:paraId="745FD5AB">
            <w:pPr>
              <w:widowControl/>
              <w:spacing w:before="100" w:beforeAutospacing="1" w:after="100" w:afterAutospacing="1" w:line="320" w:lineRule="atLeast"/>
              <w:ind w:firstLine="74"/>
              <w:jc w:val="left"/>
              <w:rPr>
                <w:rFonts w:ascii="宋体" w:hAnsi="宋体" w:cs="宋体"/>
                <w:kern w:val="0"/>
                <w:szCs w:val="21"/>
              </w:rPr>
            </w:pPr>
            <w:r>
              <w:rPr>
                <w:rFonts w:ascii="宋体" w:hAnsi="宋体" w:cs="宋体"/>
                <w:kern w:val="0"/>
                <w:szCs w:val="21"/>
              </w:rPr>
              <w:t>或受邀机构的意见（盖章）：</w:t>
            </w:r>
          </w:p>
        </w:tc>
      </w:tr>
      <w:tr w14:paraId="3FA0BB3D">
        <w:tblPrEx>
          <w:tblCellMar>
            <w:top w:w="0" w:type="dxa"/>
            <w:left w:w="0" w:type="dxa"/>
            <w:bottom w:w="0" w:type="dxa"/>
            <w:right w:w="0" w:type="dxa"/>
          </w:tblCellMar>
        </w:tblPrEx>
        <w:trPr>
          <w:trHeight w:val="1879"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69ADB22F">
            <w:pPr>
              <w:widowControl/>
              <w:spacing w:before="100" w:beforeAutospacing="1" w:after="100" w:afterAutospacing="1" w:line="320" w:lineRule="atLeast"/>
              <w:ind w:firstLine="74"/>
              <w:jc w:val="left"/>
              <w:rPr>
                <w:rFonts w:ascii="宋体" w:hAnsi="宋体" w:cs="宋体"/>
                <w:kern w:val="0"/>
                <w:szCs w:val="21"/>
              </w:rPr>
            </w:pPr>
            <w:r>
              <w:rPr>
                <w:rFonts w:ascii="宋体" w:hAnsi="宋体" w:cs="宋体"/>
                <w:kern w:val="0"/>
                <w:szCs w:val="21"/>
              </w:rPr>
              <w:t>中标或者成交供应商负责人签字或盖章：</w:t>
            </w:r>
          </w:p>
          <w:p w14:paraId="56D4E897">
            <w:pPr>
              <w:widowControl/>
              <w:spacing w:before="100" w:beforeAutospacing="1" w:after="100" w:afterAutospacing="1" w:line="320" w:lineRule="atLeast"/>
              <w:jc w:val="left"/>
              <w:rPr>
                <w:rFonts w:ascii="宋体" w:hAnsi="宋体" w:cs="宋体"/>
                <w:kern w:val="0"/>
                <w:szCs w:val="21"/>
              </w:rPr>
            </w:pPr>
          </w:p>
          <w:p w14:paraId="25E0AC9F">
            <w:pPr>
              <w:widowControl/>
              <w:spacing w:before="100" w:beforeAutospacing="1" w:after="100" w:afterAutospacing="1" w:line="320" w:lineRule="atLeast"/>
              <w:ind w:firstLine="315" w:firstLineChars="150"/>
              <w:jc w:val="left"/>
              <w:rPr>
                <w:rFonts w:ascii="宋体" w:hAnsi="宋体" w:cs="宋体"/>
                <w:kern w:val="0"/>
                <w:szCs w:val="21"/>
              </w:rPr>
            </w:pPr>
            <w:r>
              <w:rPr>
                <w:rFonts w:ascii="宋体" w:hAnsi="宋体" w:cs="宋体"/>
                <w:kern w:val="0"/>
                <w:szCs w:val="21"/>
              </w:rPr>
              <w:t>联系电话： 年 月 日</w:t>
            </w:r>
          </w:p>
        </w:tc>
        <w:tc>
          <w:tcPr>
            <w:tcW w:w="4778" w:type="dxa"/>
            <w:gridSpan w:val="4"/>
            <w:tcBorders>
              <w:top w:val="nil"/>
              <w:left w:val="nil"/>
              <w:bottom w:val="single" w:color="auto" w:sz="8" w:space="0"/>
              <w:right w:val="single" w:color="auto" w:sz="8" w:space="0"/>
            </w:tcBorders>
            <w:vAlign w:val="center"/>
          </w:tcPr>
          <w:p w14:paraId="78C17E81">
            <w:pPr>
              <w:widowControl/>
              <w:spacing w:before="100" w:beforeAutospacing="1" w:after="100" w:afterAutospacing="1" w:line="320" w:lineRule="atLeast"/>
              <w:ind w:firstLine="315" w:firstLineChars="150"/>
              <w:jc w:val="left"/>
              <w:rPr>
                <w:rFonts w:ascii="宋体" w:hAnsi="宋体" w:cs="宋体"/>
                <w:kern w:val="0"/>
                <w:szCs w:val="21"/>
              </w:rPr>
            </w:pPr>
            <w:r>
              <w:rPr>
                <w:rFonts w:ascii="宋体" w:hAnsi="宋体" w:cs="宋体"/>
                <w:kern w:val="0"/>
                <w:szCs w:val="21"/>
              </w:rPr>
              <w:t>采购人或受托机构的意见（盖章）：</w:t>
            </w:r>
          </w:p>
          <w:p w14:paraId="70119D9C">
            <w:pPr>
              <w:widowControl/>
              <w:spacing w:before="100" w:beforeAutospacing="1" w:after="100" w:afterAutospacing="1" w:line="320" w:lineRule="atLeast"/>
              <w:ind w:firstLine="315" w:firstLineChars="150"/>
              <w:jc w:val="left"/>
              <w:rPr>
                <w:rFonts w:ascii="宋体" w:hAnsi="宋体" w:cs="宋体"/>
                <w:kern w:val="0"/>
                <w:szCs w:val="21"/>
              </w:rPr>
            </w:pPr>
          </w:p>
          <w:p w14:paraId="64DFC83A">
            <w:pPr>
              <w:widowControl/>
              <w:spacing w:before="100" w:beforeAutospacing="1" w:after="100" w:afterAutospacing="1" w:line="320" w:lineRule="atLeast"/>
              <w:ind w:firstLine="525" w:firstLineChars="250"/>
              <w:jc w:val="left"/>
              <w:rPr>
                <w:rFonts w:ascii="宋体" w:hAnsi="宋体" w:cs="宋体"/>
                <w:kern w:val="0"/>
                <w:szCs w:val="21"/>
              </w:rPr>
            </w:pPr>
            <w:r>
              <w:rPr>
                <w:rFonts w:ascii="宋体" w:hAnsi="宋体" w:cs="宋体"/>
                <w:kern w:val="0"/>
                <w:szCs w:val="21"/>
              </w:rPr>
              <w:t>联系电话： 年 月 日</w:t>
            </w:r>
          </w:p>
        </w:tc>
      </w:tr>
    </w:tbl>
    <w:p w14:paraId="65DB21A9">
      <w:pPr>
        <w:pStyle w:val="16"/>
      </w:pPr>
    </w:p>
    <w:p w14:paraId="2FD868F4">
      <w:pPr>
        <w:pStyle w:val="2"/>
        <w:spacing w:line="240" w:lineRule="atLeast"/>
        <w:jc w:val="center"/>
      </w:pPr>
      <w:bookmarkStart w:id="50" w:name="_Toc14200"/>
      <w:r>
        <w:rPr>
          <w:rFonts w:hint="eastAsia"/>
          <w:sz w:val="36"/>
          <w:szCs w:val="36"/>
        </w:rPr>
        <w:t>第六章谈判响应文件基本格式</w:t>
      </w:r>
      <w:bookmarkEnd w:id="50"/>
    </w:p>
    <w:p w14:paraId="5E2DF222">
      <w:pPr>
        <w:widowControl/>
        <w:jc w:val="left"/>
        <w:rPr>
          <w:rFonts w:ascii="宋体" w:hAnsi="宋体"/>
          <w:sz w:val="28"/>
          <w:szCs w:val="28"/>
        </w:rPr>
      </w:pPr>
      <w:r>
        <w:rPr>
          <w:rFonts w:hint="eastAsia" w:ascii="仿宋_GB2312" w:hAnsi="宋体" w:eastAsia="仿宋_GB2312"/>
          <w:sz w:val="28"/>
          <w:szCs w:val="28"/>
        </w:rPr>
        <w:t>封面：</w:t>
      </w:r>
    </w:p>
    <w:p w14:paraId="4C6972CB">
      <w:pPr>
        <w:spacing w:line="500" w:lineRule="exact"/>
        <w:jc w:val="center"/>
        <w:rPr>
          <w:rFonts w:ascii="仿宋_GB2312" w:hAnsi="宋体" w:eastAsia="仿宋_GB2312"/>
          <w:sz w:val="28"/>
          <w:szCs w:val="28"/>
        </w:rPr>
      </w:pPr>
    </w:p>
    <w:p w14:paraId="0098DEC9">
      <w:pPr>
        <w:spacing w:line="500" w:lineRule="exact"/>
        <w:jc w:val="center"/>
        <w:rPr>
          <w:rFonts w:ascii="仿宋_GB2312" w:hAnsi="宋体" w:eastAsia="仿宋_GB2312"/>
          <w:sz w:val="28"/>
          <w:szCs w:val="28"/>
        </w:rPr>
      </w:pPr>
    </w:p>
    <w:p w14:paraId="44CAAE2A">
      <w:pPr>
        <w:spacing w:line="800" w:lineRule="exact"/>
        <w:jc w:val="center"/>
        <w:rPr>
          <w:rFonts w:ascii="仿宋_GB2312" w:hAnsi="宋体" w:eastAsia="仿宋_GB2312"/>
          <w:sz w:val="28"/>
          <w:szCs w:val="28"/>
        </w:rPr>
      </w:pPr>
    </w:p>
    <w:p w14:paraId="663E36E4">
      <w:pPr>
        <w:spacing w:line="800" w:lineRule="exact"/>
        <w:jc w:val="center"/>
        <w:rPr>
          <w:rFonts w:ascii="仿宋_GB2312" w:hAnsi="宋体" w:eastAsia="仿宋_GB2312"/>
          <w:b/>
          <w:sz w:val="72"/>
          <w:szCs w:val="72"/>
        </w:rPr>
      </w:pPr>
      <w:r>
        <w:rPr>
          <w:rFonts w:hint="eastAsia" w:ascii="仿宋_GB2312" w:hAnsi="宋体" w:eastAsia="仿宋_GB2312"/>
          <w:b/>
          <w:sz w:val="72"/>
          <w:szCs w:val="72"/>
        </w:rPr>
        <w:t>竞争性</w:t>
      </w:r>
      <w:r>
        <w:rPr>
          <w:rFonts w:ascii="仿宋_GB2312" w:hAnsi="宋体" w:eastAsia="仿宋_GB2312"/>
          <w:b/>
          <w:sz w:val="72"/>
          <w:szCs w:val="72"/>
        </w:rPr>
        <w:t>谈判响应</w:t>
      </w:r>
      <w:r>
        <w:rPr>
          <w:rFonts w:hint="eastAsia" w:ascii="仿宋_GB2312" w:hAnsi="宋体" w:eastAsia="仿宋_GB2312"/>
          <w:b/>
          <w:sz w:val="72"/>
          <w:szCs w:val="72"/>
        </w:rPr>
        <w:t>文件</w:t>
      </w:r>
    </w:p>
    <w:p w14:paraId="4908580D">
      <w:pPr>
        <w:spacing w:line="500" w:lineRule="exact"/>
        <w:jc w:val="center"/>
        <w:rPr>
          <w:rFonts w:ascii="仿宋_GB2312" w:hAnsi="宋体" w:eastAsia="仿宋_GB2312"/>
          <w:sz w:val="36"/>
          <w:szCs w:val="36"/>
        </w:rPr>
      </w:pPr>
      <w:r>
        <w:rPr>
          <w:rFonts w:hint="eastAsia" w:ascii="仿宋_GB2312" w:hAnsi="宋体" w:eastAsia="仿宋_GB2312"/>
          <w:sz w:val="36"/>
          <w:szCs w:val="36"/>
        </w:rPr>
        <w:t>（</w:t>
      </w:r>
      <w:r>
        <w:rPr>
          <w:rFonts w:hint="eastAsia" w:ascii="宋体" w:hAnsi="宋体"/>
          <w:sz w:val="36"/>
          <w:szCs w:val="36"/>
        </w:rPr>
        <w:t>价格文件/资</w:t>
      </w:r>
      <w:r>
        <w:rPr>
          <w:rFonts w:ascii="宋体" w:hAnsi="宋体"/>
          <w:sz w:val="36"/>
          <w:szCs w:val="36"/>
        </w:rPr>
        <w:t>格</w:t>
      </w:r>
      <w:r>
        <w:rPr>
          <w:rFonts w:hint="eastAsia" w:ascii="宋体" w:hAnsi="宋体"/>
          <w:sz w:val="36"/>
          <w:szCs w:val="36"/>
        </w:rPr>
        <w:t>文件/商务</w:t>
      </w:r>
      <w:r>
        <w:rPr>
          <w:rFonts w:ascii="宋体" w:hAnsi="宋体"/>
          <w:sz w:val="36"/>
          <w:szCs w:val="36"/>
        </w:rPr>
        <w:t>和</w:t>
      </w:r>
      <w:r>
        <w:rPr>
          <w:rFonts w:hint="eastAsia" w:ascii="宋体" w:hAnsi="宋体"/>
          <w:sz w:val="36"/>
          <w:szCs w:val="36"/>
        </w:rPr>
        <w:t>技术文件</w:t>
      </w:r>
      <w:r>
        <w:rPr>
          <w:rFonts w:hint="eastAsia" w:ascii="仿宋_GB2312" w:hAnsi="宋体" w:eastAsia="仿宋_GB2312"/>
          <w:sz w:val="36"/>
          <w:szCs w:val="36"/>
        </w:rPr>
        <w:t>）</w:t>
      </w:r>
    </w:p>
    <w:p w14:paraId="6186BB58">
      <w:pPr>
        <w:spacing w:line="500" w:lineRule="exact"/>
        <w:jc w:val="center"/>
        <w:rPr>
          <w:rFonts w:ascii="仿宋_GB2312" w:hAnsi="宋体" w:eastAsia="仿宋_GB2312"/>
          <w:sz w:val="36"/>
          <w:szCs w:val="36"/>
        </w:rPr>
      </w:pPr>
      <w:r>
        <w:rPr>
          <w:rFonts w:hint="eastAsia" w:ascii="仿宋_GB2312" w:hAnsi="宋体" w:eastAsia="仿宋_GB2312"/>
          <w:sz w:val="36"/>
          <w:szCs w:val="36"/>
        </w:rPr>
        <w:t>（正</w:t>
      </w:r>
      <w:r>
        <w:rPr>
          <w:rFonts w:ascii="仿宋_GB2312" w:hAnsi="宋体" w:eastAsia="仿宋_GB2312"/>
          <w:sz w:val="36"/>
          <w:szCs w:val="36"/>
        </w:rPr>
        <w:t>本/</w:t>
      </w:r>
      <w:r>
        <w:rPr>
          <w:rFonts w:hint="eastAsia" w:ascii="仿宋_GB2312" w:hAnsi="宋体" w:eastAsia="仿宋_GB2312"/>
          <w:sz w:val="36"/>
          <w:szCs w:val="36"/>
        </w:rPr>
        <w:t>副</w:t>
      </w:r>
      <w:r>
        <w:rPr>
          <w:rFonts w:ascii="仿宋_GB2312" w:hAnsi="宋体" w:eastAsia="仿宋_GB2312"/>
          <w:sz w:val="36"/>
          <w:szCs w:val="36"/>
        </w:rPr>
        <w:t>本）</w:t>
      </w:r>
    </w:p>
    <w:p w14:paraId="137F521E">
      <w:pPr>
        <w:spacing w:line="500" w:lineRule="exact"/>
        <w:jc w:val="center"/>
        <w:rPr>
          <w:rFonts w:ascii="仿宋_GB2312" w:hAnsi="宋体" w:eastAsia="仿宋_GB2312"/>
          <w:sz w:val="28"/>
          <w:szCs w:val="28"/>
        </w:rPr>
      </w:pPr>
    </w:p>
    <w:p w14:paraId="1BAE3649">
      <w:pPr>
        <w:spacing w:line="500" w:lineRule="exact"/>
        <w:jc w:val="center"/>
        <w:rPr>
          <w:rFonts w:ascii="仿宋_GB2312" w:hAnsi="宋体" w:eastAsia="仿宋_GB2312"/>
          <w:sz w:val="28"/>
          <w:szCs w:val="28"/>
        </w:rPr>
      </w:pPr>
    </w:p>
    <w:p w14:paraId="40CC2BF0">
      <w:pPr>
        <w:spacing w:line="740" w:lineRule="exact"/>
        <w:ind w:left="1438" w:leftChars="685"/>
        <w:rPr>
          <w:rFonts w:ascii="仿宋_GB2312" w:hAnsi="宋体" w:eastAsia="仿宋_GB2312"/>
          <w:sz w:val="28"/>
          <w:szCs w:val="28"/>
          <w:u w:val="single"/>
        </w:rPr>
      </w:pPr>
      <w:r>
        <w:rPr>
          <w:rFonts w:hint="eastAsia" w:ascii="仿宋_GB2312" w:hAnsi="宋体" w:eastAsia="仿宋_GB2312"/>
          <w:sz w:val="28"/>
          <w:szCs w:val="28"/>
        </w:rPr>
        <w:t xml:space="preserve">    采购项目名称：</w:t>
      </w:r>
    </w:p>
    <w:p w14:paraId="6078EB5E">
      <w:pPr>
        <w:tabs>
          <w:tab w:val="left" w:pos="3240"/>
        </w:tabs>
        <w:spacing w:line="740" w:lineRule="exact"/>
        <w:ind w:left="1438" w:leftChars="685" w:firstLine="560" w:firstLineChars="200"/>
        <w:rPr>
          <w:rFonts w:ascii="仿宋_GB2312" w:hAnsi="宋体" w:eastAsia="仿宋_GB2312"/>
          <w:sz w:val="28"/>
          <w:szCs w:val="28"/>
          <w:u w:val="single"/>
        </w:rPr>
      </w:pPr>
      <w:r>
        <w:rPr>
          <w:rFonts w:hint="eastAsia" w:ascii="仿宋_GB2312" w:hAnsi="宋体" w:eastAsia="仿宋_GB2312"/>
          <w:sz w:val="28"/>
          <w:szCs w:val="28"/>
        </w:rPr>
        <w:t>采购项目编号：</w:t>
      </w:r>
    </w:p>
    <w:p w14:paraId="3734EC0E">
      <w:pPr>
        <w:tabs>
          <w:tab w:val="left" w:pos="3240"/>
        </w:tabs>
        <w:spacing w:line="740" w:lineRule="exact"/>
        <w:ind w:left="1438" w:leftChars="685" w:firstLine="560" w:firstLineChars="200"/>
        <w:rPr>
          <w:rFonts w:ascii="仿宋_GB2312" w:hAnsi="宋体" w:eastAsia="仿宋_GB2312"/>
          <w:sz w:val="28"/>
          <w:szCs w:val="28"/>
          <w:u w:val="single"/>
        </w:rPr>
      </w:pPr>
      <w:r>
        <w:rPr>
          <w:rFonts w:hint="eastAsia" w:ascii="仿宋_GB2312" w:hAnsi="宋体" w:eastAsia="仿宋_GB2312"/>
          <w:sz w:val="28"/>
          <w:szCs w:val="28"/>
        </w:rPr>
        <w:t>供应商</w:t>
      </w:r>
      <w:r>
        <w:rPr>
          <w:rFonts w:ascii="仿宋_GB2312" w:hAnsi="宋体" w:eastAsia="仿宋_GB2312"/>
          <w:sz w:val="28"/>
          <w:szCs w:val="28"/>
        </w:rPr>
        <w:t>名称：</w:t>
      </w:r>
    </w:p>
    <w:p w14:paraId="706071F5">
      <w:pPr>
        <w:tabs>
          <w:tab w:val="left" w:pos="3240"/>
        </w:tabs>
        <w:spacing w:line="740" w:lineRule="exact"/>
        <w:ind w:left="1438" w:leftChars="685" w:firstLine="560" w:firstLineChars="200"/>
        <w:rPr>
          <w:rFonts w:ascii="仿宋_GB2312" w:hAnsi="宋体" w:eastAsia="仿宋_GB2312"/>
          <w:sz w:val="28"/>
          <w:szCs w:val="28"/>
        </w:rPr>
      </w:pPr>
      <w:r>
        <w:rPr>
          <w:rFonts w:hint="eastAsia" w:ascii="仿宋_GB2312" w:hAnsi="宋体" w:eastAsia="仿宋_GB2312"/>
          <w:sz w:val="28"/>
          <w:szCs w:val="28"/>
        </w:rPr>
        <w:t>法</w:t>
      </w:r>
      <w:r>
        <w:rPr>
          <w:rFonts w:ascii="仿宋_GB2312" w:hAnsi="宋体" w:eastAsia="仿宋_GB2312"/>
          <w:sz w:val="28"/>
          <w:szCs w:val="28"/>
        </w:rPr>
        <w:t>定代表人或委托代理人签字：</w:t>
      </w:r>
    </w:p>
    <w:p w14:paraId="6226F7C6">
      <w:pPr>
        <w:pStyle w:val="16"/>
        <w:spacing w:line="740" w:lineRule="exact"/>
        <w:ind w:firstLine="1960" w:firstLineChars="700"/>
        <w:jc w:val="both"/>
        <w:rPr>
          <w:rFonts w:ascii="仿宋_GB2312" w:eastAsia="仿宋_GB2312"/>
          <w:sz w:val="28"/>
          <w:szCs w:val="28"/>
        </w:rPr>
      </w:pPr>
      <w:r>
        <w:rPr>
          <w:rFonts w:hint="eastAsia" w:ascii="仿宋_GB2312" w:eastAsia="仿宋_GB2312"/>
          <w:sz w:val="28"/>
          <w:szCs w:val="28"/>
        </w:rPr>
        <w:t>供应商地址：</w:t>
      </w:r>
    </w:p>
    <w:p w14:paraId="6FE199C5">
      <w:pPr>
        <w:tabs>
          <w:tab w:val="left" w:pos="2625"/>
        </w:tabs>
        <w:spacing w:line="500" w:lineRule="exact"/>
        <w:jc w:val="center"/>
        <w:rPr>
          <w:rFonts w:ascii="仿宋_GB2312" w:hAnsi="宋体" w:eastAsia="仿宋_GB2312"/>
          <w:sz w:val="28"/>
          <w:szCs w:val="28"/>
        </w:rPr>
      </w:pPr>
    </w:p>
    <w:p w14:paraId="53874259">
      <w:pPr>
        <w:tabs>
          <w:tab w:val="left" w:pos="2625"/>
        </w:tabs>
        <w:spacing w:line="500" w:lineRule="exact"/>
        <w:jc w:val="center"/>
        <w:rPr>
          <w:rFonts w:ascii="仿宋_GB2312" w:hAnsi="宋体" w:eastAsia="仿宋_GB2312"/>
          <w:sz w:val="28"/>
          <w:szCs w:val="28"/>
        </w:rPr>
      </w:pPr>
    </w:p>
    <w:p w14:paraId="7C69278C">
      <w:pPr>
        <w:tabs>
          <w:tab w:val="left" w:pos="2625"/>
        </w:tabs>
        <w:spacing w:line="500" w:lineRule="exact"/>
        <w:jc w:val="center"/>
        <w:rPr>
          <w:rFonts w:ascii="仿宋_GB2312" w:hAnsi="宋体" w:eastAsia="仿宋_GB2312"/>
          <w:sz w:val="28"/>
          <w:szCs w:val="28"/>
        </w:rPr>
      </w:pPr>
    </w:p>
    <w:p w14:paraId="673662E3">
      <w:pPr>
        <w:tabs>
          <w:tab w:val="left" w:pos="2625"/>
        </w:tabs>
        <w:spacing w:line="500" w:lineRule="exact"/>
        <w:jc w:val="center"/>
        <w:rPr>
          <w:rFonts w:ascii="仿宋_GB2312" w:hAnsi="宋体" w:eastAsia="仿宋_GB2312"/>
          <w:sz w:val="28"/>
          <w:szCs w:val="28"/>
        </w:rPr>
      </w:pPr>
    </w:p>
    <w:p w14:paraId="500A4C67">
      <w:pPr>
        <w:spacing w:line="500" w:lineRule="exact"/>
        <w:jc w:val="center"/>
        <w:rPr>
          <w:rFonts w:ascii="仿宋_GB2312" w:hAnsi="宋体" w:eastAsia="仿宋_GB2312"/>
          <w:sz w:val="28"/>
          <w:szCs w:val="28"/>
        </w:rPr>
      </w:pPr>
      <w:r>
        <w:rPr>
          <w:rFonts w:hint="eastAsia" w:ascii="仿宋_GB2312" w:hAnsi="宋体" w:eastAsia="仿宋_GB2312"/>
          <w:sz w:val="28"/>
          <w:szCs w:val="28"/>
        </w:rPr>
        <w:t xml:space="preserve">                                        （供应商名称）</w:t>
      </w:r>
      <w:r>
        <w:rPr>
          <w:rFonts w:ascii="仿宋_GB2312" w:hAnsi="宋体" w:eastAsia="仿宋_GB2312"/>
          <w:sz w:val="28"/>
          <w:szCs w:val="28"/>
        </w:rPr>
        <w:t>（盖章）</w:t>
      </w:r>
    </w:p>
    <w:p w14:paraId="10611E21">
      <w:pPr>
        <w:spacing w:line="500" w:lineRule="exact"/>
        <w:ind w:firstLine="6440" w:firstLineChars="2300"/>
        <w:rPr>
          <w:rFonts w:ascii="仿宋_GB2312" w:hAnsi="宋体" w:eastAsia="仿宋_GB2312"/>
          <w:sz w:val="28"/>
          <w:szCs w:val="28"/>
        </w:rPr>
      </w:pPr>
      <w:r>
        <w:rPr>
          <w:rFonts w:hint="eastAsia" w:ascii="仿宋_GB2312" w:hAnsi="宋体" w:eastAsia="仿宋_GB2312"/>
          <w:sz w:val="28"/>
          <w:szCs w:val="28"/>
        </w:rPr>
        <w:t>年  月  日</w:t>
      </w:r>
    </w:p>
    <w:p w14:paraId="0E387AED">
      <w:pPr>
        <w:spacing w:line="320" w:lineRule="exact"/>
        <w:rPr>
          <w:rFonts w:ascii="宋体" w:hAnsi="宋体"/>
          <w:szCs w:val="21"/>
        </w:rPr>
      </w:pPr>
    </w:p>
    <w:p w14:paraId="144CDB9D">
      <w:pPr>
        <w:spacing w:line="400" w:lineRule="exact"/>
        <w:jc w:val="center"/>
        <w:rPr>
          <w:rFonts w:ascii="宋体" w:hAnsi="宋体"/>
          <w:b/>
          <w:sz w:val="32"/>
          <w:szCs w:val="32"/>
        </w:rPr>
      </w:pPr>
      <w:r>
        <w:rPr>
          <w:rFonts w:hint="eastAsia" w:ascii="宋体" w:hAnsi="宋体"/>
          <w:szCs w:val="21"/>
        </w:rPr>
        <w:br w:type="page"/>
      </w:r>
      <w:r>
        <w:rPr>
          <w:rFonts w:hint="eastAsia" w:ascii="宋体" w:hAnsi="宋体"/>
          <w:b/>
          <w:sz w:val="32"/>
          <w:szCs w:val="32"/>
        </w:rPr>
        <w:t>目   录</w:t>
      </w:r>
    </w:p>
    <w:p w14:paraId="47322AD3">
      <w:pPr>
        <w:spacing w:line="380" w:lineRule="exact"/>
        <w:ind w:firstLine="315" w:firstLineChars="150"/>
        <w:rPr>
          <w:rFonts w:ascii="宋体" w:hAnsi="宋体"/>
          <w:szCs w:val="21"/>
        </w:rPr>
      </w:pPr>
      <w:r>
        <w:rPr>
          <w:rFonts w:hint="eastAsia" w:ascii="宋体" w:hAnsi="宋体"/>
          <w:szCs w:val="21"/>
        </w:rPr>
        <w:t>一、价格文件</w:t>
      </w:r>
    </w:p>
    <w:p w14:paraId="46082AC9">
      <w:pPr>
        <w:spacing w:line="380" w:lineRule="exact"/>
        <w:ind w:firstLine="317" w:firstLineChars="151"/>
        <w:rPr>
          <w:rFonts w:ascii="宋体" w:hAnsi="宋体"/>
          <w:b/>
          <w:szCs w:val="21"/>
        </w:rPr>
      </w:pPr>
      <w:r>
        <w:rPr>
          <w:rFonts w:hint="eastAsia" w:ascii="宋体" w:hAnsi="宋体"/>
          <w:szCs w:val="21"/>
        </w:rPr>
        <w:t>1</w:t>
      </w:r>
      <w:r>
        <w:rPr>
          <w:rFonts w:ascii="宋体" w:hAnsi="宋体"/>
          <w:szCs w:val="21"/>
        </w:rPr>
        <w:t>.</w:t>
      </w:r>
      <w:r>
        <w:rPr>
          <w:rFonts w:hint="eastAsia" w:ascii="宋体" w:hAnsi="宋体"/>
          <w:szCs w:val="21"/>
        </w:rPr>
        <w:t>谈判书</w:t>
      </w:r>
    </w:p>
    <w:p w14:paraId="3D960EB8">
      <w:pPr>
        <w:spacing w:line="380" w:lineRule="exact"/>
        <w:ind w:firstLine="317" w:firstLineChars="151"/>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谈判报价表</w:t>
      </w:r>
    </w:p>
    <w:p w14:paraId="2AD4FAA9">
      <w:pPr>
        <w:spacing w:line="380" w:lineRule="exact"/>
        <w:ind w:firstLine="317" w:firstLineChars="151"/>
        <w:rPr>
          <w:rFonts w:ascii="宋体" w:hAnsi="宋体"/>
          <w:b/>
          <w:szCs w:val="21"/>
        </w:rPr>
      </w:pPr>
      <w:r>
        <w:rPr>
          <w:rFonts w:hint="eastAsia" w:ascii="宋体" w:hAnsi="宋体"/>
          <w:szCs w:val="21"/>
        </w:rPr>
        <w:t>3</w:t>
      </w:r>
      <w:r>
        <w:rPr>
          <w:rFonts w:ascii="宋体" w:hAnsi="宋体"/>
          <w:szCs w:val="21"/>
        </w:rPr>
        <w:t>.</w:t>
      </w:r>
      <w:r>
        <w:rPr>
          <w:rFonts w:hint="eastAsia" w:ascii="宋体" w:hAnsi="宋体"/>
          <w:szCs w:val="21"/>
        </w:rPr>
        <w:t>供应商符合中小企业划型标准的，按《政府采购促进中小企业发展管理办法》(财库〔2020〕46号）要求，出具</w:t>
      </w:r>
      <w:r>
        <w:rPr>
          <w:rFonts w:ascii="宋体" w:hAnsi="宋体"/>
          <w:szCs w:val="21"/>
        </w:rPr>
        <w:t>中小企业声明函</w:t>
      </w:r>
      <w:r>
        <w:rPr>
          <w:rFonts w:hint="eastAsia" w:ascii="宋体" w:hAnsi="宋体"/>
          <w:szCs w:val="21"/>
        </w:rPr>
        <w:t>。</w:t>
      </w:r>
    </w:p>
    <w:p w14:paraId="38CEDEBC">
      <w:pPr>
        <w:spacing w:line="380" w:lineRule="exact"/>
        <w:ind w:firstLine="317" w:firstLineChars="151"/>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供应商属于</w:t>
      </w:r>
      <w:r>
        <w:rPr>
          <w:rFonts w:hint="eastAsia" w:hAnsi="宋体" w:cs="宋体"/>
          <w:szCs w:val="21"/>
        </w:rPr>
        <w:t>监</w:t>
      </w:r>
      <w:r>
        <w:rPr>
          <w:rFonts w:hint="eastAsia" w:hAnsi="宋体"/>
          <w:szCs w:val="21"/>
        </w:rPr>
        <w:t>狱企业的，应提供由省级以上监狱管理局.戒毒管理局（含新疆生产建设兵团）出具的属于监狱企业的证明文件。</w:t>
      </w:r>
    </w:p>
    <w:p w14:paraId="12D710CB">
      <w:pPr>
        <w:spacing w:line="380" w:lineRule="exact"/>
        <w:ind w:firstLine="317" w:firstLineChars="151"/>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供应商属于残疾人福利性单位，按《三部门联合发布关于促进残疾人就业政府采购政策的通知》（财库〔2017〕141号）要求，提供《残疾人福利性单位声明函》。</w:t>
      </w:r>
    </w:p>
    <w:p w14:paraId="5AC06519">
      <w:pPr>
        <w:spacing w:line="380" w:lineRule="exact"/>
        <w:ind w:firstLine="317" w:firstLineChars="151"/>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供应商针对报价需要说明的其他文件和说明（格式自拟）</w:t>
      </w:r>
    </w:p>
    <w:p w14:paraId="616B5CFA">
      <w:pPr>
        <w:spacing w:line="380" w:lineRule="exact"/>
        <w:ind w:firstLine="315" w:firstLineChars="150"/>
        <w:rPr>
          <w:rFonts w:ascii="宋体" w:hAnsi="宋体"/>
          <w:szCs w:val="21"/>
        </w:rPr>
      </w:pPr>
      <w:r>
        <w:rPr>
          <w:rFonts w:hint="eastAsia" w:ascii="宋体" w:hAnsi="宋体"/>
          <w:szCs w:val="21"/>
        </w:rPr>
        <w:t>二、资格文件</w:t>
      </w:r>
    </w:p>
    <w:p w14:paraId="6C48BBA6">
      <w:pPr>
        <w:spacing w:line="380" w:lineRule="exact"/>
        <w:ind w:left="-27" w:leftChars="-13" w:firstLine="317" w:firstLineChars="151"/>
        <w:jc w:val="left"/>
        <w:rPr>
          <w:rFonts w:hAnsi="宋体"/>
          <w:b/>
          <w:szCs w:val="21"/>
        </w:rPr>
      </w:pPr>
      <w:r>
        <w:rPr>
          <w:rFonts w:hint="eastAsia" w:ascii="宋体" w:hAnsi="宋体"/>
          <w:szCs w:val="21"/>
        </w:rPr>
        <w:t>1</w:t>
      </w:r>
      <w:r>
        <w:rPr>
          <w:rFonts w:ascii="宋体" w:hAnsi="宋体"/>
          <w:szCs w:val="21"/>
        </w:rPr>
        <w:t>.</w:t>
      </w:r>
      <w:r>
        <w:rPr>
          <w:rFonts w:hint="eastAsia" w:ascii="宋体" w:hAnsi="宋体" w:cs="Arial"/>
          <w:szCs w:val="21"/>
        </w:rPr>
        <w:t>供应商</w:t>
      </w:r>
      <w:r>
        <w:rPr>
          <w:rFonts w:hint="eastAsia" w:ascii="宋体" w:hAnsi="宋体"/>
          <w:szCs w:val="21"/>
        </w:rPr>
        <w:t>有效的营业执照副本复印件；</w:t>
      </w:r>
    </w:p>
    <w:p w14:paraId="472909C3">
      <w:pPr>
        <w:spacing w:line="380" w:lineRule="exact"/>
        <w:ind w:firstLine="315" w:firstLineChars="150"/>
        <w:jc w:val="left"/>
        <w:rPr>
          <w:rFonts w:ascii="宋体" w:hAnsi="宋体"/>
          <w:szCs w:val="21"/>
        </w:rPr>
      </w:pPr>
      <w:r>
        <w:rPr>
          <w:rFonts w:hint="eastAsia" w:ascii="宋体" w:hAnsi="宋体"/>
          <w:szCs w:val="21"/>
        </w:rPr>
        <w:t>2.法定代表人身份证正反</w:t>
      </w:r>
      <w:r>
        <w:rPr>
          <w:rFonts w:ascii="宋体" w:hAnsi="宋体"/>
          <w:szCs w:val="21"/>
        </w:rPr>
        <w:t>面</w:t>
      </w:r>
      <w:r>
        <w:rPr>
          <w:rFonts w:hint="eastAsia" w:ascii="宋体" w:hAnsi="宋体"/>
          <w:szCs w:val="21"/>
        </w:rPr>
        <w:t>复印件；</w:t>
      </w:r>
    </w:p>
    <w:p w14:paraId="4CE5D4F9">
      <w:pPr>
        <w:spacing w:line="380" w:lineRule="exact"/>
        <w:ind w:left="-27" w:leftChars="-13" w:firstLine="317" w:firstLineChars="151"/>
        <w:jc w:val="lef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法定代表人身份证明书原件（法定代表人参</w:t>
      </w:r>
      <w:r>
        <w:rPr>
          <w:rFonts w:ascii="宋体" w:hAnsi="宋体"/>
          <w:szCs w:val="21"/>
        </w:rPr>
        <w:t>加竞标会</w:t>
      </w:r>
      <w:r>
        <w:rPr>
          <w:rFonts w:hint="eastAsia" w:ascii="宋体" w:hAnsi="宋体"/>
          <w:szCs w:val="21"/>
        </w:rPr>
        <w:t>签</w:t>
      </w:r>
      <w:r>
        <w:rPr>
          <w:rFonts w:ascii="宋体" w:hAnsi="宋体"/>
          <w:szCs w:val="21"/>
        </w:rPr>
        <w:t>署响应文件</w:t>
      </w:r>
      <w:r>
        <w:rPr>
          <w:rFonts w:hint="eastAsia" w:ascii="宋体" w:hAnsi="宋体"/>
          <w:szCs w:val="21"/>
        </w:rPr>
        <w:t>时提供）或者法定代表人授权书原件和委托代理人身份证正</w:t>
      </w:r>
      <w:r>
        <w:rPr>
          <w:rFonts w:ascii="宋体" w:hAnsi="宋体"/>
          <w:szCs w:val="21"/>
        </w:rPr>
        <w:t>反面</w:t>
      </w:r>
      <w:r>
        <w:rPr>
          <w:rFonts w:hint="eastAsia" w:ascii="宋体" w:hAnsi="宋体"/>
          <w:szCs w:val="21"/>
        </w:rPr>
        <w:t>复印件（委托代理人参</w:t>
      </w:r>
      <w:r>
        <w:rPr>
          <w:rFonts w:ascii="宋体" w:hAnsi="宋体"/>
          <w:szCs w:val="21"/>
        </w:rPr>
        <w:t>加竞标会</w:t>
      </w:r>
      <w:r>
        <w:rPr>
          <w:rFonts w:hint="eastAsia" w:ascii="宋体" w:hAnsi="宋体"/>
          <w:szCs w:val="21"/>
        </w:rPr>
        <w:t>签</w:t>
      </w:r>
      <w:r>
        <w:rPr>
          <w:rFonts w:ascii="宋体" w:hAnsi="宋体"/>
          <w:szCs w:val="21"/>
        </w:rPr>
        <w:t>署响应文件</w:t>
      </w:r>
      <w:r>
        <w:rPr>
          <w:rFonts w:hint="eastAsia" w:ascii="宋体" w:hAnsi="宋体"/>
          <w:szCs w:val="21"/>
        </w:rPr>
        <w:t>时提供）；</w:t>
      </w:r>
    </w:p>
    <w:p w14:paraId="4101C464">
      <w:pPr>
        <w:snapToGrid w:val="0"/>
        <w:ind w:firstLine="210" w:firstLineChars="100"/>
        <w:jc w:val="left"/>
        <w:rPr>
          <w:rFonts w:ascii="宋体" w:hAnsi="宋体"/>
        </w:rPr>
      </w:pPr>
      <w:r>
        <w:rPr>
          <w:rFonts w:hint="eastAsia" w:ascii="宋体" w:hAnsi="宋体"/>
          <w:szCs w:val="21"/>
        </w:rPr>
        <w:t>4.</w:t>
      </w:r>
      <w:r>
        <w:rPr>
          <w:rFonts w:hint="eastAsia" w:ascii="宋体" w:hAnsi="宋体" w:cs="宋体"/>
          <w:szCs w:val="21"/>
        </w:rPr>
        <w:t>贵港市政府采购项目投标资格承诺函；</w:t>
      </w:r>
    </w:p>
    <w:p w14:paraId="3953AE5A">
      <w:pPr>
        <w:spacing w:line="380" w:lineRule="exact"/>
        <w:ind w:left="-27" w:leftChars="-13" w:firstLine="317" w:firstLineChars="151"/>
        <w:jc w:val="left"/>
        <w:rPr>
          <w:rFonts w:ascii="宋体" w:hAnsi="宋体"/>
          <w:szCs w:val="21"/>
        </w:rPr>
      </w:pPr>
      <w:r>
        <w:rPr>
          <w:rFonts w:hint="eastAsia" w:ascii="宋体" w:hAnsi="宋体"/>
          <w:szCs w:val="21"/>
        </w:rPr>
        <w:t>5.本谈判采购文件要求提供的其他资格证明文件；</w:t>
      </w:r>
    </w:p>
    <w:p w14:paraId="1686C984">
      <w:pPr>
        <w:spacing w:line="380" w:lineRule="exact"/>
        <w:ind w:left="-27" w:leftChars="-13" w:firstLine="317" w:firstLineChars="151"/>
        <w:rPr>
          <w:rFonts w:ascii="宋体" w:hAnsi="宋体"/>
          <w:szCs w:val="21"/>
        </w:rPr>
      </w:pPr>
      <w:r>
        <w:rPr>
          <w:rFonts w:hint="eastAsia" w:ascii="宋体" w:hAnsi="宋体"/>
          <w:szCs w:val="21"/>
        </w:rPr>
        <w:t>三、商务文件和技术文件</w:t>
      </w:r>
    </w:p>
    <w:p w14:paraId="0F66B1FB">
      <w:pPr>
        <w:spacing w:line="380" w:lineRule="exact"/>
        <w:ind w:firstLine="342" w:firstLineChars="163"/>
        <w:rPr>
          <w:rFonts w:ascii="宋体" w:hAnsi="宋体"/>
          <w:szCs w:val="21"/>
        </w:rPr>
      </w:pPr>
      <w:r>
        <w:rPr>
          <w:rFonts w:hint="eastAsia" w:ascii="宋体" w:hAnsi="宋体"/>
          <w:szCs w:val="21"/>
        </w:rPr>
        <w:t>1商务响应表（格式见第六章）；</w:t>
      </w:r>
    </w:p>
    <w:p w14:paraId="2D4058A4">
      <w:pPr>
        <w:spacing w:line="380" w:lineRule="exact"/>
        <w:ind w:firstLine="342" w:firstLineChars="163"/>
        <w:rPr>
          <w:rFonts w:ascii="宋体" w:hAnsi="宋体"/>
          <w:szCs w:val="21"/>
        </w:rPr>
      </w:pPr>
      <w:r>
        <w:rPr>
          <w:rFonts w:hint="eastAsia" w:ascii="宋体" w:hAnsi="宋体"/>
          <w:szCs w:val="21"/>
        </w:rPr>
        <w:t>2技术响应、偏离情况说明表（格式见第六章）；</w:t>
      </w:r>
    </w:p>
    <w:p w14:paraId="510E2217">
      <w:pPr>
        <w:spacing w:line="380" w:lineRule="exact"/>
        <w:ind w:firstLine="342" w:firstLineChars="163"/>
        <w:rPr>
          <w:rFonts w:ascii="宋体" w:hAnsi="宋体"/>
          <w:szCs w:val="21"/>
        </w:rPr>
      </w:pPr>
      <w:r>
        <w:rPr>
          <w:rFonts w:hint="eastAsia" w:ascii="宋体" w:hAnsi="宋体"/>
          <w:szCs w:val="21"/>
        </w:rPr>
        <w:t>3售后服务承诺书；</w:t>
      </w:r>
    </w:p>
    <w:p w14:paraId="3EDA413E">
      <w:pPr>
        <w:spacing w:line="380" w:lineRule="exact"/>
        <w:ind w:firstLine="342" w:firstLineChars="163"/>
        <w:rPr>
          <w:rFonts w:ascii="宋体" w:hAnsi="宋体"/>
          <w:szCs w:val="21"/>
        </w:rPr>
      </w:pPr>
      <w:r>
        <w:rPr>
          <w:rFonts w:hint="eastAsia" w:ascii="宋体" w:hAnsi="宋体"/>
          <w:szCs w:val="21"/>
        </w:rPr>
        <w:t>4本谈判文件第四章采购项目需求一览表要求提供的技术证明文件；</w:t>
      </w:r>
    </w:p>
    <w:p w14:paraId="1724D19C">
      <w:pPr>
        <w:spacing w:line="380" w:lineRule="exact"/>
        <w:ind w:firstLine="342" w:firstLineChars="163"/>
        <w:rPr>
          <w:rFonts w:ascii="宋体" w:hAnsi="宋体"/>
          <w:szCs w:val="21"/>
        </w:rPr>
      </w:pPr>
      <w:r>
        <w:rPr>
          <w:rFonts w:hint="eastAsia" w:ascii="宋体" w:hAnsi="宋体"/>
          <w:szCs w:val="21"/>
        </w:rPr>
        <w:t>5供应商近三年完成同类项目业绩（如有请提供，附合同协议书或中标通知书复印件加盖供应商单位公章为准）；</w:t>
      </w:r>
    </w:p>
    <w:p w14:paraId="32B724FA">
      <w:pPr>
        <w:spacing w:line="380" w:lineRule="exact"/>
        <w:ind w:firstLine="342" w:firstLineChars="163"/>
        <w:rPr>
          <w:rFonts w:ascii="宋体" w:hAnsi="宋体"/>
          <w:szCs w:val="21"/>
        </w:rPr>
      </w:pPr>
      <w:r>
        <w:rPr>
          <w:rFonts w:hint="eastAsia" w:ascii="宋体" w:hAnsi="宋体"/>
          <w:szCs w:val="21"/>
        </w:rPr>
        <w:t xml:space="preserve">6供应商认为需要提供的其他有关的商务文件和技术资料。 </w:t>
      </w:r>
    </w:p>
    <w:p w14:paraId="7B879E31">
      <w:pPr>
        <w:spacing w:line="520" w:lineRule="exact"/>
        <w:rPr>
          <w:rFonts w:ascii="宋体" w:hAnsi="宋体"/>
          <w:b/>
          <w:sz w:val="32"/>
          <w:szCs w:val="32"/>
        </w:rPr>
      </w:pPr>
      <w:r>
        <w:rPr>
          <w:rFonts w:ascii="宋体" w:hAnsi="宋体"/>
          <w:szCs w:val="21"/>
        </w:rPr>
        <w:br w:type="page"/>
      </w:r>
      <w:r>
        <w:rPr>
          <w:rFonts w:hint="eastAsia" w:ascii="宋体" w:hAnsi="宋体"/>
          <w:b/>
          <w:sz w:val="32"/>
          <w:szCs w:val="32"/>
        </w:rPr>
        <w:t>一、价格文件</w:t>
      </w:r>
    </w:p>
    <w:p w14:paraId="74167E3D">
      <w:pPr>
        <w:spacing w:line="520" w:lineRule="exact"/>
        <w:jc w:val="center"/>
        <w:rPr>
          <w:rFonts w:ascii="宋体" w:hAnsi="宋体"/>
          <w:b/>
          <w:sz w:val="28"/>
          <w:szCs w:val="28"/>
        </w:rPr>
      </w:pPr>
      <w:r>
        <w:rPr>
          <w:rFonts w:hint="eastAsia" w:ascii="宋体" w:hAnsi="宋体"/>
          <w:b/>
          <w:sz w:val="28"/>
          <w:szCs w:val="28"/>
        </w:rPr>
        <w:t>1.谈  判  书</w:t>
      </w:r>
    </w:p>
    <w:p w14:paraId="25673ED9">
      <w:pPr>
        <w:spacing w:line="520" w:lineRule="exact"/>
        <w:jc w:val="center"/>
        <w:rPr>
          <w:rFonts w:ascii="宋体" w:hAnsi="宋体"/>
          <w:b/>
          <w:sz w:val="28"/>
          <w:szCs w:val="28"/>
        </w:rPr>
      </w:pPr>
    </w:p>
    <w:p w14:paraId="69F28FC8">
      <w:pPr>
        <w:spacing w:line="520" w:lineRule="exact"/>
        <w:rPr>
          <w:rFonts w:ascii="宋体" w:hAnsi="宋体"/>
          <w:szCs w:val="21"/>
        </w:rPr>
      </w:pPr>
      <w:r>
        <w:rPr>
          <w:rFonts w:hint="eastAsia" w:ascii="宋体" w:hAnsi="宋体"/>
          <w:szCs w:val="21"/>
          <w:u w:val="single"/>
        </w:rPr>
        <w:t>广西宝盛工程咨询有限公司</w:t>
      </w:r>
      <w:r>
        <w:rPr>
          <w:rFonts w:hint="eastAsia" w:ascii="宋体" w:hAnsi="宋体"/>
          <w:szCs w:val="21"/>
        </w:rPr>
        <w:t>：</w:t>
      </w:r>
    </w:p>
    <w:p w14:paraId="7CA66551">
      <w:pPr>
        <w:spacing w:line="520" w:lineRule="exact"/>
        <w:ind w:firstLine="480"/>
        <w:rPr>
          <w:rFonts w:ascii="宋体" w:hAnsi="宋体"/>
          <w:szCs w:val="21"/>
        </w:rPr>
      </w:pPr>
      <w:r>
        <w:rPr>
          <w:rFonts w:hint="eastAsia" w:ascii="宋体" w:hAnsi="宋体"/>
          <w:szCs w:val="21"/>
        </w:rPr>
        <w:t>依据贵方</w:t>
      </w:r>
      <w:r>
        <w:rPr>
          <w:rFonts w:hint="eastAsia" w:ascii="宋体" w:hAnsi="宋体"/>
          <w:szCs w:val="21"/>
          <w:u w:val="single"/>
        </w:rPr>
        <w:t>项目名</w:t>
      </w:r>
      <w:r>
        <w:rPr>
          <w:rFonts w:ascii="宋体" w:hAnsi="宋体"/>
          <w:szCs w:val="21"/>
          <w:u w:val="single"/>
        </w:rPr>
        <w:t>称</w:t>
      </w:r>
      <w:r>
        <w:rPr>
          <w:rFonts w:hint="eastAsia" w:ascii="宋体" w:hAnsi="宋体"/>
          <w:szCs w:val="21"/>
          <w:u w:val="single"/>
        </w:rPr>
        <w:t>、项目编号</w:t>
      </w:r>
      <w:r>
        <w:rPr>
          <w:rFonts w:hint="eastAsia" w:ascii="宋体" w:hAnsi="宋体"/>
          <w:szCs w:val="21"/>
        </w:rPr>
        <w:t>项目政府采购的谈判邀请，我方</w:t>
      </w:r>
      <w:r>
        <w:rPr>
          <w:rFonts w:hint="eastAsia" w:ascii="宋体" w:hAnsi="宋体"/>
          <w:szCs w:val="21"/>
          <w:u w:val="single"/>
        </w:rPr>
        <w:t>（姓名和职务）</w:t>
      </w:r>
      <w:r>
        <w:rPr>
          <w:rFonts w:hint="eastAsia" w:ascii="宋体" w:hAnsi="宋体"/>
          <w:szCs w:val="21"/>
        </w:rPr>
        <w:t>经正式授权并代表供应商</w:t>
      </w:r>
      <w:r>
        <w:rPr>
          <w:rFonts w:hint="eastAsia" w:ascii="宋体" w:hAnsi="宋体"/>
          <w:szCs w:val="21"/>
          <w:u w:val="single"/>
        </w:rPr>
        <w:t>（供应商名称、地址）</w:t>
      </w:r>
      <w:r>
        <w:rPr>
          <w:rFonts w:hint="eastAsia" w:ascii="宋体" w:hAnsi="宋体"/>
          <w:szCs w:val="21"/>
        </w:rPr>
        <w:t>提交下述竞争性谈判响应文件电子版</w:t>
      </w:r>
      <w:r>
        <w:rPr>
          <w:rFonts w:hint="eastAsia" w:ascii="宋体" w:hAnsi="宋体"/>
          <w:szCs w:val="21"/>
          <w:u w:val="single"/>
        </w:rPr>
        <w:t>一</w:t>
      </w:r>
      <w:r>
        <w:rPr>
          <w:rFonts w:hint="eastAsia" w:ascii="宋体" w:hAnsi="宋体"/>
          <w:szCs w:val="21"/>
        </w:rPr>
        <w:t>份。</w:t>
      </w:r>
    </w:p>
    <w:p w14:paraId="11F5B644">
      <w:pPr>
        <w:spacing w:line="520" w:lineRule="exact"/>
        <w:ind w:firstLine="480"/>
        <w:rPr>
          <w:rFonts w:ascii="宋体" w:hAnsi="宋体"/>
          <w:szCs w:val="21"/>
        </w:rPr>
      </w:pPr>
      <w:r>
        <w:rPr>
          <w:rFonts w:hint="eastAsia" w:ascii="宋体" w:hAnsi="宋体"/>
          <w:szCs w:val="21"/>
        </w:rPr>
        <w:t>1.报价文件；</w:t>
      </w:r>
    </w:p>
    <w:p w14:paraId="72815157">
      <w:pPr>
        <w:spacing w:line="520" w:lineRule="exact"/>
        <w:ind w:firstLine="480"/>
        <w:rPr>
          <w:rFonts w:ascii="宋体" w:hAnsi="宋体"/>
          <w:szCs w:val="21"/>
        </w:rPr>
      </w:pPr>
      <w:r>
        <w:rPr>
          <w:rFonts w:hint="eastAsia" w:ascii="宋体" w:hAnsi="宋体"/>
          <w:szCs w:val="21"/>
        </w:rPr>
        <w:t>2.资格和商务文件；</w:t>
      </w:r>
    </w:p>
    <w:p w14:paraId="533FDCA7">
      <w:pPr>
        <w:spacing w:line="520" w:lineRule="exact"/>
        <w:ind w:firstLine="480"/>
        <w:rPr>
          <w:rFonts w:ascii="宋体" w:hAnsi="宋体"/>
          <w:szCs w:val="21"/>
        </w:rPr>
      </w:pPr>
      <w:r>
        <w:rPr>
          <w:rFonts w:hint="eastAsia" w:ascii="宋体" w:hAnsi="宋体"/>
          <w:szCs w:val="21"/>
        </w:rPr>
        <w:t xml:space="preserve">3.技术文件； </w:t>
      </w:r>
    </w:p>
    <w:p w14:paraId="4CC51489">
      <w:pPr>
        <w:spacing w:line="520" w:lineRule="exact"/>
        <w:ind w:firstLine="480"/>
        <w:rPr>
          <w:rFonts w:ascii="宋体" w:hAnsi="宋体"/>
          <w:szCs w:val="21"/>
        </w:rPr>
      </w:pPr>
      <w:r>
        <w:rPr>
          <w:rFonts w:hint="eastAsia" w:ascii="宋体" w:hAnsi="宋体"/>
          <w:szCs w:val="21"/>
        </w:rPr>
        <w:t xml:space="preserve">4.按竞争性谈判采购文件谈判须知和技术规格要求提供的有关文件。 </w:t>
      </w:r>
    </w:p>
    <w:p w14:paraId="2F566021">
      <w:pPr>
        <w:spacing w:line="520" w:lineRule="exact"/>
        <w:rPr>
          <w:rFonts w:ascii="宋体" w:hAnsi="宋体"/>
          <w:szCs w:val="21"/>
        </w:rPr>
      </w:pPr>
      <w:r>
        <w:rPr>
          <w:rFonts w:hint="eastAsia" w:ascii="宋体" w:hAnsi="宋体"/>
          <w:szCs w:val="21"/>
        </w:rPr>
        <w:t>在此，授权代表宣布同意如下：</w:t>
      </w:r>
    </w:p>
    <w:p w14:paraId="4C358C5B">
      <w:pPr>
        <w:spacing w:line="520" w:lineRule="exact"/>
        <w:ind w:firstLine="480"/>
        <w:rPr>
          <w:rFonts w:ascii="宋体" w:hAnsi="宋体"/>
          <w:szCs w:val="21"/>
        </w:rPr>
      </w:pPr>
      <w:r>
        <w:rPr>
          <w:rFonts w:hint="eastAsia" w:ascii="宋体" w:hAnsi="宋体"/>
          <w:szCs w:val="21"/>
        </w:rPr>
        <w:t>1.将按竞争性谈判采购文件的约定履行合同责任和义务；</w:t>
      </w:r>
    </w:p>
    <w:p w14:paraId="34B3B525">
      <w:pPr>
        <w:spacing w:line="520" w:lineRule="exact"/>
        <w:ind w:left="840" w:hanging="360"/>
        <w:rPr>
          <w:rFonts w:ascii="宋体" w:hAnsi="宋体"/>
          <w:szCs w:val="21"/>
        </w:rPr>
      </w:pPr>
      <w:r>
        <w:rPr>
          <w:rFonts w:hint="eastAsia" w:ascii="宋体" w:hAnsi="宋体"/>
          <w:szCs w:val="21"/>
        </w:rPr>
        <w:t>2.已详细审查全部竞争性谈判采购文件，包括</w:t>
      </w:r>
      <w:r>
        <w:rPr>
          <w:rFonts w:hint="eastAsia" w:ascii="宋体" w:hAnsi="宋体"/>
          <w:szCs w:val="21"/>
          <w:u w:val="single"/>
        </w:rPr>
        <w:t>（补遗书）（如果有的话）</w:t>
      </w:r>
      <w:r>
        <w:rPr>
          <w:rFonts w:hint="eastAsia" w:ascii="宋体" w:hAnsi="宋体"/>
          <w:szCs w:val="21"/>
        </w:rPr>
        <w:t>；我们完全理解并同意放弃对这方面有不明及误解的权力；</w:t>
      </w:r>
    </w:p>
    <w:p w14:paraId="683EA804">
      <w:pPr>
        <w:spacing w:line="520" w:lineRule="exact"/>
        <w:ind w:left="840" w:hanging="360"/>
        <w:rPr>
          <w:rFonts w:ascii="宋体" w:hAnsi="宋体"/>
          <w:szCs w:val="21"/>
        </w:rPr>
      </w:pPr>
      <w:r>
        <w:rPr>
          <w:rFonts w:hint="eastAsia" w:ascii="宋体" w:hAnsi="宋体"/>
          <w:szCs w:val="21"/>
        </w:rPr>
        <w:t>3.同意提供按照贵方可能要求的与其谈判有关的一切数据或资料；</w:t>
      </w:r>
    </w:p>
    <w:p w14:paraId="3EB3C72C">
      <w:pPr>
        <w:spacing w:line="520" w:lineRule="exact"/>
        <w:ind w:firstLine="480"/>
        <w:rPr>
          <w:rFonts w:ascii="宋体" w:hAnsi="宋体"/>
          <w:szCs w:val="21"/>
          <w:u w:val="single"/>
        </w:rPr>
      </w:pPr>
      <w:r>
        <w:rPr>
          <w:rFonts w:hint="eastAsia" w:ascii="宋体" w:hAnsi="宋体"/>
          <w:szCs w:val="21"/>
        </w:rPr>
        <w:t>4.与本谈判有关的一切正式往来信函请寄：</w:t>
      </w:r>
    </w:p>
    <w:p w14:paraId="0E2F89AD">
      <w:pPr>
        <w:spacing w:line="520" w:lineRule="exact"/>
        <w:ind w:firstLine="840"/>
        <w:rPr>
          <w:rFonts w:ascii="宋体" w:hAnsi="宋体"/>
          <w:szCs w:val="21"/>
          <w:u w:val="single"/>
        </w:rPr>
      </w:pPr>
      <w:r>
        <w:rPr>
          <w:rFonts w:hint="eastAsia" w:ascii="宋体" w:hAnsi="宋体"/>
          <w:szCs w:val="21"/>
        </w:rPr>
        <w:t>电话/传真： 电子函件：</w:t>
      </w:r>
    </w:p>
    <w:p w14:paraId="38297EB8">
      <w:pPr>
        <w:spacing w:line="520" w:lineRule="exact"/>
        <w:ind w:firstLine="840"/>
        <w:rPr>
          <w:rFonts w:ascii="宋体" w:hAnsi="宋体"/>
          <w:szCs w:val="21"/>
          <w:u w:val="single"/>
        </w:rPr>
      </w:pPr>
      <w:r>
        <w:rPr>
          <w:rFonts w:hint="eastAsia" w:ascii="宋体" w:hAnsi="宋体"/>
          <w:szCs w:val="21"/>
        </w:rPr>
        <w:t>开户银行：  帐号/行号：</w:t>
      </w:r>
    </w:p>
    <w:p w14:paraId="0EE15983">
      <w:pPr>
        <w:spacing w:line="520" w:lineRule="exact"/>
        <w:ind w:firstLine="840"/>
        <w:rPr>
          <w:rFonts w:ascii="宋体" w:hAnsi="宋体"/>
          <w:szCs w:val="21"/>
          <w:u w:val="single"/>
        </w:rPr>
      </w:pPr>
      <w:r>
        <w:rPr>
          <w:rFonts w:hint="eastAsia" w:ascii="宋体" w:hAnsi="宋体"/>
          <w:szCs w:val="21"/>
        </w:rPr>
        <w:t>法定代表人或法定代表人授权代表签字：</w:t>
      </w:r>
    </w:p>
    <w:p w14:paraId="42C18803">
      <w:pPr>
        <w:spacing w:line="520" w:lineRule="exact"/>
        <w:ind w:firstLine="840"/>
        <w:rPr>
          <w:rFonts w:ascii="宋体" w:hAnsi="宋体"/>
          <w:szCs w:val="21"/>
          <w:u w:val="single"/>
        </w:rPr>
      </w:pPr>
      <w:r>
        <w:rPr>
          <w:rFonts w:hint="eastAsia" w:ascii="宋体" w:hAnsi="宋体"/>
          <w:szCs w:val="21"/>
        </w:rPr>
        <w:t>供应商名称（盖章）：</w:t>
      </w:r>
    </w:p>
    <w:p w14:paraId="3112EF48">
      <w:pPr>
        <w:spacing w:line="520" w:lineRule="exact"/>
        <w:ind w:firstLine="840"/>
        <w:rPr>
          <w:rFonts w:ascii="宋体" w:hAnsi="宋体"/>
          <w:szCs w:val="21"/>
          <w:u w:val="single"/>
        </w:rPr>
      </w:pPr>
      <w:r>
        <w:rPr>
          <w:rFonts w:hint="eastAsia" w:ascii="宋体" w:hAnsi="宋体"/>
          <w:szCs w:val="21"/>
        </w:rPr>
        <w:t>日期：年月日</w:t>
      </w:r>
    </w:p>
    <w:p w14:paraId="47DC6355">
      <w:pPr>
        <w:spacing w:line="520" w:lineRule="exact"/>
        <w:ind w:firstLine="840"/>
        <w:rPr>
          <w:rFonts w:ascii="宋体" w:hAnsi="宋体"/>
          <w:szCs w:val="21"/>
        </w:rPr>
      </w:pPr>
    </w:p>
    <w:p w14:paraId="3FBACA5C">
      <w:pPr>
        <w:spacing w:line="300" w:lineRule="auto"/>
        <w:rPr>
          <w:rFonts w:ascii="宋体" w:hAnsi="宋体"/>
          <w:szCs w:val="21"/>
        </w:rPr>
      </w:pPr>
    </w:p>
    <w:p w14:paraId="24AE160B">
      <w:pPr>
        <w:spacing w:line="300" w:lineRule="auto"/>
        <w:rPr>
          <w:rFonts w:ascii="宋体" w:hAnsi="宋体"/>
          <w:szCs w:val="21"/>
        </w:rPr>
      </w:pPr>
    </w:p>
    <w:p w14:paraId="0DE4E88A">
      <w:pPr>
        <w:spacing w:line="500" w:lineRule="exact"/>
        <w:rPr>
          <w:rFonts w:ascii="宋体" w:hAnsi="宋体"/>
          <w:sz w:val="28"/>
          <w:szCs w:val="28"/>
        </w:rPr>
      </w:pPr>
    </w:p>
    <w:p w14:paraId="5F3D5334">
      <w:pPr>
        <w:spacing w:line="500" w:lineRule="exact"/>
        <w:rPr>
          <w:rFonts w:ascii="宋体" w:hAnsi="宋体"/>
          <w:sz w:val="28"/>
          <w:szCs w:val="28"/>
        </w:rPr>
      </w:pPr>
    </w:p>
    <w:p w14:paraId="6B5352EE">
      <w:pPr>
        <w:spacing w:line="500" w:lineRule="exact"/>
        <w:rPr>
          <w:rFonts w:ascii="宋体" w:hAnsi="宋体"/>
          <w:sz w:val="28"/>
          <w:szCs w:val="28"/>
        </w:rPr>
      </w:pPr>
      <w:r>
        <w:rPr>
          <w:rFonts w:ascii="宋体" w:hAnsi="宋体"/>
          <w:sz w:val="28"/>
          <w:szCs w:val="28"/>
        </w:rPr>
        <w:br w:type="page"/>
      </w:r>
    </w:p>
    <w:p w14:paraId="5623ADAF">
      <w:pPr>
        <w:spacing w:line="500" w:lineRule="exact"/>
        <w:jc w:val="center"/>
        <w:rPr>
          <w:rFonts w:ascii="宋体" w:hAnsi="宋体"/>
          <w:b/>
          <w:sz w:val="28"/>
          <w:szCs w:val="28"/>
        </w:rPr>
      </w:pPr>
      <w:r>
        <w:rPr>
          <w:rFonts w:hint="eastAsia" w:ascii="宋体" w:hAnsi="宋体"/>
          <w:b/>
          <w:sz w:val="28"/>
          <w:szCs w:val="28"/>
        </w:rPr>
        <w:t>2.谈判报价表</w:t>
      </w:r>
    </w:p>
    <w:p w14:paraId="104D32A1">
      <w:pPr>
        <w:spacing w:line="500" w:lineRule="exact"/>
        <w:jc w:val="center"/>
        <w:rPr>
          <w:rFonts w:ascii="宋体" w:hAnsi="宋体"/>
          <w:b/>
          <w:sz w:val="32"/>
          <w:szCs w:val="32"/>
        </w:rPr>
      </w:pPr>
    </w:p>
    <w:p w14:paraId="35740C5A">
      <w:pPr>
        <w:spacing w:line="500" w:lineRule="exact"/>
        <w:rPr>
          <w:rFonts w:ascii="宋体" w:hAnsi="宋体"/>
          <w:szCs w:val="21"/>
          <w:u w:val="single"/>
        </w:rPr>
      </w:pPr>
      <w:r>
        <w:rPr>
          <w:rFonts w:hint="eastAsia" w:ascii="宋体" w:hAnsi="宋体"/>
          <w:szCs w:val="21"/>
        </w:rPr>
        <w:t>采购项目编号:</w:t>
      </w:r>
    </w:p>
    <w:p w14:paraId="207B5BFD">
      <w:pPr>
        <w:spacing w:line="500" w:lineRule="exact"/>
        <w:rPr>
          <w:rFonts w:ascii="宋体" w:hAnsi="宋体"/>
          <w:szCs w:val="21"/>
        </w:rPr>
      </w:pPr>
      <w:r>
        <w:rPr>
          <w:rFonts w:hint="eastAsia" w:ascii="宋体" w:hAnsi="宋体"/>
          <w:szCs w:val="21"/>
        </w:rPr>
        <w:t>采购项目名称:</w:t>
      </w:r>
    </w:p>
    <w:tbl>
      <w:tblPr>
        <w:tblStyle w:val="35"/>
        <w:tblW w:w="93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930"/>
        <w:gridCol w:w="4252"/>
        <w:gridCol w:w="709"/>
        <w:gridCol w:w="1417"/>
        <w:gridCol w:w="1302"/>
        <w:gridCol w:w="17"/>
      </w:tblGrid>
      <w:tr w14:paraId="63122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738" w:type="dxa"/>
            <w:tcBorders>
              <w:top w:val="single" w:color="000000" w:sz="4" w:space="0"/>
              <w:left w:val="single" w:color="000000" w:sz="4" w:space="0"/>
              <w:bottom w:val="single" w:color="000000" w:sz="4" w:space="0"/>
              <w:right w:val="single" w:color="000000" w:sz="4" w:space="0"/>
            </w:tcBorders>
            <w:vAlign w:val="center"/>
          </w:tcPr>
          <w:p w14:paraId="0D009772">
            <w:pPr>
              <w:jc w:val="center"/>
              <w:rPr>
                <w:rStyle w:val="157"/>
                <w:rFonts w:hint="default" w:ascii="宋体" w:hAnsi="宋体"/>
                <w:sz w:val="24"/>
              </w:rPr>
            </w:pPr>
            <w:r>
              <w:rPr>
                <w:rStyle w:val="157"/>
                <w:rFonts w:hint="default" w:ascii="宋体" w:hAnsi="宋体"/>
                <w:kern w:val="0"/>
                <w:sz w:val="24"/>
              </w:rPr>
              <w:t>序号</w:t>
            </w:r>
          </w:p>
        </w:tc>
        <w:tc>
          <w:tcPr>
            <w:tcW w:w="930" w:type="dxa"/>
            <w:tcBorders>
              <w:top w:val="single" w:color="000000" w:sz="4" w:space="0"/>
              <w:left w:val="single" w:color="000000" w:sz="4" w:space="0"/>
              <w:bottom w:val="single" w:color="000000" w:sz="4" w:space="0"/>
              <w:right w:val="single" w:color="000000" w:sz="4" w:space="0"/>
            </w:tcBorders>
            <w:vAlign w:val="center"/>
          </w:tcPr>
          <w:p w14:paraId="703429AB">
            <w:pPr>
              <w:tabs>
                <w:tab w:val="left" w:pos="1418"/>
              </w:tabs>
              <w:snapToGrid w:val="0"/>
              <w:spacing w:before="50" w:after="50" w:line="400" w:lineRule="exact"/>
              <w:jc w:val="center"/>
              <w:rPr>
                <w:rStyle w:val="157"/>
                <w:rFonts w:hint="default" w:ascii="宋体" w:hAnsi="宋体"/>
                <w:sz w:val="24"/>
              </w:rPr>
            </w:pPr>
            <w:r>
              <w:rPr>
                <w:rStyle w:val="157"/>
                <w:rFonts w:hint="default" w:ascii="宋体" w:hAnsi="宋体"/>
                <w:sz w:val="24"/>
              </w:rPr>
              <w:t>标的名称</w:t>
            </w:r>
          </w:p>
        </w:tc>
        <w:tc>
          <w:tcPr>
            <w:tcW w:w="4252" w:type="dxa"/>
            <w:tcBorders>
              <w:top w:val="single" w:color="000000" w:sz="4" w:space="0"/>
              <w:left w:val="single" w:color="000000" w:sz="4" w:space="0"/>
              <w:bottom w:val="single" w:color="000000" w:sz="4" w:space="0"/>
              <w:right w:val="single" w:color="000000" w:sz="4" w:space="0"/>
            </w:tcBorders>
            <w:vAlign w:val="center"/>
          </w:tcPr>
          <w:p w14:paraId="1EE1C2D8">
            <w:pPr>
              <w:tabs>
                <w:tab w:val="left" w:pos="1418"/>
              </w:tabs>
              <w:snapToGrid w:val="0"/>
              <w:spacing w:before="50" w:after="50" w:line="400" w:lineRule="exact"/>
              <w:jc w:val="center"/>
              <w:rPr>
                <w:rStyle w:val="157"/>
                <w:rFonts w:hint="default" w:ascii="宋体" w:hAnsi="宋体"/>
                <w:sz w:val="24"/>
              </w:rPr>
            </w:pPr>
            <w:r>
              <w:rPr>
                <w:rStyle w:val="157"/>
                <w:rFonts w:hint="default" w:ascii="宋体" w:hAnsi="宋体"/>
                <w:sz w:val="24"/>
                <w:lang w:eastAsia="zh-CN"/>
              </w:rPr>
              <w:t>厂家</w:t>
            </w:r>
            <w:r>
              <w:rPr>
                <w:rStyle w:val="157"/>
                <w:rFonts w:hint="default" w:ascii="宋体" w:hAnsi="宋体"/>
                <w:sz w:val="24"/>
              </w:rPr>
              <w:t>/</w:t>
            </w:r>
            <w:r>
              <w:rPr>
                <w:rStyle w:val="157"/>
                <w:rFonts w:hint="default" w:ascii="宋体" w:hAnsi="宋体"/>
                <w:sz w:val="24"/>
                <w:lang w:eastAsia="zh-CN"/>
              </w:rPr>
              <w:t>品牌</w:t>
            </w:r>
            <w:r>
              <w:rPr>
                <w:rStyle w:val="157"/>
                <w:rFonts w:hint="default" w:ascii="宋体" w:hAnsi="宋体"/>
                <w:sz w:val="24"/>
              </w:rPr>
              <w:t>型号</w:t>
            </w:r>
          </w:p>
        </w:tc>
        <w:tc>
          <w:tcPr>
            <w:tcW w:w="709" w:type="dxa"/>
            <w:tcBorders>
              <w:top w:val="single" w:color="000000" w:sz="4" w:space="0"/>
              <w:left w:val="single" w:color="000000" w:sz="4" w:space="0"/>
              <w:bottom w:val="single" w:color="000000" w:sz="4" w:space="0"/>
              <w:right w:val="single" w:color="000000" w:sz="4" w:space="0"/>
            </w:tcBorders>
            <w:vAlign w:val="center"/>
          </w:tcPr>
          <w:p w14:paraId="0CC9CC43">
            <w:pPr>
              <w:tabs>
                <w:tab w:val="left" w:pos="1418"/>
              </w:tabs>
              <w:snapToGrid w:val="0"/>
              <w:spacing w:before="50" w:after="50" w:line="400" w:lineRule="exact"/>
              <w:jc w:val="center"/>
              <w:rPr>
                <w:rStyle w:val="157"/>
                <w:rFonts w:hint="default" w:ascii="宋体" w:hAnsi="宋体"/>
                <w:sz w:val="24"/>
              </w:rPr>
            </w:pPr>
            <w:r>
              <w:rPr>
                <w:rStyle w:val="157"/>
                <w:rFonts w:hint="default" w:ascii="宋体" w:hAnsi="宋体"/>
                <w:sz w:val="24"/>
              </w:rPr>
              <w:t>数量①</w:t>
            </w:r>
          </w:p>
        </w:tc>
        <w:tc>
          <w:tcPr>
            <w:tcW w:w="1417" w:type="dxa"/>
            <w:tcBorders>
              <w:top w:val="single" w:color="000000" w:sz="4" w:space="0"/>
              <w:left w:val="single" w:color="000000" w:sz="4" w:space="0"/>
              <w:bottom w:val="single" w:color="000000" w:sz="4" w:space="0"/>
              <w:right w:val="single" w:color="000000" w:sz="4" w:space="0"/>
            </w:tcBorders>
            <w:vAlign w:val="center"/>
          </w:tcPr>
          <w:p w14:paraId="7B4FB08E">
            <w:pPr>
              <w:tabs>
                <w:tab w:val="left" w:pos="1418"/>
              </w:tabs>
              <w:snapToGrid w:val="0"/>
              <w:spacing w:before="50" w:after="50" w:line="400" w:lineRule="exact"/>
              <w:jc w:val="center"/>
              <w:rPr>
                <w:rStyle w:val="157"/>
                <w:rFonts w:hint="default" w:ascii="宋体" w:hAnsi="宋体"/>
                <w:sz w:val="24"/>
              </w:rPr>
            </w:pPr>
            <w:r>
              <w:rPr>
                <w:rStyle w:val="157"/>
                <w:rFonts w:hint="default" w:ascii="宋体" w:hAnsi="宋体"/>
                <w:sz w:val="24"/>
              </w:rPr>
              <w:t>单价（元）②</w:t>
            </w: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14:paraId="2A90CD65">
            <w:pPr>
              <w:pStyle w:val="161"/>
              <w:jc w:val="center"/>
              <w:rPr>
                <w:rStyle w:val="157"/>
                <w:rFonts w:hint="default" w:hAnsi="宋体"/>
                <w:lang w:eastAsia="zh-CN"/>
              </w:rPr>
            </w:pPr>
            <w:r>
              <w:rPr>
                <w:rStyle w:val="157"/>
                <w:rFonts w:hint="default" w:hAnsi="宋体"/>
                <w:lang w:eastAsia="zh-CN"/>
              </w:rPr>
              <w:t>单项合价（元）</w:t>
            </w:r>
          </w:p>
          <w:p w14:paraId="6649F5F0">
            <w:pPr>
              <w:tabs>
                <w:tab w:val="left" w:pos="1418"/>
              </w:tabs>
              <w:snapToGrid w:val="0"/>
              <w:spacing w:before="50" w:after="50" w:line="400" w:lineRule="exact"/>
              <w:jc w:val="center"/>
              <w:rPr>
                <w:rStyle w:val="157"/>
                <w:rFonts w:hint="default" w:ascii="宋体" w:hAnsi="宋体"/>
                <w:sz w:val="24"/>
                <w:lang w:eastAsia="zh-CN"/>
              </w:rPr>
            </w:pPr>
            <w:r>
              <w:rPr>
                <w:rStyle w:val="157"/>
                <w:rFonts w:hint="default" w:hAnsi="宋体"/>
                <w:lang w:eastAsia="zh-CN"/>
              </w:rPr>
              <w:t>③=①×②</w:t>
            </w:r>
          </w:p>
        </w:tc>
      </w:tr>
      <w:tr w14:paraId="25BE5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38" w:type="dxa"/>
            <w:tcBorders>
              <w:top w:val="single" w:color="000000" w:sz="4" w:space="0"/>
              <w:left w:val="single" w:color="000000" w:sz="4" w:space="0"/>
              <w:bottom w:val="single" w:color="000000" w:sz="4" w:space="0"/>
              <w:right w:val="single" w:color="000000" w:sz="4" w:space="0"/>
            </w:tcBorders>
            <w:vAlign w:val="center"/>
          </w:tcPr>
          <w:p w14:paraId="0CD65F0E">
            <w:pPr>
              <w:jc w:val="center"/>
              <w:rPr>
                <w:rStyle w:val="157"/>
                <w:rFonts w:hint="default" w:ascii="宋体" w:hAnsi="宋体"/>
                <w:sz w:val="24"/>
              </w:rPr>
            </w:pPr>
            <w:r>
              <w:rPr>
                <w:rStyle w:val="157"/>
                <w:rFonts w:hint="default" w:ascii="宋体" w:hAnsi="宋体"/>
                <w:kern w:val="0"/>
                <w:sz w:val="24"/>
              </w:rPr>
              <w:t>1</w:t>
            </w:r>
          </w:p>
        </w:tc>
        <w:tc>
          <w:tcPr>
            <w:tcW w:w="930" w:type="dxa"/>
            <w:tcBorders>
              <w:top w:val="single" w:color="000000" w:sz="4" w:space="0"/>
              <w:left w:val="single" w:color="000000" w:sz="4" w:space="0"/>
              <w:bottom w:val="single" w:color="000000" w:sz="4" w:space="0"/>
              <w:right w:val="single" w:color="000000" w:sz="4" w:space="0"/>
            </w:tcBorders>
            <w:vAlign w:val="center"/>
          </w:tcPr>
          <w:p w14:paraId="4FD81C04">
            <w:pPr>
              <w:jc w:val="center"/>
              <w:rPr>
                <w:rStyle w:val="157"/>
                <w:rFonts w:hint="default" w:ascii="宋体" w:hAnsi="宋体"/>
                <w:sz w:val="24"/>
              </w:rPr>
            </w:pPr>
          </w:p>
        </w:tc>
        <w:tc>
          <w:tcPr>
            <w:tcW w:w="4252" w:type="dxa"/>
            <w:tcBorders>
              <w:top w:val="single" w:color="000000" w:sz="4" w:space="0"/>
              <w:left w:val="single" w:color="000000" w:sz="4" w:space="0"/>
              <w:bottom w:val="single" w:color="000000" w:sz="4" w:space="0"/>
              <w:right w:val="single" w:color="000000" w:sz="4" w:space="0"/>
            </w:tcBorders>
            <w:vAlign w:val="center"/>
          </w:tcPr>
          <w:p w14:paraId="27807E72">
            <w:pPr>
              <w:jc w:val="center"/>
              <w:rPr>
                <w:rStyle w:val="157"/>
                <w:rFonts w:hint="default" w:ascii="宋体" w:hAnsi="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3427CC5E">
            <w:pPr>
              <w:tabs>
                <w:tab w:val="left" w:pos="1418"/>
              </w:tabs>
              <w:snapToGrid w:val="0"/>
              <w:spacing w:before="50" w:after="50" w:line="400" w:lineRule="exact"/>
              <w:jc w:val="center"/>
              <w:rPr>
                <w:rStyle w:val="157"/>
                <w:rFonts w:hint="default"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232C0CF">
            <w:pPr>
              <w:tabs>
                <w:tab w:val="left" w:pos="1418"/>
              </w:tabs>
              <w:snapToGrid w:val="0"/>
              <w:spacing w:before="50" w:after="50" w:line="400" w:lineRule="exact"/>
              <w:jc w:val="center"/>
              <w:rPr>
                <w:rStyle w:val="157"/>
                <w:rFonts w:hint="default" w:ascii="宋体" w:hAnsi="宋体"/>
                <w:sz w:val="24"/>
              </w:rPr>
            </w:pP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14:paraId="6D9260AA">
            <w:pPr>
              <w:tabs>
                <w:tab w:val="left" w:pos="1418"/>
              </w:tabs>
              <w:snapToGrid w:val="0"/>
              <w:spacing w:before="50" w:after="50" w:line="400" w:lineRule="exact"/>
              <w:jc w:val="center"/>
              <w:rPr>
                <w:rStyle w:val="157"/>
                <w:rFonts w:hint="default" w:ascii="宋体" w:hAnsi="宋体"/>
                <w:sz w:val="24"/>
              </w:rPr>
            </w:pPr>
          </w:p>
        </w:tc>
      </w:tr>
      <w:tr w14:paraId="3C6CD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38" w:type="dxa"/>
            <w:tcBorders>
              <w:top w:val="single" w:color="000000" w:sz="4" w:space="0"/>
              <w:left w:val="single" w:color="000000" w:sz="4" w:space="0"/>
              <w:bottom w:val="single" w:color="000000" w:sz="4" w:space="0"/>
              <w:right w:val="single" w:color="000000" w:sz="4" w:space="0"/>
            </w:tcBorders>
            <w:vAlign w:val="center"/>
          </w:tcPr>
          <w:p w14:paraId="08D751A8">
            <w:pPr>
              <w:jc w:val="center"/>
              <w:rPr>
                <w:rStyle w:val="157"/>
                <w:rFonts w:hint="default" w:ascii="宋体" w:hAnsi="宋体"/>
                <w:kern w:val="0"/>
                <w:sz w:val="24"/>
              </w:rPr>
            </w:pPr>
            <w:r>
              <w:rPr>
                <w:rStyle w:val="157"/>
                <w:rFonts w:hint="default" w:ascii="宋体" w:hAnsi="宋体"/>
                <w:kern w:val="0"/>
                <w:sz w:val="24"/>
              </w:rPr>
              <w:t>2</w:t>
            </w:r>
          </w:p>
        </w:tc>
        <w:tc>
          <w:tcPr>
            <w:tcW w:w="930" w:type="dxa"/>
            <w:tcBorders>
              <w:top w:val="single" w:color="000000" w:sz="4" w:space="0"/>
              <w:left w:val="single" w:color="000000" w:sz="4" w:space="0"/>
              <w:bottom w:val="single" w:color="000000" w:sz="4" w:space="0"/>
              <w:right w:val="single" w:color="000000" w:sz="4" w:space="0"/>
            </w:tcBorders>
            <w:vAlign w:val="center"/>
          </w:tcPr>
          <w:p w14:paraId="0D92741F">
            <w:pPr>
              <w:jc w:val="center"/>
              <w:rPr>
                <w:rStyle w:val="157"/>
                <w:rFonts w:hint="default" w:ascii="宋体" w:hAnsi="宋体"/>
                <w:sz w:val="24"/>
              </w:rPr>
            </w:pPr>
          </w:p>
        </w:tc>
        <w:tc>
          <w:tcPr>
            <w:tcW w:w="4252" w:type="dxa"/>
            <w:tcBorders>
              <w:top w:val="single" w:color="000000" w:sz="4" w:space="0"/>
              <w:left w:val="single" w:color="000000" w:sz="4" w:space="0"/>
              <w:bottom w:val="single" w:color="000000" w:sz="4" w:space="0"/>
              <w:right w:val="single" w:color="000000" w:sz="4" w:space="0"/>
            </w:tcBorders>
            <w:vAlign w:val="center"/>
          </w:tcPr>
          <w:p w14:paraId="6AF7EAF0">
            <w:pPr>
              <w:jc w:val="center"/>
              <w:rPr>
                <w:rStyle w:val="157"/>
                <w:rFonts w:hint="default" w:ascii="宋体" w:hAnsi="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7F5C15F7">
            <w:pPr>
              <w:jc w:val="center"/>
              <w:rPr>
                <w:rStyle w:val="157"/>
                <w:rFonts w:hint="default"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EB8C4BB">
            <w:pPr>
              <w:jc w:val="center"/>
              <w:rPr>
                <w:rStyle w:val="157"/>
                <w:rFonts w:hint="default" w:ascii="宋体" w:hAnsi="宋体"/>
                <w:sz w:val="24"/>
              </w:rPr>
            </w:pP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14:paraId="4D5D04A6">
            <w:pPr>
              <w:jc w:val="center"/>
              <w:rPr>
                <w:rStyle w:val="157"/>
                <w:rFonts w:hint="default" w:ascii="宋体" w:hAnsi="宋体"/>
                <w:sz w:val="24"/>
              </w:rPr>
            </w:pPr>
          </w:p>
        </w:tc>
      </w:tr>
      <w:tr w14:paraId="092F1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38" w:type="dxa"/>
            <w:tcBorders>
              <w:top w:val="single" w:color="000000" w:sz="4" w:space="0"/>
              <w:left w:val="single" w:color="000000" w:sz="4" w:space="0"/>
              <w:bottom w:val="single" w:color="000000" w:sz="4" w:space="0"/>
              <w:right w:val="single" w:color="000000" w:sz="4" w:space="0"/>
            </w:tcBorders>
            <w:vAlign w:val="center"/>
          </w:tcPr>
          <w:p w14:paraId="72BD7036">
            <w:pPr>
              <w:jc w:val="center"/>
              <w:rPr>
                <w:rStyle w:val="157"/>
                <w:rFonts w:hint="default" w:ascii="宋体" w:hAnsi="宋体"/>
                <w:kern w:val="0"/>
                <w:sz w:val="24"/>
              </w:rPr>
            </w:pPr>
            <w:r>
              <w:rPr>
                <w:rStyle w:val="157"/>
                <w:rFonts w:hint="default" w:ascii="宋体" w:hAnsi="宋体"/>
                <w:kern w:val="0"/>
                <w:sz w:val="24"/>
              </w:rPr>
              <w:t>3</w:t>
            </w:r>
          </w:p>
        </w:tc>
        <w:tc>
          <w:tcPr>
            <w:tcW w:w="930" w:type="dxa"/>
            <w:tcBorders>
              <w:top w:val="single" w:color="000000" w:sz="4" w:space="0"/>
              <w:left w:val="single" w:color="000000" w:sz="4" w:space="0"/>
              <w:bottom w:val="single" w:color="000000" w:sz="4" w:space="0"/>
              <w:right w:val="single" w:color="000000" w:sz="4" w:space="0"/>
            </w:tcBorders>
            <w:vAlign w:val="center"/>
          </w:tcPr>
          <w:p w14:paraId="1A586A03">
            <w:pPr>
              <w:jc w:val="center"/>
              <w:rPr>
                <w:rStyle w:val="157"/>
                <w:rFonts w:hint="default" w:ascii="宋体" w:hAnsi="宋体"/>
                <w:sz w:val="24"/>
              </w:rPr>
            </w:pPr>
          </w:p>
        </w:tc>
        <w:tc>
          <w:tcPr>
            <w:tcW w:w="4252" w:type="dxa"/>
            <w:tcBorders>
              <w:top w:val="single" w:color="000000" w:sz="4" w:space="0"/>
              <w:left w:val="single" w:color="000000" w:sz="4" w:space="0"/>
              <w:bottom w:val="single" w:color="000000" w:sz="4" w:space="0"/>
              <w:right w:val="single" w:color="000000" w:sz="4" w:space="0"/>
            </w:tcBorders>
            <w:vAlign w:val="center"/>
          </w:tcPr>
          <w:p w14:paraId="48643473">
            <w:pPr>
              <w:jc w:val="center"/>
              <w:rPr>
                <w:rStyle w:val="157"/>
                <w:rFonts w:hint="default" w:ascii="宋体" w:hAnsi="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02AA1C8C">
            <w:pPr>
              <w:jc w:val="center"/>
              <w:rPr>
                <w:rStyle w:val="157"/>
                <w:rFonts w:hint="default"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F470AB3">
            <w:pPr>
              <w:jc w:val="center"/>
              <w:rPr>
                <w:rStyle w:val="157"/>
                <w:rFonts w:hint="default" w:ascii="宋体" w:hAnsi="宋体"/>
                <w:sz w:val="24"/>
              </w:rPr>
            </w:pP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14:paraId="0C0F2527">
            <w:pPr>
              <w:jc w:val="center"/>
              <w:rPr>
                <w:rStyle w:val="157"/>
                <w:rFonts w:hint="default" w:ascii="宋体" w:hAnsi="宋体"/>
                <w:sz w:val="24"/>
              </w:rPr>
            </w:pPr>
          </w:p>
        </w:tc>
      </w:tr>
      <w:tr w14:paraId="24A99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38" w:type="dxa"/>
            <w:tcBorders>
              <w:top w:val="single" w:color="000000" w:sz="4" w:space="0"/>
              <w:left w:val="single" w:color="000000" w:sz="4" w:space="0"/>
              <w:bottom w:val="single" w:color="000000" w:sz="4" w:space="0"/>
              <w:right w:val="single" w:color="000000" w:sz="4" w:space="0"/>
            </w:tcBorders>
            <w:vAlign w:val="center"/>
          </w:tcPr>
          <w:p w14:paraId="0069E90C">
            <w:pPr>
              <w:jc w:val="center"/>
              <w:rPr>
                <w:rStyle w:val="157"/>
                <w:rFonts w:hint="default" w:ascii="宋体" w:hAnsi="宋体"/>
                <w:kern w:val="0"/>
                <w:sz w:val="24"/>
              </w:rPr>
            </w:pPr>
            <w:r>
              <w:rPr>
                <w:rStyle w:val="157"/>
                <w:rFonts w:hint="default" w:ascii="宋体" w:hAnsi="宋体"/>
                <w:kern w:val="0"/>
                <w:sz w:val="24"/>
              </w:rPr>
              <w:t>4</w:t>
            </w:r>
          </w:p>
        </w:tc>
        <w:tc>
          <w:tcPr>
            <w:tcW w:w="930" w:type="dxa"/>
            <w:tcBorders>
              <w:top w:val="single" w:color="000000" w:sz="4" w:space="0"/>
              <w:left w:val="single" w:color="000000" w:sz="4" w:space="0"/>
              <w:bottom w:val="single" w:color="000000" w:sz="4" w:space="0"/>
              <w:right w:val="single" w:color="000000" w:sz="4" w:space="0"/>
            </w:tcBorders>
            <w:vAlign w:val="center"/>
          </w:tcPr>
          <w:p w14:paraId="7DB48F94">
            <w:pPr>
              <w:jc w:val="center"/>
              <w:rPr>
                <w:rStyle w:val="157"/>
                <w:rFonts w:hint="default" w:ascii="宋体" w:hAnsi="宋体"/>
                <w:sz w:val="24"/>
              </w:rPr>
            </w:pPr>
          </w:p>
        </w:tc>
        <w:tc>
          <w:tcPr>
            <w:tcW w:w="4252" w:type="dxa"/>
            <w:tcBorders>
              <w:top w:val="single" w:color="000000" w:sz="4" w:space="0"/>
              <w:left w:val="single" w:color="000000" w:sz="4" w:space="0"/>
              <w:bottom w:val="single" w:color="000000" w:sz="4" w:space="0"/>
              <w:right w:val="single" w:color="000000" w:sz="4" w:space="0"/>
            </w:tcBorders>
            <w:vAlign w:val="center"/>
          </w:tcPr>
          <w:p w14:paraId="383A18FA">
            <w:pPr>
              <w:jc w:val="center"/>
              <w:rPr>
                <w:rStyle w:val="157"/>
                <w:rFonts w:hint="default" w:ascii="宋体" w:hAnsi="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2A156D85">
            <w:pPr>
              <w:jc w:val="center"/>
              <w:rPr>
                <w:rStyle w:val="157"/>
                <w:rFonts w:hint="default"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F9B947B">
            <w:pPr>
              <w:jc w:val="center"/>
              <w:rPr>
                <w:rStyle w:val="157"/>
                <w:rFonts w:hint="default" w:ascii="宋体" w:hAnsi="宋体"/>
                <w:sz w:val="24"/>
              </w:rPr>
            </w:pP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14:paraId="07074159">
            <w:pPr>
              <w:jc w:val="center"/>
              <w:rPr>
                <w:rStyle w:val="157"/>
                <w:rFonts w:hint="default" w:ascii="宋体" w:hAnsi="宋体"/>
                <w:sz w:val="24"/>
              </w:rPr>
            </w:pPr>
          </w:p>
        </w:tc>
      </w:tr>
      <w:tr w14:paraId="1AB0D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38" w:type="dxa"/>
            <w:tcBorders>
              <w:top w:val="single" w:color="000000" w:sz="4" w:space="0"/>
              <w:left w:val="single" w:color="000000" w:sz="4" w:space="0"/>
              <w:bottom w:val="single" w:color="000000" w:sz="4" w:space="0"/>
              <w:right w:val="single" w:color="000000" w:sz="4" w:space="0"/>
            </w:tcBorders>
            <w:vAlign w:val="center"/>
          </w:tcPr>
          <w:p w14:paraId="2368979E">
            <w:pPr>
              <w:jc w:val="center"/>
              <w:rPr>
                <w:rStyle w:val="157"/>
                <w:rFonts w:hint="default" w:ascii="宋体" w:hAnsi="宋体"/>
                <w:kern w:val="0"/>
                <w:sz w:val="24"/>
              </w:rPr>
            </w:pPr>
            <w:r>
              <w:rPr>
                <w:rStyle w:val="157"/>
                <w:rFonts w:hint="default" w:ascii="宋体" w:hAnsi="宋体"/>
                <w:kern w:val="0"/>
                <w:sz w:val="24"/>
              </w:rPr>
              <w:t>5</w:t>
            </w:r>
          </w:p>
        </w:tc>
        <w:tc>
          <w:tcPr>
            <w:tcW w:w="930" w:type="dxa"/>
            <w:tcBorders>
              <w:top w:val="single" w:color="000000" w:sz="4" w:space="0"/>
              <w:left w:val="single" w:color="000000" w:sz="4" w:space="0"/>
              <w:bottom w:val="single" w:color="000000" w:sz="4" w:space="0"/>
              <w:right w:val="single" w:color="000000" w:sz="4" w:space="0"/>
            </w:tcBorders>
            <w:vAlign w:val="center"/>
          </w:tcPr>
          <w:p w14:paraId="745CDC02">
            <w:pPr>
              <w:jc w:val="center"/>
              <w:rPr>
                <w:rStyle w:val="157"/>
                <w:rFonts w:hint="default" w:ascii="宋体" w:hAnsi="宋体"/>
                <w:sz w:val="24"/>
              </w:rPr>
            </w:pPr>
          </w:p>
        </w:tc>
        <w:tc>
          <w:tcPr>
            <w:tcW w:w="4252" w:type="dxa"/>
            <w:tcBorders>
              <w:top w:val="single" w:color="000000" w:sz="4" w:space="0"/>
              <w:left w:val="single" w:color="000000" w:sz="4" w:space="0"/>
              <w:bottom w:val="single" w:color="000000" w:sz="4" w:space="0"/>
              <w:right w:val="single" w:color="000000" w:sz="4" w:space="0"/>
            </w:tcBorders>
            <w:vAlign w:val="center"/>
          </w:tcPr>
          <w:p w14:paraId="432D9DE5">
            <w:pPr>
              <w:jc w:val="center"/>
              <w:rPr>
                <w:rStyle w:val="157"/>
                <w:rFonts w:hint="default" w:ascii="宋体" w:hAnsi="宋体"/>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4983CC52">
            <w:pPr>
              <w:jc w:val="center"/>
              <w:rPr>
                <w:rStyle w:val="157"/>
                <w:rFonts w:hint="default"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C686FFD">
            <w:pPr>
              <w:jc w:val="center"/>
              <w:rPr>
                <w:rStyle w:val="157"/>
                <w:rFonts w:hint="default" w:ascii="宋体" w:hAnsi="宋体"/>
                <w:sz w:val="24"/>
              </w:rPr>
            </w:pP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14:paraId="63222BC4">
            <w:pPr>
              <w:jc w:val="center"/>
              <w:rPr>
                <w:rStyle w:val="157"/>
                <w:rFonts w:hint="default" w:ascii="宋体" w:hAnsi="宋体"/>
                <w:sz w:val="24"/>
              </w:rPr>
            </w:pPr>
          </w:p>
        </w:tc>
      </w:tr>
      <w:tr w14:paraId="3F73E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825" w:hRule="atLeast"/>
        </w:trPr>
        <w:tc>
          <w:tcPr>
            <w:tcW w:w="9348" w:type="dxa"/>
            <w:gridSpan w:val="6"/>
            <w:tcBorders>
              <w:top w:val="single" w:color="000000" w:sz="4" w:space="0"/>
              <w:left w:val="single" w:color="000000" w:sz="4" w:space="0"/>
              <w:bottom w:val="single" w:color="000000" w:sz="4" w:space="0"/>
              <w:right w:val="single" w:color="000000" w:sz="4" w:space="0"/>
            </w:tcBorders>
          </w:tcPr>
          <w:p w14:paraId="707D216D">
            <w:pPr>
              <w:rPr>
                <w:rStyle w:val="157"/>
                <w:rFonts w:hint="default" w:ascii="宋体" w:hAnsi="宋体"/>
                <w:sz w:val="24"/>
                <w:lang w:eastAsia="zh-CN"/>
              </w:rPr>
            </w:pPr>
            <w:r>
              <w:rPr>
                <w:rStyle w:val="157"/>
                <w:rFonts w:hint="default" w:ascii="宋体" w:hAnsi="宋体"/>
                <w:sz w:val="24"/>
                <w:lang w:eastAsia="zh-CN"/>
              </w:rPr>
              <w:t>总报价：人民币</w:t>
            </w:r>
            <w:r>
              <w:rPr>
                <w:rStyle w:val="157"/>
                <w:rFonts w:hint="default" w:ascii="宋体" w:hAnsi="宋体"/>
                <w:sz w:val="24"/>
                <w:u w:val="single"/>
                <w:lang w:eastAsia="zh-CN"/>
              </w:rPr>
              <w:t xml:space="preserve">（大写）               </w:t>
            </w:r>
            <w:r>
              <w:rPr>
                <w:rStyle w:val="157"/>
                <w:rFonts w:hint="default" w:ascii="宋体" w:hAnsi="宋体"/>
                <w:sz w:val="24"/>
                <w:lang w:eastAsia="zh-CN"/>
              </w:rPr>
              <w:t>(¥小写)</w:t>
            </w:r>
          </w:p>
          <w:p w14:paraId="331B9DC4">
            <w:pPr>
              <w:rPr>
                <w:rStyle w:val="157"/>
                <w:rFonts w:hint="default" w:ascii="宋体" w:hAnsi="宋体"/>
                <w:sz w:val="24"/>
              </w:rPr>
            </w:pPr>
            <w:r>
              <w:rPr>
                <w:rStyle w:val="157"/>
                <w:rFonts w:hint="default" w:ascii="宋体" w:hAnsi="宋体"/>
                <w:sz w:val="24"/>
              </w:rPr>
              <w:t>合同履行期限：</w:t>
            </w:r>
            <w:r>
              <w:rPr>
                <w:rStyle w:val="157"/>
                <w:rFonts w:hint="default" w:ascii="宋体" w:hAnsi="宋体"/>
                <w:sz w:val="24"/>
                <w:u w:val="single"/>
              </w:rPr>
              <w:t xml:space="preserve">                                           </w:t>
            </w:r>
            <w:r>
              <w:rPr>
                <w:rStyle w:val="157"/>
                <w:rFonts w:hint="default" w:ascii="宋体" w:hAnsi="宋体"/>
                <w:sz w:val="24"/>
              </w:rPr>
              <w:t xml:space="preserve">                             </w:t>
            </w:r>
          </w:p>
        </w:tc>
      </w:tr>
      <w:tr w14:paraId="7BC34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1066" w:hRule="atLeast"/>
        </w:trPr>
        <w:tc>
          <w:tcPr>
            <w:tcW w:w="9348" w:type="dxa"/>
            <w:gridSpan w:val="6"/>
            <w:tcBorders>
              <w:top w:val="single" w:color="000000" w:sz="4" w:space="0"/>
              <w:left w:val="single" w:color="000000" w:sz="4" w:space="0"/>
              <w:bottom w:val="single" w:color="000000" w:sz="4" w:space="0"/>
              <w:right w:val="single" w:color="000000" w:sz="4" w:space="0"/>
            </w:tcBorders>
          </w:tcPr>
          <w:p w14:paraId="0DE5DCB1">
            <w:pPr>
              <w:spacing w:line="360" w:lineRule="auto"/>
              <w:rPr>
                <w:rStyle w:val="157"/>
                <w:rFonts w:hint="default" w:ascii="宋体" w:hAnsi="宋体" w:eastAsia="宋体"/>
                <w:b/>
                <w:sz w:val="21"/>
                <w:szCs w:val="21"/>
                <w:lang w:eastAsia="zh-CN"/>
              </w:rPr>
            </w:pPr>
            <w:r>
              <w:rPr>
                <w:rStyle w:val="157"/>
                <w:rFonts w:hint="default" w:ascii="宋体" w:hAnsi="宋体" w:eastAsia="宋体"/>
                <w:b/>
                <w:sz w:val="21"/>
                <w:szCs w:val="21"/>
                <w:lang w:eastAsia="zh-CN"/>
              </w:rPr>
              <w:t>注：1、所有价格均用人民币表示，单位为元，精确到个位数。</w:t>
            </w:r>
          </w:p>
          <w:p w14:paraId="1A05A485">
            <w:pPr>
              <w:spacing w:line="360" w:lineRule="auto"/>
              <w:rPr>
                <w:rStyle w:val="157"/>
                <w:rFonts w:hint="default" w:ascii="宋体" w:hAnsi="宋体"/>
                <w:lang w:eastAsia="zh-CN"/>
              </w:rPr>
            </w:pPr>
            <w:r>
              <w:rPr>
                <w:rStyle w:val="157"/>
                <w:rFonts w:hint="default" w:ascii="宋体" w:hAnsi="宋体" w:eastAsia="宋体"/>
                <w:b/>
                <w:sz w:val="21"/>
                <w:szCs w:val="21"/>
                <w:lang w:eastAsia="zh-CN"/>
              </w:rPr>
              <w:t>2</w:t>
            </w:r>
            <w:r>
              <w:rPr>
                <w:rStyle w:val="157"/>
                <w:rFonts w:hint="default" w:ascii="宋体" w:hAnsi="宋体"/>
                <w:b/>
                <w:sz w:val="21"/>
                <w:szCs w:val="21"/>
                <w:lang w:eastAsia="zh-CN"/>
              </w:rPr>
              <w:t>、</w:t>
            </w:r>
            <w:r>
              <w:rPr>
                <w:rStyle w:val="157"/>
                <w:rFonts w:hint="default" w:ascii="宋体" w:hAnsi="宋体" w:eastAsia="宋体"/>
                <w:b/>
                <w:sz w:val="21"/>
                <w:szCs w:val="21"/>
                <w:lang w:eastAsia="zh-CN"/>
              </w:rPr>
              <w:t>供应商所报价的所有报价表都必须要加盖公章并签字，无盖章和签字的报价无效。</w:t>
            </w:r>
          </w:p>
        </w:tc>
      </w:tr>
    </w:tbl>
    <w:p w14:paraId="3D76C22D">
      <w:pPr>
        <w:rPr>
          <w:rFonts w:ascii="宋体" w:hAnsi="宋体"/>
          <w:szCs w:val="21"/>
        </w:rPr>
      </w:pPr>
    </w:p>
    <w:p w14:paraId="0DC4322E">
      <w:pPr>
        <w:jc w:val="center"/>
        <w:rPr>
          <w:rFonts w:ascii="宋体" w:hAnsi="宋体"/>
          <w:szCs w:val="21"/>
        </w:rPr>
      </w:pPr>
    </w:p>
    <w:p w14:paraId="78C1726E">
      <w:pPr>
        <w:spacing w:line="600" w:lineRule="exact"/>
        <w:rPr>
          <w:rFonts w:ascii="宋体" w:hAnsi="宋体"/>
          <w:szCs w:val="21"/>
          <w:u w:val="single"/>
        </w:rPr>
      </w:pPr>
      <w:r>
        <w:rPr>
          <w:rFonts w:hint="eastAsia" w:ascii="宋体" w:hAnsi="宋体"/>
          <w:szCs w:val="21"/>
        </w:rPr>
        <w:t>法定代表人或法定代表人授权代表签字：</w:t>
      </w:r>
    </w:p>
    <w:p w14:paraId="6FBACF64">
      <w:pPr>
        <w:spacing w:line="600" w:lineRule="exact"/>
        <w:rPr>
          <w:rFonts w:ascii="宋体" w:hAnsi="宋体"/>
          <w:sz w:val="13"/>
          <w:szCs w:val="13"/>
          <w:u w:val="single"/>
        </w:rPr>
      </w:pPr>
      <w:r>
        <w:rPr>
          <w:rFonts w:hint="eastAsia" w:ascii="宋体" w:hAnsi="宋体"/>
          <w:szCs w:val="21"/>
        </w:rPr>
        <w:t>供应商名称（公章）：</w:t>
      </w:r>
    </w:p>
    <w:p w14:paraId="3266C610">
      <w:pPr>
        <w:adjustRightInd w:val="0"/>
        <w:snapToGrid w:val="0"/>
        <w:spacing w:line="600" w:lineRule="exact"/>
        <w:ind w:left="-88" w:leftChars="-42" w:firstLine="105" w:firstLineChars="50"/>
        <w:rPr>
          <w:rFonts w:ascii="宋体" w:hAnsi="宋体"/>
          <w:szCs w:val="21"/>
          <w:u w:val="single"/>
        </w:rPr>
      </w:pPr>
      <w:r>
        <w:rPr>
          <w:rFonts w:hint="eastAsia" w:ascii="宋体" w:hAnsi="宋体"/>
          <w:szCs w:val="21"/>
        </w:rPr>
        <w:t>日   期：</w:t>
      </w:r>
    </w:p>
    <w:p w14:paraId="7F16E93E">
      <w:pPr>
        <w:spacing w:line="588" w:lineRule="exact"/>
        <w:jc w:val="center"/>
        <w:rPr>
          <w:rFonts w:ascii="宋体" w:hAnsi="宋体" w:cs="宋体"/>
          <w:b/>
          <w:spacing w:val="6"/>
          <w:sz w:val="24"/>
        </w:rPr>
      </w:pPr>
      <w:r>
        <w:rPr>
          <w:rFonts w:ascii="宋体" w:hAnsi="宋体"/>
          <w:b/>
          <w:sz w:val="28"/>
          <w:szCs w:val="28"/>
        </w:rPr>
        <w:br w:type="page"/>
      </w:r>
      <w:bookmarkStart w:id="51" w:name="_Toc1645"/>
      <w:bookmarkStart w:id="52" w:name="_Toc28429"/>
      <w:bookmarkStart w:id="53" w:name="_Toc22372"/>
      <w:bookmarkStart w:id="54" w:name="_Toc26718"/>
      <w:bookmarkStart w:id="55" w:name="_Toc29997"/>
      <w:r>
        <w:rPr>
          <w:rFonts w:hint="eastAsia" w:ascii="宋体" w:hAnsi="宋体" w:cs="宋体"/>
          <w:b/>
          <w:spacing w:val="6"/>
          <w:sz w:val="24"/>
        </w:rPr>
        <w:t>中小企业声明函</w:t>
      </w:r>
      <w:bookmarkEnd w:id="51"/>
      <w:bookmarkEnd w:id="52"/>
      <w:bookmarkEnd w:id="53"/>
      <w:bookmarkEnd w:id="54"/>
      <w:bookmarkEnd w:id="55"/>
    </w:p>
    <w:p w14:paraId="321B6945">
      <w:pPr>
        <w:spacing w:line="588" w:lineRule="exact"/>
        <w:ind w:firstLine="504" w:firstLineChars="200"/>
        <w:rPr>
          <w:rFonts w:ascii="宋体" w:hAnsi="宋体" w:cs="宋体"/>
          <w:b/>
          <w:spacing w:val="6"/>
          <w:sz w:val="24"/>
        </w:rPr>
      </w:pPr>
      <w:r>
        <w:rPr>
          <w:rFonts w:hint="eastAsia" w:ascii="宋体" w:hAnsi="宋体" w:cs="宋体"/>
          <w:bCs/>
          <w:spacing w:val="6"/>
          <w:sz w:val="24"/>
        </w:rPr>
        <w:t>本公司（联合体）郑重声明，根据《政府采购促进中小企业发展管理办法》（财库﹝2020﹞46 号）的规定，本公司（联合体）参加</w:t>
      </w:r>
      <w:r>
        <w:rPr>
          <w:rFonts w:hint="eastAsia" w:ascii="宋体" w:hAnsi="宋体" w:cs="宋体"/>
          <w:bCs/>
          <w:spacing w:val="6"/>
          <w:sz w:val="24"/>
          <w:u w:val="single"/>
        </w:rPr>
        <w:t>（单位名称）</w:t>
      </w:r>
      <w:r>
        <w:rPr>
          <w:rFonts w:hint="eastAsia" w:ascii="宋体" w:hAnsi="宋体" w:cs="宋体"/>
          <w:bCs/>
          <w:spacing w:val="6"/>
          <w:sz w:val="24"/>
        </w:rPr>
        <w:t>的</w:t>
      </w:r>
      <w:r>
        <w:rPr>
          <w:rFonts w:hint="eastAsia" w:ascii="宋体" w:hAnsi="宋体" w:cs="宋体"/>
          <w:bCs/>
          <w:spacing w:val="6"/>
          <w:sz w:val="24"/>
          <w:u w:val="single"/>
        </w:rPr>
        <w:t>（项目名称）</w:t>
      </w:r>
      <w:r>
        <w:rPr>
          <w:rFonts w:hint="eastAsia" w:ascii="宋体" w:hAnsi="宋体" w:cs="宋体"/>
          <w:bCs/>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1F78E2D8">
      <w:pPr>
        <w:rPr>
          <w:rFonts w:ascii="宋体" w:hAnsi="宋体" w:cs="宋体"/>
          <w:sz w:val="24"/>
        </w:rPr>
      </w:pPr>
      <w:r>
        <w:rPr>
          <w:rFonts w:hint="eastAsia" w:ascii="宋体" w:hAnsi="宋体" w:cs="宋体"/>
          <w:spacing w:val="6"/>
          <w:sz w:val="24"/>
        </w:rPr>
        <w:t xml:space="preserve">         </w:t>
      </w:r>
    </w:p>
    <w:p w14:paraId="206C2A9C">
      <w:pPr>
        <w:pStyle w:val="70"/>
        <w:numPr>
          <w:ilvl w:val="0"/>
          <w:numId w:val="33"/>
        </w:numPr>
        <w:tabs>
          <w:tab w:val="left" w:pos="1183"/>
          <w:tab w:val="left" w:pos="1484"/>
          <w:tab w:val="left" w:pos="4662"/>
          <w:tab w:val="left" w:pos="6903"/>
        </w:tabs>
        <w:spacing w:line="295" w:lineRule="auto"/>
        <w:ind w:right="109" w:firstLine="504"/>
        <w:jc w:val="left"/>
        <w:rPr>
          <w:rFonts w:ascii="宋体" w:hAnsi="宋体" w:cs="宋体"/>
          <w:bCs/>
          <w:spacing w:val="6"/>
          <w:sz w:val="24"/>
        </w:rPr>
      </w:pPr>
      <w:r>
        <w:rPr>
          <w:rFonts w:hint="eastAsia" w:ascii="宋体" w:hAnsi="宋体" w:cs="宋体"/>
          <w:bCs/>
          <w:spacing w:val="6"/>
          <w:sz w:val="24"/>
          <w:u w:val="single"/>
        </w:rPr>
        <w:t xml:space="preserve"> （ 标 的 名 称 ） </w:t>
      </w:r>
      <w:r>
        <w:rPr>
          <w:rFonts w:hint="eastAsia" w:ascii="宋体" w:hAnsi="宋体" w:cs="宋体"/>
          <w:bCs/>
          <w:spacing w:val="6"/>
          <w:sz w:val="24"/>
        </w:rPr>
        <w:t xml:space="preserve">， 属 于 </w:t>
      </w:r>
      <w:r>
        <w:rPr>
          <w:rFonts w:hint="eastAsia" w:ascii="宋体" w:hAnsi="宋体" w:cs="宋体"/>
          <w:bCs/>
          <w:spacing w:val="6"/>
          <w:sz w:val="24"/>
          <w:u w:val="single"/>
        </w:rPr>
        <w:t>（ 采 购 文 件 中 明 确 的 所 属 行 业 ）</w:t>
      </w:r>
      <w:r>
        <w:rPr>
          <w:rFonts w:hint="eastAsia" w:ascii="宋体" w:hAnsi="宋体" w:cs="宋体"/>
          <w:bCs/>
          <w:spacing w:val="6"/>
          <w:sz w:val="24"/>
        </w:rPr>
        <w:t xml:space="preserve"> 行业；制造商为</w:t>
      </w:r>
      <w:r>
        <w:rPr>
          <w:rFonts w:hint="eastAsia" w:ascii="宋体" w:hAnsi="宋体" w:cs="宋体"/>
          <w:bCs/>
          <w:spacing w:val="6"/>
          <w:sz w:val="24"/>
          <w:u w:val="single"/>
        </w:rPr>
        <w:t>（企业名称）</w:t>
      </w:r>
      <w:r>
        <w:rPr>
          <w:rFonts w:hint="eastAsia" w:ascii="宋体" w:hAnsi="宋体" w:cs="宋体"/>
          <w:bCs/>
          <w:spacing w:val="6"/>
          <w:sz w:val="24"/>
        </w:rPr>
        <w:t>，从业人员</w:t>
      </w:r>
      <w:r>
        <w:rPr>
          <w:rFonts w:hint="eastAsia" w:ascii="宋体" w:hAnsi="宋体" w:cs="宋体"/>
          <w:bCs/>
          <w:spacing w:val="6"/>
          <w:sz w:val="24"/>
          <w:u w:val="single"/>
        </w:rPr>
        <w:t xml:space="preserve"> </w:t>
      </w:r>
      <w:r>
        <w:rPr>
          <w:rFonts w:hint="eastAsia" w:ascii="宋体" w:hAnsi="宋体" w:cs="宋体"/>
          <w:bCs/>
          <w:spacing w:val="6"/>
          <w:sz w:val="24"/>
          <w:u w:val="single"/>
        </w:rPr>
        <w:tab/>
      </w:r>
      <w:r>
        <w:rPr>
          <w:rFonts w:hint="eastAsia" w:ascii="宋体" w:hAnsi="宋体" w:cs="宋体"/>
          <w:bCs/>
          <w:spacing w:val="6"/>
          <w:sz w:val="24"/>
        </w:rPr>
        <w:t>人，营业收入为</w:t>
      </w:r>
      <w:r>
        <w:rPr>
          <w:rFonts w:hint="eastAsia" w:ascii="宋体" w:hAnsi="宋体" w:cs="宋体"/>
          <w:bCs/>
          <w:spacing w:val="6"/>
          <w:sz w:val="24"/>
          <w:u w:val="single"/>
        </w:rPr>
        <w:t xml:space="preserve"> </w:t>
      </w:r>
      <w:r>
        <w:rPr>
          <w:rFonts w:hint="eastAsia" w:ascii="宋体" w:hAnsi="宋体" w:cs="宋体"/>
          <w:bCs/>
          <w:spacing w:val="6"/>
          <w:sz w:val="24"/>
          <w:u w:val="single"/>
        </w:rPr>
        <w:tab/>
      </w:r>
      <w:r>
        <w:rPr>
          <w:rFonts w:hint="eastAsia" w:ascii="宋体" w:hAnsi="宋体" w:cs="宋体"/>
          <w:bCs/>
          <w:spacing w:val="6"/>
          <w:sz w:val="24"/>
          <w:u w:val="single"/>
        </w:rPr>
        <w:t xml:space="preserve">  </w:t>
      </w:r>
      <w:r>
        <w:rPr>
          <w:rFonts w:hint="eastAsia" w:ascii="宋体" w:hAnsi="宋体" w:cs="宋体"/>
          <w:bCs/>
          <w:spacing w:val="6"/>
          <w:sz w:val="24"/>
        </w:rPr>
        <w:t>万元，资产总额为</w:t>
      </w:r>
      <w:r>
        <w:rPr>
          <w:rFonts w:hint="eastAsia" w:ascii="宋体" w:hAnsi="宋体" w:cs="宋体"/>
          <w:bCs/>
          <w:spacing w:val="6"/>
          <w:sz w:val="24"/>
          <w:u w:val="single"/>
        </w:rPr>
        <w:t xml:space="preserve"> </w:t>
      </w:r>
      <w:r>
        <w:rPr>
          <w:rFonts w:hint="eastAsia" w:ascii="宋体" w:hAnsi="宋体" w:cs="宋体"/>
          <w:bCs/>
          <w:spacing w:val="6"/>
          <w:sz w:val="24"/>
          <w:u w:val="single"/>
        </w:rPr>
        <w:tab/>
      </w:r>
      <w:r>
        <w:rPr>
          <w:rFonts w:hint="eastAsia" w:ascii="宋体" w:hAnsi="宋体" w:cs="宋体"/>
          <w:bCs/>
          <w:spacing w:val="6"/>
          <w:sz w:val="24"/>
        </w:rPr>
        <w:t>万元，属于</w:t>
      </w:r>
      <w:r>
        <w:rPr>
          <w:rFonts w:hint="eastAsia" w:ascii="宋体" w:hAnsi="宋体" w:cs="宋体"/>
          <w:bCs/>
          <w:spacing w:val="6"/>
          <w:sz w:val="24"/>
          <w:u w:val="single"/>
        </w:rPr>
        <w:t>（中型企业、小型企业、微型企业）</w:t>
      </w:r>
      <w:r>
        <w:rPr>
          <w:rFonts w:hint="eastAsia" w:ascii="宋体" w:hAnsi="宋体" w:cs="宋体"/>
          <w:bCs/>
          <w:spacing w:val="6"/>
          <w:sz w:val="24"/>
        </w:rPr>
        <w:t>；</w:t>
      </w:r>
    </w:p>
    <w:p w14:paraId="44237570">
      <w:pPr>
        <w:pStyle w:val="70"/>
        <w:numPr>
          <w:ilvl w:val="0"/>
          <w:numId w:val="33"/>
        </w:numPr>
        <w:tabs>
          <w:tab w:val="left" w:pos="1165"/>
          <w:tab w:val="left" w:pos="1183"/>
          <w:tab w:val="left" w:pos="4362"/>
          <w:tab w:val="left" w:pos="6577"/>
        </w:tabs>
        <w:spacing w:line="295" w:lineRule="auto"/>
        <w:ind w:right="109" w:firstLine="504"/>
        <w:jc w:val="left"/>
        <w:rPr>
          <w:rFonts w:ascii="宋体" w:hAnsi="宋体" w:cs="宋体"/>
          <w:bCs/>
          <w:spacing w:val="6"/>
          <w:sz w:val="24"/>
        </w:rPr>
      </w:pPr>
      <w:r>
        <w:rPr>
          <w:rFonts w:hint="eastAsia" w:ascii="宋体" w:hAnsi="宋体" w:cs="宋体"/>
          <w:bCs/>
          <w:spacing w:val="6"/>
          <w:sz w:val="24"/>
          <w:u w:val="single"/>
        </w:rPr>
        <w:t xml:space="preserve"> （ 标 的 名 称 ）</w:t>
      </w:r>
      <w:r>
        <w:rPr>
          <w:rFonts w:hint="eastAsia" w:ascii="宋体" w:hAnsi="宋体" w:cs="宋体"/>
          <w:bCs/>
          <w:spacing w:val="6"/>
          <w:sz w:val="24"/>
        </w:rPr>
        <w:t xml:space="preserve"> ， 属 于 </w:t>
      </w:r>
      <w:r>
        <w:rPr>
          <w:rFonts w:hint="eastAsia" w:ascii="宋体" w:hAnsi="宋体" w:cs="宋体"/>
          <w:bCs/>
          <w:spacing w:val="6"/>
          <w:sz w:val="24"/>
          <w:u w:val="single"/>
        </w:rPr>
        <w:t>（ 采 购 文 件 中 明 确 的 所 属 行 业 ）</w:t>
      </w:r>
      <w:r>
        <w:rPr>
          <w:rFonts w:hint="eastAsia" w:ascii="宋体" w:hAnsi="宋体" w:cs="宋体"/>
          <w:bCs/>
          <w:spacing w:val="6"/>
          <w:sz w:val="24"/>
        </w:rPr>
        <w:t xml:space="preserve"> 行业；制造商为</w:t>
      </w:r>
      <w:r>
        <w:rPr>
          <w:rFonts w:hint="eastAsia" w:ascii="宋体" w:hAnsi="宋体" w:cs="宋体"/>
          <w:bCs/>
          <w:spacing w:val="6"/>
          <w:sz w:val="24"/>
          <w:u w:val="single"/>
        </w:rPr>
        <w:t>（企业名称）</w:t>
      </w:r>
      <w:r>
        <w:rPr>
          <w:rFonts w:hint="eastAsia" w:ascii="宋体" w:hAnsi="宋体" w:cs="宋体"/>
          <w:bCs/>
          <w:spacing w:val="6"/>
          <w:sz w:val="24"/>
        </w:rPr>
        <w:t>，从业人员</w:t>
      </w:r>
      <w:r>
        <w:rPr>
          <w:rFonts w:hint="eastAsia" w:ascii="宋体" w:hAnsi="宋体" w:cs="宋体"/>
          <w:bCs/>
          <w:spacing w:val="6"/>
          <w:sz w:val="24"/>
          <w:u w:val="single"/>
        </w:rPr>
        <w:t xml:space="preserve"> </w:t>
      </w:r>
      <w:r>
        <w:rPr>
          <w:rFonts w:hint="eastAsia" w:ascii="宋体" w:hAnsi="宋体" w:cs="宋体"/>
          <w:bCs/>
          <w:spacing w:val="6"/>
          <w:sz w:val="24"/>
          <w:u w:val="single"/>
        </w:rPr>
        <w:tab/>
      </w:r>
      <w:r>
        <w:rPr>
          <w:rFonts w:hint="eastAsia" w:ascii="宋体" w:hAnsi="宋体" w:cs="宋体"/>
          <w:bCs/>
          <w:spacing w:val="6"/>
          <w:sz w:val="24"/>
        </w:rPr>
        <w:t>人，营业收入为</w:t>
      </w:r>
      <w:r>
        <w:rPr>
          <w:rFonts w:hint="eastAsia" w:ascii="宋体" w:hAnsi="宋体" w:cs="宋体"/>
          <w:bCs/>
          <w:spacing w:val="6"/>
          <w:sz w:val="24"/>
          <w:u w:val="single"/>
        </w:rPr>
        <w:t xml:space="preserve"> </w:t>
      </w:r>
      <w:r>
        <w:rPr>
          <w:rFonts w:hint="eastAsia" w:ascii="宋体" w:hAnsi="宋体" w:cs="宋体"/>
          <w:bCs/>
          <w:spacing w:val="6"/>
          <w:sz w:val="24"/>
          <w:u w:val="single"/>
        </w:rPr>
        <w:tab/>
      </w:r>
      <w:r>
        <w:rPr>
          <w:rFonts w:hint="eastAsia" w:ascii="宋体" w:hAnsi="宋体" w:cs="宋体"/>
          <w:bCs/>
          <w:spacing w:val="6"/>
          <w:sz w:val="24"/>
        </w:rPr>
        <w:t>万元，资产总额为</w:t>
      </w:r>
      <w:r>
        <w:rPr>
          <w:rFonts w:hint="eastAsia" w:ascii="宋体" w:hAnsi="宋体" w:cs="宋体"/>
          <w:bCs/>
          <w:spacing w:val="6"/>
          <w:sz w:val="24"/>
          <w:u w:val="single"/>
        </w:rPr>
        <w:t xml:space="preserve"> </w:t>
      </w:r>
      <w:r>
        <w:rPr>
          <w:rFonts w:hint="eastAsia" w:ascii="宋体" w:hAnsi="宋体" w:cs="宋体"/>
          <w:bCs/>
          <w:spacing w:val="6"/>
          <w:sz w:val="24"/>
          <w:u w:val="single"/>
        </w:rPr>
        <w:tab/>
      </w:r>
      <w:r>
        <w:rPr>
          <w:rFonts w:hint="eastAsia" w:ascii="宋体" w:hAnsi="宋体" w:cs="宋体"/>
          <w:bCs/>
          <w:spacing w:val="6"/>
          <w:sz w:val="24"/>
        </w:rPr>
        <w:t>万元，属于</w:t>
      </w:r>
      <w:r>
        <w:rPr>
          <w:rFonts w:hint="eastAsia" w:ascii="宋体" w:hAnsi="宋体" w:cs="宋体"/>
          <w:bCs/>
          <w:spacing w:val="6"/>
          <w:sz w:val="24"/>
          <w:u w:val="single"/>
        </w:rPr>
        <w:t>（中型企业、小型企业、微型企业）</w:t>
      </w:r>
      <w:r>
        <w:rPr>
          <w:rFonts w:hint="eastAsia" w:ascii="宋体" w:hAnsi="宋体" w:cs="宋体"/>
          <w:bCs/>
          <w:spacing w:val="6"/>
          <w:sz w:val="24"/>
        </w:rPr>
        <w:t>；</w:t>
      </w:r>
    </w:p>
    <w:p w14:paraId="5B22669B">
      <w:pPr>
        <w:pStyle w:val="16"/>
        <w:ind w:left="860"/>
        <w:rPr>
          <w:rFonts w:hAnsi="宋体" w:cs="宋体"/>
          <w:bCs/>
          <w:spacing w:val="6"/>
          <w:kern w:val="2"/>
          <w:sz w:val="24"/>
          <w:szCs w:val="24"/>
        </w:rPr>
      </w:pPr>
      <w:r>
        <w:rPr>
          <w:rFonts w:hint="eastAsia" w:hAnsi="宋体" w:cs="宋体"/>
          <w:bCs/>
          <w:spacing w:val="6"/>
          <w:kern w:val="2"/>
          <w:sz w:val="24"/>
          <w:szCs w:val="24"/>
        </w:rPr>
        <w:t>……</w:t>
      </w:r>
    </w:p>
    <w:p w14:paraId="3ECD95E4">
      <w:pPr>
        <w:pStyle w:val="16"/>
        <w:spacing w:before="105" w:line="304" w:lineRule="auto"/>
        <w:ind w:right="357" w:firstLine="645"/>
        <w:jc w:val="both"/>
        <w:rPr>
          <w:rFonts w:hAnsi="宋体" w:cs="宋体"/>
          <w:bCs/>
          <w:spacing w:val="6"/>
          <w:kern w:val="2"/>
          <w:sz w:val="24"/>
          <w:szCs w:val="22"/>
        </w:rPr>
      </w:pPr>
      <w:r>
        <w:rPr>
          <w:rFonts w:hint="eastAsia" w:hAnsi="宋体" w:cs="宋体"/>
          <w:bCs/>
          <w:spacing w:val="6"/>
          <w:kern w:val="2"/>
          <w:sz w:val="24"/>
          <w:szCs w:val="22"/>
        </w:rPr>
        <w:t>以上企业，不属于大企业的分支机构，不存在控股股东为大企业的情形，也不存在与大企业的负责人为同一人的情形。</w:t>
      </w:r>
    </w:p>
    <w:p w14:paraId="42C8EC31">
      <w:pPr>
        <w:pStyle w:val="16"/>
        <w:spacing w:line="302" w:lineRule="auto"/>
        <w:ind w:right="312" w:firstLine="645"/>
        <w:jc w:val="both"/>
        <w:rPr>
          <w:rFonts w:hAnsi="宋体" w:cs="宋体"/>
          <w:bCs/>
          <w:spacing w:val="6"/>
          <w:kern w:val="2"/>
          <w:sz w:val="24"/>
          <w:szCs w:val="22"/>
        </w:rPr>
      </w:pPr>
      <w:r>
        <w:rPr>
          <w:rFonts w:hint="eastAsia" w:hAnsi="宋体" w:cs="宋体"/>
          <w:bCs/>
          <w:spacing w:val="6"/>
          <w:kern w:val="2"/>
          <w:sz w:val="24"/>
          <w:szCs w:val="22"/>
        </w:rPr>
        <w:t>本企业对上述声明内容的真实性负责。如有虚假，将依法承担相应责任。</w:t>
      </w:r>
    </w:p>
    <w:p w14:paraId="346778CF">
      <w:pPr>
        <w:pStyle w:val="16"/>
        <w:spacing w:before="35" w:line="316" w:lineRule="auto"/>
        <w:ind w:left="4060" w:right="2106"/>
        <w:rPr>
          <w:rFonts w:hAnsi="宋体" w:cs="宋体"/>
          <w:bCs/>
          <w:spacing w:val="6"/>
          <w:kern w:val="2"/>
          <w:sz w:val="24"/>
          <w:szCs w:val="22"/>
        </w:rPr>
      </w:pPr>
      <w:r>
        <w:rPr>
          <w:rFonts w:hint="eastAsia" w:hAnsi="宋体" w:cs="宋体"/>
          <w:bCs/>
          <w:spacing w:val="6"/>
          <w:kern w:val="2"/>
          <w:sz w:val="24"/>
          <w:szCs w:val="22"/>
        </w:rPr>
        <w:t>企业名称（盖章）：</w:t>
      </w:r>
    </w:p>
    <w:p w14:paraId="09FA5BF7">
      <w:pPr>
        <w:pStyle w:val="16"/>
        <w:spacing w:before="35" w:line="316" w:lineRule="auto"/>
        <w:ind w:left="4060" w:right="2106"/>
        <w:rPr>
          <w:rFonts w:hAnsi="宋体" w:cs="宋体"/>
        </w:rPr>
      </w:pPr>
      <w:r>
        <w:rPr>
          <w:rFonts w:hint="eastAsia" w:hAnsi="宋体" w:cs="宋体"/>
          <w:bCs/>
          <w:spacing w:val="6"/>
          <w:kern w:val="2"/>
          <w:sz w:val="24"/>
          <w:szCs w:val="22"/>
        </w:rPr>
        <w:t>日期：</w:t>
      </w:r>
    </w:p>
    <w:p w14:paraId="6FAD91CD">
      <w:pPr>
        <w:spacing w:line="300" w:lineRule="auto"/>
        <w:jc w:val="center"/>
        <w:rPr>
          <w:rFonts w:ascii="宋体" w:hAnsi="宋体" w:cs="宋体"/>
          <w:b/>
          <w:bCs/>
          <w:sz w:val="28"/>
          <w:szCs w:val="28"/>
        </w:rPr>
      </w:pPr>
      <w:r>
        <w:rPr>
          <w:rFonts w:ascii="宋体" w:hAnsi="宋体"/>
          <w:b/>
          <w:sz w:val="32"/>
          <w:szCs w:val="32"/>
        </w:rPr>
        <w:br w:type="page"/>
      </w:r>
      <w:r>
        <w:rPr>
          <w:rFonts w:ascii="宋体" w:hAnsi="宋体"/>
          <w:b/>
          <w:sz w:val="28"/>
          <w:szCs w:val="28"/>
        </w:rPr>
        <w:t>4.</w:t>
      </w:r>
      <w:r>
        <w:rPr>
          <w:rFonts w:hint="eastAsia" w:ascii="宋体" w:hAnsi="宋体" w:cs="宋体"/>
          <w:b/>
          <w:bCs/>
          <w:sz w:val="28"/>
          <w:szCs w:val="28"/>
        </w:rPr>
        <w:t>监狱企业由省级以上监狱管理局.戒毒管理局（含新疆生产建设兵团）出具的属于监狱企业的证明文件</w:t>
      </w:r>
    </w:p>
    <w:p w14:paraId="1CC9A69C">
      <w:pPr>
        <w:spacing w:line="300" w:lineRule="auto"/>
        <w:jc w:val="center"/>
        <w:rPr>
          <w:rFonts w:ascii="宋体" w:hAnsi="宋体"/>
          <w:b/>
          <w:sz w:val="28"/>
          <w:szCs w:val="28"/>
        </w:rPr>
      </w:pPr>
    </w:p>
    <w:p w14:paraId="0CA677B8">
      <w:pPr>
        <w:spacing w:line="300" w:lineRule="auto"/>
        <w:rPr>
          <w:rFonts w:ascii="宋体" w:hAnsi="宋体"/>
          <w:b/>
          <w:sz w:val="28"/>
          <w:szCs w:val="28"/>
        </w:rPr>
      </w:pPr>
      <w:bookmarkStart w:id="56" w:name="OLE_LINK13"/>
      <w:bookmarkStart w:id="57" w:name="OLE_LINK14"/>
    </w:p>
    <w:p w14:paraId="7A487227">
      <w:pPr>
        <w:spacing w:line="300" w:lineRule="auto"/>
        <w:rPr>
          <w:rFonts w:ascii="宋体" w:hAnsi="宋体"/>
          <w:b/>
          <w:sz w:val="28"/>
          <w:szCs w:val="28"/>
        </w:rPr>
      </w:pPr>
    </w:p>
    <w:p w14:paraId="672BC5A5">
      <w:pPr>
        <w:spacing w:line="300" w:lineRule="auto"/>
        <w:rPr>
          <w:rFonts w:ascii="宋体" w:hAnsi="宋体"/>
          <w:b/>
          <w:sz w:val="28"/>
          <w:szCs w:val="28"/>
        </w:rPr>
      </w:pPr>
    </w:p>
    <w:p w14:paraId="52E6D3DD">
      <w:pPr>
        <w:spacing w:line="300" w:lineRule="auto"/>
        <w:rPr>
          <w:rFonts w:ascii="宋体" w:hAnsi="宋体"/>
          <w:b/>
          <w:sz w:val="28"/>
          <w:szCs w:val="28"/>
        </w:rPr>
      </w:pPr>
    </w:p>
    <w:p w14:paraId="1929747F">
      <w:pPr>
        <w:spacing w:line="300" w:lineRule="auto"/>
        <w:jc w:val="center"/>
        <w:rPr>
          <w:rFonts w:ascii="宋体" w:hAnsi="宋体"/>
          <w:b/>
          <w:sz w:val="10"/>
          <w:szCs w:val="10"/>
        </w:rPr>
      </w:pPr>
      <w:r>
        <w:rPr>
          <w:rFonts w:hint="eastAsia" w:ascii="宋体" w:hAnsi="宋体"/>
          <w:b/>
          <w:sz w:val="28"/>
          <w:szCs w:val="28"/>
        </w:rPr>
        <w:t>5.残疾人福利性单位声明函</w:t>
      </w:r>
    </w:p>
    <w:bookmarkEnd w:id="56"/>
    <w:bookmarkEnd w:id="57"/>
    <w:p w14:paraId="203350F6">
      <w:pPr>
        <w:spacing w:line="588" w:lineRule="exact"/>
        <w:rPr>
          <w:rFonts w:ascii="仿宋_GB2312" w:eastAsia="仿宋_GB2312"/>
          <w:b/>
          <w:spacing w:val="6"/>
          <w:sz w:val="28"/>
          <w:szCs w:val="28"/>
        </w:rPr>
      </w:pPr>
    </w:p>
    <w:p w14:paraId="7E95BB50">
      <w:pPr>
        <w:spacing w:line="588" w:lineRule="exact"/>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D33243">
      <w:pPr>
        <w:spacing w:line="588"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6054FF2">
      <w:pPr>
        <w:spacing w:line="588" w:lineRule="exact"/>
        <w:ind w:firstLine="420" w:firstLineChars="200"/>
        <w:rPr>
          <w:rFonts w:ascii="宋体" w:hAnsi="宋体"/>
          <w:szCs w:val="21"/>
        </w:rPr>
      </w:pPr>
    </w:p>
    <w:p w14:paraId="5753AF64">
      <w:pPr>
        <w:spacing w:line="588" w:lineRule="exact"/>
        <w:ind w:firstLine="420" w:firstLineChars="200"/>
        <w:rPr>
          <w:rFonts w:ascii="宋体" w:hAnsi="宋体"/>
          <w:szCs w:val="21"/>
        </w:rPr>
      </w:pPr>
    </w:p>
    <w:p w14:paraId="30850C41">
      <w:pPr>
        <w:spacing w:line="600" w:lineRule="exact"/>
        <w:rPr>
          <w:rFonts w:ascii="宋体" w:hAnsi="宋体"/>
          <w:szCs w:val="21"/>
          <w:u w:val="single"/>
        </w:rPr>
      </w:pPr>
      <w:r>
        <w:rPr>
          <w:rFonts w:hint="eastAsia" w:ascii="宋体" w:hAnsi="宋体" w:cs="宋体"/>
          <w:kern w:val="0"/>
          <w:szCs w:val="21"/>
        </w:rPr>
        <w:t> </w:t>
      </w:r>
      <w:r>
        <w:rPr>
          <w:rFonts w:hint="eastAsia" w:ascii="宋体" w:hAnsi="宋体"/>
          <w:szCs w:val="21"/>
        </w:rPr>
        <w:t>法定代表人或法定代表人授权代表签字：</w:t>
      </w:r>
    </w:p>
    <w:p w14:paraId="50B833B3">
      <w:pPr>
        <w:spacing w:line="600" w:lineRule="exact"/>
        <w:ind w:firstLine="210" w:firstLineChars="100"/>
        <w:rPr>
          <w:rFonts w:ascii="宋体" w:hAnsi="宋体"/>
          <w:sz w:val="13"/>
          <w:szCs w:val="13"/>
          <w:u w:val="single"/>
        </w:rPr>
      </w:pPr>
      <w:r>
        <w:rPr>
          <w:rFonts w:hint="eastAsia" w:ascii="宋体" w:hAnsi="宋体"/>
          <w:szCs w:val="21"/>
        </w:rPr>
        <w:t>供应商名称（公章）：</w:t>
      </w:r>
    </w:p>
    <w:p w14:paraId="43E62650">
      <w:pPr>
        <w:adjustRightInd w:val="0"/>
        <w:snapToGrid w:val="0"/>
        <w:spacing w:line="600" w:lineRule="exact"/>
        <w:ind w:left="-88" w:leftChars="-42" w:firstLine="315" w:firstLineChars="150"/>
        <w:rPr>
          <w:rFonts w:ascii="宋体" w:hAnsi="宋体"/>
          <w:szCs w:val="21"/>
          <w:u w:val="single"/>
        </w:rPr>
      </w:pPr>
      <w:r>
        <w:rPr>
          <w:rFonts w:hint="eastAsia" w:ascii="宋体" w:hAnsi="宋体"/>
          <w:szCs w:val="21"/>
        </w:rPr>
        <w:t>日   期：</w:t>
      </w:r>
    </w:p>
    <w:p w14:paraId="6C46E3AB">
      <w:pPr>
        <w:rPr>
          <w:szCs w:val="21"/>
        </w:rPr>
      </w:pPr>
    </w:p>
    <w:p w14:paraId="227E45D8">
      <w:pPr>
        <w:spacing w:line="300" w:lineRule="auto"/>
        <w:jc w:val="center"/>
        <w:rPr>
          <w:rFonts w:ascii="宋体" w:hAnsi="宋体"/>
          <w:b/>
          <w:szCs w:val="21"/>
        </w:rPr>
      </w:pPr>
    </w:p>
    <w:p w14:paraId="2A815D8C">
      <w:pPr>
        <w:spacing w:line="300" w:lineRule="auto"/>
        <w:jc w:val="center"/>
        <w:rPr>
          <w:rFonts w:ascii="宋体" w:hAnsi="宋体"/>
          <w:b/>
          <w:szCs w:val="21"/>
        </w:rPr>
      </w:pPr>
    </w:p>
    <w:p w14:paraId="3B9F0010">
      <w:pPr>
        <w:spacing w:line="300" w:lineRule="auto"/>
        <w:jc w:val="center"/>
        <w:rPr>
          <w:rFonts w:ascii="宋体" w:hAnsi="宋体"/>
          <w:b/>
          <w:szCs w:val="21"/>
        </w:rPr>
      </w:pPr>
    </w:p>
    <w:p w14:paraId="4A916011">
      <w:pPr>
        <w:spacing w:line="300" w:lineRule="auto"/>
        <w:jc w:val="center"/>
        <w:rPr>
          <w:rFonts w:ascii="宋体" w:hAnsi="宋体"/>
          <w:b/>
          <w:szCs w:val="21"/>
        </w:rPr>
      </w:pPr>
    </w:p>
    <w:p w14:paraId="31BD60C9">
      <w:pPr>
        <w:spacing w:line="300" w:lineRule="auto"/>
        <w:jc w:val="center"/>
        <w:rPr>
          <w:rFonts w:ascii="宋体" w:hAnsi="宋体"/>
          <w:b/>
          <w:szCs w:val="21"/>
        </w:rPr>
      </w:pPr>
    </w:p>
    <w:p w14:paraId="241734D4">
      <w:pPr>
        <w:spacing w:line="300" w:lineRule="auto"/>
        <w:jc w:val="center"/>
        <w:rPr>
          <w:rFonts w:ascii="宋体" w:hAnsi="宋体"/>
          <w:b/>
          <w:szCs w:val="21"/>
        </w:rPr>
      </w:pPr>
    </w:p>
    <w:p w14:paraId="59B9A759">
      <w:pPr>
        <w:spacing w:line="300" w:lineRule="auto"/>
        <w:jc w:val="center"/>
        <w:rPr>
          <w:rFonts w:ascii="宋体" w:hAnsi="宋体"/>
          <w:b/>
          <w:szCs w:val="21"/>
        </w:rPr>
      </w:pPr>
    </w:p>
    <w:p w14:paraId="79E5A0BA">
      <w:pPr>
        <w:spacing w:line="300" w:lineRule="auto"/>
        <w:jc w:val="center"/>
        <w:rPr>
          <w:rFonts w:ascii="宋体" w:hAnsi="宋体"/>
          <w:b/>
          <w:sz w:val="28"/>
          <w:szCs w:val="28"/>
        </w:rPr>
      </w:pPr>
      <w:r>
        <w:rPr>
          <w:rFonts w:hint="eastAsia" w:ascii="宋体" w:hAnsi="宋体"/>
          <w:b/>
          <w:sz w:val="28"/>
          <w:szCs w:val="28"/>
        </w:rPr>
        <w:t>6.供应商针对报价需要说明的其他文件和说明（格式自拟）</w:t>
      </w:r>
    </w:p>
    <w:p w14:paraId="1E966661">
      <w:pPr>
        <w:spacing w:line="300" w:lineRule="auto"/>
        <w:jc w:val="center"/>
        <w:rPr>
          <w:rFonts w:ascii="宋体" w:hAnsi="宋体"/>
          <w:b/>
          <w:sz w:val="28"/>
          <w:szCs w:val="28"/>
        </w:rPr>
      </w:pPr>
      <w:r>
        <w:rPr>
          <w:rFonts w:ascii="宋体" w:hAnsi="宋体"/>
          <w:b/>
          <w:sz w:val="28"/>
          <w:szCs w:val="28"/>
        </w:rPr>
        <w:br w:type="page"/>
      </w:r>
    </w:p>
    <w:p w14:paraId="7E581102">
      <w:pPr>
        <w:spacing w:line="400" w:lineRule="exact"/>
        <w:rPr>
          <w:rFonts w:ascii="宋体" w:hAnsi="宋体"/>
          <w:szCs w:val="21"/>
        </w:rPr>
      </w:pPr>
    </w:p>
    <w:p w14:paraId="223D27B3">
      <w:pPr>
        <w:spacing w:line="400" w:lineRule="exact"/>
        <w:ind w:firstLine="723" w:firstLineChars="200"/>
        <w:jc w:val="center"/>
        <w:rPr>
          <w:rFonts w:ascii="宋体" w:hAnsi="宋体"/>
          <w:b/>
          <w:sz w:val="36"/>
          <w:szCs w:val="36"/>
        </w:rPr>
      </w:pPr>
      <w:r>
        <w:rPr>
          <w:rFonts w:hint="eastAsia" w:ascii="宋体" w:hAnsi="宋体"/>
          <w:b/>
          <w:sz w:val="36"/>
          <w:szCs w:val="36"/>
        </w:rPr>
        <w:t>二、资格文件</w:t>
      </w:r>
    </w:p>
    <w:p w14:paraId="0226485E">
      <w:pPr>
        <w:spacing w:line="400" w:lineRule="exact"/>
        <w:ind w:firstLine="723" w:firstLineChars="200"/>
        <w:jc w:val="center"/>
        <w:rPr>
          <w:rFonts w:ascii="宋体" w:hAnsi="宋体"/>
          <w:b/>
          <w:sz w:val="36"/>
          <w:szCs w:val="36"/>
        </w:rPr>
      </w:pPr>
    </w:p>
    <w:p w14:paraId="7E9C130D">
      <w:pPr>
        <w:spacing w:line="400" w:lineRule="exact"/>
        <w:ind w:firstLine="880" w:firstLineChars="200"/>
        <w:jc w:val="center"/>
        <w:rPr>
          <w:rFonts w:ascii="宋体" w:hAnsi="宋体"/>
          <w:sz w:val="44"/>
          <w:szCs w:val="44"/>
        </w:rPr>
      </w:pPr>
    </w:p>
    <w:p w14:paraId="299DFE8B">
      <w:pPr>
        <w:spacing w:line="400" w:lineRule="exact"/>
        <w:ind w:firstLine="640" w:firstLineChars="200"/>
        <w:jc w:val="center"/>
        <w:rPr>
          <w:rFonts w:ascii="宋体" w:hAnsi="宋体"/>
          <w:sz w:val="32"/>
          <w:szCs w:val="32"/>
        </w:rPr>
      </w:pPr>
    </w:p>
    <w:p w14:paraId="3F805A56">
      <w:pPr>
        <w:spacing w:line="400" w:lineRule="exact"/>
        <w:ind w:left="-27" w:leftChars="-13" w:firstLine="424" w:firstLineChars="151"/>
        <w:rPr>
          <w:rFonts w:hAnsi="宋体"/>
          <w:b/>
          <w:sz w:val="28"/>
          <w:szCs w:val="28"/>
        </w:rPr>
      </w:pPr>
      <w:r>
        <w:rPr>
          <w:rFonts w:hint="eastAsia" w:ascii="宋体" w:hAnsi="宋体"/>
          <w:b/>
          <w:sz w:val="28"/>
          <w:szCs w:val="28"/>
        </w:rPr>
        <w:t>1</w:t>
      </w:r>
      <w:r>
        <w:rPr>
          <w:rFonts w:ascii="宋体" w:hAnsi="宋体"/>
          <w:b/>
          <w:sz w:val="28"/>
          <w:szCs w:val="28"/>
        </w:rPr>
        <w:t>.</w:t>
      </w:r>
      <w:r>
        <w:rPr>
          <w:rFonts w:hint="eastAsia" w:ascii="宋体" w:hAnsi="宋体" w:cs="Arial"/>
          <w:b/>
          <w:sz w:val="28"/>
          <w:szCs w:val="28"/>
        </w:rPr>
        <w:t>供应商</w:t>
      </w:r>
      <w:r>
        <w:rPr>
          <w:rFonts w:hint="eastAsia" w:ascii="宋体" w:hAnsi="宋体"/>
          <w:b/>
          <w:sz w:val="28"/>
          <w:szCs w:val="28"/>
        </w:rPr>
        <w:t>有效的营业执照副本复印件；</w:t>
      </w:r>
    </w:p>
    <w:p w14:paraId="04451892">
      <w:pPr>
        <w:spacing w:line="400" w:lineRule="exact"/>
        <w:rPr>
          <w:rFonts w:hAnsi="宋体"/>
          <w:szCs w:val="21"/>
        </w:rPr>
      </w:pPr>
    </w:p>
    <w:p w14:paraId="5995A2FA">
      <w:pPr>
        <w:spacing w:line="400" w:lineRule="exact"/>
        <w:rPr>
          <w:rFonts w:hAnsi="宋体"/>
          <w:b/>
          <w:szCs w:val="21"/>
        </w:rPr>
      </w:pPr>
    </w:p>
    <w:p w14:paraId="0C265F6F">
      <w:pPr>
        <w:spacing w:line="400" w:lineRule="exact"/>
        <w:rPr>
          <w:rFonts w:hAnsi="宋体"/>
          <w:b/>
          <w:szCs w:val="21"/>
        </w:rPr>
      </w:pPr>
    </w:p>
    <w:p w14:paraId="53FFB209">
      <w:pPr>
        <w:spacing w:line="400" w:lineRule="exact"/>
        <w:rPr>
          <w:rFonts w:hAnsi="宋体"/>
          <w:b/>
          <w:sz w:val="28"/>
          <w:szCs w:val="28"/>
        </w:rPr>
      </w:pPr>
    </w:p>
    <w:p w14:paraId="34B1FCF6">
      <w:pPr>
        <w:spacing w:line="400" w:lineRule="exact"/>
        <w:rPr>
          <w:rFonts w:hAnsi="宋体"/>
          <w:b/>
          <w:szCs w:val="21"/>
        </w:rPr>
      </w:pPr>
    </w:p>
    <w:p w14:paraId="46301010">
      <w:pPr>
        <w:spacing w:line="400" w:lineRule="exact"/>
        <w:rPr>
          <w:rFonts w:hAnsi="宋体"/>
          <w:b/>
          <w:sz w:val="28"/>
          <w:szCs w:val="28"/>
        </w:rPr>
      </w:pPr>
    </w:p>
    <w:p w14:paraId="1FC85D28">
      <w:pPr>
        <w:pStyle w:val="16"/>
      </w:pPr>
    </w:p>
    <w:p w14:paraId="3F17D732">
      <w:pPr>
        <w:spacing w:line="400" w:lineRule="exact"/>
        <w:ind w:left="-27" w:leftChars="-13" w:firstLine="424" w:firstLineChars="151"/>
        <w:rPr>
          <w:rFonts w:ascii="宋体" w:hAnsi="宋体"/>
          <w:b/>
          <w:sz w:val="28"/>
          <w:szCs w:val="28"/>
        </w:rPr>
      </w:pPr>
      <w:r>
        <w:rPr>
          <w:rFonts w:hint="eastAsia" w:ascii="宋体" w:hAnsi="宋体"/>
          <w:b/>
          <w:sz w:val="28"/>
          <w:szCs w:val="28"/>
        </w:rPr>
        <w:t>2.法定代表人身份证正反面复印件</w:t>
      </w:r>
    </w:p>
    <w:p w14:paraId="3730A637">
      <w:pPr>
        <w:spacing w:line="400" w:lineRule="exact"/>
        <w:ind w:left="-27" w:leftChars="-13" w:firstLine="422" w:firstLineChars="151"/>
        <w:rPr>
          <w:rFonts w:ascii="宋体" w:hAnsi="宋体"/>
          <w:sz w:val="28"/>
          <w:szCs w:val="28"/>
        </w:rPr>
      </w:pPr>
    </w:p>
    <w:p w14:paraId="44AF3FF2">
      <w:pPr>
        <w:spacing w:line="400" w:lineRule="exact"/>
        <w:ind w:left="-27" w:leftChars="-13" w:firstLine="422" w:firstLineChars="151"/>
        <w:rPr>
          <w:rFonts w:ascii="宋体" w:hAnsi="宋体"/>
          <w:sz w:val="28"/>
          <w:szCs w:val="28"/>
        </w:rPr>
      </w:pPr>
    </w:p>
    <w:p w14:paraId="2CF074E9">
      <w:pPr>
        <w:spacing w:line="400" w:lineRule="exact"/>
        <w:ind w:left="-27" w:leftChars="-13" w:firstLine="422" w:firstLineChars="151"/>
        <w:rPr>
          <w:rFonts w:ascii="宋体" w:hAnsi="宋体"/>
          <w:sz w:val="28"/>
          <w:szCs w:val="28"/>
        </w:rPr>
      </w:pPr>
    </w:p>
    <w:p w14:paraId="7A28EBF6">
      <w:pPr>
        <w:spacing w:line="400" w:lineRule="exact"/>
        <w:ind w:left="-27" w:leftChars="-13" w:firstLine="422" w:firstLineChars="151"/>
        <w:rPr>
          <w:rFonts w:ascii="宋体" w:hAnsi="宋体"/>
          <w:sz w:val="28"/>
          <w:szCs w:val="28"/>
        </w:rPr>
      </w:pPr>
    </w:p>
    <w:p w14:paraId="173F2E88">
      <w:pPr>
        <w:spacing w:line="400" w:lineRule="exact"/>
        <w:rPr>
          <w:rFonts w:ascii="宋体" w:hAnsi="宋体"/>
          <w:b/>
          <w:sz w:val="28"/>
          <w:szCs w:val="28"/>
        </w:rPr>
      </w:pPr>
    </w:p>
    <w:p w14:paraId="4FF1630B">
      <w:pPr>
        <w:spacing w:line="400" w:lineRule="exact"/>
        <w:ind w:left="-27" w:leftChars="-13" w:firstLine="424" w:firstLineChars="151"/>
        <w:rPr>
          <w:rFonts w:hAnsi="宋体"/>
          <w:b/>
          <w:sz w:val="28"/>
          <w:szCs w:val="28"/>
        </w:rPr>
      </w:pPr>
      <w:r>
        <w:rPr>
          <w:rFonts w:hint="eastAsia" w:ascii="宋体" w:hAnsi="宋体"/>
          <w:b/>
          <w:sz w:val="28"/>
          <w:szCs w:val="28"/>
        </w:rPr>
        <w:t>3</w:t>
      </w:r>
      <w:r>
        <w:rPr>
          <w:rFonts w:ascii="宋体" w:hAnsi="宋体"/>
          <w:b/>
          <w:sz w:val="28"/>
          <w:szCs w:val="28"/>
        </w:rPr>
        <w:t>.</w:t>
      </w:r>
      <w:r>
        <w:rPr>
          <w:rFonts w:hint="eastAsia" w:ascii="宋体" w:hAnsi="宋体"/>
          <w:b/>
          <w:sz w:val="28"/>
          <w:szCs w:val="28"/>
        </w:rPr>
        <w:t>“法定代表人身份证明书原件（法定代表人参</w:t>
      </w:r>
      <w:r>
        <w:rPr>
          <w:rFonts w:ascii="宋体" w:hAnsi="宋体"/>
          <w:b/>
          <w:sz w:val="28"/>
          <w:szCs w:val="28"/>
        </w:rPr>
        <w:t>加</w:t>
      </w:r>
      <w:r>
        <w:rPr>
          <w:rFonts w:hint="eastAsia" w:ascii="宋体" w:hAnsi="宋体"/>
          <w:b/>
          <w:sz w:val="28"/>
          <w:szCs w:val="28"/>
        </w:rPr>
        <w:t>竞</w:t>
      </w:r>
      <w:r>
        <w:rPr>
          <w:rFonts w:ascii="宋体" w:hAnsi="宋体"/>
          <w:b/>
          <w:sz w:val="28"/>
          <w:szCs w:val="28"/>
        </w:rPr>
        <w:t>标会</w:t>
      </w:r>
      <w:r>
        <w:rPr>
          <w:rFonts w:hint="eastAsia" w:ascii="宋体" w:hAnsi="宋体"/>
          <w:b/>
          <w:sz w:val="28"/>
          <w:szCs w:val="28"/>
        </w:rPr>
        <w:t>签署响应文件时提供）”或“法定代表人授权书原件和委托代理人身份证复印件（委托代理人参</w:t>
      </w:r>
      <w:r>
        <w:rPr>
          <w:rFonts w:ascii="宋体" w:hAnsi="宋体"/>
          <w:b/>
          <w:sz w:val="28"/>
          <w:szCs w:val="28"/>
        </w:rPr>
        <w:t>加</w:t>
      </w:r>
      <w:r>
        <w:rPr>
          <w:rFonts w:hint="eastAsia" w:ascii="宋体" w:hAnsi="宋体"/>
          <w:b/>
          <w:sz w:val="28"/>
          <w:szCs w:val="28"/>
        </w:rPr>
        <w:t>竞</w:t>
      </w:r>
      <w:r>
        <w:rPr>
          <w:rFonts w:ascii="宋体" w:hAnsi="宋体"/>
          <w:b/>
          <w:sz w:val="28"/>
          <w:szCs w:val="28"/>
        </w:rPr>
        <w:t>标会</w:t>
      </w:r>
      <w:r>
        <w:rPr>
          <w:rFonts w:hint="eastAsia" w:ascii="宋体" w:hAnsi="宋体"/>
          <w:b/>
          <w:sz w:val="28"/>
          <w:szCs w:val="28"/>
        </w:rPr>
        <w:t>签署响应文件时提供）”</w:t>
      </w:r>
    </w:p>
    <w:p w14:paraId="06AF6AF4">
      <w:pPr>
        <w:spacing w:line="300" w:lineRule="auto"/>
        <w:rPr>
          <w:rFonts w:ascii="宋体" w:hAnsi="宋体"/>
          <w:szCs w:val="21"/>
        </w:rPr>
      </w:pPr>
    </w:p>
    <w:p w14:paraId="49C4BB9D">
      <w:pPr>
        <w:jc w:val="center"/>
        <w:rPr>
          <w:rFonts w:ascii="宋体" w:hAnsi="宋体"/>
          <w:b/>
          <w:sz w:val="28"/>
          <w:szCs w:val="28"/>
        </w:rPr>
      </w:pPr>
      <w:r>
        <w:rPr>
          <w:rFonts w:ascii="宋体" w:hAnsi="宋体"/>
          <w:b/>
          <w:sz w:val="28"/>
          <w:szCs w:val="28"/>
        </w:rPr>
        <w:br w:type="page"/>
      </w:r>
      <w:r>
        <w:rPr>
          <w:rFonts w:hint="eastAsia" w:ascii="宋体" w:hAnsi="宋体"/>
          <w:b/>
          <w:sz w:val="28"/>
          <w:szCs w:val="28"/>
        </w:rPr>
        <w:t>法定代表人身份证明</w:t>
      </w:r>
    </w:p>
    <w:p w14:paraId="21F8B99F">
      <w:pPr>
        <w:autoSpaceDE w:val="0"/>
        <w:autoSpaceDN w:val="0"/>
        <w:adjustRightInd w:val="0"/>
        <w:spacing w:line="480" w:lineRule="exact"/>
        <w:rPr>
          <w:rFonts w:ascii="宋体" w:hAnsi="宋体"/>
          <w:kern w:val="0"/>
          <w:szCs w:val="21"/>
        </w:rPr>
      </w:pPr>
    </w:p>
    <w:p w14:paraId="4015D21C">
      <w:pPr>
        <w:autoSpaceDE w:val="0"/>
        <w:autoSpaceDN w:val="0"/>
        <w:adjustRightInd w:val="0"/>
        <w:ind w:firstLine="1560" w:firstLineChars="650"/>
        <w:rPr>
          <w:rFonts w:ascii="宋体" w:hAnsi="宋体"/>
          <w:bCs/>
          <w:kern w:val="0"/>
          <w:sz w:val="24"/>
          <w:u w:val="single"/>
        </w:rPr>
      </w:pPr>
      <w:r>
        <w:rPr>
          <w:rFonts w:hint="eastAsia" w:ascii="宋体" w:hAnsi="宋体"/>
          <w:bCs/>
          <w:kern w:val="0"/>
          <w:sz w:val="24"/>
        </w:rPr>
        <w:t>供应商名称</w:t>
      </w:r>
      <w:r>
        <w:rPr>
          <w:rFonts w:ascii="宋体" w:hAnsi="宋体"/>
          <w:bCs/>
          <w:kern w:val="0"/>
          <w:sz w:val="24"/>
        </w:rPr>
        <w:t>：</w:t>
      </w:r>
    </w:p>
    <w:p w14:paraId="1F370B78">
      <w:pPr>
        <w:autoSpaceDE w:val="0"/>
        <w:autoSpaceDN w:val="0"/>
        <w:adjustRightInd w:val="0"/>
        <w:ind w:firstLine="1560" w:firstLineChars="650"/>
        <w:rPr>
          <w:rFonts w:ascii="宋体" w:hAnsi="宋体"/>
          <w:bCs/>
          <w:kern w:val="0"/>
          <w:sz w:val="24"/>
        </w:rPr>
      </w:pPr>
    </w:p>
    <w:p w14:paraId="2098488A">
      <w:pPr>
        <w:autoSpaceDE w:val="0"/>
        <w:autoSpaceDN w:val="0"/>
        <w:adjustRightInd w:val="0"/>
        <w:ind w:firstLine="1560" w:firstLineChars="650"/>
        <w:rPr>
          <w:rFonts w:ascii="宋体" w:hAnsi="宋体"/>
          <w:bCs/>
          <w:kern w:val="0"/>
          <w:sz w:val="24"/>
          <w:u w:val="single"/>
        </w:rPr>
      </w:pPr>
      <w:r>
        <w:rPr>
          <w:rFonts w:ascii="宋体" w:hAnsi="宋体"/>
          <w:bCs/>
          <w:kern w:val="0"/>
          <w:sz w:val="24"/>
        </w:rPr>
        <w:t>单位性质：</w:t>
      </w:r>
    </w:p>
    <w:p w14:paraId="31CA1495">
      <w:pPr>
        <w:autoSpaceDE w:val="0"/>
        <w:autoSpaceDN w:val="0"/>
        <w:adjustRightInd w:val="0"/>
        <w:ind w:firstLine="1560" w:firstLineChars="650"/>
        <w:rPr>
          <w:rFonts w:ascii="宋体" w:hAnsi="宋体"/>
          <w:bCs/>
          <w:kern w:val="0"/>
          <w:sz w:val="24"/>
        </w:rPr>
      </w:pPr>
    </w:p>
    <w:p w14:paraId="46F4434A">
      <w:pPr>
        <w:autoSpaceDE w:val="0"/>
        <w:autoSpaceDN w:val="0"/>
        <w:adjustRightInd w:val="0"/>
        <w:ind w:firstLine="1560" w:firstLineChars="650"/>
        <w:rPr>
          <w:rFonts w:ascii="宋体" w:hAnsi="宋体"/>
          <w:bCs/>
          <w:kern w:val="0"/>
          <w:sz w:val="24"/>
          <w:u w:val="single"/>
        </w:rPr>
      </w:pPr>
      <w:r>
        <w:rPr>
          <w:rFonts w:ascii="宋体" w:hAnsi="宋体"/>
          <w:bCs/>
          <w:kern w:val="0"/>
          <w:sz w:val="24"/>
        </w:rPr>
        <w:t>地 址：</w:t>
      </w:r>
    </w:p>
    <w:p w14:paraId="5E5DE046">
      <w:pPr>
        <w:autoSpaceDE w:val="0"/>
        <w:autoSpaceDN w:val="0"/>
        <w:adjustRightInd w:val="0"/>
        <w:ind w:firstLine="1560" w:firstLineChars="650"/>
        <w:rPr>
          <w:rFonts w:ascii="宋体" w:hAnsi="宋体"/>
          <w:bCs/>
          <w:kern w:val="0"/>
          <w:sz w:val="24"/>
        </w:rPr>
      </w:pPr>
    </w:p>
    <w:p w14:paraId="7CD08C8D">
      <w:pPr>
        <w:autoSpaceDE w:val="0"/>
        <w:autoSpaceDN w:val="0"/>
        <w:adjustRightInd w:val="0"/>
        <w:ind w:firstLine="1560" w:firstLineChars="650"/>
        <w:rPr>
          <w:rFonts w:ascii="宋体" w:hAnsi="宋体"/>
          <w:bCs/>
          <w:kern w:val="0"/>
          <w:sz w:val="24"/>
        </w:rPr>
      </w:pPr>
      <w:r>
        <w:rPr>
          <w:rFonts w:ascii="宋体" w:hAnsi="宋体"/>
          <w:bCs/>
          <w:kern w:val="0"/>
          <w:sz w:val="24"/>
        </w:rPr>
        <w:t>成立时间：年月日</w:t>
      </w:r>
    </w:p>
    <w:p w14:paraId="30D5F4EF">
      <w:pPr>
        <w:autoSpaceDE w:val="0"/>
        <w:autoSpaceDN w:val="0"/>
        <w:adjustRightInd w:val="0"/>
        <w:ind w:firstLine="1560" w:firstLineChars="650"/>
        <w:rPr>
          <w:rFonts w:ascii="宋体" w:hAnsi="宋体"/>
          <w:bCs/>
          <w:kern w:val="0"/>
          <w:sz w:val="24"/>
        </w:rPr>
      </w:pPr>
    </w:p>
    <w:p w14:paraId="0F51A11E">
      <w:pPr>
        <w:autoSpaceDE w:val="0"/>
        <w:autoSpaceDN w:val="0"/>
        <w:adjustRightInd w:val="0"/>
        <w:ind w:firstLine="1560" w:firstLineChars="650"/>
        <w:rPr>
          <w:rFonts w:ascii="宋体" w:hAnsi="宋体"/>
          <w:bCs/>
          <w:kern w:val="0"/>
          <w:sz w:val="24"/>
          <w:u w:val="single"/>
        </w:rPr>
      </w:pPr>
      <w:r>
        <w:rPr>
          <w:rFonts w:ascii="宋体" w:hAnsi="宋体"/>
          <w:bCs/>
          <w:kern w:val="0"/>
          <w:sz w:val="24"/>
        </w:rPr>
        <w:t>经营期限：</w:t>
      </w:r>
    </w:p>
    <w:p w14:paraId="1897B3E7">
      <w:pPr>
        <w:autoSpaceDE w:val="0"/>
        <w:autoSpaceDN w:val="0"/>
        <w:adjustRightInd w:val="0"/>
        <w:ind w:firstLine="1560" w:firstLineChars="650"/>
        <w:rPr>
          <w:rFonts w:ascii="宋体" w:hAnsi="宋体"/>
          <w:bCs/>
          <w:kern w:val="0"/>
          <w:sz w:val="24"/>
        </w:rPr>
      </w:pPr>
    </w:p>
    <w:p w14:paraId="63A321A2">
      <w:pPr>
        <w:autoSpaceDE w:val="0"/>
        <w:autoSpaceDN w:val="0"/>
        <w:adjustRightInd w:val="0"/>
        <w:ind w:firstLine="1560" w:firstLineChars="650"/>
        <w:rPr>
          <w:rFonts w:ascii="宋体" w:hAnsi="宋体"/>
          <w:bCs/>
          <w:kern w:val="0"/>
          <w:sz w:val="24"/>
          <w:u w:val="single"/>
        </w:rPr>
      </w:pPr>
      <w:r>
        <w:rPr>
          <w:rFonts w:ascii="宋体" w:hAnsi="宋体"/>
          <w:bCs/>
          <w:kern w:val="0"/>
          <w:sz w:val="24"/>
        </w:rPr>
        <w:t>姓 名： 性 别：年 龄：职 务：</w:t>
      </w:r>
    </w:p>
    <w:p w14:paraId="27AA6A0B">
      <w:pPr>
        <w:autoSpaceDE w:val="0"/>
        <w:autoSpaceDN w:val="0"/>
        <w:adjustRightInd w:val="0"/>
        <w:ind w:firstLine="1560" w:firstLineChars="650"/>
        <w:rPr>
          <w:rFonts w:ascii="宋体" w:hAnsi="宋体"/>
          <w:bCs/>
          <w:kern w:val="0"/>
          <w:sz w:val="24"/>
        </w:rPr>
      </w:pPr>
    </w:p>
    <w:p w14:paraId="17CDB897">
      <w:pPr>
        <w:autoSpaceDE w:val="0"/>
        <w:autoSpaceDN w:val="0"/>
        <w:adjustRightInd w:val="0"/>
        <w:ind w:firstLine="1560" w:firstLineChars="650"/>
        <w:rPr>
          <w:rFonts w:ascii="宋体" w:hAnsi="宋体"/>
          <w:bCs/>
          <w:kern w:val="0"/>
          <w:sz w:val="24"/>
        </w:rPr>
      </w:pPr>
      <w:r>
        <w:rPr>
          <w:rFonts w:ascii="宋体" w:hAnsi="宋体"/>
          <w:bCs/>
          <w:kern w:val="0"/>
          <w:sz w:val="24"/>
        </w:rPr>
        <w:t>系 （</w:t>
      </w:r>
      <w:r>
        <w:rPr>
          <w:rFonts w:hint="eastAsia" w:ascii="宋体" w:hAnsi="宋体"/>
          <w:bCs/>
          <w:kern w:val="0"/>
          <w:sz w:val="24"/>
        </w:rPr>
        <w:t>供应商</w:t>
      </w:r>
      <w:r>
        <w:rPr>
          <w:rFonts w:ascii="宋体" w:hAnsi="宋体"/>
          <w:bCs/>
          <w:kern w:val="0"/>
          <w:sz w:val="24"/>
        </w:rPr>
        <w:t>名称）的法定代表人。</w:t>
      </w:r>
    </w:p>
    <w:p w14:paraId="1F673D25">
      <w:pPr>
        <w:autoSpaceDE w:val="0"/>
        <w:autoSpaceDN w:val="0"/>
        <w:adjustRightInd w:val="0"/>
        <w:ind w:firstLine="1560" w:firstLineChars="650"/>
        <w:rPr>
          <w:rFonts w:ascii="宋体" w:hAnsi="宋体"/>
          <w:bCs/>
          <w:kern w:val="0"/>
          <w:sz w:val="24"/>
        </w:rPr>
      </w:pPr>
    </w:p>
    <w:p w14:paraId="2AEB085E">
      <w:pPr>
        <w:autoSpaceDE w:val="0"/>
        <w:autoSpaceDN w:val="0"/>
        <w:adjustRightInd w:val="0"/>
        <w:ind w:firstLine="1560" w:firstLineChars="650"/>
        <w:rPr>
          <w:rFonts w:ascii="宋体" w:hAnsi="宋体"/>
          <w:bCs/>
          <w:kern w:val="0"/>
          <w:sz w:val="24"/>
        </w:rPr>
      </w:pPr>
      <w:r>
        <w:rPr>
          <w:rFonts w:ascii="宋体" w:hAnsi="宋体"/>
          <w:bCs/>
          <w:kern w:val="0"/>
          <w:sz w:val="24"/>
        </w:rPr>
        <w:t>特此证明。</w:t>
      </w:r>
    </w:p>
    <w:p w14:paraId="308D45D0">
      <w:pPr>
        <w:autoSpaceDE w:val="0"/>
        <w:autoSpaceDN w:val="0"/>
        <w:adjustRightInd w:val="0"/>
        <w:rPr>
          <w:rFonts w:ascii="宋体" w:hAnsi="宋体"/>
          <w:bCs/>
          <w:kern w:val="0"/>
          <w:sz w:val="24"/>
        </w:rPr>
      </w:pPr>
    </w:p>
    <w:p w14:paraId="4AD81026">
      <w:pPr>
        <w:autoSpaceDE w:val="0"/>
        <w:autoSpaceDN w:val="0"/>
        <w:adjustRightInd w:val="0"/>
        <w:ind w:firstLine="1560" w:firstLineChars="650"/>
        <w:rPr>
          <w:rFonts w:ascii="宋体" w:hAnsi="宋体"/>
          <w:bCs/>
          <w:kern w:val="0"/>
          <w:sz w:val="24"/>
        </w:rPr>
      </w:pPr>
    </w:p>
    <w:p w14:paraId="630713DC">
      <w:pPr>
        <w:autoSpaceDE w:val="0"/>
        <w:autoSpaceDN w:val="0"/>
        <w:adjustRightInd w:val="0"/>
        <w:ind w:firstLine="3600" w:firstLineChars="1500"/>
        <w:rPr>
          <w:rFonts w:ascii="宋体" w:hAnsi="宋体"/>
          <w:bCs/>
          <w:kern w:val="0"/>
          <w:sz w:val="24"/>
          <w:u w:val="single"/>
        </w:rPr>
      </w:pPr>
      <w:r>
        <w:rPr>
          <w:rFonts w:hint="eastAsia" w:ascii="宋体" w:hAnsi="宋体"/>
          <w:bCs/>
          <w:kern w:val="0"/>
          <w:sz w:val="24"/>
        </w:rPr>
        <w:t>供应商</w:t>
      </w:r>
      <w:r>
        <w:rPr>
          <w:rFonts w:ascii="宋体" w:hAnsi="宋体"/>
          <w:bCs/>
          <w:kern w:val="0"/>
          <w:sz w:val="24"/>
        </w:rPr>
        <w:t>名称：（盖</w:t>
      </w:r>
      <w:r>
        <w:rPr>
          <w:rFonts w:hint="eastAsia" w:ascii="宋体" w:hAnsi="宋体"/>
          <w:bCs/>
          <w:kern w:val="0"/>
          <w:sz w:val="24"/>
        </w:rPr>
        <w:t>单位</w:t>
      </w:r>
      <w:r>
        <w:rPr>
          <w:rFonts w:ascii="宋体" w:hAnsi="宋体"/>
          <w:bCs/>
          <w:kern w:val="0"/>
          <w:sz w:val="24"/>
        </w:rPr>
        <w:t>章）</w:t>
      </w:r>
    </w:p>
    <w:p w14:paraId="038FA9E8">
      <w:pPr>
        <w:autoSpaceDE w:val="0"/>
        <w:autoSpaceDN w:val="0"/>
        <w:adjustRightInd w:val="0"/>
        <w:ind w:firstLine="1560" w:firstLineChars="650"/>
        <w:rPr>
          <w:rFonts w:ascii="宋体" w:hAnsi="宋体"/>
          <w:bCs/>
          <w:kern w:val="0"/>
          <w:sz w:val="24"/>
        </w:rPr>
      </w:pPr>
    </w:p>
    <w:p w14:paraId="4611C4ED">
      <w:pPr>
        <w:ind w:firstLine="3600" w:firstLineChars="1500"/>
        <w:rPr>
          <w:rFonts w:ascii="宋体" w:hAnsi="宋体"/>
          <w:kern w:val="0"/>
          <w:sz w:val="24"/>
        </w:rPr>
      </w:pPr>
      <w:r>
        <w:rPr>
          <w:rFonts w:ascii="宋体" w:hAnsi="宋体"/>
          <w:kern w:val="0"/>
          <w:sz w:val="24"/>
        </w:rPr>
        <w:t>日期：年月日</w:t>
      </w:r>
    </w:p>
    <w:p w14:paraId="78E98834">
      <w:pPr>
        <w:spacing w:line="480" w:lineRule="exact"/>
        <w:ind w:firstLine="3885" w:firstLineChars="1850"/>
        <w:rPr>
          <w:rFonts w:ascii="宋体" w:hAnsi="宋体"/>
          <w:kern w:val="0"/>
          <w:szCs w:val="21"/>
        </w:rPr>
      </w:pPr>
    </w:p>
    <w:p w14:paraId="037FA143">
      <w:pPr>
        <w:spacing w:line="480" w:lineRule="exact"/>
        <w:ind w:firstLine="3885" w:firstLineChars="1850"/>
        <w:rPr>
          <w:rFonts w:ascii="宋体" w:hAnsi="宋体"/>
          <w:kern w:val="0"/>
          <w:szCs w:val="21"/>
        </w:rPr>
      </w:pPr>
    </w:p>
    <w:p w14:paraId="35457378">
      <w:pPr>
        <w:adjustRightInd w:val="0"/>
        <w:snapToGrid w:val="0"/>
        <w:spacing w:line="300" w:lineRule="auto"/>
        <w:jc w:val="center"/>
        <w:rPr>
          <w:rFonts w:ascii="宋体" w:hAnsi="宋体"/>
          <w:b/>
          <w:sz w:val="28"/>
          <w:szCs w:val="28"/>
        </w:rPr>
      </w:pPr>
    </w:p>
    <w:p w14:paraId="124F1575">
      <w:pPr>
        <w:adjustRightInd w:val="0"/>
        <w:snapToGrid w:val="0"/>
        <w:spacing w:line="300" w:lineRule="auto"/>
        <w:jc w:val="center"/>
        <w:rPr>
          <w:rFonts w:ascii="宋体" w:hAnsi="宋体"/>
          <w:b/>
          <w:sz w:val="28"/>
          <w:szCs w:val="28"/>
        </w:rPr>
      </w:pPr>
    </w:p>
    <w:p w14:paraId="1BFC8825">
      <w:pPr>
        <w:adjustRightInd w:val="0"/>
        <w:snapToGrid w:val="0"/>
        <w:spacing w:line="300" w:lineRule="auto"/>
        <w:jc w:val="center"/>
        <w:rPr>
          <w:rFonts w:ascii="宋体" w:hAnsi="宋体"/>
          <w:b/>
          <w:sz w:val="28"/>
          <w:szCs w:val="28"/>
        </w:rPr>
      </w:pPr>
    </w:p>
    <w:p w14:paraId="2BE9FCF1">
      <w:pPr>
        <w:adjustRightInd w:val="0"/>
        <w:snapToGrid w:val="0"/>
        <w:spacing w:line="300" w:lineRule="auto"/>
        <w:jc w:val="center"/>
        <w:rPr>
          <w:rFonts w:ascii="宋体" w:hAnsi="宋体"/>
          <w:b/>
          <w:sz w:val="28"/>
          <w:szCs w:val="28"/>
        </w:rPr>
      </w:pPr>
      <w:r>
        <w:rPr>
          <w:rFonts w:ascii="宋体" w:hAnsi="宋体"/>
          <w:b/>
          <w:sz w:val="28"/>
          <w:szCs w:val="28"/>
        </w:rPr>
        <w:br w:type="page"/>
      </w:r>
    </w:p>
    <w:p w14:paraId="60CCC210">
      <w:pPr>
        <w:adjustRightInd w:val="0"/>
        <w:snapToGrid w:val="0"/>
        <w:spacing w:line="300" w:lineRule="auto"/>
        <w:jc w:val="center"/>
        <w:rPr>
          <w:rFonts w:ascii="宋体" w:hAnsi="宋体"/>
          <w:b/>
          <w:sz w:val="28"/>
          <w:szCs w:val="28"/>
        </w:rPr>
      </w:pPr>
      <w:r>
        <w:rPr>
          <w:rFonts w:hint="eastAsia" w:ascii="宋体" w:hAnsi="宋体"/>
          <w:b/>
          <w:sz w:val="28"/>
          <w:szCs w:val="28"/>
        </w:rPr>
        <w:t>法定代表人授权书</w:t>
      </w:r>
    </w:p>
    <w:p w14:paraId="694D27AE">
      <w:pPr>
        <w:adjustRightInd w:val="0"/>
        <w:snapToGrid w:val="0"/>
        <w:spacing w:line="520" w:lineRule="exact"/>
        <w:rPr>
          <w:rFonts w:ascii="宋体" w:hAnsi="宋体"/>
          <w:sz w:val="28"/>
          <w:szCs w:val="28"/>
        </w:rPr>
      </w:pPr>
    </w:p>
    <w:p w14:paraId="51467836">
      <w:pPr>
        <w:spacing w:line="520" w:lineRule="exact"/>
        <w:rPr>
          <w:rFonts w:ascii="宋体" w:hAnsi="宋体"/>
          <w:sz w:val="24"/>
        </w:rPr>
      </w:pPr>
      <w:r>
        <w:rPr>
          <w:rFonts w:hint="eastAsia" w:ascii="宋体" w:hAnsi="宋体"/>
          <w:sz w:val="24"/>
          <w:u w:val="single"/>
        </w:rPr>
        <w:t>广西宝盛工程咨询有限公司</w:t>
      </w:r>
      <w:r>
        <w:rPr>
          <w:rFonts w:hint="eastAsia" w:ascii="宋体" w:hAnsi="宋体"/>
          <w:sz w:val="24"/>
        </w:rPr>
        <w:t>：</w:t>
      </w:r>
    </w:p>
    <w:p w14:paraId="687ABD8F">
      <w:pPr>
        <w:spacing w:line="520" w:lineRule="exact"/>
        <w:ind w:firstLine="480" w:firstLineChars="200"/>
        <w:rPr>
          <w:rFonts w:ascii="宋体" w:hAnsi="宋体"/>
          <w:sz w:val="24"/>
        </w:rPr>
      </w:pPr>
      <w:r>
        <w:rPr>
          <w:rFonts w:hint="eastAsia" w:ascii="宋体" w:hAnsi="宋体"/>
          <w:sz w:val="24"/>
        </w:rPr>
        <w:t>兹授权同志为我公司参加贵单位组织的</w:t>
      </w:r>
      <w:r>
        <w:rPr>
          <w:rFonts w:hint="eastAsia" w:ascii="宋体" w:hAnsi="宋体"/>
          <w:sz w:val="24"/>
          <w:u w:val="single"/>
        </w:rPr>
        <w:t>（项目名称、编号、）</w:t>
      </w:r>
      <w:r>
        <w:rPr>
          <w:rFonts w:hint="eastAsia" w:ascii="宋体" w:hAnsi="宋体"/>
          <w:sz w:val="24"/>
        </w:rPr>
        <w:t xml:space="preserve">采购活动的竞标代表人，全权代表我公司处理在该项目活动中的一切事宜。代理期限从年月日起至年月日止。 </w:t>
      </w:r>
    </w:p>
    <w:p w14:paraId="0E53A90B">
      <w:pPr>
        <w:spacing w:line="520" w:lineRule="exact"/>
        <w:rPr>
          <w:rFonts w:ascii="宋体" w:hAnsi="宋体"/>
          <w:sz w:val="24"/>
        </w:rPr>
      </w:pPr>
    </w:p>
    <w:p w14:paraId="27B93C1E">
      <w:pPr>
        <w:spacing w:line="520" w:lineRule="exact"/>
        <w:rPr>
          <w:rFonts w:ascii="宋体" w:hAnsi="宋体"/>
          <w:sz w:val="24"/>
          <w:u w:val="single"/>
        </w:rPr>
      </w:pPr>
      <w:r>
        <w:rPr>
          <w:rFonts w:hint="eastAsia" w:ascii="宋体" w:hAnsi="宋体"/>
          <w:sz w:val="24"/>
        </w:rPr>
        <w:t>供应商名称（公章）：</w:t>
      </w:r>
    </w:p>
    <w:p w14:paraId="5880D60F">
      <w:pPr>
        <w:spacing w:line="520" w:lineRule="exact"/>
        <w:rPr>
          <w:rFonts w:ascii="宋体" w:hAnsi="宋体"/>
          <w:sz w:val="24"/>
          <w:u w:val="single"/>
        </w:rPr>
      </w:pPr>
      <w:r>
        <w:rPr>
          <w:rFonts w:hint="eastAsia" w:ascii="宋体" w:hAnsi="宋体"/>
          <w:sz w:val="24"/>
        </w:rPr>
        <w:t>法定代表人（签字）：</w:t>
      </w:r>
    </w:p>
    <w:p w14:paraId="184955FB">
      <w:pPr>
        <w:spacing w:line="520" w:lineRule="exact"/>
        <w:rPr>
          <w:rFonts w:ascii="宋体" w:hAnsi="宋体"/>
          <w:sz w:val="24"/>
          <w:u w:val="single"/>
        </w:rPr>
      </w:pPr>
      <w:r>
        <w:rPr>
          <w:rFonts w:hint="eastAsia" w:ascii="宋体" w:hAnsi="宋体"/>
          <w:sz w:val="24"/>
        </w:rPr>
        <w:t>签发日期：</w:t>
      </w:r>
    </w:p>
    <w:p w14:paraId="425E345A">
      <w:pPr>
        <w:spacing w:line="520" w:lineRule="exact"/>
        <w:rPr>
          <w:rFonts w:ascii="宋体" w:hAnsi="宋体"/>
          <w:sz w:val="24"/>
        </w:rPr>
      </w:pPr>
    </w:p>
    <w:p w14:paraId="1233402D">
      <w:pPr>
        <w:spacing w:line="520" w:lineRule="exact"/>
        <w:ind w:firstLine="480" w:firstLineChars="200"/>
        <w:rPr>
          <w:rFonts w:ascii="宋体" w:hAnsi="宋体"/>
          <w:sz w:val="24"/>
          <w:u w:val="single"/>
        </w:rPr>
      </w:pPr>
      <w:r>
        <w:rPr>
          <w:rFonts w:hint="eastAsia" w:ascii="宋体" w:hAnsi="宋体"/>
          <w:sz w:val="24"/>
        </w:rPr>
        <w:t>附：代理人工作单位：</w:t>
      </w:r>
    </w:p>
    <w:p w14:paraId="1E596704">
      <w:pPr>
        <w:spacing w:line="520" w:lineRule="exact"/>
        <w:ind w:firstLine="480" w:firstLineChars="200"/>
        <w:rPr>
          <w:rFonts w:ascii="宋体" w:hAnsi="宋体"/>
          <w:sz w:val="24"/>
          <w:u w:val="single"/>
        </w:rPr>
      </w:pPr>
      <w:r>
        <w:rPr>
          <w:rFonts w:hint="eastAsia" w:ascii="宋体" w:hAnsi="宋体"/>
          <w:sz w:val="24"/>
        </w:rPr>
        <w:t>职务：      性别：</w:t>
      </w:r>
    </w:p>
    <w:p w14:paraId="5412FE3B">
      <w:pPr>
        <w:adjustRightInd w:val="0"/>
        <w:snapToGrid w:val="0"/>
        <w:spacing w:line="520" w:lineRule="exact"/>
        <w:ind w:firstLine="480" w:firstLineChars="200"/>
        <w:rPr>
          <w:rFonts w:ascii="宋体" w:hAnsi="宋体"/>
          <w:sz w:val="24"/>
          <w:u w:val="single"/>
        </w:rPr>
      </w:pPr>
      <w:r>
        <w:rPr>
          <w:rFonts w:hint="eastAsia" w:ascii="宋体" w:hAnsi="宋体"/>
          <w:sz w:val="24"/>
        </w:rPr>
        <w:t>身份证号码：</w:t>
      </w:r>
    </w:p>
    <w:p w14:paraId="5B5B0A8B">
      <w:pPr>
        <w:adjustRightInd w:val="0"/>
        <w:snapToGrid w:val="0"/>
        <w:spacing w:line="520" w:lineRule="exact"/>
        <w:ind w:firstLine="420" w:firstLineChars="200"/>
        <w:rPr>
          <w:rFonts w:ascii="宋体" w:hAnsi="宋体"/>
          <w:szCs w:val="21"/>
          <w:u w:val="single"/>
        </w:rPr>
      </w:pPr>
    </w:p>
    <w:tbl>
      <w:tblPr>
        <w:tblStyle w:val="35"/>
        <w:tblW w:w="83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14:paraId="35AD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trPr>
        <w:tc>
          <w:tcPr>
            <w:tcW w:w="8350" w:type="dxa"/>
          </w:tcPr>
          <w:p w14:paraId="3C160EDF">
            <w:pPr>
              <w:spacing w:line="300" w:lineRule="auto"/>
              <w:rPr>
                <w:rFonts w:ascii="宋体" w:hAnsi="宋体"/>
                <w:szCs w:val="21"/>
              </w:rPr>
            </w:pPr>
            <w:r>
              <w:rPr>
                <w:rFonts w:hint="eastAsia" w:ascii="宋体" w:hAnsi="宋体"/>
                <w:szCs w:val="21"/>
              </w:rPr>
              <w:t>粘贴被授权人身份证及法定代表人身份证（复印件）</w:t>
            </w:r>
          </w:p>
        </w:tc>
      </w:tr>
    </w:tbl>
    <w:p w14:paraId="50CEAC54">
      <w:pPr>
        <w:spacing w:line="300" w:lineRule="auto"/>
        <w:jc w:val="center"/>
        <w:rPr>
          <w:rFonts w:ascii="宋体" w:hAnsi="宋体"/>
          <w:b/>
          <w:sz w:val="32"/>
          <w:szCs w:val="32"/>
        </w:rPr>
      </w:pPr>
    </w:p>
    <w:p w14:paraId="32614EA9">
      <w:pPr>
        <w:spacing w:line="400" w:lineRule="exact"/>
        <w:ind w:left="-27" w:leftChars="-13" w:firstLine="424" w:firstLineChars="151"/>
        <w:rPr>
          <w:rFonts w:hAnsi="宋体"/>
          <w:b/>
          <w:sz w:val="28"/>
          <w:szCs w:val="28"/>
        </w:rPr>
      </w:pPr>
    </w:p>
    <w:p w14:paraId="7551F27C">
      <w:pPr>
        <w:spacing w:line="400" w:lineRule="exact"/>
        <w:ind w:left="-27" w:leftChars="-13" w:firstLine="424" w:firstLineChars="151"/>
        <w:rPr>
          <w:rFonts w:hAnsi="宋体"/>
          <w:b/>
          <w:sz w:val="28"/>
          <w:szCs w:val="28"/>
        </w:rPr>
      </w:pPr>
    </w:p>
    <w:p w14:paraId="4E11C579">
      <w:pPr>
        <w:widowControl/>
        <w:jc w:val="left"/>
        <w:rPr>
          <w:rFonts w:hAnsi="宋体"/>
          <w:b/>
          <w:sz w:val="28"/>
          <w:szCs w:val="28"/>
        </w:rPr>
      </w:pPr>
      <w:r>
        <w:rPr>
          <w:rFonts w:hAnsi="宋体"/>
          <w:b/>
          <w:sz w:val="28"/>
          <w:szCs w:val="28"/>
        </w:rPr>
        <w:br w:type="page"/>
      </w:r>
    </w:p>
    <w:p w14:paraId="56B4AC83">
      <w:pPr>
        <w:spacing w:line="400" w:lineRule="exact"/>
        <w:ind w:left="-27" w:leftChars="-13" w:firstLine="424" w:firstLineChars="151"/>
        <w:rPr>
          <w:rFonts w:hAnsi="宋体"/>
          <w:b/>
          <w:sz w:val="28"/>
          <w:szCs w:val="28"/>
        </w:rPr>
      </w:pPr>
    </w:p>
    <w:p w14:paraId="6C39671A">
      <w:pPr>
        <w:spacing w:line="400" w:lineRule="exact"/>
        <w:rPr>
          <w:rFonts w:ascii="宋体" w:hAnsi="宋体"/>
          <w:sz w:val="28"/>
          <w:szCs w:val="28"/>
        </w:rPr>
      </w:pPr>
      <w:r>
        <w:rPr>
          <w:rFonts w:hint="eastAsia" w:ascii="宋体" w:hAnsi="宋体"/>
          <w:b/>
          <w:sz w:val="28"/>
          <w:szCs w:val="28"/>
        </w:rPr>
        <w:t>4</w:t>
      </w:r>
      <w:r>
        <w:rPr>
          <w:rFonts w:ascii="宋体" w:hAnsi="宋体"/>
          <w:b/>
          <w:sz w:val="28"/>
          <w:szCs w:val="28"/>
        </w:rPr>
        <w:t>.</w:t>
      </w:r>
      <w:r>
        <w:rPr>
          <w:rFonts w:hint="eastAsia" w:ascii="宋体" w:hAnsi="宋体"/>
          <w:b/>
          <w:sz w:val="28"/>
          <w:szCs w:val="28"/>
        </w:rPr>
        <w:t>贵港市政府采购项目投标资格承诺函。</w:t>
      </w:r>
    </w:p>
    <w:p w14:paraId="38087D41">
      <w:pPr>
        <w:spacing w:line="400" w:lineRule="exact"/>
        <w:rPr>
          <w:rFonts w:ascii="宋体" w:hAnsi="宋体"/>
          <w:b/>
          <w:sz w:val="28"/>
          <w:szCs w:val="28"/>
        </w:rPr>
      </w:pPr>
    </w:p>
    <w:p w14:paraId="22DEB5B9">
      <w:pPr>
        <w:pStyle w:val="23"/>
      </w:pPr>
    </w:p>
    <w:p w14:paraId="66F1F40B">
      <w:pPr>
        <w:pStyle w:val="23"/>
      </w:pPr>
    </w:p>
    <w:p w14:paraId="23D605E7">
      <w:pPr>
        <w:widowControl/>
        <w:jc w:val="center"/>
        <w:rPr>
          <w:rFonts w:ascii="宋体" w:hAnsi="宋体" w:cs="宋体"/>
          <w:b/>
          <w:bCs/>
          <w:kern w:val="0"/>
          <w:sz w:val="24"/>
        </w:rPr>
      </w:pPr>
      <w:r>
        <w:rPr>
          <w:rFonts w:hint="eastAsia" w:ascii="宋体" w:hAnsi="宋体" w:cs="宋体"/>
          <w:b/>
          <w:bCs/>
          <w:kern w:val="0"/>
          <w:sz w:val="24"/>
        </w:rPr>
        <w:t>贵港市政府采购项目投标资格承诺函</w:t>
      </w:r>
    </w:p>
    <w:p w14:paraId="33B16031">
      <w:pPr>
        <w:pStyle w:val="23"/>
      </w:pPr>
    </w:p>
    <w:p w14:paraId="547D304D">
      <w:pPr>
        <w:widowControl/>
        <w:spacing w:line="480" w:lineRule="auto"/>
        <w:ind w:firstLine="420" w:firstLineChars="200"/>
        <w:jc w:val="left"/>
        <w:rPr>
          <w:rFonts w:ascii="宋体" w:hAnsi="宋体" w:cs="宋体"/>
          <w:szCs w:val="21"/>
        </w:rPr>
      </w:pPr>
      <w:r>
        <w:rPr>
          <w:rFonts w:hint="eastAsia" w:ascii="宋体" w:hAnsi="宋体" w:cs="宋体"/>
          <w:kern w:val="0"/>
          <w:szCs w:val="21"/>
        </w:rPr>
        <w:t xml:space="preserve">本公司郑重承诺，根据《中华人民共和国政府采购法》第二十二条的规定，本公司为参加政府采购活动的合格供应商。即本公司同时满足以下条件： </w:t>
      </w:r>
    </w:p>
    <w:p w14:paraId="31CBA7F4">
      <w:pPr>
        <w:widowControl/>
        <w:spacing w:line="480" w:lineRule="auto"/>
        <w:ind w:firstLine="420" w:firstLineChars="200"/>
        <w:jc w:val="left"/>
        <w:rPr>
          <w:rFonts w:ascii="宋体" w:hAnsi="宋体" w:cs="宋体"/>
          <w:szCs w:val="21"/>
        </w:rPr>
      </w:pPr>
      <w:r>
        <w:rPr>
          <w:rFonts w:hint="eastAsia" w:ascii="宋体" w:hAnsi="宋体" w:cs="宋体"/>
          <w:kern w:val="0"/>
          <w:szCs w:val="21"/>
        </w:rPr>
        <w:t xml:space="preserve">1.具有独立承担民事责任的能力。 </w:t>
      </w:r>
    </w:p>
    <w:p w14:paraId="5F2B3743">
      <w:pPr>
        <w:widowControl/>
        <w:spacing w:line="480" w:lineRule="auto"/>
        <w:ind w:firstLine="420" w:firstLineChars="200"/>
        <w:jc w:val="left"/>
        <w:rPr>
          <w:rFonts w:ascii="宋体" w:hAnsi="宋体" w:cs="宋体"/>
          <w:szCs w:val="21"/>
        </w:rPr>
      </w:pPr>
      <w:r>
        <w:rPr>
          <w:rFonts w:hint="eastAsia" w:ascii="宋体" w:hAnsi="宋体" w:cs="宋体"/>
          <w:kern w:val="0"/>
          <w:szCs w:val="21"/>
        </w:rPr>
        <w:t xml:space="preserve">2.具有良好的商业信誉和健全的财务会计制度。 </w:t>
      </w:r>
    </w:p>
    <w:p w14:paraId="424FD1C7">
      <w:pPr>
        <w:widowControl/>
        <w:spacing w:line="480" w:lineRule="auto"/>
        <w:ind w:firstLine="420" w:firstLineChars="200"/>
        <w:jc w:val="left"/>
        <w:rPr>
          <w:rFonts w:ascii="宋体" w:hAnsi="宋体" w:cs="宋体"/>
          <w:szCs w:val="21"/>
        </w:rPr>
      </w:pPr>
      <w:r>
        <w:rPr>
          <w:rFonts w:hint="eastAsia" w:ascii="宋体" w:hAnsi="宋体" w:cs="宋体"/>
          <w:kern w:val="0"/>
          <w:szCs w:val="21"/>
        </w:rPr>
        <w:t xml:space="preserve">3.具有履行合同所必需的设备和专业技术能力。 </w:t>
      </w:r>
    </w:p>
    <w:p w14:paraId="7FD80175">
      <w:pPr>
        <w:widowControl/>
        <w:spacing w:line="480" w:lineRule="auto"/>
        <w:ind w:firstLine="420" w:firstLineChars="200"/>
        <w:jc w:val="left"/>
        <w:rPr>
          <w:rFonts w:ascii="宋体" w:hAnsi="宋体" w:cs="宋体"/>
          <w:szCs w:val="21"/>
        </w:rPr>
      </w:pPr>
      <w:r>
        <w:rPr>
          <w:rFonts w:hint="eastAsia" w:ascii="宋体" w:hAnsi="宋体" w:cs="宋体"/>
          <w:kern w:val="0"/>
          <w:szCs w:val="21"/>
        </w:rPr>
        <w:t xml:space="preserve">4.有依法缴纳税收和社会保障资金的良好记录。 </w:t>
      </w:r>
    </w:p>
    <w:p w14:paraId="06043ED3">
      <w:pPr>
        <w:widowControl/>
        <w:spacing w:line="480" w:lineRule="auto"/>
        <w:ind w:firstLine="420" w:firstLineChars="200"/>
        <w:jc w:val="left"/>
        <w:rPr>
          <w:rFonts w:ascii="宋体" w:hAnsi="宋体" w:cs="宋体"/>
          <w:szCs w:val="21"/>
        </w:rPr>
      </w:pPr>
      <w:r>
        <w:rPr>
          <w:rFonts w:hint="eastAsia" w:ascii="宋体" w:hAnsi="宋体" w:cs="宋体"/>
          <w:kern w:val="0"/>
          <w:szCs w:val="21"/>
        </w:rPr>
        <w:t xml:space="preserve">5. 提交投标文件截止日期前三年内，在经营活动中没有重大违法记录。 </w:t>
      </w:r>
    </w:p>
    <w:p w14:paraId="6045FACA">
      <w:pPr>
        <w:widowControl/>
        <w:spacing w:line="480" w:lineRule="auto"/>
        <w:ind w:firstLine="420" w:firstLineChars="200"/>
        <w:jc w:val="left"/>
        <w:rPr>
          <w:rFonts w:ascii="宋体" w:hAnsi="宋体" w:cs="宋体"/>
          <w:szCs w:val="21"/>
        </w:rPr>
      </w:pPr>
      <w:r>
        <w:rPr>
          <w:rFonts w:hint="eastAsia" w:ascii="宋体" w:hAnsi="宋体" w:cs="宋体"/>
          <w:kern w:val="0"/>
          <w:szCs w:val="21"/>
        </w:rPr>
        <w:t xml:space="preserve">本公司对上述承诺的真实性负责，并接受政府采购、税务、 社会保障等监督管理部门、采购文件规定的资格审查机构、社会公众的监督和检查。如有虚假，将依法承担相应责任。 </w:t>
      </w:r>
    </w:p>
    <w:p w14:paraId="7981F634">
      <w:pPr>
        <w:widowControl/>
        <w:spacing w:line="480" w:lineRule="auto"/>
        <w:ind w:firstLine="4830" w:firstLineChars="2300"/>
        <w:jc w:val="left"/>
        <w:rPr>
          <w:rFonts w:ascii="宋体" w:hAnsi="宋体" w:cs="宋体"/>
          <w:kern w:val="0"/>
          <w:szCs w:val="21"/>
        </w:rPr>
      </w:pPr>
    </w:p>
    <w:p w14:paraId="67E4DE95">
      <w:pPr>
        <w:widowControl/>
        <w:spacing w:line="480" w:lineRule="auto"/>
        <w:ind w:firstLine="4830" w:firstLineChars="2300"/>
        <w:jc w:val="left"/>
        <w:rPr>
          <w:rFonts w:ascii="宋体" w:hAnsi="宋体" w:cs="宋体"/>
          <w:szCs w:val="21"/>
        </w:rPr>
      </w:pPr>
      <w:r>
        <w:rPr>
          <w:rFonts w:hint="eastAsia" w:ascii="宋体" w:hAnsi="宋体" w:cs="宋体"/>
          <w:kern w:val="0"/>
          <w:szCs w:val="21"/>
        </w:rPr>
        <w:t xml:space="preserve">企业名称（盖章）： </w:t>
      </w:r>
    </w:p>
    <w:p w14:paraId="04F55654">
      <w:pPr>
        <w:widowControl/>
        <w:spacing w:line="480" w:lineRule="auto"/>
        <w:ind w:firstLine="4830" w:firstLineChars="2300"/>
        <w:jc w:val="left"/>
        <w:rPr>
          <w:rFonts w:ascii="宋体" w:hAnsi="宋体" w:cs="宋体"/>
          <w:szCs w:val="21"/>
        </w:rPr>
      </w:pPr>
      <w:r>
        <w:rPr>
          <w:rFonts w:hint="eastAsia" w:ascii="宋体" w:hAnsi="宋体" w:cs="宋体"/>
          <w:kern w:val="0"/>
          <w:szCs w:val="21"/>
        </w:rPr>
        <w:t xml:space="preserve">法定代表人（签名）： </w:t>
      </w:r>
    </w:p>
    <w:p w14:paraId="0F099D50">
      <w:pPr>
        <w:widowControl/>
        <w:spacing w:line="480" w:lineRule="auto"/>
        <w:ind w:firstLine="4830" w:firstLineChars="2300"/>
        <w:jc w:val="left"/>
        <w:rPr>
          <w:rFonts w:ascii="宋体" w:hAnsi="宋体" w:cs="宋体"/>
        </w:rPr>
      </w:pPr>
      <w:r>
        <w:rPr>
          <w:rFonts w:hint="eastAsia" w:ascii="宋体" w:hAnsi="宋体" w:cs="宋体"/>
          <w:kern w:val="0"/>
          <w:szCs w:val="21"/>
        </w:rPr>
        <w:t xml:space="preserve">日期： 年 月 日 </w:t>
      </w:r>
    </w:p>
    <w:p w14:paraId="2F90D9ED">
      <w:pPr>
        <w:spacing w:line="400" w:lineRule="exact"/>
        <w:ind w:left="290"/>
        <w:rPr>
          <w:rFonts w:ascii="宋体" w:hAnsi="宋体"/>
          <w:sz w:val="28"/>
          <w:szCs w:val="28"/>
        </w:rPr>
      </w:pPr>
    </w:p>
    <w:p w14:paraId="761605AD">
      <w:pPr>
        <w:pStyle w:val="23"/>
        <w:rPr>
          <w:rFonts w:hAnsi="宋体"/>
          <w:sz w:val="28"/>
          <w:szCs w:val="28"/>
        </w:rPr>
      </w:pPr>
    </w:p>
    <w:p w14:paraId="1429214B">
      <w:pPr>
        <w:pStyle w:val="23"/>
        <w:rPr>
          <w:rFonts w:hAnsi="宋体"/>
          <w:sz w:val="28"/>
          <w:szCs w:val="28"/>
        </w:rPr>
      </w:pPr>
    </w:p>
    <w:p w14:paraId="453927DB">
      <w:pPr>
        <w:pStyle w:val="23"/>
        <w:rPr>
          <w:rFonts w:hAnsi="宋体"/>
          <w:sz w:val="28"/>
          <w:szCs w:val="28"/>
        </w:rPr>
      </w:pPr>
    </w:p>
    <w:p w14:paraId="39E9549F">
      <w:pPr>
        <w:pStyle w:val="23"/>
        <w:rPr>
          <w:rFonts w:hAnsi="宋体"/>
          <w:sz w:val="28"/>
          <w:szCs w:val="28"/>
        </w:rPr>
      </w:pPr>
    </w:p>
    <w:p w14:paraId="7EC7A76A">
      <w:pPr>
        <w:pStyle w:val="23"/>
        <w:rPr>
          <w:rFonts w:hAnsi="宋体"/>
          <w:sz w:val="28"/>
          <w:szCs w:val="28"/>
        </w:rPr>
      </w:pPr>
    </w:p>
    <w:p w14:paraId="7C1CC59D">
      <w:pPr>
        <w:pStyle w:val="23"/>
        <w:rPr>
          <w:rFonts w:hAnsi="宋体"/>
          <w:sz w:val="28"/>
          <w:szCs w:val="28"/>
        </w:rPr>
      </w:pPr>
    </w:p>
    <w:p w14:paraId="6EA8F80F">
      <w:pPr>
        <w:spacing w:line="400" w:lineRule="exact"/>
        <w:ind w:left="-27" w:leftChars="-13" w:firstLine="424" w:firstLineChars="151"/>
        <w:rPr>
          <w:rFonts w:ascii="宋体" w:hAnsi="宋体"/>
          <w:b/>
          <w:sz w:val="28"/>
          <w:szCs w:val="28"/>
        </w:rPr>
      </w:pPr>
      <w:r>
        <w:rPr>
          <w:rFonts w:ascii="宋体" w:hAnsi="宋体"/>
          <w:b/>
          <w:sz w:val="28"/>
          <w:szCs w:val="28"/>
        </w:rPr>
        <w:t>5</w:t>
      </w:r>
      <w:r>
        <w:rPr>
          <w:rFonts w:hint="eastAsia" w:ascii="宋体" w:hAnsi="宋体"/>
          <w:b/>
          <w:sz w:val="28"/>
          <w:szCs w:val="28"/>
        </w:rPr>
        <w:t>.本谈判采购文件要求提供的其他资格证明文件；</w:t>
      </w:r>
    </w:p>
    <w:p w14:paraId="58782334">
      <w:pPr>
        <w:spacing w:line="400" w:lineRule="exact"/>
        <w:ind w:left="-27" w:leftChars="-13" w:firstLine="422" w:firstLineChars="151"/>
        <w:rPr>
          <w:rFonts w:ascii="宋体" w:hAnsi="宋体"/>
          <w:sz w:val="28"/>
          <w:szCs w:val="28"/>
        </w:rPr>
      </w:pPr>
    </w:p>
    <w:p w14:paraId="0080F35C">
      <w:pPr>
        <w:spacing w:line="400" w:lineRule="exact"/>
        <w:ind w:left="-27" w:leftChars="-13" w:firstLine="424" w:firstLineChars="151"/>
        <w:rPr>
          <w:rFonts w:ascii="宋体" w:hAnsi="宋体"/>
          <w:b/>
          <w:sz w:val="28"/>
          <w:szCs w:val="28"/>
        </w:rPr>
      </w:pPr>
    </w:p>
    <w:p w14:paraId="6990B300">
      <w:pPr>
        <w:spacing w:line="380" w:lineRule="exact"/>
        <w:ind w:firstLine="342" w:firstLineChars="163"/>
        <w:rPr>
          <w:rFonts w:ascii="宋体" w:hAnsi="宋体"/>
          <w:szCs w:val="21"/>
        </w:rPr>
      </w:pPr>
    </w:p>
    <w:p w14:paraId="6EE205B1">
      <w:pPr>
        <w:spacing w:line="400" w:lineRule="exact"/>
        <w:ind w:left="-27" w:leftChars="-13" w:firstLine="424" w:firstLineChars="151"/>
        <w:rPr>
          <w:rFonts w:ascii="宋体" w:hAnsi="宋体"/>
          <w:b/>
          <w:sz w:val="28"/>
          <w:szCs w:val="28"/>
        </w:rPr>
      </w:pPr>
    </w:p>
    <w:p w14:paraId="67F69A5C">
      <w:pPr>
        <w:spacing w:line="400" w:lineRule="exact"/>
        <w:ind w:left="-27" w:leftChars="-13" w:firstLine="424" w:firstLineChars="151"/>
        <w:rPr>
          <w:rFonts w:ascii="宋体" w:hAnsi="宋体"/>
          <w:b/>
          <w:sz w:val="28"/>
          <w:szCs w:val="28"/>
        </w:rPr>
      </w:pPr>
    </w:p>
    <w:p w14:paraId="3B03D748">
      <w:pPr>
        <w:spacing w:line="400" w:lineRule="exact"/>
        <w:ind w:left="-27" w:leftChars="-13" w:firstLine="424" w:firstLineChars="151"/>
        <w:rPr>
          <w:rFonts w:ascii="宋体" w:hAnsi="宋体"/>
          <w:b/>
          <w:sz w:val="28"/>
          <w:szCs w:val="28"/>
        </w:rPr>
      </w:pPr>
    </w:p>
    <w:p w14:paraId="3D7C73D3">
      <w:pPr>
        <w:spacing w:line="400" w:lineRule="exact"/>
        <w:ind w:left="-27" w:leftChars="-13" w:firstLine="424" w:firstLineChars="151"/>
        <w:rPr>
          <w:rFonts w:ascii="宋体" w:hAnsi="宋体"/>
          <w:b/>
          <w:sz w:val="28"/>
          <w:szCs w:val="28"/>
        </w:rPr>
      </w:pPr>
    </w:p>
    <w:p w14:paraId="5B7C5CF4">
      <w:pPr>
        <w:spacing w:line="400" w:lineRule="exact"/>
        <w:ind w:left="-27" w:leftChars="-13" w:firstLine="424" w:firstLineChars="151"/>
        <w:rPr>
          <w:rFonts w:ascii="宋体" w:hAnsi="宋体"/>
          <w:b/>
          <w:sz w:val="28"/>
          <w:szCs w:val="28"/>
        </w:rPr>
      </w:pPr>
    </w:p>
    <w:p w14:paraId="7203F906">
      <w:pPr>
        <w:spacing w:line="400" w:lineRule="exact"/>
        <w:ind w:left="-27" w:leftChars="-13" w:firstLine="424" w:firstLineChars="151"/>
        <w:rPr>
          <w:rFonts w:ascii="宋体" w:hAnsi="宋体"/>
          <w:b/>
          <w:sz w:val="28"/>
          <w:szCs w:val="28"/>
        </w:rPr>
      </w:pPr>
    </w:p>
    <w:p w14:paraId="17B06B07">
      <w:pPr>
        <w:spacing w:line="400" w:lineRule="exact"/>
        <w:ind w:left="-27" w:leftChars="-13" w:firstLine="422" w:firstLineChars="151"/>
        <w:rPr>
          <w:rFonts w:ascii="宋体" w:hAnsi="宋体"/>
          <w:sz w:val="28"/>
          <w:szCs w:val="28"/>
        </w:rPr>
      </w:pPr>
      <w:r>
        <w:rPr>
          <w:rFonts w:ascii="宋体" w:hAnsi="宋体"/>
          <w:sz w:val="28"/>
          <w:szCs w:val="28"/>
        </w:rPr>
        <w:br w:type="page"/>
      </w:r>
    </w:p>
    <w:p w14:paraId="1243403E">
      <w:pPr>
        <w:spacing w:line="400" w:lineRule="exact"/>
        <w:ind w:left="-27" w:leftChars="-13" w:firstLine="485" w:firstLineChars="151"/>
        <w:rPr>
          <w:rFonts w:ascii="宋体" w:hAnsi="宋体"/>
          <w:b/>
          <w:sz w:val="32"/>
          <w:szCs w:val="32"/>
        </w:rPr>
      </w:pPr>
      <w:r>
        <w:rPr>
          <w:rFonts w:hint="eastAsia" w:ascii="宋体" w:hAnsi="宋体"/>
          <w:b/>
          <w:sz w:val="32"/>
          <w:szCs w:val="32"/>
        </w:rPr>
        <w:t>三、商务和技术文件</w:t>
      </w:r>
    </w:p>
    <w:p w14:paraId="6AAEF9EF">
      <w:pPr>
        <w:spacing w:line="400" w:lineRule="exact"/>
        <w:ind w:left="-27" w:leftChars="-13" w:firstLine="485" w:firstLineChars="151"/>
        <w:rPr>
          <w:rFonts w:ascii="宋体" w:hAnsi="宋体"/>
          <w:b/>
          <w:sz w:val="32"/>
          <w:szCs w:val="32"/>
        </w:rPr>
      </w:pPr>
    </w:p>
    <w:p w14:paraId="01BB1701">
      <w:pPr>
        <w:spacing w:line="400" w:lineRule="exact"/>
        <w:rPr>
          <w:rFonts w:ascii="宋体" w:hAnsi="宋体"/>
          <w:b/>
          <w:sz w:val="28"/>
          <w:szCs w:val="28"/>
        </w:rPr>
      </w:pPr>
      <w:r>
        <w:rPr>
          <w:rFonts w:hint="eastAsia" w:ascii="宋体" w:hAnsi="宋体"/>
          <w:b/>
          <w:sz w:val="28"/>
          <w:szCs w:val="28"/>
        </w:rPr>
        <w:t>1.商务响应表</w:t>
      </w:r>
    </w:p>
    <w:p w14:paraId="274B597D">
      <w:pPr>
        <w:spacing w:line="300" w:lineRule="auto"/>
        <w:jc w:val="center"/>
        <w:rPr>
          <w:rFonts w:ascii="宋体" w:hAnsi="宋体"/>
          <w:b/>
          <w:sz w:val="32"/>
          <w:szCs w:val="32"/>
        </w:rPr>
      </w:pPr>
    </w:p>
    <w:p w14:paraId="3E7A57E6">
      <w:pPr>
        <w:spacing w:line="300" w:lineRule="auto"/>
        <w:jc w:val="center"/>
        <w:rPr>
          <w:rFonts w:ascii="宋体" w:hAnsi="宋体"/>
          <w:b/>
          <w:sz w:val="28"/>
          <w:szCs w:val="28"/>
        </w:rPr>
      </w:pPr>
      <w:r>
        <w:rPr>
          <w:rFonts w:hint="eastAsia" w:ascii="宋体" w:hAnsi="宋体"/>
          <w:b/>
          <w:sz w:val="28"/>
          <w:szCs w:val="28"/>
        </w:rPr>
        <w:t>商务响应表</w:t>
      </w:r>
    </w:p>
    <w:p w14:paraId="2B5A9FED">
      <w:pPr>
        <w:spacing w:line="300" w:lineRule="auto"/>
        <w:rPr>
          <w:rFonts w:ascii="宋体" w:hAnsi="宋体"/>
          <w:szCs w:val="21"/>
          <w:u w:val="single"/>
        </w:rPr>
      </w:pPr>
      <w:r>
        <w:rPr>
          <w:rFonts w:hint="eastAsia" w:ascii="宋体" w:hAnsi="宋体"/>
          <w:szCs w:val="21"/>
        </w:rPr>
        <w:t>采购项目编号:</w:t>
      </w:r>
    </w:p>
    <w:p w14:paraId="7FE997AA">
      <w:pPr>
        <w:spacing w:line="500" w:lineRule="exact"/>
        <w:rPr>
          <w:rFonts w:ascii="宋体" w:hAnsi="宋体"/>
          <w:szCs w:val="21"/>
          <w:u w:val="single"/>
        </w:rPr>
      </w:pPr>
      <w:r>
        <w:rPr>
          <w:rFonts w:hint="eastAsia" w:ascii="宋体" w:hAnsi="宋体"/>
          <w:szCs w:val="21"/>
        </w:rPr>
        <w:t>采购项目名称:</w:t>
      </w:r>
    </w:p>
    <w:p w14:paraId="50DDCA0C">
      <w:pPr>
        <w:spacing w:line="500" w:lineRule="exact"/>
        <w:rPr>
          <w:rFonts w:ascii="宋体" w:hAnsi="宋体"/>
          <w:szCs w:val="21"/>
        </w:rPr>
      </w:pPr>
    </w:p>
    <w:tbl>
      <w:tblPr>
        <w:tblStyle w:val="35"/>
        <w:tblW w:w="99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8"/>
        <w:gridCol w:w="3154"/>
        <w:gridCol w:w="1682"/>
        <w:gridCol w:w="3319"/>
      </w:tblGrid>
      <w:tr w14:paraId="34F5A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14:paraId="702CB5FF">
            <w:pPr>
              <w:snapToGrid w:val="0"/>
              <w:spacing w:before="156" w:beforeLines="50"/>
              <w:jc w:val="center"/>
              <w:rPr>
                <w:rFonts w:ascii="宋体" w:hAnsi="宋体"/>
                <w:szCs w:val="21"/>
              </w:rPr>
            </w:pPr>
            <w:r>
              <w:rPr>
                <w:rFonts w:hint="eastAsia" w:ascii="宋体" w:hAnsi="宋体"/>
                <w:szCs w:val="21"/>
              </w:rPr>
              <w:t>项目</w:t>
            </w:r>
          </w:p>
        </w:tc>
        <w:tc>
          <w:tcPr>
            <w:tcW w:w="3154" w:type="dxa"/>
            <w:tcBorders>
              <w:top w:val="single" w:color="auto" w:sz="4" w:space="0"/>
              <w:left w:val="single" w:color="auto" w:sz="4" w:space="0"/>
              <w:bottom w:val="single" w:color="auto" w:sz="4" w:space="0"/>
              <w:right w:val="single" w:color="auto" w:sz="4" w:space="0"/>
            </w:tcBorders>
            <w:vAlign w:val="center"/>
          </w:tcPr>
          <w:p w14:paraId="362E847A">
            <w:pPr>
              <w:snapToGrid w:val="0"/>
              <w:spacing w:before="156" w:beforeLines="50"/>
              <w:jc w:val="center"/>
              <w:rPr>
                <w:rFonts w:ascii="宋体" w:hAnsi="宋体"/>
                <w:szCs w:val="21"/>
              </w:rPr>
            </w:pPr>
            <w:r>
              <w:rPr>
                <w:rFonts w:hint="eastAsia" w:ascii="宋体" w:hAnsi="宋体"/>
                <w:szCs w:val="21"/>
              </w:rPr>
              <w:t>谈判采</w:t>
            </w:r>
            <w:r>
              <w:rPr>
                <w:rFonts w:ascii="宋体" w:hAnsi="宋体"/>
                <w:szCs w:val="21"/>
              </w:rPr>
              <w:t>购</w:t>
            </w:r>
            <w:r>
              <w:rPr>
                <w:rFonts w:hint="eastAsia" w:ascii="宋体" w:hAnsi="宋体"/>
                <w:szCs w:val="21"/>
              </w:rPr>
              <w:t>文件要求</w:t>
            </w:r>
          </w:p>
        </w:tc>
        <w:tc>
          <w:tcPr>
            <w:tcW w:w="1682" w:type="dxa"/>
            <w:tcBorders>
              <w:top w:val="single" w:color="auto" w:sz="4" w:space="0"/>
              <w:left w:val="single" w:color="auto" w:sz="4" w:space="0"/>
              <w:bottom w:val="single" w:color="auto" w:sz="4" w:space="0"/>
              <w:right w:val="single" w:color="auto" w:sz="4" w:space="0"/>
            </w:tcBorders>
            <w:vAlign w:val="center"/>
          </w:tcPr>
          <w:p w14:paraId="52C9037D">
            <w:pPr>
              <w:snapToGrid w:val="0"/>
              <w:spacing w:before="156" w:beforeLines="50"/>
              <w:jc w:val="center"/>
              <w:rPr>
                <w:rFonts w:ascii="宋体" w:hAnsi="宋体"/>
                <w:szCs w:val="21"/>
              </w:rPr>
            </w:pPr>
            <w:r>
              <w:rPr>
                <w:rFonts w:hint="eastAsia" w:ascii="宋体" w:hAnsi="宋体"/>
                <w:szCs w:val="21"/>
              </w:rPr>
              <w:t>是否响应</w:t>
            </w:r>
          </w:p>
        </w:tc>
        <w:tc>
          <w:tcPr>
            <w:tcW w:w="3319" w:type="dxa"/>
            <w:tcBorders>
              <w:top w:val="single" w:color="auto" w:sz="4" w:space="0"/>
              <w:left w:val="single" w:color="auto" w:sz="4" w:space="0"/>
              <w:bottom w:val="single" w:color="auto" w:sz="4" w:space="0"/>
              <w:right w:val="single" w:color="auto" w:sz="4" w:space="0"/>
            </w:tcBorders>
            <w:vAlign w:val="center"/>
          </w:tcPr>
          <w:p w14:paraId="78102E73">
            <w:pPr>
              <w:snapToGrid w:val="0"/>
              <w:spacing w:before="156" w:beforeLines="50"/>
              <w:jc w:val="center"/>
              <w:rPr>
                <w:rFonts w:ascii="宋体" w:hAnsi="宋体"/>
                <w:szCs w:val="21"/>
              </w:rPr>
            </w:pPr>
            <w:r>
              <w:rPr>
                <w:rFonts w:hint="eastAsia" w:ascii="宋体" w:hAnsi="宋体"/>
                <w:szCs w:val="21"/>
              </w:rPr>
              <w:t>供应商的承诺或说明</w:t>
            </w:r>
          </w:p>
        </w:tc>
      </w:tr>
      <w:tr w14:paraId="7710C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1808" w:type="dxa"/>
            <w:tcBorders>
              <w:top w:val="single" w:color="auto" w:sz="4" w:space="0"/>
              <w:left w:val="single" w:color="auto" w:sz="4" w:space="0"/>
              <w:bottom w:val="single" w:color="auto" w:sz="4" w:space="0"/>
              <w:right w:val="single" w:color="auto" w:sz="4" w:space="0"/>
            </w:tcBorders>
          </w:tcPr>
          <w:p w14:paraId="3AC49E38">
            <w:pPr>
              <w:snapToGrid w:val="0"/>
              <w:spacing w:before="156" w:beforeLines="50"/>
              <w:rPr>
                <w:rFonts w:ascii="宋体" w:hAnsi="宋体"/>
                <w:szCs w:val="21"/>
              </w:rPr>
            </w:pPr>
          </w:p>
        </w:tc>
        <w:tc>
          <w:tcPr>
            <w:tcW w:w="3154" w:type="dxa"/>
            <w:tcBorders>
              <w:top w:val="single" w:color="auto" w:sz="4" w:space="0"/>
              <w:left w:val="single" w:color="auto" w:sz="4" w:space="0"/>
              <w:bottom w:val="single" w:color="auto" w:sz="4" w:space="0"/>
              <w:right w:val="single" w:color="auto" w:sz="4" w:space="0"/>
            </w:tcBorders>
          </w:tcPr>
          <w:p w14:paraId="66B3A2BB">
            <w:pPr>
              <w:snapToGrid w:val="0"/>
              <w:spacing w:before="156" w:beforeLines="50"/>
              <w:rPr>
                <w:rFonts w:ascii="宋体" w:hAnsi="宋体"/>
                <w:szCs w:val="21"/>
              </w:rPr>
            </w:pPr>
          </w:p>
        </w:tc>
        <w:tc>
          <w:tcPr>
            <w:tcW w:w="1682" w:type="dxa"/>
            <w:tcBorders>
              <w:top w:val="single" w:color="auto" w:sz="4" w:space="0"/>
              <w:left w:val="single" w:color="auto" w:sz="4" w:space="0"/>
              <w:bottom w:val="single" w:color="auto" w:sz="4" w:space="0"/>
              <w:right w:val="single" w:color="auto" w:sz="4" w:space="0"/>
            </w:tcBorders>
          </w:tcPr>
          <w:p w14:paraId="447E8112">
            <w:pPr>
              <w:snapToGrid w:val="0"/>
              <w:spacing w:before="156" w:beforeLines="50"/>
              <w:rPr>
                <w:rFonts w:ascii="宋体" w:hAnsi="宋体"/>
                <w:szCs w:val="21"/>
              </w:rPr>
            </w:pPr>
          </w:p>
        </w:tc>
        <w:tc>
          <w:tcPr>
            <w:tcW w:w="3319" w:type="dxa"/>
            <w:tcBorders>
              <w:top w:val="single" w:color="auto" w:sz="4" w:space="0"/>
              <w:left w:val="single" w:color="auto" w:sz="4" w:space="0"/>
              <w:bottom w:val="single" w:color="auto" w:sz="4" w:space="0"/>
              <w:right w:val="single" w:color="auto" w:sz="4" w:space="0"/>
            </w:tcBorders>
          </w:tcPr>
          <w:p w14:paraId="5C657B76">
            <w:pPr>
              <w:snapToGrid w:val="0"/>
              <w:spacing w:before="156" w:beforeLines="50"/>
              <w:rPr>
                <w:rFonts w:ascii="宋体" w:hAnsi="宋体"/>
                <w:szCs w:val="21"/>
              </w:rPr>
            </w:pPr>
          </w:p>
        </w:tc>
      </w:tr>
      <w:tr w14:paraId="78047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1808" w:type="dxa"/>
            <w:tcBorders>
              <w:top w:val="single" w:color="auto" w:sz="4" w:space="0"/>
              <w:left w:val="single" w:color="auto" w:sz="4" w:space="0"/>
              <w:bottom w:val="single" w:color="auto" w:sz="4" w:space="0"/>
              <w:right w:val="single" w:color="auto" w:sz="4" w:space="0"/>
            </w:tcBorders>
          </w:tcPr>
          <w:p w14:paraId="01D0F9FC">
            <w:pPr>
              <w:snapToGrid w:val="0"/>
              <w:spacing w:before="156" w:beforeLines="50"/>
              <w:rPr>
                <w:rFonts w:ascii="宋体" w:hAnsi="宋体"/>
                <w:szCs w:val="21"/>
              </w:rPr>
            </w:pPr>
          </w:p>
        </w:tc>
        <w:tc>
          <w:tcPr>
            <w:tcW w:w="3154" w:type="dxa"/>
            <w:tcBorders>
              <w:top w:val="single" w:color="auto" w:sz="4" w:space="0"/>
              <w:left w:val="single" w:color="auto" w:sz="4" w:space="0"/>
              <w:bottom w:val="single" w:color="auto" w:sz="4" w:space="0"/>
              <w:right w:val="single" w:color="auto" w:sz="4" w:space="0"/>
            </w:tcBorders>
          </w:tcPr>
          <w:p w14:paraId="641CEA0B">
            <w:pPr>
              <w:snapToGrid w:val="0"/>
              <w:spacing w:before="156" w:beforeLines="50"/>
              <w:rPr>
                <w:rFonts w:ascii="宋体" w:hAnsi="宋体"/>
                <w:szCs w:val="21"/>
              </w:rPr>
            </w:pPr>
          </w:p>
        </w:tc>
        <w:tc>
          <w:tcPr>
            <w:tcW w:w="1682" w:type="dxa"/>
            <w:tcBorders>
              <w:top w:val="single" w:color="auto" w:sz="4" w:space="0"/>
              <w:left w:val="single" w:color="auto" w:sz="4" w:space="0"/>
              <w:bottom w:val="single" w:color="auto" w:sz="4" w:space="0"/>
              <w:right w:val="single" w:color="auto" w:sz="4" w:space="0"/>
            </w:tcBorders>
          </w:tcPr>
          <w:p w14:paraId="1C0533C8">
            <w:pPr>
              <w:snapToGrid w:val="0"/>
              <w:spacing w:before="156" w:beforeLines="50"/>
              <w:rPr>
                <w:rFonts w:ascii="宋体" w:hAnsi="宋体"/>
                <w:szCs w:val="21"/>
              </w:rPr>
            </w:pPr>
          </w:p>
        </w:tc>
        <w:tc>
          <w:tcPr>
            <w:tcW w:w="3319" w:type="dxa"/>
            <w:tcBorders>
              <w:top w:val="single" w:color="auto" w:sz="4" w:space="0"/>
              <w:left w:val="single" w:color="auto" w:sz="4" w:space="0"/>
              <w:bottom w:val="single" w:color="auto" w:sz="4" w:space="0"/>
              <w:right w:val="single" w:color="auto" w:sz="4" w:space="0"/>
            </w:tcBorders>
          </w:tcPr>
          <w:p w14:paraId="41D78979">
            <w:pPr>
              <w:snapToGrid w:val="0"/>
              <w:spacing w:before="156" w:beforeLines="50"/>
              <w:rPr>
                <w:rFonts w:ascii="宋体" w:hAnsi="宋体"/>
                <w:szCs w:val="21"/>
              </w:rPr>
            </w:pPr>
          </w:p>
        </w:tc>
      </w:tr>
      <w:tr w14:paraId="31EB5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808" w:type="dxa"/>
            <w:tcBorders>
              <w:top w:val="single" w:color="auto" w:sz="4" w:space="0"/>
              <w:left w:val="single" w:color="auto" w:sz="4" w:space="0"/>
              <w:bottom w:val="single" w:color="auto" w:sz="4" w:space="0"/>
              <w:right w:val="single" w:color="auto" w:sz="4" w:space="0"/>
            </w:tcBorders>
          </w:tcPr>
          <w:p w14:paraId="61015D14">
            <w:pPr>
              <w:snapToGrid w:val="0"/>
              <w:spacing w:before="156" w:beforeLines="50"/>
              <w:rPr>
                <w:rFonts w:ascii="宋体" w:hAnsi="宋体"/>
                <w:szCs w:val="21"/>
              </w:rPr>
            </w:pPr>
          </w:p>
        </w:tc>
        <w:tc>
          <w:tcPr>
            <w:tcW w:w="3154" w:type="dxa"/>
            <w:tcBorders>
              <w:top w:val="single" w:color="auto" w:sz="4" w:space="0"/>
              <w:left w:val="single" w:color="auto" w:sz="4" w:space="0"/>
              <w:bottom w:val="single" w:color="auto" w:sz="4" w:space="0"/>
              <w:right w:val="single" w:color="auto" w:sz="4" w:space="0"/>
            </w:tcBorders>
          </w:tcPr>
          <w:p w14:paraId="68563322">
            <w:pPr>
              <w:snapToGrid w:val="0"/>
              <w:spacing w:before="156" w:beforeLines="50"/>
              <w:rPr>
                <w:rFonts w:ascii="宋体" w:hAnsi="宋体"/>
                <w:szCs w:val="21"/>
              </w:rPr>
            </w:pPr>
          </w:p>
        </w:tc>
        <w:tc>
          <w:tcPr>
            <w:tcW w:w="1682" w:type="dxa"/>
            <w:tcBorders>
              <w:top w:val="single" w:color="auto" w:sz="4" w:space="0"/>
              <w:left w:val="single" w:color="auto" w:sz="4" w:space="0"/>
              <w:bottom w:val="single" w:color="auto" w:sz="4" w:space="0"/>
              <w:right w:val="single" w:color="auto" w:sz="4" w:space="0"/>
            </w:tcBorders>
          </w:tcPr>
          <w:p w14:paraId="165BE5B4">
            <w:pPr>
              <w:snapToGrid w:val="0"/>
              <w:spacing w:before="156" w:beforeLines="50"/>
              <w:ind w:left="43"/>
              <w:rPr>
                <w:rFonts w:ascii="宋体" w:hAnsi="宋体"/>
                <w:szCs w:val="21"/>
              </w:rPr>
            </w:pPr>
          </w:p>
        </w:tc>
        <w:tc>
          <w:tcPr>
            <w:tcW w:w="3319" w:type="dxa"/>
            <w:tcBorders>
              <w:top w:val="single" w:color="auto" w:sz="4" w:space="0"/>
              <w:left w:val="single" w:color="auto" w:sz="4" w:space="0"/>
              <w:bottom w:val="single" w:color="auto" w:sz="4" w:space="0"/>
              <w:right w:val="single" w:color="auto" w:sz="4" w:space="0"/>
            </w:tcBorders>
          </w:tcPr>
          <w:p w14:paraId="168F4641">
            <w:pPr>
              <w:snapToGrid w:val="0"/>
              <w:spacing w:before="156" w:beforeLines="50"/>
              <w:ind w:left="43"/>
              <w:rPr>
                <w:rFonts w:ascii="宋体" w:hAnsi="宋体"/>
                <w:szCs w:val="21"/>
              </w:rPr>
            </w:pPr>
          </w:p>
        </w:tc>
      </w:tr>
      <w:tr w14:paraId="7935C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1808" w:type="dxa"/>
            <w:tcBorders>
              <w:top w:val="single" w:color="auto" w:sz="4" w:space="0"/>
              <w:left w:val="single" w:color="auto" w:sz="4" w:space="0"/>
              <w:bottom w:val="single" w:color="auto" w:sz="4" w:space="0"/>
              <w:right w:val="single" w:color="auto" w:sz="4" w:space="0"/>
            </w:tcBorders>
          </w:tcPr>
          <w:p w14:paraId="00DBC14A">
            <w:pPr>
              <w:snapToGrid w:val="0"/>
              <w:spacing w:before="156" w:beforeLines="50"/>
              <w:rPr>
                <w:rFonts w:ascii="宋体" w:hAnsi="宋体"/>
                <w:szCs w:val="21"/>
              </w:rPr>
            </w:pPr>
          </w:p>
        </w:tc>
        <w:tc>
          <w:tcPr>
            <w:tcW w:w="3154" w:type="dxa"/>
            <w:tcBorders>
              <w:top w:val="single" w:color="auto" w:sz="4" w:space="0"/>
              <w:left w:val="single" w:color="auto" w:sz="4" w:space="0"/>
              <w:bottom w:val="single" w:color="auto" w:sz="4" w:space="0"/>
              <w:right w:val="single" w:color="auto" w:sz="4" w:space="0"/>
            </w:tcBorders>
          </w:tcPr>
          <w:p w14:paraId="2EC511C1">
            <w:pPr>
              <w:snapToGrid w:val="0"/>
              <w:spacing w:before="156" w:beforeLines="50"/>
              <w:rPr>
                <w:rFonts w:ascii="宋体" w:hAnsi="宋体"/>
                <w:szCs w:val="21"/>
              </w:rPr>
            </w:pPr>
          </w:p>
        </w:tc>
        <w:tc>
          <w:tcPr>
            <w:tcW w:w="1682" w:type="dxa"/>
            <w:tcBorders>
              <w:top w:val="single" w:color="auto" w:sz="4" w:space="0"/>
              <w:left w:val="single" w:color="auto" w:sz="4" w:space="0"/>
              <w:bottom w:val="single" w:color="auto" w:sz="4" w:space="0"/>
              <w:right w:val="single" w:color="auto" w:sz="4" w:space="0"/>
            </w:tcBorders>
          </w:tcPr>
          <w:p w14:paraId="28A53936">
            <w:pPr>
              <w:snapToGrid w:val="0"/>
              <w:spacing w:before="156" w:beforeLines="50"/>
              <w:rPr>
                <w:rFonts w:ascii="宋体" w:hAnsi="宋体"/>
                <w:szCs w:val="21"/>
              </w:rPr>
            </w:pPr>
          </w:p>
        </w:tc>
        <w:tc>
          <w:tcPr>
            <w:tcW w:w="3319" w:type="dxa"/>
            <w:tcBorders>
              <w:top w:val="single" w:color="auto" w:sz="4" w:space="0"/>
              <w:left w:val="single" w:color="auto" w:sz="4" w:space="0"/>
              <w:bottom w:val="single" w:color="auto" w:sz="4" w:space="0"/>
              <w:right w:val="single" w:color="auto" w:sz="4" w:space="0"/>
            </w:tcBorders>
          </w:tcPr>
          <w:p w14:paraId="14684C16">
            <w:pPr>
              <w:snapToGrid w:val="0"/>
              <w:spacing w:before="156" w:beforeLines="50"/>
              <w:rPr>
                <w:rFonts w:ascii="宋体" w:hAnsi="宋体"/>
                <w:szCs w:val="21"/>
              </w:rPr>
            </w:pPr>
          </w:p>
        </w:tc>
      </w:tr>
      <w:tr w14:paraId="041E6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08" w:type="dxa"/>
            <w:tcBorders>
              <w:top w:val="single" w:color="auto" w:sz="4" w:space="0"/>
              <w:left w:val="single" w:color="auto" w:sz="4" w:space="0"/>
              <w:bottom w:val="single" w:color="auto" w:sz="4" w:space="0"/>
              <w:right w:val="single" w:color="auto" w:sz="4" w:space="0"/>
            </w:tcBorders>
          </w:tcPr>
          <w:p w14:paraId="58F07578">
            <w:pPr>
              <w:snapToGrid w:val="0"/>
              <w:spacing w:before="156" w:beforeLines="50"/>
              <w:rPr>
                <w:rFonts w:ascii="宋体" w:hAnsi="宋体"/>
                <w:szCs w:val="21"/>
              </w:rPr>
            </w:pPr>
          </w:p>
        </w:tc>
        <w:tc>
          <w:tcPr>
            <w:tcW w:w="3154" w:type="dxa"/>
            <w:tcBorders>
              <w:top w:val="single" w:color="auto" w:sz="4" w:space="0"/>
              <w:left w:val="single" w:color="auto" w:sz="4" w:space="0"/>
              <w:bottom w:val="single" w:color="auto" w:sz="4" w:space="0"/>
              <w:right w:val="single" w:color="auto" w:sz="4" w:space="0"/>
            </w:tcBorders>
          </w:tcPr>
          <w:p w14:paraId="299E682C">
            <w:pPr>
              <w:snapToGrid w:val="0"/>
              <w:spacing w:before="156" w:beforeLines="50"/>
              <w:rPr>
                <w:rFonts w:ascii="宋体" w:hAnsi="宋体"/>
                <w:szCs w:val="21"/>
              </w:rPr>
            </w:pPr>
          </w:p>
        </w:tc>
        <w:tc>
          <w:tcPr>
            <w:tcW w:w="1682" w:type="dxa"/>
            <w:tcBorders>
              <w:top w:val="single" w:color="auto" w:sz="4" w:space="0"/>
              <w:left w:val="single" w:color="auto" w:sz="4" w:space="0"/>
              <w:bottom w:val="single" w:color="auto" w:sz="4" w:space="0"/>
              <w:right w:val="single" w:color="auto" w:sz="4" w:space="0"/>
            </w:tcBorders>
          </w:tcPr>
          <w:p w14:paraId="5EAFAFDF">
            <w:pPr>
              <w:snapToGrid w:val="0"/>
              <w:spacing w:before="156" w:beforeLines="50"/>
              <w:rPr>
                <w:rFonts w:ascii="宋体" w:hAnsi="宋体"/>
                <w:szCs w:val="21"/>
              </w:rPr>
            </w:pPr>
          </w:p>
        </w:tc>
        <w:tc>
          <w:tcPr>
            <w:tcW w:w="3319" w:type="dxa"/>
            <w:tcBorders>
              <w:top w:val="single" w:color="auto" w:sz="4" w:space="0"/>
              <w:left w:val="single" w:color="auto" w:sz="4" w:space="0"/>
              <w:bottom w:val="single" w:color="auto" w:sz="4" w:space="0"/>
              <w:right w:val="single" w:color="auto" w:sz="4" w:space="0"/>
            </w:tcBorders>
          </w:tcPr>
          <w:p w14:paraId="058A557E">
            <w:pPr>
              <w:snapToGrid w:val="0"/>
              <w:spacing w:before="156" w:beforeLines="50"/>
              <w:rPr>
                <w:rFonts w:ascii="宋体" w:hAnsi="宋体"/>
                <w:szCs w:val="21"/>
              </w:rPr>
            </w:pPr>
          </w:p>
        </w:tc>
      </w:tr>
    </w:tbl>
    <w:p w14:paraId="67DDCFFA">
      <w:pPr>
        <w:rPr>
          <w:rFonts w:ascii="宋体" w:hAnsi="宋体"/>
          <w:sz w:val="24"/>
        </w:rPr>
      </w:pPr>
    </w:p>
    <w:p w14:paraId="03072736">
      <w:pPr>
        <w:rPr>
          <w:rFonts w:ascii="宋体" w:hAnsi="宋体"/>
          <w:szCs w:val="21"/>
          <w:u w:val="single"/>
        </w:rPr>
      </w:pPr>
      <w:r>
        <w:rPr>
          <w:rFonts w:hint="eastAsia" w:ascii="宋体" w:hAnsi="宋体"/>
          <w:szCs w:val="21"/>
        </w:rPr>
        <w:t>供应商名称（公章）：</w:t>
      </w:r>
    </w:p>
    <w:p w14:paraId="0C24B043">
      <w:pPr>
        <w:spacing w:line="520" w:lineRule="exact"/>
        <w:rPr>
          <w:rFonts w:ascii="宋体" w:hAnsi="宋体"/>
          <w:szCs w:val="21"/>
          <w:u w:val="single"/>
        </w:rPr>
      </w:pPr>
      <w:r>
        <w:rPr>
          <w:rFonts w:hint="eastAsia" w:ascii="宋体" w:hAnsi="宋体"/>
          <w:szCs w:val="21"/>
        </w:rPr>
        <w:t>法定代表人或法定代表人授权代表签字：</w:t>
      </w:r>
    </w:p>
    <w:p w14:paraId="67E86007">
      <w:pPr>
        <w:spacing w:line="400" w:lineRule="exact"/>
        <w:ind w:left="-27" w:leftChars="-13" w:firstLine="317" w:firstLineChars="151"/>
        <w:rPr>
          <w:rFonts w:ascii="宋体" w:hAnsi="宋体"/>
          <w:szCs w:val="21"/>
        </w:rPr>
      </w:pPr>
      <w:r>
        <w:rPr>
          <w:rFonts w:hint="eastAsia" w:ascii="宋体" w:hAnsi="宋体"/>
          <w:szCs w:val="21"/>
        </w:rPr>
        <w:t>日   期：</w:t>
      </w:r>
    </w:p>
    <w:p w14:paraId="5C9FEBF3">
      <w:pPr>
        <w:pStyle w:val="5"/>
      </w:pPr>
    </w:p>
    <w:p w14:paraId="55BD8062">
      <w:pPr>
        <w:rPr>
          <w:rFonts w:ascii="宋体" w:hAnsi="宋体"/>
          <w:szCs w:val="21"/>
        </w:rPr>
      </w:pPr>
    </w:p>
    <w:p w14:paraId="4DB86640">
      <w:pPr>
        <w:pStyle w:val="5"/>
      </w:pPr>
    </w:p>
    <w:p w14:paraId="0F33A741">
      <w:pPr>
        <w:rPr>
          <w:rFonts w:ascii="宋体" w:hAnsi="宋体"/>
          <w:szCs w:val="21"/>
        </w:rPr>
      </w:pPr>
    </w:p>
    <w:p w14:paraId="6F0E0E62">
      <w:pPr>
        <w:pStyle w:val="5"/>
      </w:pPr>
    </w:p>
    <w:p w14:paraId="65971BC2">
      <w:pPr>
        <w:spacing w:line="400" w:lineRule="exact"/>
        <w:rPr>
          <w:rFonts w:ascii="宋体" w:hAnsi="宋体"/>
          <w:sz w:val="28"/>
          <w:szCs w:val="28"/>
        </w:rPr>
      </w:pPr>
      <w:r>
        <w:rPr>
          <w:rFonts w:hint="eastAsia" w:ascii="宋体" w:hAnsi="宋体"/>
          <w:sz w:val="28"/>
          <w:szCs w:val="28"/>
        </w:rPr>
        <w:t>2.技术响应、偏离情况说明表</w:t>
      </w:r>
    </w:p>
    <w:p w14:paraId="1D34AA09">
      <w:pPr>
        <w:spacing w:line="300" w:lineRule="auto"/>
        <w:jc w:val="center"/>
        <w:rPr>
          <w:rFonts w:ascii="宋体" w:hAnsi="宋体"/>
          <w:b/>
          <w:sz w:val="32"/>
          <w:szCs w:val="32"/>
        </w:rPr>
      </w:pPr>
    </w:p>
    <w:p w14:paraId="20258641">
      <w:pPr>
        <w:spacing w:line="300" w:lineRule="auto"/>
        <w:jc w:val="center"/>
        <w:rPr>
          <w:rFonts w:ascii="宋体" w:hAnsi="宋体"/>
          <w:b/>
          <w:sz w:val="28"/>
          <w:szCs w:val="28"/>
        </w:rPr>
      </w:pPr>
      <w:r>
        <w:rPr>
          <w:rFonts w:hint="eastAsia" w:ascii="宋体" w:hAnsi="宋体"/>
          <w:b/>
          <w:sz w:val="28"/>
          <w:szCs w:val="28"/>
        </w:rPr>
        <w:t>技术响应、偏离情况说明表</w:t>
      </w:r>
    </w:p>
    <w:p w14:paraId="09786A62">
      <w:pPr>
        <w:spacing w:line="300" w:lineRule="auto"/>
        <w:rPr>
          <w:rFonts w:ascii="宋体" w:hAnsi="宋体"/>
          <w:szCs w:val="21"/>
          <w:u w:val="single"/>
        </w:rPr>
      </w:pPr>
      <w:r>
        <w:rPr>
          <w:rFonts w:hint="eastAsia" w:ascii="宋体" w:hAnsi="宋体"/>
          <w:szCs w:val="21"/>
        </w:rPr>
        <w:t>采购项目编号:</w:t>
      </w:r>
    </w:p>
    <w:p w14:paraId="728886A7">
      <w:pPr>
        <w:spacing w:line="500" w:lineRule="exact"/>
        <w:rPr>
          <w:rFonts w:ascii="宋体" w:hAnsi="宋体"/>
          <w:szCs w:val="21"/>
        </w:rPr>
      </w:pPr>
      <w:r>
        <w:rPr>
          <w:rFonts w:hint="eastAsia" w:ascii="宋体" w:hAnsi="宋体"/>
          <w:szCs w:val="21"/>
        </w:rPr>
        <w:t>采购项目名称:</w:t>
      </w:r>
    </w:p>
    <w:tbl>
      <w:tblPr>
        <w:tblStyle w:val="35"/>
        <w:tblW w:w="91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410"/>
        <w:gridCol w:w="2164"/>
        <w:gridCol w:w="2371"/>
        <w:gridCol w:w="1569"/>
        <w:gridCol w:w="817"/>
      </w:tblGrid>
      <w:tr w14:paraId="53FC1A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4507389A">
            <w:pPr>
              <w:pStyle w:val="70"/>
              <w:ind w:firstLine="0" w:firstLineChars="0"/>
            </w:pPr>
            <w:bookmarkStart w:id="58" w:name="_Toc173066401"/>
            <w:bookmarkStart w:id="59" w:name="_Toc254970588"/>
            <w:bookmarkStart w:id="60" w:name="_Toc173211900"/>
            <w:bookmarkStart w:id="61" w:name="_Toc522292036"/>
            <w:bookmarkStart w:id="62" w:name="_Toc254970729"/>
            <w:r>
              <w:rPr>
                <w:rFonts w:hint="eastAsia"/>
              </w:rPr>
              <w:t>序号</w:t>
            </w:r>
            <w:bookmarkEnd w:id="58"/>
            <w:bookmarkEnd w:id="59"/>
            <w:bookmarkEnd w:id="60"/>
            <w:bookmarkEnd w:id="61"/>
            <w:bookmarkEnd w:id="62"/>
          </w:p>
        </w:tc>
        <w:tc>
          <w:tcPr>
            <w:tcW w:w="1410" w:type="dxa"/>
            <w:vAlign w:val="center"/>
          </w:tcPr>
          <w:p w14:paraId="309B7057">
            <w:pPr>
              <w:pStyle w:val="70"/>
              <w:ind w:firstLine="0" w:firstLineChars="0"/>
            </w:pPr>
            <w:bookmarkStart w:id="63" w:name="_Toc522292037"/>
            <w:r>
              <w:rPr>
                <w:rFonts w:hint="eastAsia"/>
              </w:rPr>
              <w:t>货物名称</w:t>
            </w:r>
            <w:bookmarkEnd w:id="63"/>
          </w:p>
        </w:tc>
        <w:tc>
          <w:tcPr>
            <w:tcW w:w="2164" w:type="dxa"/>
            <w:vAlign w:val="center"/>
          </w:tcPr>
          <w:p w14:paraId="603874CD">
            <w:pPr>
              <w:pStyle w:val="70"/>
              <w:ind w:firstLine="0" w:firstLineChars="0"/>
              <w:jc w:val="center"/>
            </w:pPr>
            <w:bookmarkStart w:id="64" w:name="_Toc173211901"/>
            <w:bookmarkStart w:id="65" w:name="_Toc173066402"/>
            <w:bookmarkStart w:id="66" w:name="_Toc254970589"/>
            <w:bookmarkStart w:id="67" w:name="_Toc254970730"/>
            <w:bookmarkStart w:id="68" w:name="_Toc522292038"/>
            <w:r>
              <w:rPr>
                <w:rFonts w:hint="eastAsia"/>
              </w:rPr>
              <w:t>竞争性谈判采购文件要求</w:t>
            </w:r>
            <w:bookmarkEnd w:id="64"/>
            <w:bookmarkEnd w:id="65"/>
            <w:bookmarkEnd w:id="66"/>
            <w:bookmarkEnd w:id="67"/>
            <w:bookmarkEnd w:id="68"/>
          </w:p>
        </w:tc>
        <w:tc>
          <w:tcPr>
            <w:tcW w:w="2371" w:type="dxa"/>
            <w:vAlign w:val="center"/>
          </w:tcPr>
          <w:p w14:paraId="1ABE2ADC">
            <w:pPr>
              <w:pStyle w:val="70"/>
              <w:ind w:firstLine="0" w:firstLineChars="0"/>
            </w:pPr>
            <w:bookmarkStart w:id="69" w:name="_Toc173211902"/>
            <w:bookmarkStart w:id="70" w:name="_Toc173066403"/>
            <w:bookmarkStart w:id="71" w:name="_Toc254970590"/>
            <w:bookmarkStart w:id="72" w:name="_Toc522292039"/>
            <w:bookmarkStart w:id="73" w:name="_Toc254970731"/>
            <w:r>
              <w:rPr>
                <w:rFonts w:hint="eastAsia"/>
              </w:rPr>
              <w:t>谈判响应文件具体响应</w:t>
            </w:r>
            <w:bookmarkEnd w:id="69"/>
            <w:bookmarkEnd w:id="70"/>
            <w:bookmarkEnd w:id="71"/>
            <w:bookmarkEnd w:id="72"/>
            <w:bookmarkEnd w:id="73"/>
          </w:p>
        </w:tc>
        <w:tc>
          <w:tcPr>
            <w:tcW w:w="1569" w:type="dxa"/>
            <w:vAlign w:val="center"/>
          </w:tcPr>
          <w:p w14:paraId="0B3A4287">
            <w:pPr>
              <w:jc w:val="center"/>
            </w:pPr>
            <w:bookmarkStart w:id="74" w:name="_Toc254970732"/>
            <w:bookmarkStart w:id="75" w:name="_Toc254970591"/>
            <w:bookmarkStart w:id="76" w:name="_Toc522292040"/>
            <w:bookmarkStart w:id="77" w:name="_Toc173066404"/>
            <w:bookmarkStart w:id="78" w:name="_Toc173211903"/>
            <w:r>
              <w:rPr>
                <w:rFonts w:hint="eastAsia"/>
              </w:rPr>
              <w:t>响应/偏离</w:t>
            </w:r>
            <w:bookmarkEnd w:id="74"/>
            <w:bookmarkEnd w:id="75"/>
            <w:bookmarkEnd w:id="76"/>
            <w:bookmarkEnd w:id="77"/>
            <w:bookmarkEnd w:id="78"/>
          </w:p>
        </w:tc>
        <w:tc>
          <w:tcPr>
            <w:tcW w:w="817" w:type="dxa"/>
            <w:vAlign w:val="center"/>
          </w:tcPr>
          <w:p w14:paraId="492EABB3">
            <w:pPr>
              <w:pStyle w:val="70"/>
              <w:ind w:firstLine="0" w:firstLineChars="0"/>
            </w:pPr>
            <w:bookmarkStart w:id="79" w:name="_Toc173211904"/>
            <w:bookmarkStart w:id="80" w:name="_Toc254970733"/>
            <w:bookmarkStart w:id="81" w:name="_Toc522292041"/>
            <w:bookmarkStart w:id="82" w:name="_Toc173066405"/>
            <w:bookmarkStart w:id="83" w:name="_Toc254970592"/>
            <w:r>
              <w:rPr>
                <w:rFonts w:hint="eastAsia"/>
              </w:rPr>
              <w:t>说明</w:t>
            </w:r>
            <w:bookmarkEnd w:id="79"/>
            <w:bookmarkEnd w:id="80"/>
            <w:bookmarkEnd w:id="81"/>
            <w:bookmarkEnd w:id="82"/>
            <w:bookmarkEnd w:id="83"/>
          </w:p>
        </w:tc>
      </w:tr>
      <w:tr w14:paraId="2E5E7E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705EB937">
            <w:pPr>
              <w:pStyle w:val="70"/>
              <w:rPr>
                <w:rFonts w:ascii="宋体" w:hAnsi="宋体"/>
              </w:rPr>
            </w:pPr>
            <w:bookmarkStart w:id="84" w:name="_Toc522292042"/>
            <w:r>
              <w:rPr>
                <w:rFonts w:hint="eastAsia" w:ascii="宋体" w:hAnsi="宋体"/>
              </w:rPr>
              <w:t>1</w:t>
            </w:r>
            <w:bookmarkEnd w:id="84"/>
          </w:p>
        </w:tc>
        <w:tc>
          <w:tcPr>
            <w:tcW w:w="1410" w:type="dxa"/>
            <w:vAlign w:val="center"/>
          </w:tcPr>
          <w:p w14:paraId="5603A9C7">
            <w:pPr>
              <w:adjustRightInd w:val="0"/>
              <w:snapToGrid w:val="0"/>
              <w:spacing w:line="300" w:lineRule="auto"/>
              <w:jc w:val="center"/>
              <w:rPr>
                <w:rFonts w:ascii="宋体" w:hAnsi="宋体"/>
                <w:szCs w:val="21"/>
              </w:rPr>
            </w:pPr>
          </w:p>
        </w:tc>
        <w:tc>
          <w:tcPr>
            <w:tcW w:w="2164" w:type="dxa"/>
            <w:vAlign w:val="center"/>
          </w:tcPr>
          <w:p w14:paraId="2FCAA760">
            <w:pPr>
              <w:adjustRightInd w:val="0"/>
              <w:snapToGrid w:val="0"/>
              <w:spacing w:line="300" w:lineRule="auto"/>
              <w:jc w:val="center"/>
              <w:rPr>
                <w:rFonts w:ascii="宋体" w:hAnsi="宋体"/>
                <w:szCs w:val="21"/>
              </w:rPr>
            </w:pPr>
          </w:p>
        </w:tc>
        <w:tc>
          <w:tcPr>
            <w:tcW w:w="2371" w:type="dxa"/>
            <w:vAlign w:val="center"/>
          </w:tcPr>
          <w:p w14:paraId="2D4D4AE4">
            <w:pPr>
              <w:adjustRightInd w:val="0"/>
              <w:snapToGrid w:val="0"/>
              <w:spacing w:line="300" w:lineRule="auto"/>
              <w:jc w:val="center"/>
              <w:rPr>
                <w:rFonts w:ascii="宋体" w:hAnsi="宋体"/>
                <w:szCs w:val="21"/>
              </w:rPr>
            </w:pPr>
          </w:p>
        </w:tc>
        <w:tc>
          <w:tcPr>
            <w:tcW w:w="1569" w:type="dxa"/>
            <w:vAlign w:val="center"/>
          </w:tcPr>
          <w:p w14:paraId="64DB0471">
            <w:pPr>
              <w:adjustRightInd w:val="0"/>
              <w:snapToGrid w:val="0"/>
              <w:spacing w:line="300" w:lineRule="auto"/>
              <w:jc w:val="center"/>
              <w:rPr>
                <w:rFonts w:ascii="宋体" w:hAnsi="宋体"/>
                <w:szCs w:val="21"/>
              </w:rPr>
            </w:pPr>
          </w:p>
        </w:tc>
        <w:tc>
          <w:tcPr>
            <w:tcW w:w="817" w:type="dxa"/>
            <w:vAlign w:val="center"/>
          </w:tcPr>
          <w:p w14:paraId="4AD15048">
            <w:pPr>
              <w:adjustRightInd w:val="0"/>
              <w:snapToGrid w:val="0"/>
              <w:spacing w:line="300" w:lineRule="auto"/>
              <w:jc w:val="center"/>
              <w:rPr>
                <w:rFonts w:ascii="宋体" w:hAnsi="宋体"/>
                <w:szCs w:val="21"/>
              </w:rPr>
            </w:pPr>
          </w:p>
        </w:tc>
      </w:tr>
      <w:tr w14:paraId="5A3A38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345ACD59">
            <w:pPr>
              <w:pStyle w:val="70"/>
              <w:rPr>
                <w:rFonts w:ascii="宋体" w:hAnsi="宋体"/>
              </w:rPr>
            </w:pPr>
            <w:bookmarkStart w:id="85" w:name="_Toc522292043"/>
            <w:r>
              <w:rPr>
                <w:rFonts w:hint="eastAsia" w:ascii="宋体" w:hAnsi="宋体"/>
              </w:rPr>
              <w:t>2</w:t>
            </w:r>
            <w:bookmarkEnd w:id="85"/>
          </w:p>
        </w:tc>
        <w:tc>
          <w:tcPr>
            <w:tcW w:w="1410" w:type="dxa"/>
            <w:vAlign w:val="center"/>
          </w:tcPr>
          <w:p w14:paraId="34652CDB">
            <w:pPr>
              <w:adjustRightInd w:val="0"/>
              <w:snapToGrid w:val="0"/>
              <w:spacing w:line="300" w:lineRule="auto"/>
              <w:jc w:val="center"/>
              <w:rPr>
                <w:rFonts w:ascii="宋体" w:hAnsi="宋体"/>
                <w:szCs w:val="21"/>
              </w:rPr>
            </w:pPr>
          </w:p>
        </w:tc>
        <w:tc>
          <w:tcPr>
            <w:tcW w:w="2164" w:type="dxa"/>
            <w:vAlign w:val="center"/>
          </w:tcPr>
          <w:p w14:paraId="277FD282">
            <w:pPr>
              <w:adjustRightInd w:val="0"/>
              <w:snapToGrid w:val="0"/>
              <w:spacing w:line="300" w:lineRule="auto"/>
              <w:jc w:val="center"/>
              <w:rPr>
                <w:rFonts w:ascii="宋体" w:hAnsi="宋体"/>
                <w:szCs w:val="21"/>
              </w:rPr>
            </w:pPr>
          </w:p>
        </w:tc>
        <w:tc>
          <w:tcPr>
            <w:tcW w:w="2371" w:type="dxa"/>
            <w:vAlign w:val="center"/>
          </w:tcPr>
          <w:p w14:paraId="582AB621">
            <w:pPr>
              <w:adjustRightInd w:val="0"/>
              <w:snapToGrid w:val="0"/>
              <w:spacing w:line="300" w:lineRule="auto"/>
              <w:jc w:val="center"/>
              <w:rPr>
                <w:rFonts w:ascii="宋体" w:hAnsi="宋体"/>
                <w:szCs w:val="21"/>
              </w:rPr>
            </w:pPr>
          </w:p>
        </w:tc>
        <w:tc>
          <w:tcPr>
            <w:tcW w:w="1569" w:type="dxa"/>
            <w:vAlign w:val="center"/>
          </w:tcPr>
          <w:p w14:paraId="46FED51B">
            <w:pPr>
              <w:adjustRightInd w:val="0"/>
              <w:snapToGrid w:val="0"/>
              <w:spacing w:line="300" w:lineRule="auto"/>
              <w:jc w:val="center"/>
              <w:rPr>
                <w:rFonts w:ascii="宋体" w:hAnsi="宋体"/>
                <w:szCs w:val="21"/>
              </w:rPr>
            </w:pPr>
          </w:p>
        </w:tc>
        <w:tc>
          <w:tcPr>
            <w:tcW w:w="817" w:type="dxa"/>
            <w:vAlign w:val="center"/>
          </w:tcPr>
          <w:p w14:paraId="0AA33A39">
            <w:pPr>
              <w:adjustRightInd w:val="0"/>
              <w:snapToGrid w:val="0"/>
              <w:spacing w:line="300" w:lineRule="auto"/>
              <w:jc w:val="center"/>
              <w:rPr>
                <w:rFonts w:ascii="宋体" w:hAnsi="宋体"/>
                <w:szCs w:val="21"/>
              </w:rPr>
            </w:pPr>
          </w:p>
        </w:tc>
      </w:tr>
      <w:tr w14:paraId="676787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00289FB0">
            <w:pPr>
              <w:pStyle w:val="70"/>
              <w:rPr>
                <w:rFonts w:ascii="宋体" w:hAnsi="宋体"/>
              </w:rPr>
            </w:pPr>
            <w:bookmarkStart w:id="86" w:name="_Toc522292044"/>
            <w:r>
              <w:rPr>
                <w:rFonts w:hint="eastAsia" w:ascii="宋体" w:hAnsi="宋体"/>
              </w:rPr>
              <w:t>3</w:t>
            </w:r>
            <w:bookmarkEnd w:id="86"/>
          </w:p>
        </w:tc>
        <w:tc>
          <w:tcPr>
            <w:tcW w:w="1410" w:type="dxa"/>
            <w:vAlign w:val="center"/>
          </w:tcPr>
          <w:p w14:paraId="48F44C9D">
            <w:pPr>
              <w:adjustRightInd w:val="0"/>
              <w:snapToGrid w:val="0"/>
              <w:spacing w:line="300" w:lineRule="auto"/>
              <w:jc w:val="center"/>
              <w:rPr>
                <w:rFonts w:ascii="宋体" w:hAnsi="宋体"/>
                <w:szCs w:val="21"/>
              </w:rPr>
            </w:pPr>
          </w:p>
        </w:tc>
        <w:tc>
          <w:tcPr>
            <w:tcW w:w="2164" w:type="dxa"/>
            <w:vAlign w:val="center"/>
          </w:tcPr>
          <w:p w14:paraId="3F2D3CF1">
            <w:pPr>
              <w:adjustRightInd w:val="0"/>
              <w:snapToGrid w:val="0"/>
              <w:spacing w:line="300" w:lineRule="auto"/>
              <w:jc w:val="center"/>
              <w:rPr>
                <w:rFonts w:ascii="宋体" w:hAnsi="宋体"/>
                <w:szCs w:val="21"/>
              </w:rPr>
            </w:pPr>
          </w:p>
        </w:tc>
        <w:tc>
          <w:tcPr>
            <w:tcW w:w="2371" w:type="dxa"/>
            <w:vAlign w:val="center"/>
          </w:tcPr>
          <w:p w14:paraId="469EBF14">
            <w:pPr>
              <w:adjustRightInd w:val="0"/>
              <w:snapToGrid w:val="0"/>
              <w:spacing w:line="300" w:lineRule="auto"/>
              <w:jc w:val="center"/>
              <w:rPr>
                <w:rFonts w:ascii="宋体" w:hAnsi="宋体"/>
                <w:szCs w:val="21"/>
              </w:rPr>
            </w:pPr>
          </w:p>
        </w:tc>
        <w:tc>
          <w:tcPr>
            <w:tcW w:w="1569" w:type="dxa"/>
            <w:vAlign w:val="center"/>
          </w:tcPr>
          <w:p w14:paraId="16FCE67E">
            <w:pPr>
              <w:adjustRightInd w:val="0"/>
              <w:snapToGrid w:val="0"/>
              <w:spacing w:line="300" w:lineRule="auto"/>
              <w:jc w:val="center"/>
              <w:rPr>
                <w:rFonts w:ascii="宋体" w:hAnsi="宋体"/>
                <w:szCs w:val="21"/>
              </w:rPr>
            </w:pPr>
          </w:p>
        </w:tc>
        <w:tc>
          <w:tcPr>
            <w:tcW w:w="817" w:type="dxa"/>
            <w:vAlign w:val="center"/>
          </w:tcPr>
          <w:p w14:paraId="62FCD29C">
            <w:pPr>
              <w:adjustRightInd w:val="0"/>
              <w:snapToGrid w:val="0"/>
              <w:spacing w:line="300" w:lineRule="auto"/>
              <w:jc w:val="center"/>
              <w:rPr>
                <w:rFonts w:ascii="宋体" w:hAnsi="宋体"/>
                <w:szCs w:val="21"/>
              </w:rPr>
            </w:pPr>
          </w:p>
        </w:tc>
      </w:tr>
      <w:tr w14:paraId="0D6FB0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339E22B2">
            <w:pPr>
              <w:pStyle w:val="70"/>
              <w:rPr>
                <w:rFonts w:ascii="宋体" w:hAnsi="宋体"/>
              </w:rPr>
            </w:pPr>
            <w:bookmarkStart w:id="87" w:name="_Toc522292045"/>
            <w:r>
              <w:rPr>
                <w:rFonts w:hint="eastAsia" w:ascii="宋体" w:hAnsi="宋体"/>
              </w:rPr>
              <w:t>4</w:t>
            </w:r>
            <w:bookmarkEnd w:id="87"/>
          </w:p>
        </w:tc>
        <w:tc>
          <w:tcPr>
            <w:tcW w:w="1410" w:type="dxa"/>
            <w:vAlign w:val="center"/>
          </w:tcPr>
          <w:p w14:paraId="07A7C54E">
            <w:pPr>
              <w:adjustRightInd w:val="0"/>
              <w:snapToGrid w:val="0"/>
              <w:spacing w:line="300" w:lineRule="auto"/>
              <w:jc w:val="center"/>
              <w:rPr>
                <w:rFonts w:ascii="宋体" w:hAnsi="宋体"/>
                <w:szCs w:val="21"/>
              </w:rPr>
            </w:pPr>
          </w:p>
        </w:tc>
        <w:tc>
          <w:tcPr>
            <w:tcW w:w="2164" w:type="dxa"/>
            <w:vAlign w:val="center"/>
          </w:tcPr>
          <w:p w14:paraId="11C58745">
            <w:pPr>
              <w:adjustRightInd w:val="0"/>
              <w:snapToGrid w:val="0"/>
              <w:spacing w:line="300" w:lineRule="auto"/>
              <w:jc w:val="center"/>
              <w:rPr>
                <w:rFonts w:ascii="宋体" w:hAnsi="宋体"/>
                <w:szCs w:val="21"/>
              </w:rPr>
            </w:pPr>
          </w:p>
        </w:tc>
        <w:tc>
          <w:tcPr>
            <w:tcW w:w="2371" w:type="dxa"/>
            <w:vAlign w:val="center"/>
          </w:tcPr>
          <w:p w14:paraId="24753073">
            <w:pPr>
              <w:adjustRightInd w:val="0"/>
              <w:snapToGrid w:val="0"/>
              <w:spacing w:line="300" w:lineRule="auto"/>
              <w:jc w:val="center"/>
              <w:rPr>
                <w:rFonts w:ascii="宋体" w:hAnsi="宋体"/>
                <w:szCs w:val="21"/>
              </w:rPr>
            </w:pPr>
          </w:p>
        </w:tc>
        <w:tc>
          <w:tcPr>
            <w:tcW w:w="1569" w:type="dxa"/>
            <w:vAlign w:val="center"/>
          </w:tcPr>
          <w:p w14:paraId="7D2C404B">
            <w:pPr>
              <w:adjustRightInd w:val="0"/>
              <w:snapToGrid w:val="0"/>
              <w:spacing w:line="300" w:lineRule="auto"/>
              <w:jc w:val="center"/>
              <w:rPr>
                <w:rFonts w:ascii="宋体" w:hAnsi="宋体"/>
                <w:szCs w:val="21"/>
              </w:rPr>
            </w:pPr>
          </w:p>
        </w:tc>
        <w:tc>
          <w:tcPr>
            <w:tcW w:w="817" w:type="dxa"/>
            <w:vAlign w:val="center"/>
          </w:tcPr>
          <w:p w14:paraId="7C3E9C88">
            <w:pPr>
              <w:adjustRightInd w:val="0"/>
              <w:snapToGrid w:val="0"/>
              <w:spacing w:line="300" w:lineRule="auto"/>
              <w:jc w:val="center"/>
              <w:rPr>
                <w:rFonts w:ascii="宋体" w:hAnsi="宋体"/>
                <w:szCs w:val="21"/>
              </w:rPr>
            </w:pPr>
          </w:p>
        </w:tc>
      </w:tr>
      <w:tr w14:paraId="5BC365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23D38EC7">
            <w:pPr>
              <w:pStyle w:val="70"/>
              <w:rPr>
                <w:rFonts w:ascii="宋体" w:hAnsi="宋体"/>
              </w:rPr>
            </w:pPr>
            <w:bookmarkStart w:id="88" w:name="_Toc522292046"/>
            <w:r>
              <w:rPr>
                <w:rFonts w:hint="eastAsia" w:ascii="宋体" w:hAnsi="宋体"/>
              </w:rPr>
              <w:t>5</w:t>
            </w:r>
            <w:bookmarkEnd w:id="88"/>
          </w:p>
        </w:tc>
        <w:tc>
          <w:tcPr>
            <w:tcW w:w="1410" w:type="dxa"/>
            <w:vAlign w:val="center"/>
          </w:tcPr>
          <w:p w14:paraId="14458B40">
            <w:pPr>
              <w:adjustRightInd w:val="0"/>
              <w:snapToGrid w:val="0"/>
              <w:spacing w:line="300" w:lineRule="auto"/>
              <w:jc w:val="center"/>
              <w:rPr>
                <w:rFonts w:ascii="宋体" w:hAnsi="宋体"/>
                <w:szCs w:val="21"/>
              </w:rPr>
            </w:pPr>
          </w:p>
        </w:tc>
        <w:tc>
          <w:tcPr>
            <w:tcW w:w="2164" w:type="dxa"/>
            <w:vAlign w:val="center"/>
          </w:tcPr>
          <w:p w14:paraId="6DCFA7D5">
            <w:pPr>
              <w:adjustRightInd w:val="0"/>
              <w:snapToGrid w:val="0"/>
              <w:spacing w:line="300" w:lineRule="auto"/>
              <w:jc w:val="center"/>
              <w:rPr>
                <w:rFonts w:ascii="宋体" w:hAnsi="宋体"/>
                <w:szCs w:val="21"/>
              </w:rPr>
            </w:pPr>
          </w:p>
        </w:tc>
        <w:tc>
          <w:tcPr>
            <w:tcW w:w="2371" w:type="dxa"/>
            <w:vAlign w:val="center"/>
          </w:tcPr>
          <w:p w14:paraId="1357CD43">
            <w:pPr>
              <w:adjustRightInd w:val="0"/>
              <w:snapToGrid w:val="0"/>
              <w:spacing w:line="300" w:lineRule="auto"/>
              <w:jc w:val="center"/>
              <w:rPr>
                <w:rFonts w:ascii="宋体" w:hAnsi="宋体"/>
                <w:szCs w:val="21"/>
              </w:rPr>
            </w:pPr>
          </w:p>
        </w:tc>
        <w:tc>
          <w:tcPr>
            <w:tcW w:w="1569" w:type="dxa"/>
            <w:vAlign w:val="center"/>
          </w:tcPr>
          <w:p w14:paraId="30C917C3">
            <w:pPr>
              <w:adjustRightInd w:val="0"/>
              <w:snapToGrid w:val="0"/>
              <w:spacing w:line="300" w:lineRule="auto"/>
              <w:jc w:val="center"/>
              <w:rPr>
                <w:rFonts w:ascii="宋体" w:hAnsi="宋体"/>
                <w:szCs w:val="21"/>
              </w:rPr>
            </w:pPr>
          </w:p>
        </w:tc>
        <w:tc>
          <w:tcPr>
            <w:tcW w:w="817" w:type="dxa"/>
            <w:vAlign w:val="center"/>
          </w:tcPr>
          <w:p w14:paraId="1774E905">
            <w:pPr>
              <w:adjustRightInd w:val="0"/>
              <w:snapToGrid w:val="0"/>
              <w:spacing w:line="300" w:lineRule="auto"/>
              <w:jc w:val="center"/>
              <w:rPr>
                <w:rFonts w:ascii="宋体" w:hAnsi="宋体"/>
                <w:szCs w:val="21"/>
              </w:rPr>
            </w:pPr>
          </w:p>
        </w:tc>
      </w:tr>
      <w:tr w14:paraId="228468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6BB96C25">
            <w:pPr>
              <w:pStyle w:val="70"/>
              <w:rPr>
                <w:rFonts w:ascii="宋体" w:hAnsi="宋体"/>
              </w:rPr>
            </w:pPr>
            <w:bookmarkStart w:id="89" w:name="_Toc522292047"/>
            <w:r>
              <w:rPr>
                <w:rFonts w:hint="eastAsia" w:ascii="宋体" w:hAnsi="宋体"/>
              </w:rPr>
              <w:t>…</w:t>
            </w:r>
            <w:bookmarkEnd w:id="89"/>
          </w:p>
        </w:tc>
        <w:tc>
          <w:tcPr>
            <w:tcW w:w="1410" w:type="dxa"/>
            <w:vAlign w:val="center"/>
          </w:tcPr>
          <w:p w14:paraId="2A5DB194">
            <w:pPr>
              <w:adjustRightInd w:val="0"/>
              <w:snapToGrid w:val="0"/>
              <w:spacing w:line="300" w:lineRule="auto"/>
              <w:jc w:val="center"/>
              <w:rPr>
                <w:rFonts w:ascii="宋体" w:hAnsi="宋体"/>
                <w:szCs w:val="21"/>
              </w:rPr>
            </w:pPr>
          </w:p>
        </w:tc>
        <w:tc>
          <w:tcPr>
            <w:tcW w:w="2164" w:type="dxa"/>
            <w:vAlign w:val="center"/>
          </w:tcPr>
          <w:p w14:paraId="67C5B343">
            <w:pPr>
              <w:adjustRightInd w:val="0"/>
              <w:snapToGrid w:val="0"/>
              <w:spacing w:line="300" w:lineRule="auto"/>
              <w:jc w:val="center"/>
              <w:rPr>
                <w:rFonts w:ascii="宋体" w:hAnsi="宋体"/>
                <w:szCs w:val="21"/>
              </w:rPr>
            </w:pPr>
          </w:p>
        </w:tc>
        <w:tc>
          <w:tcPr>
            <w:tcW w:w="2371" w:type="dxa"/>
            <w:vAlign w:val="center"/>
          </w:tcPr>
          <w:p w14:paraId="434D6272">
            <w:pPr>
              <w:adjustRightInd w:val="0"/>
              <w:snapToGrid w:val="0"/>
              <w:spacing w:line="300" w:lineRule="auto"/>
              <w:jc w:val="center"/>
              <w:rPr>
                <w:rFonts w:ascii="宋体" w:hAnsi="宋体"/>
                <w:szCs w:val="21"/>
              </w:rPr>
            </w:pPr>
          </w:p>
        </w:tc>
        <w:tc>
          <w:tcPr>
            <w:tcW w:w="1569" w:type="dxa"/>
            <w:vAlign w:val="center"/>
          </w:tcPr>
          <w:p w14:paraId="74EA5456">
            <w:pPr>
              <w:adjustRightInd w:val="0"/>
              <w:snapToGrid w:val="0"/>
              <w:spacing w:line="300" w:lineRule="auto"/>
              <w:jc w:val="center"/>
              <w:rPr>
                <w:rFonts w:ascii="宋体" w:hAnsi="宋体"/>
                <w:szCs w:val="21"/>
              </w:rPr>
            </w:pPr>
          </w:p>
        </w:tc>
        <w:tc>
          <w:tcPr>
            <w:tcW w:w="817" w:type="dxa"/>
            <w:vAlign w:val="center"/>
          </w:tcPr>
          <w:p w14:paraId="01087360">
            <w:pPr>
              <w:adjustRightInd w:val="0"/>
              <w:snapToGrid w:val="0"/>
              <w:spacing w:line="300" w:lineRule="auto"/>
              <w:jc w:val="center"/>
              <w:rPr>
                <w:rFonts w:ascii="宋体" w:hAnsi="宋体"/>
                <w:szCs w:val="21"/>
              </w:rPr>
            </w:pPr>
          </w:p>
        </w:tc>
      </w:tr>
    </w:tbl>
    <w:p w14:paraId="46682B08">
      <w:pPr>
        <w:adjustRightInd w:val="0"/>
        <w:snapToGrid w:val="0"/>
        <w:spacing w:line="300" w:lineRule="auto"/>
        <w:rPr>
          <w:rFonts w:ascii="宋体" w:hAnsi="宋体"/>
          <w:szCs w:val="21"/>
        </w:rPr>
      </w:pPr>
    </w:p>
    <w:p w14:paraId="591E099C">
      <w:pPr>
        <w:spacing w:line="520" w:lineRule="exact"/>
        <w:rPr>
          <w:rFonts w:ascii="宋体" w:hAnsi="宋体"/>
          <w:szCs w:val="21"/>
        </w:rPr>
      </w:pPr>
      <w:r>
        <w:rPr>
          <w:rFonts w:hint="eastAsia" w:ascii="宋体" w:hAnsi="宋体"/>
          <w:szCs w:val="21"/>
        </w:rPr>
        <w:t>说明：应对照竞争性谈判采购文件“第四章采购项目需求表”，逐条说明所提供货物已对竞争性谈判采购文件的技术规格做出了实质性的响应，并申明与技术规格条文的响应和偏离。</w:t>
      </w:r>
    </w:p>
    <w:p w14:paraId="3703B2B7">
      <w:pPr>
        <w:spacing w:line="360" w:lineRule="auto"/>
        <w:rPr>
          <w:rFonts w:ascii="宋体" w:hAnsi="宋体"/>
          <w:szCs w:val="21"/>
        </w:rPr>
      </w:pPr>
    </w:p>
    <w:p w14:paraId="0A4E6BF2">
      <w:pPr>
        <w:rPr>
          <w:rFonts w:ascii="宋体" w:hAnsi="宋体"/>
          <w:szCs w:val="21"/>
          <w:u w:val="single"/>
        </w:rPr>
      </w:pPr>
      <w:r>
        <w:rPr>
          <w:rFonts w:hint="eastAsia" w:ascii="宋体" w:hAnsi="宋体"/>
          <w:szCs w:val="21"/>
        </w:rPr>
        <w:t>供应商名称（公章）：</w:t>
      </w:r>
    </w:p>
    <w:p w14:paraId="1DD5FA6F">
      <w:pPr>
        <w:spacing w:line="520" w:lineRule="exact"/>
        <w:rPr>
          <w:rFonts w:ascii="宋体" w:hAnsi="宋体"/>
          <w:szCs w:val="21"/>
          <w:u w:val="single"/>
        </w:rPr>
      </w:pPr>
      <w:r>
        <w:rPr>
          <w:rFonts w:hint="eastAsia" w:ascii="宋体" w:hAnsi="宋体"/>
          <w:szCs w:val="21"/>
        </w:rPr>
        <w:t>法定代表人或法定代表人授权代表签字：</w:t>
      </w:r>
    </w:p>
    <w:p w14:paraId="3EAD21A5">
      <w:pPr>
        <w:spacing w:line="300" w:lineRule="auto"/>
        <w:rPr>
          <w:rFonts w:ascii="宋体" w:hAnsi="宋体"/>
          <w:szCs w:val="21"/>
          <w:u w:val="single"/>
        </w:rPr>
      </w:pPr>
      <w:r>
        <w:rPr>
          <w:rFonts w:hint="eastAsia" w:ascii="宋体" w:hAnsi="宋体"/>
          <w:szCs w:val="21"/>
        </w:rPr>
        <w:t>日   期：</w:t>
      </w:r>
    </w:p>
    <w:p w14:paraId="692F9D19">
      <w:pPr>
        <w:spacing w:line="400" w:lineRule="exact"/>
        <w:ind w:left="-27" w:leftChars="-13" w:firstLine="424" w:firstLineChars="151"/>
        <w:rPr>
          <w:rFonts w:ascii="宋体" w:hAnsi="宋体"/>
          <w:b/>
          <w:sz w:val="28"/>
          <w:szCs w:val="28"/>
        </w:rPr>
      </w:pPr>
    </w:p>
    <w:p w14:paraId="674493AF">
      <w:pPr>
        <w:widowControl/>
        <w:jc w:val="left"/>
        <w:rPr>
          <w:rFonts w:ascii="宋体" w:hAnsi="宋体"/>
          <w:szCs w:val="21"/>
        </w:rPr>
      </w:pPr>
      <w:r>
        <w:rPr>
          <w:rFonts w:ascii="宋体" w:hAnsi="宋体"/>
          <w:szCs w:val="21"/>
        </w:rPr>
        <w:br w:type="page"/>
      </w:r>
    </w:p>
    <w:p w14:paraId="34968DDE">
      <w:pPr>
        <w:pStyle w:val="70"/>
        <w:spacing w:line="400" w:lineRule="exact"/>
        <w:ind w:firstLine="0" w:firstLineChars="0"/>
        <w:rPr>
          <w:rFonts w:ascii="宋体" w:hAnsi="宋体"/>
          <w:sz w:val="28"/>
          <w:szCs w:val="28"/>
        </w:rPr>
      </w:pPr>
      <w:r>
        <w:rPr>
          <w:rFonts w:hint="eastAsia" w:ascii="宋体" w:hAnsi="宋体"/>
          <w:sz w:val="28"/>
          <w:szCs w:val="28"/>
        </w:rPr>
        <w:t>3.售后服务承诺书；</w:t>
      </w:r>
    </w:p>
    <w:p w14:paraId="5FA7C5F2">
      <w:pPr>
        <w:pStyle w:val="16"/>
      </w:pPr>
    </w:p>
    <w:p w14:paraId="2B247A8C">
      <w:pPr>
        <w:spacing w:line="400" w:lineRule="exact"/>
        <w:ind w:left="702"/>
        <w:rPr>
          <w:rFonts w:ascii="宋体" w:hAnsi="宋体"/>
          <w:szCs w:val="21"/>
        </w:rPr>
      </w:pPr>
    </w:p>
    <w:p w14:paraId="57D14236">
      <w:pPr>
        <w:pStyle w:val="5"/>
      </w:pPr>
    </w:p>
    <w:p w14:paraId="3101980B">
      <w:pPr>
        <w:spacing w:line="400" w:lineRule="exact"/>
        <w:rPr>
          <w:rFonts w:ascii="宋体" w:hAnsi="宋体"/>
          <w:sz w:val="28"/>
          <w:szCs w:val="28"/>
        </w:rPr>
      </w:pPr>
    </w:p>
    <w:p w14:paraId="2330D9D8">
      <w:pPr>
        <w:spacing w:line="400" w:lineRule="exact"/>
        <w:rPr>
          <w:rFonts w:ascii="宋体" w:hAnsi="宋体"/>
          <w:sz w:val="28"/>
          <w:szCs w:val="28"/>
        </w:rPr>
      </w:pPr>
    </w:p>
    <w:p w14:paraId="279DE4E6">
      <w:pPr>
        <w:spacing w:line="400" w:lineRule="exact"/>
        <w:rPr>
          <w:rFonts w:ascii="宋体" w:hAnsi="宋体"/>
          <w:sz w:val="28"/>
          <w:szCs w:val="28"/>
        </w:rPr>
      </w:pPr>
    </w:p>
    <w:p w14:paraId="0777D960">
      <w:pPr>
        <w:spacing w:line="400" w:lineRule="exact"/>
        <w:rPr>
          <w:rFonts w:ascii="宋体" w:hAnsi="宋体"/>
          <w:b/>
          <w:sz w:val="28"/>
          <w:szCs w:val="28"/>
        </w:rPr>
      </w:pPr>
      <w:r>
        <w:rPr>
          <w:rFonts w:hint="eastAsia" w:ascii="宋体" w:hAnsi="宋体"/>
          <w:sz w:val="28"/>
          <w:szCs w:val="28"/>
        </w:rPr>
        <w:t>4.本谈判文件第四章采</w:t>
      </w:r>
      <w:r>
        <w:rPr>
          <w:rFonts w:ascii="宋体" w:hAnsi="宋体"/>
          <w:sz w:val="28"/>
          <w:szCs w:val="28"/>
        </w:rPr>
        <w:t>购项目需求一</w:t>
      </w:r>
      <w:r>
        <w:rPr>
          <w:rFonts w:hint="eastAsia" w:ascii="宋体" w:hAnsi="宋体"/>
          <w:sz w:val="28"/>
          <w:szCs w:val="28"/>
        </w:rPr>
        <w:t>览</w:t>
      </w:r>
      <w:r>
        <w:rPr>
          <w:rFonts w:ascii="宋体" w:hAnsi="宋体"/>
          <w:sz w:val="28"/>
          <w:szCs w:val="28"/>
        </w:rPr>
        <w:t>表</w:t>
      </w:r>
      <w:r>
        <w:rPr>
          <w:rFonts w:hint="eastAsia" w:ascii="宋体" w:hAnsi="宋体"/>
          <w:sz w:val="28"/>
          <w:szCs w:val="28"/>
        </w:rPr>
        <w:t>要求提供的技术证明文件；</w:t>
      </w:r>
    </w:p>
    <w:p w14:paraId="1306FF7F">
      <w:pPr>
        <w:spacing w:line="400" w:lineRule="exact"/>
        <w:rPr>
          <w:rFonts w:ascii="宋体" w:hAnsi="宋体"/>
          <w:sz w:val="28"/>
          <w:szCs w:val="28"/>
        </w:rPr>
      </w:pPr>
    </w:p>
    <w:p w14:paraId="1020E6BA">
      <w:pPr>
        <w:spacing w:line="400" w:lineRule="exact"/>
        <w:rPr>
          <w:rFonts w:ascii="宋体" w:hAnsi="宋体"/>
          <w:szCs w:val="21"/>
        </w:rPr>
      </w:pPr>
    </w:p>
    <w:p w14:paraId="53EBF37D">
      <w:pPr>
        <w:pStyle w:val="23"/>
      </w:pPr>
    </w:p>
    <w:p w14:paraId="5415368C">
      <w:pPr>
        <w:spacing w:line="400" w:lineRule="exact"/>
        <w:rPr>
          <w:rFonts w:ascii="宋体" w:hAnsi="宋体"/>
          <w:szCs w:val="21"/>
        </w:rPr>
      </w:pPr>
    </w:p>
    <w:p w14:paraId="7F2CA659">
      <w:pPr>
        <w:spacing w:line="400" w:lineRule="exact"/>
        <w:rPr>
          <w:rFonts w:ascii="宋体" w:hAnsi="宋体"/>
          <w:sz w:val="28"/>
          <w:szCs w:val="28"/>
        </w:rPr>
      </w:pPr>
    </w:p>
    <w:p w14:paraId="47F23A62">
      <w:pPr>
        <w:spacing w:line="400" w:lineRule="exact"/>
        <w:rPr>
          <w:rFonts w:ascii="宋体" w:hAnsi="宋体"/>
          <w:sz w:val="28"/>
          <w:szCs w:val="28"/>
        </w:rPr>
      </w:pPr>
    </w:p>
    <w:p w14:paraId="518F9E82">
      <w:pPr>
        <w:spacing w:line="400" w:lineRule="exact"/>
        <w:rPr>
          <w:rFonts w:ascii="宋体" w:hAnsi="宋体"/>
          <w:sz w:val="28"/>
          <w:szCs w:val="28"/>
        </w:rPr>
      </w:pPr>
    </w:p>
    <w:p w14:paraId="7C2A3D17">
      <w:pPr>
        <w:spacing w:line="400" w:lineRule="exact"/>
        <w:rPr>
          <w:rFonts w:ascii="宋体" w:hAnsi="宋体"/>
          <w:sz w:val="28"/>
          <w:szCs w:val="28"/>
        </w:rPr>
      </w:pPr>
    </w:p>
    <w:p w14:paraId="5C8E055D">
      <w:pPr>
        <w:spacing w:line="400" w:lineRule="exact"/>
        <w:rPr>
          <w:rFonts w:ascii="宋体" w:hAnsi="宋体"/>
          <w:sz w:val="28"/>
          <w:szCs w:val="28"/>
        </w:rPr>
      </w:pPr>
      <w:r>
        <w:rPr>
          <w:rFonts w:hint="eastAsia" w:ascii="宋体" w:hAnsi="宋体"/>
          <w:sz w:val="28"/>
          <w:szCs w:val="28"/>
        </w:rPr>
        <w:t>5.供应商近三年完成同类项目业绩（如有请提供，附合同协议书或中标通知书复印件加盖竞标人单位公章为准）；</w:t>
      </w:r>
    </w:p>
    <w:p w14:paraId="11D3F261">
      <w:pPr>
        <w:spacing w:line="400" w:lineRule="exact"/>
        <w:rPr>
          <w:rFonts w:ascii="宋体" w:hAnsi="宋体"/>
          <w:sz w:val="28"/>
          <w:szCs w:val="28"/>
        </w:rPr>
      </w:pPr>
    </w:p>
    <w:p w14:paraId="585BD817">
      <w:pPr>
        <w:spacing w:line="400" w:lineRule="exact"/>
        <w:rPr>
          <w:rFonts w:ascii="宋体" w:hAnsi="宋体"/>
          <w:sz w:val="28"/>
          <w:szCs w:val="28"/>
        </w:rPr>
      </w:pPr>
    </w:p>
    <w:p w14:paraId="16B6AA0D">
      <w:pPr>
        <w:spacing w:line="400" w:lineRule="exact"/>
        <w:rPr>
          <w:rFonts w:ascii="宋体" w:hAnsi="宋体"/>
          <w:sz w:val="28"/>
          <w:szCs w:val="28"/>
        </w:rPr>
      </w:pPr>
    </w:p>
    <w:p w14:paraId="2FEDA976">
      <w:pPr>
        <w:spacing w:line="400" w:lineRule="exact"/>
        <w:rPr>
          <w:rFonts w:ascii="宋体" w:hAnsi="宋体"/>
          <w:sz w:val="28"/>
          <w:szCs w:val="28"/>
        </w:rPr>
      </w:pPr>
    </w:p>
    <w:p w14:paraId="3C2561AD">
      <w:pPr>
        <w:spacing w:line="400" w:lineRule="exact"/>
        <w:rPr>
          <w:rFonts w:ascii="宋体" w:hAnsi="宋体"/>
          <w:sz w:val="28"/>
          <w:szCs w:val="28"/>
        </w:rPr>
      </w:pPr>
    </w:p>
    <w:p w14:paraId="52E38EA3">
      <w:pPr>
        <w:spacing w:line="400" w:lineRule="exact"/>
        <w:rPr>
          <w:rFonts w:ascii="宋体" w:hAnsi="宋体"/>
          <w:sz w:val="28"/>
          <w:szCs w:val="28"/>
        </w:rPr>
      </w:pPr>
    </w:p>
    <w:p w14:paraId="009BC1A3">
      <w:pPr>
        <w:spacing w:line="400" w:lineRule="exact"/>
        <w:rPr>
          <w:rFonts w:ascii="宋体" w:hAnsi="宋体"/>
          <w:sz w:val="28"/>
          <w:szCs w:val="28"/>
        </w:rPr>
      </w:pPr>
    </w:p>
    <w:p w14:paraId="296E2F5D">
      <w:pPr>
        <w:spacing w:line="400" w:lineRule="exact"/>
        <w:rPr>
          <w:rFonts w:ascii="宋体" w:hAnsi="宋体"/>
          <w:sz w:val="28"/>
          <w:szCs w:val="28"/>
        </w:rPr>
      </w:pPr>
    </w:p>
    <w:p w14:paraId="4624B817">
      <w:pPr>
        <w:spacing w:line="400" w:lineRule="exact"/>
        <w:rPr>
          <w:rFonts w:ascii="宋体" w:hAnsi="宋体"/>
          <w:sz w:val="28"/>
          <w:szCs w:val="28"/>
        </w:rPr>
      </w:pPr>
      <w:r>
        <w:rPr>
          <w:rFonts w:hint="eastAsia" w:ascii="宋体" w:hAnsi="宋体"/>
          <w:sz w:val="28"/>
          <w:szCs w:val="28"/>
        </w:rPr>
        <w:t>6</w:t>
      </w:r>
      <w:r>
        <w:rPr>
          <w:rFonts w:ascii="宋体" w:hAnsi="宋体"/>
          <w:sz w:val="28"/>
          <w:szCs w:val="28"/>
        </w:rPr>
        <w:t>.</w:t>
      </w:r>
      <w:r>
        <w:rPr>
          <w:rFonts w:hint="eastAsia" w:ascii="宋体" w:hAnsi="宋体"/>
          <w:sz w:val="28"/>
          <w:szCs w:val="28"/>
        </w:rPr>
        <w:t>供应商认为需要提供的其他有关的商务文件和技术资料。</w:t>
      </w:r>
    </w:p>
    <w:p w14:paraId="7E8EDED5">
      <w:pPr>
        <w:spacing w:line="300" w:lineRule="auto"/>
        <w:rPr>
          <w:rFonts w:ascii="宋体" w:hAnsi="宋体"/>
          <w:szCs w:val="21"/>
        </w:rPr>
      </w:pPr>
    </w:p>
    <w:p w14:paraId="0781975C">
      <w:pPr>
        <w:widowControl/>
        <w:jc w:val="left"/>
        <w:rPr>
          <w:rFonts w:ascii="宋体" w:hAnsi="宋体"/>
          <w:szCs w:val="21"/>
        </w:rPr>
        <w:sectPr>
          <w:headerReference r:id="rId14" w:type="default"/>
          <w:footerReference r:id="rId15" w:type="default"/>
          <w:pgSz w:w="11906" w:h="16838"/>
          <w:pgMar w:top="1304" w:right="1304" w:bottom="1304" w:left="1304" w:header="720" w:footer="720" w:gutter="0"/>
          <w:cols w:space="720" w:num="1"/>
          <w:docGrid w:type="lines" w:linePitch="312" w:charSpace="0"/>
        </w:sectPr>
      </w:pPr>
    </w:p>
    <w:p w14:paraId="2C82DDD1">
      <w:pPr>
        <w:spacing w:before="133" w:line="185" w:lineRule="auto"/>
        <w:ind w:left="40"/>
        <w:rPr>
          <w:rFonts w:ascii="微软雅黑" w:hAnsi="微软雅黑" w:eastAsia="微软雅黑" w:cs="微软雅黑"/>
          <w:sz w:val="31"/>
          <w:szCs w:val="31"/>
        </w:rPr>
      </w:pPr>
      <w:r>
        <w:rPr>
          <w:rFonts w:ascii="微软雅黑" w:hAnsi="微软雅黑" w:eastAsia="微软雅黑" w:cs="微软雅黑"/>
          <w:spacing w:val="-9"/>
          <w:sz w:val="31"/>
          <w:szCs w:val="31"/>
        </w:rPr>
        <w:t>附件</w:t>
      </w:r>
      <w:r>
        <w:rPr>
          <w:rFonts w:ascii="微软雅黑" w:hAnsi="微软雅黑" w:eastAsia="微软雅黑" w:cs="微软雅黑"/>
          <w:spacing w:val="27"/>
          <w:sz w:val="31"/>
          <w:szCs w:val="31"/>
        </w:rPr>
        <w:t xml:space="preserve"> </w:t>
      </w:r>
      <w:r>
        <w:rPr>
          <w:rFonts w:ascii="宋体" w:hAnsi="宋体" w:cs="宋体"/>
          <w:spacing w:val="-9"/>
          <w:sz w:val="31"/>
          <w:szCs w:val="31"/>
        </w:rPr>
        <w:t>1</w:t>
      </w:r>
      <w:r>
        <w:rPr>
          <w:rFonts w:ascii="微软雅黑" w:hAnsi="微软雅黑" w:eastAsia="微软雅黑" w:cs="微软雅黑"/>
          <w:spacing w:val="-9"/>
          <w:sz w:val="31"/>
          <w:szCs w:val="31"/>
        </w:rPr>
        <w:t>：</w:t>
      </w:r>
    </w:p>
    <w:p w14:paraId="343A0AA9">
      <w:pPr>
        <w:spacing w:before="22" w:line="157" w:lineRule="auto"/>
        <w:ind w:left="1898"/>
        <w:rPr>
          <w:rFonts w:ascii="微软雅黑" w:hAnsi="微软雅黑" w:eastAsia="微软雅黑" w:cs="微软雅黑"/>
          <w:sz w:val="40"/>
          <w:szCs w:val="40"/>
        </w:rPr>
      </w:pPr>
      <w:r>
        <w:rPr>
          <w:rFonts w:ascii="微软雅黑" w:hAnsi="微软雅黑" w:eastAsia="微软雅黑" w:cs="微软雅黑"/>
          <w:spacing w:val="-1"/>
          <w:sz w:val="40"/>
          <w:szCs w:val="40"/>
        </w:rPr>
        <w:t>节能产品政府采购品目清单</w:t>
      </w:r>
    </w:p>
    <w:tbl>
      <w:tblPr>
        <w:tblStyle w:val="168"/>
        <w:tblW w:w="92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7"/>
        <w:gridCol w:w="1115"/>
        <w:gridCol w:w="1515"/>
        <w:gridCol w:w="1611"/>
        <w:gridCol w:w="4338"/>
      </w:tblGrid>
      <w:tr w14:paraId="6AC42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0" w:hRule="atLeast"/>
        </w:trPr>
        <w:tc>
          <w:tcPr>
            <w:tcW w:w="646" w:type="dxa"/>
            <w:textDirection w:val="tbRlV"/>
          </w:tcPr>
          <w:p w14:paraId="3290AEB3">
            <w:pPr>
              <w:pStyle w:val="167"/>
              <w:spacing w:before="209" w:line="203" w:lineRule="auto"/>
              <w:ind w:left="37"/>
              <w:rPr>
                <w:sz w:val="22"/>
                <w:szCs w:val="22"/>
              </w:rPr>
            </w:pPr>
            <w:r>
              <w:rPr>
                <w:b/>
                <w:bCs/>
                <w:spacing w:val="46"/>
                <w:sz w:val="22"/>
                <w:szCs w:val="22"/>
              </w:rPr>
              <w:t>品</w:t>
            </w:r>
            <w:r>
              <w:rPr>
                <w:b/>
                <w:bCs/>
                <w:spacing w:val="46"/>
                <w:position w:val="1"/>
                <w:sz w:val="22"/>
                <w:szCs w:val="22"/>
              </w:rPr>
              <w:t>目</w:t>
            </w:r>
            <w:r>
              <w:rPr>
                <w:b/>
                <w:bCs/>
                <w:spacing w:val="46"/>
                <w:sz w:val="22"/>
                <w:szCs w:val="22"/>
              </w:rPr>
              <w:t>序号</w:t>
            </w:r>
          </w:p>
        </w:tc>
        <w:tc>
          <w:tcPr>
            <w:tcW w:w="4241" w:type="dxa"/>
            <w:gridSpan w:val="3"/>
          </w:tcPr>
          <w:p w14:paraId="3F9CC6A1">
            <w:pPr>
              <w:spacing w:line="391" w:lineRule="auto"/>
              <w:rPr>
                <w:rFonts w:ascii="Arial"/>
              </w:rPr>
            </w:pPr>
          </w:p>
          <w:p w14:paraId="099AE6A4">
            <w:pPr>
              <w:pStyle w:val="167"/>
              <w:spacing w:before="71" w:line="222" w:lineRule="auto"/>
              <w:ind w:left="1905"/>
              <w:rPr>
                <w:sz w:val="22"/>
                <w:szCs w:val="22"/>
              </w:rPr>
            </w:pPr>
            <w:r>
              <w:rPr>
                <w:b/>
                <w:bCs/>
                <w:spacing w:val="-8"/>
                <w:sz w:val="22"/>
                <w:szCs w:val="22"/>
              </w:rPr>
              <w:t>名称</w:t>
            </w:r>
          </w:p>
        </w:tc>
        <w:tc>
          <w:tcPr>
            <w:tcW w:w="4337" w:type="dxa"/>
          </w:tcPr>
          <w:p w14:paraId="668C92D8">
            <w:pPr>
              <w:spacing w:line="391" w:lineRule="auto"/>
              <w:rPr>
                <w:rFonts w:ascii="Arial"/>
              </w:rPr>
            </w:pPr>
          </w:p>
          <w:p w14:paraId="3AB33408">
            <w:pPr>
              <w:pStyle w:val="167"/>
              <w:spacing w:before="71" w:line="219" w:lineRule="auto"/>
              <w:ind w:left="1623"/>
              <w:rPr>
                <w:sz w:val="22"/>
                <w:szCs w:val="22"/>
              </w:rPr>
            </w:pPr>
            <w:r>
              <w:rPr>
                <w:b/>
                <w:bCs/>
                <w:spacing w:val="-4"/>
                <w:sz w:val="22"/>
                <w:szCs w:val="22"/>
              </w:rPr>
              <w:t>依据的标准</w:t>
            </w:r>
          </w:p>
        </w:tc>
      </w:tr>
      <w:tr w14:paraId="57135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46" w:type="dxa"/>
            <w:vMerge w:val="restart"/>
            <w:tcBorders>
              <w:bottom w:val="nil"/>
            </w:tcBorders>
          </w:tcPr>
          <w:p w14:paraId="16AA59E9">
            <w:pPr>
              <w:spacing w:line="260" w:lineRule="auto"/>
              <w:rPr>
                <w:rFonts w:ascii="Arial"/>
              </w:rPr>
            </w:pPr>
          </w:p>
          <w:p w14:paraId="0DC4E34C">
            <w:pPr>
              <w:spacing w:line="261" w:lineRule="auto"/>
              <w:rPr>
                <w:rFonts w:ascii="Arial"/>
              </w:rPr>
            </w:pPr>
          </w:p>
          <w:p w14:paraId="5DDCB9DF">
            <w:pPr>
              <w:spacing w:line="261" w:lineRule="auto"/>
              <w:rPr>
                <w:rFonts w:ascii="Arial"/>
              </w:rPr>
            </w:pPr>
          </w:p>
          <w:p w14:paraId="242EF49C">
            <w:pPr>
              <w:pStyle w:val="167"/>
              <w:spacing w:before="62" w:line="190" w:lineRule="auto"/>
              <w:ind w:left="292"/>
              <w:rPr>
                <w:sz w:val="19"/>
                <w:szCs w:val="19"/>
              </w:rPr>
            </w:pPr>
            <w:r>
              <w:rPr>
                <w:sz w:val="19"/>
                <w:szCs w:val="19"/>
              </w:rPr>
              <w:t>1</w:t>
            </w:r>
          </w:p>
        </w:tc>
        <w:tc>
          <w:tcPr>
            <w:tcW w:w="1115" w:type="dxa"/>
            <w:vMerge w:val="restart"/>
            <w:tcBorders>
              <w:bottom w:val="nil"/>
            </w:tcBorders>
          </w:tcPr>
          <w:p w14:paraId="15F12DD5">
            <w:pPr>
              <w:spacing w:line="262" w:lineRule="auto"/>
              <w:rPr>
                <w:rFonts w:ascii="Arial"/>
              </w:rPr>
            </w:pPr>
          </w:p>
          <w:p w14:paraId="7838ABB8">
            <w:pPr>
              <w:spacing w:line="262" w:lineRule="auto"/>
              <w:rPr>
                <w:rFonts w:ascii="Arial"/>
              </w:rPr>
            </w:pPr>
          </w:p>
          <w:p w14:paraId="4DB75FF7">
            <w:pPr>
              <w:pStyle w:val="167"/>
              <w:spacing w:before="61" w:line="191" w:lineRule="auto"/>
              <w:ind w:left="204"/>
              <w:rPr>
                <w:sz w:val="19"/>
                <w:szCs w:val="19"/>
              </w:rPr>
            </w:pPr>
            <w:r>
              <w:rPr>
                <w:spacing w:val="4"/>
                <w:sz w:val="19"/>
                <w:szCs w:val="19"/>
              </w:rPr>
              <w:t>A020101</w:t>
            </w:r>
          </w:p>
          <w:p w14:paraId="2E393746">
            <w:pPr>
              <w:pStyle w:val="167"/>
              <w:spacing w:before="33" w:line="227" w:lineRule="auto"/>
              <w:ind w:left="159"/>
              <w:rPr>
                <w:sz w:val="19"/>
                <w:szCs w:val="19"/>
              </w:rPr>
            </w:pPr>
            <w:r>
              <w:rPr>
                <w:spacing w:val="7"/>
                <w:sz w:val="19"/>
                <w:szCs w:val="19"/>
              </w:rPr>
              <w:t>计算机设</w:t>
            </w:r>
          </w:p>
          <w:p w14:paraId="04658C6E">
            <w:pPr>
              <w:pStyle w:val="167"/>
              <w:spacing w:before="24" w:line="230" w:lineRule="auto"/>
              <w:ind w:left="462"/>
              <w:rPr>
                <w:sz w:val="19"/>
                <w:szCs w:val="19"/>
              </w:rPr>
            </w:pPr>
            <w:r>
              <w:rPr>
                <w:sz w:val="19"/>
                <w:szCs w:val="19"/>
              </w:rPr>
              <w:t>备</w:t>
            </w:r>
          </w:p>
        </w:tc>
        <w:tc>
          <w:tcPr>
            <w:tcW w:w="1515" w:type="dxa"/>
          </w:tcPr>
          <w:p w14:paraId="5F1991AF">
            <w:pPr>
              <w:pStyle w:val="167"/>
              <w:spacing w:before="32" w:line="234" w:lineRule="auto"/>
              <w:ind w:left="276" w:right="206" w:hanging="62"/>
              <w:rPr>
                <w:sz w:val="19"/>
                <w:szCs w:val="19"/>
              </w:rPr>
            </w:pPr>
            <w:r>
              <w:rPr>
                <w:spacing w:val="4"/>
                <w:sz w:val="19"/>
                <w:szCs w:val="19"/>
              </w:rPr>
              <w:t>★A02010104</w:t>
            </w:r>
            <w:r>
              <w:rPr>
                <w:spacing w:val="3"/>
                <w:sz w:val="19"/>
                <w:szCs w:val="19"/>
              </w:rPr>
              <w:t xml:space="preserve"> </w:t>
            </w:r>
            <w:r>
              <w:rPr>
                <w:spacing w:val="4"/>
                <w:sz w:val="19"/>
                <w:szCs w:val="19"/>
              </w:rPr>
              <w:t>台式计算机</w:t>
            </w:r>
          </w:p>
        </w:tc>
        <w:tc>
          <w:tcPr>
            <w:tcW w:w="1611" w:type="dxa"/>
          </w:tcPr>
          <w:p w14:paraId="50D91FF9">
            <w:pPr>
              <w:rPr>
                <w:rFonts w:ascii="Arial"/>
              </w:rPr>
            </w:pPr>
          </w:p>
        </w:tc>
        <w:tc>
          <w:tcPr>
            <w:tcW w:w="4337" w:type="dxa"/>
          </w:tcPr>
          <w:p w14:paraId="5FC37EC3">
            <w:pPr>
              <w:pStyle w:val="167"/>
              <w:spacing w:before="32" w:line="234" w:lineRule="auto"/>
              <w:ind w:left="123" w:right="839" w:hanging="4"/>
              <w:rPr>
                <w:sz w:val="19"/>
                <w:szCs w:val="19"/>
              </w:rPr>
            </w:pPr>
            <w:r>
              <w:rPr>
                <w:spacing w:val="8"/>
                <w:sz w:val="19"/>
                <w:szCs w:val="19"/>
              </w:rPr>
              <w:t>《微型计算机能效限定值及能效等级》</w:t>
            </w:r>
            <w:r>
              <w:rPr>
                <w:spacing w:val="5"/>
                <w:sz w:val="19"/>
                <w:szCs w:val="19"/>
              </w:rPr>
              <w:t xml:space="preserve"> </w:t>
            </w:r>
            <w:r>
              <w:rPr>
                <w:spacing w:val="3"/>
                <w:sz w:val="19"/>
                <w:szCs w:val="19"/>
              </w:rPr>
              <w:t>（</w:t>
            </w:r>
            <w:r>
              <w:rPr>
                <w:sz w:val="19"/>
                <w:szCs w:val="19"/>
              </w:rPr>
              <w:t>GB</w:t>
            </w:r>
            <w:r>
              <w:rPr>
                <w:spacing w:val="3"/>
                <w:sz w:val="19"/>
                <w:szCs w:val="19"/>
              </w:rPr>
              <w:t>28380）</w:t>
            </w:r>
          </w:p>
        </w:tc>
      </w:tr>
      <w:tr w14:paraId="1E17A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46" w:type="dxa"/>
            <w:vMerge w:val="continue"/>
            <w:tcBorders>
              <w:top w:val="nil"/>
              <w:bottom w:val="nil"/>
            </w:tcBorders>
          </w:tcPr>
          <w:p w14:paraId="135593BF">
            <w:pPr>
              <w:rPr>
                <w:rFonts w:ascii="Arial"/>
              </w:rPr>
            </w:pPr>
          </w:p>
        </w:tc>
        <w:tc>
          <w:tcPr>
            <w:tcW w:w="1115" w:type="dxa"/>
            <w:vMerge w:val="continue"/>
            <w:tcBorders>
              <w:top w:val="nil"/>
              <w:bottom w:val="nil"/>
            </w:tcBorders>
          </w:tcPr>
          <w:p w14:paraId="205D1E8C">
            <w:pPr>
              <w:rPr>
                <w:rFonts w:ascii="Arial"/>
              </w:rPr>
            </w:pPr>
          </w:p>
        </w:tc>
        <w:tc>
          <w:tcPr>
            <w:tcW w:w="1515" w:type="dxa"/>
          </w:tcPr>
          <w:p w14:paraId="27729237">
            <w:pPr>
              <w:pStyle w:val="167"/>
              <w:spacing w:before="32" w:line="234" w:lineRule="auto"/>
              <w:ind w:left="161" w:right="157" w:firstLine="52"/>
              <w:rPr>
                <w:sz w:val="19"/>
                <w:szCs w:val="19"/>
              </w:rPr>
            </w:pPr>
            <w:r>
              <w:rPr>
                <w:spacing w:val="4"/>
                <w:sz w:val="19"/>
                <w:szCs w:val="19"/>
              </w:rPr>
              <w:t>★A02010105</w:t>
            </w:r>
            <w:r>
              <w:rPr>
                <w:spacing w:val="3"/>
                <w:sz w:val="19"/>
                <w:szCs w:val="19"/>
              </w:rPr>
              <w:t xml:space="preserve"> </w:t>
            </w:r>
            <w:r>
              <w:rPr>
                <w:spacing w:val="8"/>
                <w:sz w:val="19"/>
                <w:szCs w:val="19"/>
              </w:rPr>
              <w:t>便携式计算机</w:t>
            </w:r>
          </w:p>
        </w:tc>
        <w:tc>
          <w:tcPr>
            <w:tcW w:w="1611" w:type="dxa"/>
          </w:tcPr>
          <w:p w14:paraId="5362B606">
            <w:pPr>
              <w:rPr>
                <w:rFonts w:ascii="Arial"/>
              </w:rPr>
            </w:pPr>
          </w:p>
        </w:tc>
        <w:tc>
          <w:tcPr>
            <w:tcW w:w="4337" w:type="dxa"/>
          </w:tcPr>
          <w:p w14:paraId="6864DADE">
            <w:pPr>
              <w:pStyle w:val="167"/>
              <w:spacing w:before="32" w:line="234" w:lineRule="auto"/>
              <w:ind w:left="123" w:right="839" w:hanging="4"/>
              <w:rPr>
                <w:sz w:val="19"/>
                <w:szCs w:val="19"/>
              </w:rPr>
            </w:pPr>
            <w:r>
              <w:rPr>
                <w:spacing w:val="8"/>
                <w:sz w:val="19"/>
                <w:szCs w:val="19"/>
              </w:rPr>
              <w:t>《微型计算机能效限定值及能效等级》</w:t>
            </w:r>
            <w:r>
              <w:rPr>
                <w:spacing w:val="5"/>
                <w:sz w:val="19"/>
                <w:szCs w:val="19"/>
              </w:rPr>
              <w:t xml:space="preserve"> </w:t>
            </w:r>
            <w:r>
              <w:rPr>
                <w:spacing w:val="3"/>
                <w:sz w:val="19"/>
                <w:szCs w:val="19"/>
              </w:rPr>
              <w:t>（</w:t>
            </w:r>
            <w:r>
              <w:rPr>
                <w:sz w:val="19"/>
                <w:szCs w:val="19"/>
              </w:rPr>
              <w:t>GB</w:t>
            </w:r>
            <w:r>
              <w:rPr>
                <w:spacing w:val="3"/>
                <w:sz w:val="19"/>
                <w:szCs w:val="19"/>
              </w:rPr>
              <w:t>28380）</w:t>
            </w:r>
          </w:p>
        </w:tc>
      </w:tr>
      <w:tr w14:paraId="60427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46" w:type="dxa"/>
            <w:vMerge w:val="continue"/>
            <w:tcBorders>
              <w:top w:val="nil"/>
            </w:tcBorders>
          </w:tcPr>
          <w:p w14:paraId="469944E6">
            <w:pPr>
              <w:rPr>
                <w:rFonts w:ascii="Arial"/>
              </w:rPr>
            </w:pPr>
          </w:p>
        </w:tc>
        <w:tc>
          <w:tcPr>
            <w:tcW w:w="1115" w:type="dxa"/>
            <w:vMerge w:val="continue"/>
            <w:tcBorders>
              <w:top w:val="nil"/>
            </w:tcBorders>
          </w:tcPr>
          <w:p w14:paraId="20F04156">
            <w:pPr>
              <w:rPr>
                <w:rFonts w:ascii="Arial"/>
              </w:rPr>
            </w:pPr>
          </w:p>
        </w:tc>
        <w:tc>
          <w:tcPr>
            <w:tcW w:w="1515" w:type="dxa"/>
          </w:tcPr>
          <w:p w14:paraId="0BD972A0">
            <w:pPr>
              <w:pStyle w:val="167"/>
              <w:spacing w:before="32" w:line="235" w:lineRule="auto"/>
              <w:ind w:left="214"/>
              <w:rPr>
                <w:sz w:val="19"/>
                <w:szCs w:val="19"/>
              </w:rPr>
            </w:pPr>
            <w:r>
              <w:rPr>
                <w:spacing w:val="4"/>
                <w:sz w:val="19"/>
                <w:szCs w:val="19"/>
              </w:rPr>
              <w:t>★A02010107</w:t>
            </w:r>
          </w:p>
          <w:p w14:paraId="67663010">
            <w:pPr>
              <w:pStyle w:val="167"/>
              <w:spacing w:before="15" w:line="227" w:lineRule="auto"/>
              <w:ind w:left="160"/>
              <w:rPr>
                <w:sz w:val="19"/>
                <w:szCs w:val="19"/>
              </w:rPr>
            </w:pPr>
            <w:r>
              <w:rPr>
                <w:spacing w:val="8"/>
                <w:sz w:val="19"/>
                <w:szCs w:val="19"/>
              </w:rPr>
              <w:t>平板式微型计</w:t>
            </w:r>
          </w:p>
          <w:p w14:paraId="13CFF5C7">
            <w:pPr>
              <w:pStyle w:val="167"/>
              <w:spacing w:before="24" w:line="218" w:lineRule="auto"/>
              <w:ind w:left="563"/>
              <w:rPr>
                <w:sz w:val="19"/>
                <w:szCs w:val="19"/>
              </w:rPr>
            </w:pPr>
            <w:r>
              <w:rPr>
                <w:spacing w:val="4"/>
                <w:sz w:val="19"/>
                <w:szCs w:val="19"/>
              </w:rPr>
              <w:t>算机</w:t>
            </w:r>
          </w:p>
        </w:tc>
        <w:tc>
          <w:tcPr>
            <w:tcW w:w="1611" w:type="dxa"/>
          </w:tcPr>
          <w:p w14:paraId="45623957">
            <w:pPr>
              <w:rPr>
                <w:rFonts w:ascii="Arial"/>
              </w:rPr>
            </w:pPr>
          </w:p>
        </w:tc>
        <w:tc>
          <w:tcPr>
            <w:tcW w:w="4337" w:type="dxa"/>
          </w:tcPr>
          <w:p w14:paraId="30A70C0B">
            <w:pPr>
              <w:pStyle w:val="167"/>
              <w:spacing w:before="159" w:line="246" w:lineRule="auto"/>
              <w:ind w:left="123" w:right="839" w:hanging="4"/>
              <w:rPr>
                <w:sz w:val="19"/>
                <w:szCs w:val="19"/>
              </w:rPr>
            </w:pPr>
            <w:r>
              <w:rPr>
                <w:spacing w:val="8"/>
                <w:sz w:val="19"/>
                <w:szCs w:val="19"/>
              </w:rPr>
              <w:t>《微型计算机能效限定值及能效等级》</w:t>
            </w:r>
            <w:r>
              <w:rPr>
                <w:spacing w:val="5"/>
                <w:sz w:val="19"/>
                <w:szCs w:val="19"/>
              </w:rPr>
              <w:t xml:space="preserve"> </w:t>
            </w:r>
            <w:r>
              <w:rPr>
                <w:spacing w:val="3"/>
                <w:sz w:val="19"/>
                <w:szCs w:val="19"/>
              </w:rPr>
              <w:t>（</w:t>
            </w:r>
            <w:r>
              <w:rPr>
                <w:sz w:val="19"/>
                <w:szCs w:val="19"/>
              </w:rPr>
              <w:t>GB</w:t>
            </w:r>
            <w:r>
              <w:rPr>
                <w:spacing w:val="3"/>
                <w:sz w:val="19"/>
                <w:szCs w:val="19"/>
              </w:rPr>
              <w:t>28380）</w:t>
            </w:r>
          </w:p>
        </w:tc>
      </w:tr>
      <w:tr w14:paraId="03782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46" w:type="dxa"/>
            <w:vMerge w:val="restart"/>
            <w:tcBorders>
              <w:bottom w:val="nil"/>
            </w:tcBorders>
          </w:tcPr>
          <w:p w14:paraId="16DD994A">
            <w:pPr>
              <w:spacing w:line="281" w:lineRule="auto"/>
              <w:rPr>
                <w:rFonts w:ascii="Arial"/>
              </w:rPr>
            </w:pPr>
          </w:p>
          <w:p w14:paraId="10715C25">
            <w:pPr>
              <w:spacing w:line="281" w:lineRule="auto"/>
              <w:rPr>
                <w:rFonts w:ascii="Arial"/>
              </w:rPr>
            </w:pPr>
          </w:p>
          <w:p w14:paraId="671135E4">
            <w:pPr>
              <w:spacing w:line="281" w:lineRule="auto"/>
              <w:rPr>
                <w:rFonts w:ascii="Arial"/>
              </w:rPr>
            </w:pPr>
          </w:p>
          <w:p w14:paraId="5FB13B13">
            <w:pPr>
              <w:spacing w:line="281" w:lineRule="auto"/>
              <w:rPr>
                <w:rFonts w:ascii="Arial"/>
              </w:rPr>
            </w:pPr>
          </w:p>
          <w:p w14:paraId="630C65CD">
            <w:pPr>
              <w:spacing w:line="282" w:lineRule="auto"/>
              <w:rPr>
                <w:rFonts w:ascii="Arial"/>
              </w:rPr>
            </w:pPr>
          </w:p>
          <w:p w14:paraId="6C23762D">
            <w:pPr>
              <w:pStyle w:val="167"/>
              <w:spacing w:before="62" w:line="189" w:lineRule="auto"/>
              <w:ind w:left="280"/>
              <w:rPr>
                <w:sz w:val="19"/>
                <w:szCs w:val="19"/>
              </w:rPr>
            </w:pPr>
            <w:r>
              <w:rPr>
                <w:sz w:val="19"/>
                <w:szCs w:val="19"/>
              </w:rPr>
              <w:t>2</w:t>
            </w:r>
          </w:p>
        </w:tc>
        <w:tc>
          <w:tcPr>
            <w:tcW w:w="1115" w:type="dxa"/>
            <w:vMerge w:val="restart"/>
            <w:tcBorders>
              <w:bottom w:val="nil"/>
            </w:tcBorders>
          </w:tcPr>
          <w:p w14:paraId="730C8D75">
            <w:pPr>
              <w:spacing w:line="286" w:lineRule="auto"/>
              <w:rPr>
                <w:rFonts w:ascii="Arial"/>
              </w:rPr>
            </w:pPr>
          </w:p>
          <w:p w14:paraId="1636C360">
            <w:pPr>
              <w:spacing w:line="287" w:lineRule="auto"/>
              <w:rPr>
                <w:rFonts w:ascii="Arial"/>
              </w:rPr>
            </w:pPr>
          </w:p>
          <w:p w14:paraId="4135FF26">
            <w:pPr>
              <w:spacing w:line="287" w:lineRule="auto"/>
              <w:rPr>
                <w:rFonts w:ascii="Arial"/>
              </w:rPr>
            </w:pPr>
          </w:p>
          <w:p w14:paraId="345149F4">
            <w:pPr>
              <w:spacing w:line="287" w:lineRule="auto"/>
              <w:rPr>
                <w:rFonts w:ascii="Arial"/>
              </w:rPr>
            </w:pPr>
          </w:p>
          <w:p w14:paraId="3BD4CBC6">
            <w:pPr>
              <w:pStyle w:val="167"/>
              <w:spacing w:before="62" w:line="191" w:lineRule="auto"/>
              <w:ind w:left="204"/>
              <w:rPr>
                <w:sz w:val="19"/>
                <w:szCs w:val="19"/>
              </w:rPr>
            </w:pPr>
            <w:r>
              <w:rPr>
                <w:spacing w:val="4"/>
                <w:sz w:val="19"/>
                <w:szCs w:val="19"/>
              </w:rPr>
              <w:t>A020106</w:t>
            </w:r>
          </w:p>
          <w:p w14:paraId="62B3D174">
            <w:pPr>
              <w:pStyle w:val="167"/>
              <w:spacing w:before="33" w:line="228" w:lineRule="auto"/>
              <w:ind w:left="159"/>
              <w:rPr>
                <w:sz w:val="19"/>
                <w:szCs w:val="19"/>
              </w:rPr>
            </w:pPr>
            <w:r>
              <w:rPr>
                <w:spacing w:val="8"/>
                <w:sz w:val="19"/>
                <w:szCs w:val="19"/>
              </w:rPr>
              <w:t>输入输出</w:t>
            </w:r>
          </w:p>
          <w:p w14:paraId="5AFA8150">
            <w:pPr>
              <w:pStyle w:val="167"/>
              <w:spacing w:before="23" w:line="230" w:lineRule="auto"/>
              <w:ind w:left="364"/>
              <w:rPr>
                <w:sz w:val="19"/>
                <w:szCs w:val="19"/>
              </w:rPr>
            </w:pPr>
            <w:r>
              <w:rPr>
                <w:spacing w:val="3"/>
                <w:sz w:val="19"/>
                <w:szCs w:val="19"/>
              </w:rPr>
              <w:t>设备</w:t>
            </w:r>
          </w:p>
        </w:tc>
        <w:tc>
          <w:tcPr>
            <w:tcW w:w="1515" w:type="dxa"/>
            <w:vMerge w:val="restart"/>
            <w:tcBorders>
              <w:bottom w:val="nil"/>
            </w:tcBorders>
          </w:tcPr>
          <w:p w14:paraId="6151DA73">
            <w:pPr>
              <w:spacing w:line="247" w:lineRule="auto"/>
              <w:rPr>
                <w:rFonts w:ascii="Arial"/>
              </w:rPr>
            </w:pPr>
          </w:p>
          <w:p w14:paraId="32F99D23">
            <w:pPr>
              <w:spacing w:line="248" w:lineRule="auto"/>
              <w:rPr>
                <w:rFonts w:ascii="Arial"/>
              </w:rPr>
            </w:pPr>
          </w:p>
          <w:p w14:paraId="14554C3E">
            <w:pPr>
              <w:pStyle w:val="167"/>
              <w:spacing w:before="62"/>
              <w:ind w:left="476" w:right="183" w:hanging="295"/>
              <w:rPr>
                <w:sz w:val="19"/>
                <w:szCs w:val="19"/>
              </w:rPr>
            </w:pPr>
            <w:r>
              <w:rPr>
                <w:spacing w:val="4"/>
                <w:sz w:val="19"/>
                <w:szCs w:val="19"/>
              </w:rPr>
              <w:t>A02010601</w:t>
            </w:r>
            <w:r>
              <w:rPr>
                <w:spacing w:val="-35"/>
                <w:sz w:val="19"/>
                <w:szCs w:val="19"/>
              </w:rPr>
              <w:t xml:space="preserve"> </w:t>
            </w:r>
            <w:r>
              <w:rPr>
                <w:spacing w:val="4"/>
                <w:sz w:val="19"/>
                <w:szCs w:val="19"/>
              </w:rPr>
              <w:t>打</w:t>
            </w:r>
            <w:r>
              <w:rPr>
                <w:sz w:val="19"/>
                <w:szCs w:val="19"/>
              </w:rPr>
              <w:t xml:space="preserve"> </w:t>
            </w:r>
            <w:r>
              <w:rPr>
                <w:spacing w:val="2"/>
                <w:sz w:val="19"/>
                <w:szCs w:val="19"/>
              </w:rPr>
              <w:t>印设备</w:t>
            </w:r>
          </w:p>
        </w:tc>
        <w:tc>
          <w:tcPr>
            <w:tcW w:w="1611" w:type="dxa"/>
          </w:tcPr>
          <w:p w14:paraId="4F318EC4">
            <w:pPr>
              <w:pStyle w:val="167"/>
              <w:spacing w:before="32" w:line="234" w:lineRule="auto"/>
              <w:ind w:left="415" w:right="128" w:hanging="285"/>
              <w:rPr>
                <w:sz w:val="19"/>
                <w:szCs w:val="19"/>
              </w:rPr>
            </w:pPr>
            <w:r>
              <w:rPr>
                <w:spacing w:val="3"/>
                <w:sz w:val="19"/>
                <w:szCs w:val="19"/>
              </w:rPr>
              <w:t>A0201060101</w:t>
            </w:r>
            <w:r>
              <w:rPr>
                <w:spacing w:val="-20"/>
                <w:sz w:val="19"/>
                <w:szCs w:val="19"/>
              </w:rPr>
              <w:t xml:space="preserve"> </w:t>
            </w:r>
            <w:r>
              <w:rPr>
                <w:spacing w:val="3"/>
                <w:sz w:val="19"/>
                <w:szCs w:val="19"/>
              </w:rPr>
              <w:t>喷</w:t>
            </w:r>
            <w:r>
              <w:rPr>
                <w:sz w:val="19"/>
                <w:szCs w:val="19"/>
              </w:rPr>
              <w:t xml:space="preserve"> </w:t>
            </w:r>
            <w:r>
              <w:rPr>
                <w:spacing w:val="6"/>
                <w:sz w:val="19"/>
                <w:szCs w:val="19"/>
              </w:rPr>
              <w:t>墨打印机</w:t>
            </w:r>
          </w:p>
        </w:tc>
        <w:tc>
          <w:tcPr>
            <w:tcW w:w="4337" w:type="dxa"/>
          </w:tcPr>
          <w:p w14:paraId="776BC5E8">
            <w:pPr>
              <w:pStyle w:val="167"/>
              <w:spacing w:before="32" w:line="234" w:lineRule="auto"/>
              <w:ind w:left="117" w:right="107" w:firstLine="2"/>
              <w:rPr>
                <w:sz w:val="19"/>
                <w:szCs w:val="19"/>
              </w:rPr>
            </w:pPr>
            <w:r>
              <w:rPr>
                <w:spacing w:val="5"/>
                <w:sz w:val="19"/>
                <w:szCs w:val="19"/>
              </w:rPr>
              <w:t>《复印机、打印机和传真机能效限定值及能效等</w:t>
            </w:r>
            <w:r>
              <w:rPr>
                <w:spacing w:val="8"/>
                <w:sz w:val="19"/>
                <w:szCs w:val="19"/>
              </w:rPr>
              <w:t xml:space="preserve"> </w:t>
            </w:r>
            <w:r>
              <w:rPr>
                <w:spacing w:val="5"/>
                <w:sz w:val="19"/>
                <w:szCs w:val="19"/>
              </w:rPr>
              <w:t>级》（</w:t>
            </w:r>
            <w:r>
              <w:rPr>
                <w:sz w:val="19"/>
                <w:szCs w:val="19"/>
              </w:rPr>
              <w:t>GB</w:t>
            </w:r>
            <w:r>
              <w:rPr>
                <w:spacing w:val="5"/>
                <w:sz w:val="19"/>
                <w:szCs w:val="19"/>
              </w:rPr>
              <w:t>21521）</w:t>
            </w:r>
          </w:p>
        </w:tc>
      </w:tr>
      <w:tr w14:paraId="30EBE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46" w:type="dxa"/>
            <w:vMerge w:val="continue"/>
            <w:tcBorders>
              <w:top w:val="nil"/>
              <w:bottom w:val="nil"/>
            </w:tcBorders>
          </w:tcPr>
          <w:p w14:paraId="6FA5BCEB">
            <w:pPr>
              <w:rPr>
                <w:rFonts w:ascii="Arial"/>
              </w:rPr>
            </w:pPr>
          </w:p>
        </w:tc>
        <w:tc>
          <w:tcPr>
            <w:tcW w:w="1115" w:type="dxa"/>
            <w:vMerge w:val="continue"/>
            <w:tcBorders>
              <w:top w:val="nil"/>
              <w:bottom w:val="nil"/>
            </w:tcBorders>
          </w:tcPr>
          <w:p w14:paraId="5EEA9398">
            <w:pPr>
              <w:rPr>
                <w:rFonts w:ascii="Arial"/>
              </w:rPr>
            </w:pPr>
          </w:p>
        </w:tc>
        <w:tc>
          <w:tcPr>
            <w:tcW w:w="1515" w:type="dxa"/>
            <w:vMerge w:val="continue"/>
            <w:tcBorders>
              <w:top w:val="nil"/>
              <w:bottom w:val="nil"/>
            </w:tcBorders>
          </w:tcPr>
          <w:p w14:paraId="06B527BA">
            <w:pPr>
              <w:rPr>
                <w:rFonts w:ascii="Arial"/>
              </w:rPr>
            </w:pPr>
          </w:p>
        </w:tc>
        <w:tc>
          <w:tcPr>
            <w:tcW w:w="1611" w:type="dxa"/>
          </w:tcPr>
          <w:p w14:paraId="6A96D7C0">
            <w:pPr>
              <w:pStyle w:val="167"/>
              <w:spacing w:before="31" w:line="234" w:lineRule="auto"/>
              <w:ind w:left="310" w:right="153" w:hanging="147"/>
              <w:rPr>
                <w:sz w:val="19"/>
                <w:szCs w:val="19"/>
              </w:rPr>
            </w:pPr>
            <w:r>
              <w:rPr>
                <w:spacing w:val="4"/>
                <w:sz w:val="19"/>
                <w:szCs w:val="19"/>
              </w:rPr>
              <w:t xml:space="preserve">★A0201060102 </w:t>
            </w:r>
            <w:r>
              <w:rPr>
                <w:spacing w:val="8"/>
                <w:sz w:val="19"/>
                <w:szCs w:val="19"/>
              </w:rPr>
              <w:t>激光打印机</w:t>
            </w:r>
          </w:p>
        </w:tc>
        <w:tc>
          <w:tcPr>
            <w:tcW w:w="4337" w:type="dxa"/>
          </w:tcPr>
          <w:p w14:paraId="1DEA7710">
            <w:pPr>
              <w:pStyle w:val="167"/>
              <w:spacing w:before="31" w:line="234" w:lineRule="auto"/>
              <w:ind w:left="117" w:right="107" w:firstLine="2"/>
              <w:rPr>
                <w:sz w:val="19"/>
                <w:szCs w:val="19"/>
              </w:rPr>
            </w:pPr>
            <w:r>
              <w:rPr>
                <w:spacing w:val="5"/>
                <w:sz w:val="19"/>
                <w:szCs w:val="19"/>
              </w:rPr>
              <w:t>《复印机、打印机和传真机能效限定值及能效等</w:t>
            </w:r>
            <w:r>
              <w:rPr>
                <w:spacing w:val="8"/>
                <w:sz w:val="19"/>
                <w:szCs w:val="19"/>
              </w:rPr>
              <w:t xml:space="preserve"> </w:t>
            </w:r>
            <w:r>
              <w:rPr>
                <w:spacing w:val="5"/>
                <w:sz w:val="19"/>
                <w:szCs w:val="19"/>
              </w:rPr>
              <w:t>级》（</w:t>
            </w:r>
            <w:r>
              <w:rPr>
                <w:sz w:val="19"/>
                <w:szCs w:val="19"/>
              </w:rPr>
              <w:t>GB</w:t>
            </w:r>
            <w:r>
              <w:rPr>
                <w:spacing w:val="5"/>
                <w:sz w:val="19"/>
                <w:szCs w:val="19"/>
              </w:rPr>
              <w:t>21521）</w:t>
            </w:r>
          </w:p>
        </w:tc>
      </w:tr>
      <w:tr w14:paraId="1D075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46" w:type="dxa"/>
            <w:vMerge w:val="continue"/>
            <w:tcBorders>
              <w:top w:val="nil"/>
              <w:bottom w:val="nil"/>
            </w:tcBorders>
          </w:tcPr>
          <w:p w14:paraId="1820F31E">
            <w:pPr>
              <w:rPr>
                <w:rFonts w:ascii="Arial"/>
              </w:rPr>
            </w:pPr>
          </w:p>
        </w:tc>
        <w:tc>
          <w:tcPr>
            <w:tcW w:w="1115" w:type="dxa"/>
            <w:vMerge w:val="continue"/>
            <w:tcBorders>
              <w:top w:val="nil"/>
              <w:bottom w:val="nil"/>
            </w:tcBorders>
          </w:tcPr>
          <w:p w14:paraId="61D4F9CC">
            <w:pPr>
              <w:rPr>
                <w:rFonts w:ascii="Arial"/>
              </w:rPr>
            </w:pPr>
          </w:p>
        </w:tc>
        <w:tc>
          <w:tcPr>
            <w:tcW w:w="1515" w:type="dxa"/>
            <w:vMerge w:val="continue"/>
            <w:tcBorders>
              <w:top w:val="nil"/>
            </w:tcBorders>
          </w:tcPr>
          <w:p w14:paraId="4ED9C7F2">
            <w:pPr>
              <w:rPr>
                <w:rFonts w:ascii="Arial"/>
              </w:rPr>
            </w:pPr>
          </w:p>
        </w:tc>
        <w:tc>
          <w:tcPr>
            <w:tcW w:w="1611" w:type="dxa"/>
          </w:tcPr>
          <w:p w14:paraId="6B07EADA">
            <w:pPr>
              <w:pStyle w:val="167"/>
              <w:spacing w:before="34" w:line="233" w:lineRule="auto"/>
              <w:ind w:left="311" w:right="153" w:hanging="148"/>
              <w:rPr>
                <w:sz w:val="19"/>
                <w:szCs w:val="19"/>
              </w:rPr>
            </w:pPr>
            <w:r>
              <w:rPr>
                <w:spacing w:val="4"/>
                <w:sz w:val="19"/>
                <w:szCs w:val="19"/>
              </w:rPr>
              <w:t xml:space="preserve">★A0201060104 </w:t>
            </w:r>
            <w:r>
              <w:rPr>
                <w:spacing w:val="8"/>
                <w:sz w:val="19"/>
                <w:szCs w:val="19"/>
              </w:rPr>
              <w:t>针式打印机</w:t>
            </w:r>
          </w:p>
        </w:tc>
        <w:tc>
          <w:tcPr>
            <w:tcW w:w="4337" w:type="dxa"/>
          </w:tcPr>
          <w:p w14:paraId="5E47733C">
            <w:pPr>
              <w:pStyle w:val="167"/>
              <w:spacing w:before="34" w:line="233" w:lineRule="auto"/>
              <w:ind w:left="117" w:right="107" w:firstLine="2"/>
              <w:rPr>
                <w:sz w:val="19"/>
                <w:szCs w:val="19"/>
              </w:rPr>
            </w:pPr>
            <w:r>
              <w:rPr>
                <w:spacing w:val="5"/>
                <w:sz w:val="19"/>
                <w:szCs w:val="19"/>
              </w:rPr>
              <w:t>《复印机、打印机和传真机能效限定值及能效等</w:t>
            </w:r>
            <w:r>
              <w:rPr>
                <w:spacing w:val="8"/>
                <w:sz w:val="19"/>
                <w:szCs w:val="19"/>
              </w:rPr>
              <w:t xml:space="preserve"> </w:t>
            </w:r>
            <w:r>
              <w:rPr>
                <w:spacing w:val="5"/>
                <w:sz w:val="19"/>
                <w:szCs w:val="19"/>
              </w:rPr>
              <w:t>级》（</w:t>
            </w:r>
            <w:r>
              <w:rPr>
                <w:sz w:val="19"/>
                <w:szCs w:val="19"/>
              </w:rPr>
              <w:t>GB</w:t>
            </w:r>
            <w:r>
              <w:rPr>
                <w:spacing w:val="5"/>
                <w:sz w:val="19"/>
                <w:szCs w:val="19"/>
              </w:rPr>
              <w:t>21521）</w:t>
            </w:r>
          </w:p>
        </w:tc>
      </w:tr>
      <w:tr w14:paraId="64219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46" w:type="dxa"/>
            <w:vMerge w:val="continue"/>
            <w:tcBorders>
              <w:top w:val="nil"/>
              <w:bottom w:val="nil"/>
            </w:tcBorders>
          </w:tcPr>
          <w:p w14:paraId="368CB5D4">
            <w:pPr>
              <w:rPr>
                <w:rFonts w:ascii="Arial"/>
              </w:rPr>
            </w:pPr>
          </w:p>
        </w:tc>
        <w:tc>
          <w:tcPr>
            <w:tcW w:w="1115" w:type="dxa"/>
            <w:vMerge w:val="continue"/>
            <w:tcBorders>
              <w:top w:val="nil"/>
              <w:bottom w:val="nil"/>
            </w:tcBorders>
          </w:tcPr>
          <w:p w14:paraId="2D11D511">
            <w:pPr>
              <w:rPr>
                <w:rFonts w:ascii="Arial"/>
              </w:rPr>
            </w:pPr>
          </w:p>
        </w:tc>
        <w:tc>
          <w:tcPr>
            <w:tcW w:w="1515" w:type="dxa"/>
          </w:tcPr>
          <w:p w14:paraId="2721305C">
            <w:pPr>
              <w:pStyle w:val="167"/>
              <w:spacing w:before="32" w:line="234" w:lineRule="auto"/>
              <w:ind w:left="461" w:right="183" w:hanging="280"/>
              <w:rPr>
                <w:sz w:val="19"/>
                <w:szCs w:val="19"/>
              </w:rPr>
            </w:pPr>
            <w:r>
              <w:rPr>
                <w:spacing w:val="3"/>
                <w:sz w:val="19"/>
                <w:szCs w:val="19"/>
              </w:rPr>
              <w:t>A02010604</w:t>
            </w:r>
            <w:r>
              <w:rPr>
                <w:spacing w:val="-26"/>
                <w:sz w:val="19"/>
                <w:szCs w:val="19"/>
              </w:rPr>
              <w:t xml:space="preserve"> </w:t>
            </w:r>
            <w:r>
              <w:rPr>
                <w:spacing w:val="3"/>
                <w:sz w:val="19"/>
                <w:szCs w:val="19"/>
              </w:rPr>
              <w:t>显</w:t>
            </w:r>
            <w:r>
              <w:rPr>
                <w:sz w:val="19"/>
                <w:szCs w:val="19"/>
              </w:rPr>
              <w:t xml:space="preserve"> </w:t>
            </w:r>
            <w:r>
              <w:rPr>
                <w:spacing w:val="7"/>
                <w:sz w:val="19"/>
                <w:szCs w:val="19"/>
              </w:rPr>
              <w:t>示设备</w:t>
            </w:r>
          </w:p>
        </w:tc>
        <w:tc>
          <w:tcPr>
            <w:tcW w:w="1611" w:type="dxa"/>
          </w:tcPr>
          <w:p w14:paraId="5943D88F">
            <w:pPr>
              <w:pStyle w:val="167"/>
              <w:spacing w:before="32" w:line="234" w:lineRule="auto"/>
              <w:ind w:left="312" w:right="153" w:hanging="149"/>
              <w:rPr>
                <w:sz w:val="19"/>
                <w:szCs w:val="19"/>
              </w:rPr>
            </w:pPr>
            <w:r>
              <w:rPr>
                <w:spacing w:val="4"/>
                <w:sz w:val="19"/>
                <w:szCs w:val="19"/>
              </w:rPr>
              <w:t xml:space="preserve">★A0201060401 </w:t>
            </w:r>
            <w:r>
              <w:rPr>
                <w:spacing w:val="7"/>
                <w:sz w:val="19"/>
                <w:szCs w:val="19"/>
              </w:rPr>
              <w:t>液晶显示器</w:t>
            </w:r>
          </w:p>
        </w:tc>
        <w:tc>
          <w:tcPr>
            <w:tcW w:w="4337" w:type="dxa"/>
          </w:tcPr>
          <w:p w14:paraId="16FE4CE9">
            <w:pPr>
              <w:pStyle w:val="167"/>
              <w:spacing w:before="32" w:line="234" w:lineRule="auto"/>
              <w:ind w:left="123" w:right="638" w:hanging="4"/>
              <w:rPr>
                <w:sz w:val="19"/>
                <w:szCs w:val="19"/>
              </w:rPr>
            </w:pPr>
            <w:r>
              <w:rPr>
                <w:spacing w:val="8"/>
                <w:sz w:val="19"/>
                <w:szCs w:val="19"/>
              </w:rPr>
              <w:t>《计算机显示器能效限定值及能效等级》</w:t>
            </w:r>
            <w:r>
              <w:rPr>
                <w:spacing w:val="9"/>
                <w:sz w:val="19"/>
                <w:szCs w:val="19"/>
              </w:rPr>
              <w:t xml:space="preserve"> </w:t>
            </w:r>
            <w:r>
              <w:rPr>
                <w:spacing w:val="3"/>
                <w:sz w:val="19"/>
                <w:szCs w:val="19"/>
              </w:rPr>
              <w:t>（</w:t>
            </w:r>
            <w:r>
              <w:rPr>
                <w:sz w:val="19"/>
                <w:szCs w:val="19"/>
              </w:rPr>
              <w:t>GB</w:t>
            </w:r>
            <w:r>
              <w:rPr>
                <w:spacing w:val="3"/>
                <w:sz w:val="19"/>
                <w:szCs w:val="19"/>
              </w:rPr>
              <w:t>21520）</w:t>
            </w:r>
          </w:p>
        </w:tc>
      </w:tr>
      <w:tr w14:paraId="1010C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646" w:type="dxa"/>
            <w:vMerge w:val="continue"/>
            <w:tcBorders>
              <w:top w:val="nil"/>
            </w:tcBorders>
          </w:tcPr>
          <w:p w14:paraId="1A5BB3C2">
            <w:pPr>
              <w:rPr>
                <w:rFonts w:ascii="Arial"/>
              </w:rPr>
            </w:pPr>
          </w:p>
        </w:tc>
        <w:tc>
          <w:tcPr>
            <w:tcW w:w="1115" w:type="dxa"/>
            <w:vMerge w:val="continue"/>
            <w:tcBorders>
              <w:top w:val="nil"/>
            </w:tcBorders>
          </w:tcPr>
          <w:p w14:paraId="34950CBA">
            <w:pPr>
              <w:rPr>
                <w:rFonts w:ascii="Arial"/>
              </w:rPr>
            </w:pPr>
          </w:p>
        </w:tc>
        <w:tc>
          <w:tcPr>
            <w:tcW w:w="1515" w:type="dxa"/>
          </w:tcPr>
          <w:p w14:paraId="1D8CC98A">
            <w:pPr>
              <w:pStyle w:val="167"/>
              <w:spacing w:before="129" w:line="230" w:lineRule="auto"/>
              <w:ind w:left="181"/>
              <w:rPr>
                <w:sz w:val="19"/>
                <w:szCs w:val="19"/>
              </w:rPr>
            </w:pPr>
            <w:r>
              <w:rPr>
                <w:spacing w:val="4"/>
                <w:sz w:val="19"/>
                <w:szCs w:val="19"/>
              </w:rPr>
              <w:t>A02010609</w:t>
            </w:r>
            <w:r>
              <w:rPr>
                <w:spacing w:val="-18"/>
                <w:sz w:val="19"/>
                <w:szCs w:val="19"/>
              </w:rPr>
              <w:t xml:space="preserve"> </w:t>
            </w:r>
            <w:r>
              <w:rPr>
                <w:spacing w:val="4"/>
                <w:sz w:val="19"/>
                <w:szCs w:val="19"/>
              </w:rPr>
              <w:t>图</w:t>
            </w:r>
          </w:p>
          <w:p w14:paraId="5A236865">
            <w:pPr>
              <w:pStyle w:val="167"/>
              <w:spacing w:before="23" w:line="228" w:lineRule="auto"/>
              <w:ind w:left="163"/>
              <w:rPr>
                <w:sz w:val="19"/>
                <w:szCs w:val="19"/>
              </w:rPr>
            </w:pPr>
            <w:r>
              <w:rPr>
                <w:spacing w:val="8"/>
                <w:sz w:val="19"/>
                <w:szCs w:val="19"/>
              </w:rPr>
              <w:t>形图像输入设</w:t>
            </w:r>
          </w:p>
          <w:p w14:paraId="554010C9">
            <w:pPr>
              <w:pStyle w:val="167"/>
              <w:spacing w:before="23" w:line="230" w:lineRule="auto"/>
              <w:ind w:left="664"/>
              <w:rPr>
                <w:sz w:val="19"/>
                <w:szCs w:val="19"/>
              </w:rPr>
            </w:pPr>
            <w:r>
              <w:rPr>
                <w:sz w:val="19"/>
                <w:szCs w:val="19"/>
              </w:rPr>
              <w:t>备</w:t>
            </w:r>
          </w:p>
        </w:tc>
        <w:tc>
          <w:tcPr>
            <w:tcW w:w="1611" w:type="dxa"/>
          </w:tcPr>
          <w:p w14:paraId="7830C13B">
            <w:pPr>
              <w:pStyle w:val="167"/>
              <w:spacing w:before="259"/>
              <w:ind w:left="612" w:right="128" w:hanging="482"/>
              <w:rPr>
                <w:sz w:val="19"/>
                <w:szCs w:val="19"/>
              </w:rPr>
            </w:pPr>
            <w:r>
              <w:rPr>
                <w:spacing w:val="4"/>
                <w:sz w:val="19"/>
                <w:szCs w:val="19"/>
              </w:rPr>
              <w:t>A0201060901</w:t>
            </w:r>
            <w:r>
              <w:rPr>
                <w:spacing w:val="-32"/>
                <w:sz w:val="19"/>
                <w:szCs w:val="19"/>
              </w:rPr>
              <w:t xml:space="preserve"> </w:t>
            </w:r>
            <w:r>
              <w:rPr>
                <w:spacing w:val="4"/>
                <w:sz w:val="19"/>
                <w:szCs w:val="19"/>
              </w:rPr>
              <w:t>扫</w:t>
            </w:r>
            <w:r>
              <w:rPr>
                <w:sz w:val="19"/>
                <w:szCs w:val="19"/>
              </w:rPr>
              <w:t xml:space="preserve"> </w:t>
            </w:r>
            <w:r>
              <w:rPr>
                <w:spacing w:val="4"/>
                <w:sz w:val="19"/>
                <w:szCs w:val="19"/>
              </w:rPr>
              <w:t>描仪</w:t>
            </w:r>
          </w:p>
        </w:tc>
        <w:tc>
          <w:tcPr>
            <w:tcW w:w="4337" w:type="dxa"/>
          </w:tcPr>
          <w:p w14:paraId="0A4B4F60">
            <w:pPr>
              <w:pStyle w:val="167"/>
              <w:spacing w:before="129" w:line="244" w:lineRule="auto"/>
              <w:ind w:left="117" w:right="107" w:hanging="2"/>
              <w:rPr>
                <w:sz w:val="19"/>
                <w:szCs w:val="19"/>
              </w:rPr>
            </w:pPr>
            <w:r>
              <w:rPr>
                <w:spacing w:val="5"/>
                <w:sz w:val="19"/>
                <w:szCs w:val="19"/>
              </w:rPr>
              <w:t>参照《复印机、打印机和传真机能效限定值及能</w:t>
            </w:r>
            <w:r>
              <w:rPr>
                <w:spacing w:val="10"/>
                <w:sz w:val="19"/>
                <w:szCs w:val="19"/>
              </w:rPr>
              <w:t xml:space="preserve"> </w:t>
            </w:r>
            <w:r>
              <w:rPr>
                <w:spacing w:val="4"/>
                <w:sz w:val="19"/>
                <w:szCs w:val="19"/>
              </w:rPr>
              <w:t>效等级》（</w:t>
            </w:r>
            <w:r>
              <w:rPr>
                <w:sz w:val="19"/>
                <w:szCs w:val="19"/>
              </w:rPr>
              <w:t>GB</w:t>
            </w:r>
            <w:r>
              <w:rPr>
                <w:spacing w:val="4"/>
                <w:sz w:val="19"/>
                <w:szCs w:val="19"/>
              </w:rPr>
              <w:t>21521</w:t>
            </w:r>
            <w:r>
              <w:rPr>
                <w:spacing w:val="-17"/>
                <w:sz w:val="19"/>
                <w:szCs w:val="19"/>
              </w:rPr>
              <w:t xml:space="preserve"> </w:t>
            </w:r>
            <w:r>
              <w:rPr>
                <w:spacing w:val="4"/>
                <w:sz w:val="19"/>
                <w:szCs w:val="19"/>
              </w:rPr>
              <w:t>中打印速度为</w:t>
            </w:r>
            <w:r>
              <w:rPr>
                <w:spacing w:val="-22"/>
                <w:sz w:val="19"/>
                <w:szCs w:val="19"/>
              </w:rPr>
              <w:t xml:space="preserve"> </w:t>
            </w:r>
            <w:r>
              <w:rPr>
                <w:spacing w:val="4"/>
                <w:sz w:val="19"/>
                <w:szCs w:val="19"/>
              </w:rPr>
              <w:t>15</w:t>
            </w:r>
            <w:r>
              <w:rPr>
                <w:spacing w:val="-33"/>
                <w:sz w:val="19"/>
                <w:szCs w:val="19"/>
              </w:rPr>
              <w:t xml:space="preserve"> </w:t>
            </w:r>
            <w:r>
              <w:rPr>
                <w:spacing w:val="4"/>
                <w:sz w:val="19"/>
                <w:szCs w:val="19"/>
              </w:rPr>
              <w:t>页/分的针</w:t>
            </w:r>
            <w:r>
              <w:rPr>
                <w:sz w:val="19"/>
                <w:szCs w:val="19"/>
              </w:rPr>
              <w:t xml:space="preserve"> </w:t>
            </w:r>
            <w:r>
              <w:rPr>
                <w:spacing w:val="7"/>
                <w:sz w:val="19"/>
                <w:szCs w:val="19"/>
              </w:rPr>
              <w:t>式打印机相关要求）</w:t>
            </w:r>
          </w:p>
        </w:tc>
      </w:tr>
      <w:tr w14:paraId="33614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46" w:type="dxa"/>
          </w:tcPr>
          <w:p w14:paraId="7E5FB56B">
            <w:pPr>
              <w:pStyle w:val="167"/>
              <w:spacing w:before="192" w:line="189" w:lineRule="auto"/>
              <w:ind w:left="281"/>
              <w:rPr>
                <w:sz w:val="19"/>
                <w:szCs w:val="19"/>
              </w:rPr>
            </w:pPr>
            <w:r>
              <w:rPr>
                <w:sz w:val="19"/>
                <w:szCs w:val="19"/>
              </w:rPr>
              <w:t>3</w:t>
            </w:r>
          </w:p>
        </w:tc>
        <w:tc>
          <w:tcPr>
            <w:tcW w:w="1115" w:type="dxa"/>
          </w:tcPr>
          <w:p w14:paraId="5C714210">
            <w:pPr>
              <w:pStyle w:val="167"/>
              <w:spacing w:before="63" w:line="219" w:lineRule="auto"/>
              <w:ind w:left="262" w:right="207" w:hanging="58"/>
              <w:rPr>
                <w:sz w:val="19"/>
                <w:szCs w:val="19"/>
              </w:rPr>
            </w:pPr>
            <w:r>
              <w:rPr>
                <w:spacing w:val="4"/>
                <w:sz w:val="19"/>
                <w:szCs w:val="19"/>
              </w:rPr>
              <w:t>A020202</w:t>
            </w:r>
            <w:r>
              <w:rPr>
                <w:spacing w:val="3"/>
                <w:sz w:val="19"/>
                <w:szCs w:val="19"/>
              </w:rPr>
              <w:t xml:space="preserve"> </w:t>
            </w:r>
            <w:r>
              <w:rPr>
                <w:spacing w:val="6"/>
                <w:sz w:val="19"/>
                <w:szCs w:val="19"/>
              </w:rPr>
              <w:t>投影仪</w:t>
            </w:r>
          </w:p>
        </w:tc>
        <w:tc>
          <w:tcPr>
            <w:tcW w:w="1515" w:type="dxa"/>
          </w:tcPr>
          <w:p w14:paraId="093078BE">
            <w:pPr>
              <w:rPr>
                <w:rFonts w:ascii="Arial"/>
              </w:rPr>
            </w:pPr>
          </w:p>
        </w:tc>
        <w:tc>
          <w:tcPr>
            <w:tcW w:w="1611" w:type="dxa"/>
          </w:tcPr>
          <w:p w14:paraId="1B17FD5F">
            <w:pPr>
              <w:rPr>
                <w:rFonts w:ascii="Arial"/>
              </w:rPr>
            </w:pPr>
          </w:p>
        </w:tc>
        <w:tc>
          <w:tcPr>
            <w:tcW w:w="4337" w:type="dxa"/>
          </w:tcPr>
          <w:p w14:paraId="0137F8A6">
            <w:pPr>
              <w:pStyle w:val="167"/>
              <w:spacing w:before="161" w:line="227" w:lineRule="auto"/>
              <w:ind w:left="119"/>
              <w:rPr>
                <w:sz w:val="19"/>
                <w:szCs w:val="19"/>
              </w:rPr>
            </w:pPr>
            <w:r>
              <w:rPr>
                <w:spacing w:val="8"/>
                <w:sz w:val="19"/>
                <w:szCs w:val="19"/>
              </w:rPr>
              <w:t>《投影机能效限定值及能效等级》（</w:t>
            </w:r>
            <w:r>
              <w:rPr>
                <w:sz w:val="19"/>
                <w:szCs w:val="19"/>
              </w:rPr>
              <w:t>GB</w:t>
            </w:r>
            <w:r>
              <w:rPr>
                <w:spacing w:val="8"/>
                <w:sz w:val="19"/>
                <w:szCs w:val="19"/>
              </w:rPr>
              <w:t>32028）</w:t>
            </w:r>
          </w:p>
        </w:tc>
      </w:tr>
      <w:tr w14:paraId="2E58C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46" w:type="dxa"/>
          </w:tcPr>
          <w:p w14:paraId="540E8450">
            <w:pPr>
              <w:spacing w:line="260" w:lineRule="auto"/>
              <w:rPr>
                <w:rFonts w:ascii="Arial"/>
              </w:rPr>
            </w:pPr>
          </w:p>
          <w:p w14:paraId="4F2AECF5">
            <w:pPr>
              <w:pStyle w:val="167"/>
              <w:spacing w:before="62" w:line="189" w:lineRule="auto"/>
              <w:ind w:left="277"/>
              <w:rPr>
                <w:sz w:val="19"/>
                <w:szCs w:val="19"/>
              </w:rPr>
            </w:pPr>
            <w:r>
              <w:rPr>
                <w:sz w:val="19"/>
                <w:szCs w:val="19"/>
              </w:rPr>
              <w:t>4</w:t>
            </w:r>
          </w:p>
        </w:tc>
        <w:tc>
          <w:tcPr>
            <w:tcW w:w="1115" w:type="dxa"/>
          </w:tcPr>
          <w:p w14:paraId="4F95DE16">
            <w:pPr>
              <w:pStyle w:val="167"/>
              <w:spacing w:before="62" w:line="191" w:lineRule="auto"/>
              <w:ind w:left="204"/>
              <w:rPr>
                <w:sz w:val="19"/>
                <w:szCs w:val="19"/>
              </w:rPr>
            </w:pPr>
            <w:r>
              <w:rPr>
                <w:spacing w:val="4"/>
                <w:sz w:val="19"/>
                <w:szCs w:val="19"/>
              </w:rPr>
              <w:t>A020204</w:t>
            </w:r>
          </w:p>
          <w:p w14:paraId="2A196D9D">
            <w:pPr>
              <w:pStyle w:val="167"/>
              <w:spacing w:before="32" w:line="230" w:lineRule="auto"/>
              <w:ind w:left="169"/>
              <w:rPr>
                <w:sz w:val="19"/>
                <w:szCs w:val="19"/>
              </w:rPr>
            </w:pPr>
            <w:r>
              <w:rPr>
                <w:spacing w:val="5"/>
                <w:sz w:val="19"/>
                <w:szCs w:val="19"/>
              </w:rPr>
              <w:t>多功能一</w:t>
            </w:r>
          </w:p>
          <w:p w14:paraId="2DF523C9">
            <w:pPr>
              <w:pStyle w:val="167"/>
              <w:spacing w:before="23" w:line="214" w:lineRule="auto"/>
              <w:ind w:left="361"/>
              <w:rPr>
                <w:sz w:val="19"/>
                <w:szCs w:val="19"/>
              </w:rPr>
            </w:pPr>
            <w:r>
              <w:rPr>
                <w:spacing w:val="5"/>
                <w:sz w:val="19"/>
                <w:szCs w:val="19"/>
              </w:rPr>
              <w:t>体机</w:t>
            </w:r>
          </w:p>
        </w:tc>
        <w:tc>
          <w:tcPr>
            <w:tcW w:w="1515" w:type="dxa"/>
          </w:tcPr>
          <w:p w14:paraId="495C81DE">
            <w:pPr>
              <w:rPr>
                <w:rFonts w:ascii="Arial"/>
              </w:rPr>
            </w:pPr>
          </w:p>
        </w:tc>
        <w:tc>
          <w:tcPr>
            <w:tcW w:w="1611" w:type="dxa"/>
          </w:tcPr>
          <w:p w14:paraId="4273CD9E">
            <w:pPr>
              <w:rPr>
                <w:rFonts w:ascii="Arial"/>
              </w:rPr>
            </w:pPr>
          </w:p>
        </w:tc>
        <w:tc>
          <w:tcPr>
            <w:tcW w:w="4337" w:type="dxa"/>
          </w:tcPr>
          <w:p w14:paraId="70438D5E">
            <w:pPr>
              <w:pStyle w:val="167"/>
              <w:spacing w:before="162" w:line="241" w:lineRule="auto"/>
              <w:ind w:left="117" w:right="107" w:firstLine="2"/>
              <w:rPr>
                <w:sz w:val="19"/>
                <w:szCs w:val="19"/>
              </w:rPr>
            </w:pPr>
            <w:r>
              <w:rPr>
                <w:spacing w:val="5"/>
                <w:sz w:val="19"/>
                <w:szCs w:val="19"/>
              </w:rPr>
              <w:t>《复印机、打印机和传真机能效限定值及能效等</w:t>
            </w:r>
            <w:r>
              <w:rPr>
                <w:spacing w:val="8"/>
                <w:sz w:val="19"/>
                <w:szCs w:val="19"/>
              </w:rPr>
              <w:t xml:space="preserve"> </w:t>
            </w:r>
            <w:r>
              <w:rPr>
                <w:spacing w:val="5"/>
                <w:sz w:val="19"/>
                <w:szCs w:val="19"/>
              </w:rPr>
              <w:t>级》（</w:t>
            </w:r>
            <w:r>
              <w:rPr>
                <w:sz w:val="19"/>
                <w:szCs w:val="19"/>
              </w:rPr>
              <w:t>GB</w:t>
            </w:r>
            <w:r>
              <w:rPr>
                <w:spacing w:val="5"/>
                <w:sz w:val="19"/>
                <w:szCs w:val="19"/>
              </w:rPr>
              <w:t>21521）</w:t>
            </w:r>
          </w:p>
        </w:tc>
      </w:tr>
      <w:tr w14:paraId="1E054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46" w:type="dxa"/>
          </w:tcPr>
          <w:p w14:paraId="2EB88F68">
            <w:pPr>
              <w:pStyle w:val="167"/>
              <w:spacing w:before="195" w:line="188" w:lineRule="auto"/>
              <w:ind w:left="281"/>
              <w:rPr>
                <w:sz w:val="19"/>
                <w:szCs w:val="19"/>
              </w:rPr>
            </w:pPr>
            <w:r>
              <w:rPr>
                <w:sz w:val="19"/>
                <w:szCs w:val="19"/>
              </w:rPr>
              <w:t>5</w:t>
            </w:r>
          </w:p>
        </w:tc>
        <w:tc>
          <w:tcPr>
            <w:tcW w:w="1115" w:type="dxa"/>
          </w:tcPr>
          <w:p w14:paraId="380712D2">
            <w:pPr>
              <w:pStyle w:val="167"/>
              <w:spacing w:before="63" w:line="219" w:lineRule="auto"/>
              <w:ind w:left="460" w:right="207" w:hanging="256"/>
              <w:rPr>
                <w:sz w:val="19"/>
                <w:szCs w:val="19"/>
              </w:rPr>
            </w:pPr>
            <w:r>
              <w:rPr>
                <w:spacing w:val="4"/>
                <w:sz w:val="19"/>
                <w:szCs w:val="19"/>
              </w:rPr>
              <w:t>A020519</w:t>
            </w:r>
            <w:r>
              <w:rPr>
                <w:spacing w:val="3"/>
                <w:sz w:val="19"/>
                <w:szCs w:val="19"/>
              </w:rPr>
              <w:t xml:space="preserve"> </w:t>
            </w:r>
            <w:r>
              <w:rPr>
                <w:sz w:val="19"/>
                <w:szCs w:val="19"/>
              </w:rPr>
              <w:t>泵</w:t>
            </w:r>
          </w:p>
        </w:tc>
        <w:tc>
          <w:tcPr>
            <w:tcW w:w="1515" w:type="dxa"/>
          </w:tcPr>
          <w:p w14:paraId="00B7DE7E">
            <w:pPr>
              <w:pStyle w:val="167"/>
              <w:spacing w:before="32" w:line="234" w:lineRule="auto"/>
              <w:ind w:left="568" w:right="183" w:hanging="387"/>
              <w:rPr>
                <w:sz w:val="19"/>
                <w:szCs w:val="19"/>
              </w:rPr>
            </w:pPr>
            <w:r>
              <w:rPr>
                <w:spacing w:val="4"/>
                <w:sz w:val="19"/>
                <w:szCs w:val="19"/>
              </w:rPr>
              <w:t>A02051901</w:t>
            </w:r>
            <w:r>
              <w:rPr>
                <w:spacing w:val="-35"/>
                <w:sz w:val="19"/>
                <w:szCs w:val="19"/>
              </w:rPr>
              <w:t xml:space="preserve"> </w:t>
            </w:r>
            <w:r>
              <w:rPr>
                <w:spacing w:val="4"/>
                <w:sz w:val="19"/>
                <w:szCs w:val="19"/>
              </w:rPr>
              <w:t>离</w:t>
            </w:r>
            <w:r>
              <w:rPr>
                <w:sz w:val="19"/>
                <w:szCs w:val="19"/>
              </w:rPr>
              <w:t xml:space="preserve"> </w:t>
            </w:r>
            <w:r>
              <w:rPr>
                <w:spacing w:val="1"/>
                <w:sz w:val="19"/>
                <w:szCs w:val="19"/>
              </w:rPr>
              <w:t>心泵</w:t>
            </w:r>
          </w:p>
        </w:tc>
        <w:tc>
          <w:tcPr>
            <w:tcW w:w="1611" w:type="dxa"/>
          </w:tcPr>
          <w:p w14:paraId="7FDED781">
            <w:pPr>
              <w:rPr>
                <w:rFonts w:ascii="Arial"/>
              </w:rPr>
            </w:pPr>
          </w:p>
        </w:tc>
        <w:tc>
          <w:tcPr>
            <w:tcW w:w="4337" w:type="dxa"/>
          </w:tcPr>
          <w:p w14:paraId="497BCBF7">
            <w:pPr>
              <w:pStyle w:val="167"/>
              <w:spacing w:before="32" w:line="234" w:lineRule="auto"/>
              <w:ind w:left="123" w:right="638" w:hanging="4"/>
              <w:rPr>
                <w:sz w:val="19"/>
                <w:szCs w:val="19"/>
              </w:rPr>
            </w:pPr>
            <w:r>
              <w:rPr>
                <w:spacing w:val="8"/>
                <w:sz w:val="19"/>
                <w:szCs w:val="19"/>
              </w:rPr>
              <w:t>《清水离心泵能效限定值及节能评价值》</w:t>
            </w:r>
            <w:r>
              <w:rPr>
                <w:spacing w:val="9"/>
                <w:sz w:val="19"/>
                <w:szCs w:val="19"/>
              </w:rPr>
              <w:t xml:space="preserve"> </w:t>
            </w:r>
            <w:r>
              <w:rPr>
                <w:spacing w:val="3"/>
                <w:sz w:val="19"/>
                <w:szCs w:val="19"/>
              </w:rPr>
              <w:t>（</w:t>
            </w:r>
            <w:r>
              <w:rPr>
                <w:sz w:val="19"/>
                <w:szCs w:val="19"/>
              </w:rPr>
              <w:t>GB</w:t>
            </w:r>
            <w:r>
              <w:rPr>
                <w:spacing w:val="3"/>
                <w:sz w:val="19"/>
                <w:szCs w:val="19"/>
              </w:rPr>
              <w:t>19762）</w:t>
            </w:r>
          </w:p>
        </w:tc>
      </w:tr>
      <w:tr w14:paraId="402C0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646" w:type="dxa"/>
            <w:vMerge w:val="restart"/>
            <w:tcBorders>
              <w:bottom w:val="nil"/>
            </w:tcBorders>
          </w:tcPr>
          <w:p w14:paraId="3BF04063">
            <w:pPr>
              <w:spacing w:line="261" w:lineRule="auto"/>
              <w:rPr>
                <w:rFonts w:ascii="Arial"/>
              </w:rPr>
            </w:pPr>
          </w:p>
          <w:p w14:paraId="51DF28FB">
            <w:pPr>
              <w:spacing w:line="261" w:lineRule="auto"/>
              <w:rPr>
                <w:rFonts w:ascii="Arial"/>
              </w:rPr>
            </w:pPr>
          </w:p>
          <w:p w14:paraId="0E6882FF">
            <w:pPr>
              <w:spacing w:line="261" w:lineRule="auto"/>
              <w:rPr>
                <w:rFonts w:ascii="Arial"/>
              </w:rPr>
            </w:pPr>
          </w:p>
          <w:p w14:paraId="4280D424">
            <w:pPr>
              <w:spacing w:line="261" w:lineRule="auto"/>
              <w:rPr>
                <w:rFonts w:ascii="Arial"/>
              </w:rPr>
            </w:pPr>
          </w:p>
          <w:p w14:paraId="58A206D4">
            <w:pPr>
              <w:spacing w:line="261" w:lineRule="auto"/>
              <w:rPr>
                <w:rFonts w:ascii="Arial"/>
              </w:rPr>
            </w:pPr>
          </w:p>
          <w:p w14:paraId="319C9E4B">
            <w:pPr>
              <w:spacing w:line="262" w:lineRule="auto"/>
              <w:rPr>
                <w:rFonts w:ascii="Arial"/>
              </w:rPr>
            </w:pPr>
          </w:p>
          <w:p w14:paraId="3FE64F68">
            <w:pPr>
              <w:spacing w:line="262" w:lineRule="auto"/>
              <w:rPr>
                <w:rFonts w:ascii="Arial"/>
              </w:rPr>
            </w:pPr>
          </w:p>
          <w:p w14:paraId="18E7E972">
            <w:pPr>
              <w:spacing w:line="262" w:lineRule="auto"/>
              <w:rPr>
                <w:rFonts w:ascii="Arial"/>
              </w:rPr>
            </w:pPr>
          </w:p>
          <w:p w14:paraId="19C38D71">
            <w:pPr>
              <w:spacing w:line="262" w:lineRule="auto"/>
              <w:rPr>
                <w:rFonts w:ascii="Arial"/>
              </w:rPr>
            </w:pPr>
          </w:p>
          <w:p w14:paraId="603CDA50">
            <w:pPr>
              <w:pStyle w:val="167"/>
              <w:spacing w:before="62" w:line="189" w:lineRule="auto"/>
              <w:ind w:left="279"/>
              <w:rPr>
                <w:sz w:val="19"/>
                <w:szCs w:val="19"/>
              </w:rPr>
            </w:pPr>
            <w:r>
              <w:rPr>
                <w:sz w:val="19"/>
                <w:szCs w:val="19"/>
              </w:rPr>
              <w:t>6</w:t>
            </w:r>
          </w:p>
        </w:tc>
        <w:tc>
          <w:tcPr>
            <w:tcW w:w="1115" w:type="dxa"/>
            <w:vMerge w:val="restart"/>
            <w:tcBorders>
              <w:bottom w:val="nil"/>
            </w:tcBorders>
          </w:tcPr>
          <w:p w14:paraId="658B6AAB">
            <w:pPr>
              <w:spacing w:line="261" w:lineRule="auto"/>
              <w:rPr>
                <w:rFonts w:ascii="Arial"/>
              </w:rPr>
            </w:pPr>
          </w:p>
          <w:p w14:paraId="4CDD658F">
            <w:pPr>
              <w:spacing w:line="261" w:lineRule="auto"/>
              <w:rPr>
                <w:rFonts w:ascii="Arial"/>
              </w:rPr>
            </w:pPr>
          </w:p>
          <w:p w14:paraId="16EC2B64">
            <w:pPr>
              <w:spacing w:line="261" w:lineRule="auto"/>
              <w:rPr>
                <w:rFonts w:ascii="Arial"/>
              </w:rPr>
            </w:pPr>
          </w:p>
          <w:p w14:paraId="0A167453">
            <w:pPr>
              <w:spacing w:line="261" w:lineRule="auto"/>
              <w:rPr>
                <w:rFonts w:ascii="Arial"/>
              </w:rPr>
            </w:pPr>
          </w:p>
          <w:p w14:paraId="2BFEC4AD">
            <w:pPr>
              <w:spacing w:line="261" w:lineRule="auto"/>
              <w:rPr>
                <w:rFonts w:ascii="Arial"/>
              </w:rPr>
            </w:pPr>
          </w:p>
          <w:p w14:paraId="2D9835FD">
            <w:pPr>
              <w:spacing w:line="262" w:lineRule="auto"/>
              <w:rPr>
                <w:rFonts w:ascii="Arial"/>
              </w:rPr>
            </w:pPr>
          </w:p>
          <w:p w14:paraId="28E8A7E5">
            <w:pPr>
              <w:spacing w:line="262" w:lineRule="auto"/>
              <w:rPr>
                <w:rFonts w:ascii="Arial"/>
              </w:rPr>
            </w:pPr>
          </w:p>
          <w:p w14:paraId="4EA82791">
            <w:pPr>
              <w:spacing w:line="262" w:lineRule="auto"/>
              <w:rPr>
                <w:rFonts w:ascii="Arial"/>
              </w:rPr>
            </w:pPr>
          </w:p>
          <w:p w14:paraId="3352DE4C">
            <w:pPr>
              <w:pStyle w:val="167"/>
              <w:spacing w:before="62" w:line="191" w:lineRule="auto"/>
              <w:ind w:left="204"/>
              <w:rPr>
                <w:sz w:val="19"/>
                <w:szCs w:val="19"/>
              </w:rPr>
            </w:pPr>
            <w:r>
              <w:rPr>
                <w:spacing w:val="4"/>
                <w:sz w:val="19"/>
                <w:szCs w:val="19"/>
              </w:rPr>
              <w:t>A020523</w:t>
            </w:r>
          </w:p>
          <w:p w14:paraId="24EF08FE">
            <w:pPr>
              <w:pStyle w:val="167"/>
              <w:spacing w:before="32" w:line="229" w:lineRule="auto"/>
              <w:ind w:left="160"/>
              <w:rPr>
                <w:sz w:val="19"/>
                <w:szCs w:val="19"/>
              </w:rPr>
            </w:pPr>
            <w:r>
              <w:rPr>
                <w:spacing w:val="7"/>
                <w:sz w:val="19"/>
                <w:szCs w:val="19"/>
              </w:rPr>
              <w:t>制冷空调</w:t>
            </w:r>
          </w:p>
          <w:p w14:paraId="4EB3953D">
            <w:pPr>
              <w:pStyle w:val="167"/>
              <w:spacing w:before="23" w:line="230" w:lineRule="auto"/>
              <w:ind w:left="364"/>
              <w:rPr>
                <w:sz w:val="19"/>
                <w:szCs w:val="19"/>
              </w:rPr>
            </w:pPr>
            <w:r>
              <w:rPr>
                <w:spacing w:val="3"/>
                <w:sz w:val="19"/>
                <w:szCs w:val="19"/>
              </w:rPr>
              <w:t>设备</w:t>
            </w:r>
          </w:p>
        </w:tc>
        <w:tc>
          <w:tcPr>
            <w:tcW w:w="1515" w:type="dxa"/>
            <w:vMerge w:val="restart"/>
            <w:tcBorders>
              <w:bottom w:val="nil"/>
            </w:tcBorders>
          </w:tcPr>
          <w:p w14:paraId="6C6E91B6">
            <w:pPr>
              <w:spacing w:line="312" w:lineRule="auto"/>
              <w:rPr>
                <w:rFonts w:ascii="Arial"/>
              </w:rPr>
            </w:pPr>
          </w:p>
          <w:p w14:paraId="49F85F64">
            <w:pPr>
              <w:spacing w:line="313" w:lineRule="auto"/>
              <w:rPr>
                <w:rFonts w:ascii="Arial"/>
              </w:rPr>
            </w:pPr>
          </w:p>
          <w:p w14:paraId="04A4AE17">
            <w:pPr>
              <w:pStyle w:val="167"/>
              <w:spacing w:before="62"/>
              <w:ind w:left="261" w:right="206" w:hanging="47"/>
              <w:rPr>
                <w:sz w:val="19"/>
                <w:szCs w:val="19"/>
              </w:rPr>
            </w:pPr>
            <w:r>
              <w:rPr>
                <w:spacing w:val="4"/>
                <w:sz w:val="19"/>
                <w:szCs w:val="19"/>
              </w:rPr>
              <w:t>★A02052301</w:t>
            </w:r>
            <w:r>
              <w:rPr>
                <w:spacing w:val="3"/>
                <w:sz w:val="19"/>
                <w:szCs w:val="19"/>
              </w:rPr>
              <w:t xml:space="preserve"> </w:t>
            </w:r>
            <w:r>
              <w:rPr>
                <w:spacing w:val="7"/>
                <w:sz w:val="19"/>
                <w:szCs w:val="19"/>
              </w:rPr>
              <w:t>制冷压缩机</w:t>
            </w:r>
          </w:p>
        </w:tc>
        <w:tc>
          <w:tcPr>
            <w:tcW w:w="1611" w:type="dxa"/>
          </w:tcPr>
          <w:p w14:paraId="77D9C9A6">
            <w:pPr>
              <w:pStyle w:val="167"/>
              <w:spacing w:before="294" w:line="227" w:lineRule="auto"/>
              <w:ind w:left="411"/>
              <w:rPr>
                <w:sz w:val="19"/>
                <w:szCs w:val="19"/>
              </w:rPr>
            </w:pPr>
            <w:r>
              <w:rPr>
                <w:spacing w:val="7"/>
                <w:sz w:val="19"/>
                <w:szCs w:val="19"/>
              </w:rPr>
              <w:t>冷水机组</w:t>
            </w:r>
          </w:p>
        </w:tc>
        <w:tc>
          <w:tcPr>
            <w:tcW w:w="4337" w:type="dxa"/>
          </w:tcPr>
          <w:p w14:paraId="1FF60371">
            <w:pPr>
              <w:pStyle w:val="167"/>
              <w:spacing w:before="35" w:line="239" w:lineRule="auto"/>
              <w:ind w:left="114" w:right="57" w:firstLine="5"/>
              <w:rPr>
                <w:sz w:val="19"/>
                <w:szCs w:val="19"/>
              </w:rPr>
            </w:pPr>
            <w:r>
              <w:rPr>
                <w:sz w:val="19"/>
                <w:szCs w:val="19"/>
              </w:rPr>
              <w:t>《冷水机组能效限定值及能效等级》（GB19577</w:t>
            </w:r>
            <w:r>
              <w:rPr>
                <w:spacing w:val="-46"/>
                <w:w w:val="92"/>
                <w:sz w:val="19"/>
                <w:szCs w:val="19"/>
              </w:rPr>
              <w:t>），</w:t>
            </w:r>
            <w:r>
              <w:rPr>
                <w:spacing w:val="1"/>
                <w:sz w:val="19"/>
                <w:szCs w:val="19"/>
              </w:rPr>
              <w:t xml:space="preserve"> </w:t>
            </w:r>
            <w:r>
              <w:rPr>
                <w:spacing w:val="5"/>
                <w:sz w:val="19"/>
                <w:szCs w:val="19"/>
              </w:rPr>
              <w:t>《低环境温度空气源热泵（冷水）机组能效限定</w:t>
            </w:r>
            <w:r>
              <w:rPr>
                <w:spacing w:val="14"/>
                <w:sz w:val="19"/>
                <w:szCs w:val="19"/>
              </w:rPr>
              <w:t xml:space="preserve"> </w:t>
            </w:r>
            <w:r>
              <w:rPr>
                <w:spacing w:val="7"/>
                <w:sz w:val="19"/>
                <w:szCs w:val="19"/>
              </w:rPr>
              <w:t>值及能效等级》（</w:t>
            </w:r>
            <w:r>
              <w:rPr>
                <w:sz w:val="19"/>
                <w:szCs w:val="19"/>
              </w:rPr>
              <w:t>GB</w:t>
            </w:r>
            <w:r>
              <w:rPr>
                <w:spacing w:val="7"/>
                <w:sz w:val="19"/>
                <w:szCs w:val="19"/>
              </w:rPr>
              <w:t>37480）</w:t>
            </w:r>
          </w:p>
        </w:tc>
      </w:tr>
      <w:tr w14:paraId="2EE42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46" w:type="dxa"/>
            <w:vMerge w:val="continue"/>
            <w:tcBorders>
              <w:top w:val="nil"/>
              <w:bottom w:val="nil"/>
            </w:tcBorders>
          </w:tcPr>
          <w:p w14:paraId="1F8A2118">
            <w:pPr>
              <w:rPr>
                <w:rFonts w:ascii="Arial"/>
              </w:rPr>
            </w:pPr>
          </w:p>
        </w:tc>
        <w:tc>
          <w:tcPr>
            <w:tcW w:w="1115" w:type="dxa"/>
            <w:vMerge w:val="continue"/>
            <w:tcBorders>
              <w:top w:val="nil"/>
              <w:bottom w:val="nil"/>
            </w:tcBorders>
          </w:tcPr>
          <w:p w14:paraId="2868C98B">
            <w:pPr>
              <w:rPr>
                <w:rFonts w:ascii="Arial"/>
              </w:rPr>
            </w:pPr>
          </w:p>
        </w:tc>
        <w:tc>
          <w:tcPr>
            <w:tcW w:w="1515" w:type="dxa"/>
            <w:vMerge w:val="continue"/>
            <w:tcBorders>
              <w:top w:val="nil"/>
              <w:bottom w:val="nil"/>
            </w:tcBorders>
          </w:tcPr>
          <w:p w14:paraId="085EC0E0">
            <w:pPr>
              <w:rPr>
                <w:rFonts w:ascii="Arial"/>
              </w:rPr>
            </w:pPr>
          </w:p>
        </w:tc>
        <w:tc>
          <w:tcPr>
            <w:tcW w:w="1611" w:type="dxa"/>
          </w:tcPr>
          <w:p w14:paraId="13F7E356">
            <w:pPr>
              <w:pStyle w:val="167"/>
              <w:spacing w:before="163" w:line="227" w:lineRule="auto"/>
              <w:ind w:left="213"/>
              <w:rPr>
                <w:sz w:val="19"/>
                <w:szCs w:val="19"/>
              </w:rPr>
            </w:pPr>
            <w:r>
              <w:rPr>
                <w:spacing w:val="8"/>
                <w:sz w:val="19"/>
                <w:szCs w:val="19"/>
              </w:rPr>
              <w:t>水源热泵机组</w:t>
            </w:r>
          </w:p>
        </w:tc>
        <w:tc>
          <w:tcPr>
            <w:tcW w:w="4337" w:type="dxa"/>
          </w:tcPr>
          <w:p w14:paraId="3DEB9703">
            <w:pPr>
              <w:pStyle w:val="167"/>
              <w:spacing w:before="33" w:line="233" w:lineRule="auto"/>
              <w:ind w:left="123" w:right="40" w:hanging="4"/>
              <w:rPr>
                <w:sz w:val="19"/>
                <w:szCs w:val="19"/>
              </w:rPr>
            </w:pPr>
            <w:r>
              <w:rPr>
                <w:spacing w:val="8"/>
                <w:sz w:val="19"/>
                <w:szCs w:val="19"/>
              </w:rPr>
              <w:t>《水（地）源热泵机组能效限定值及能效等级》</w:t>
            </w:r>
            <w:r>
              <w:rPr>
                <w:spacing w:val="13"/>
                <w:sz w:val="19"/>
                <w:szCs w:val="19"/>
              </w:rPr>
              <w:t xml:space="preserve"> </w:t>
            </w:r>
            <w:r>
              <w:rPr>
                <w:spacing w:val="3"/>
                <w:sz w:val="19"/>
                <w:szCs w:val="19"/>
              </w:rPr>
              <w:t>（</w:t>
            </w:r>
            <w:r>
              <w:rPr>
                <w:sz w:val="19"/>
                <w:szCs w:val="19"/>
              </w:rPr>
              <w:t>GB</w:t>
            </w:r>
            <w:r>
              <w:rPr>
                <w:spacing w:val="3"/>
                <w:sz w:val="19"/>
                <w:szCs w:val="19"/>
              </w:rPr>
              <w:t>30721）</w:t>
            </w:r>
          </w:p>
        </w:tc>
      </w:tr>
      <w:tr w14:paraId="2203D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46" w:type="dxa"/>
            <w:vMerge w:val="continue"/>
            <w:tcBorders>
              <w:top w:val="nil"/>
              <w:bottom w:val="nil"/>
            </w:tcBorders>
          </w:tcPr>
          <w:p w14:paraId="13371D90">
            <w:pPr>
              <w:rPr>
                <w:rFonts w:ascii="Arial"/>
              </w:rPr>
            </w:pPr>
          </w:p>
        </w:tc>
        <w:tc>
          <w:tcPr>
            <w:tcW w:w="1115" w:type="dxa"/>
            <w:vMerge w:val="continue"/>
            <w:tcBorders>
              <w:top w:val="nil"/>
              <w:bottom w:val="nil"/>
            </w:tcBorders>
          </w:tcPr>
          <w:p w14:paraId="6324301E">
            <w:pPr>
              <w:rPr>
                <w:rFonts w:ascii="Arial"/>
              </w:rPr>
            </w:pPr>
          </w:p>
        </w:tc>
        <w:tc>
          <w:tcPr>
            <w:tcW w:w="1515" w:type="dxa"/>
            <w:vMerge w:val="continue"/>
            <w:tcBorders>
              <w:top w:val="nil"/>
            </w:tcBorders>
          </w:tcPr>
          <w:p w14:paraId="2CEDED16">
            <w:pPr>
              <w:rPr>
                <w:rFonts w:ascii="Arial"/>
              </w:rPr>
            </w:pPr>
          </w:p>
        </w:tc>
        <w:tc>
          <w:tcPr>
            <w:tcW w:w="1611" w:type="dxa"/>
          </w:tcPr>
          <w:p w14:paraId="36DE7C66">
            <w:pPr>
              <w:pStyle w:val="167"/>
              <w:spacing w:before="34" w:line="233" w:lineRule="auto"/>
              <w:ind w:left="410" w:right="203" w:hanging="196"/>
              <w:rPr>
                <w:sz w:val="19"/>
                <w:szCs w:val="19"/>
              </w:rPr>
            </w:pPr>
            <w:r>
              <w:rPr>
                <w:spacing w:val="8"/>
                <w:sz w:val="19"/>
                <w:szCs w:val="19"/>
              </w:rPr>
              <w:t>溴化锂吸收式</w:t>
            </w:r>
            <w:r>
              <w:rPr>
                <w:sz w:val="19"/>
                <w:szCs w:val="19"/>
              </w:rPr>
              <w:t xml:space="preserve"> </w:t>
            </w:r>
            <w:r>
              <w:rPr>
                <w:spacing w:val="7"/>
                <w:sz w:val="19"/>
                <w:szCs w:val="19"/>
              </w:rPr>
              <w:t>冷水机组</w:t>
            </w:r>
          </w:p>
        </w:tc>
        <w:tc>
          <w:tcPr>
            <w:tcW w:w="4337" w:type="dxa"/>
          </w:tcPr>
          <w:p w14:paraId="3E9EA056">
            <w:pPr>
              <w:pStyle w:val="167"/>
              <w:spacing w:before="34" w:line="233" w:lineRule="auto"/>
              <w:ind w:left="117" w:right="227" w:firstLine="2"/>
              <w:rPr>
                <w:sz w:val="19"/>
                <w:szCs w:val="19"/>
              </w:rPr>
            </w:pPr>
            <w:r>
              <w:rPr>
                <w:spacing w:val="9"/>
                <w:sz w:val="19"/>
                <w:szCs w:val="19"/>
              </w:rPr>
              <w:t>《溴化锂吸收式冷水机组能效限定值及能效等</w:t>
            </w:r>
            <w:r>
              <w:rPr>
                <w:spacing w:val="3"/>
                <w:sz w:val="19"/>
                <w:szCs w:val="19"/>
              </w:rPr>
              <w:t xml:space="preserve"> </w:t>
            </w:r>
            <w:r>
              <w:rPr>
                <w:spacing w:val="5"/>
                <w:sz w:val="19"/>
                <w:szCs w:val="19"/>
              </w:rPr>
              <w:t>级》（</w:t>
            </w:r>
            <w:r>
              <w:rPr>
                <w:sz w:val="19"/>
                <w:szCs w:val="19"/>
              </w:rPr>
              <w:t>GB</w:t>
            </w:r>
            <w:r>
              <w:rPr>
                <w:spacing w:val="5"/>
                <w:sz w:val="19"/>
                <w:szCs w:val="19"/>
              </w:rPr>
              <w:t>29540）</w:t>
            </w:r>
          </w:p>
        </w:tc>
      </w:tr>
      <w:tr w14:paraId="453E1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646" w:type="dxa"/>
            <w:vMerge w:val="continue"/>
            <w:tcBorders>
              <w:top w:val="nil"/>
              <w:bottom w:val="nil"/>
            </w:tcBorders>
          </w:tcPr>
          <w:p w14:paraId="22537D2D">
            <w:pPr>
              <w:rPr>
                <w:rFonts w:ascii="Arial"/>
              </w:rPr>
            </w:pPr>
          </w:p>
        </w:tc>
        <w:tc>
          <w:tcPr>
            <w:tcW w:w="1115" w:type="dxa"/>
            <w:vMerge w:val="continue"/>
            <w:tcBorders>
              <w:top w:val="nil"/>
              <w:bottom w:val="nil"/>
            </w:tcBorders>
          </w:tcPr>
          <w:p w14:paraId="5BE8C38A">
            <w:pPr>
              <w:rPr>
                <w:rFonts w:ascii="Arial"/>
              </w:rPr>
            </w:pPr>
          </w:p>
        </w:tc>
        <w:tc>
          <w:tcPr>
            <w:tcW w:w="1515" w:type="dxa"/>
            <w:vMerge w:val="restart"/>
            <w:tcBorders>
              <w:bottom w:val="nil"/>
            </w:tcBorders>
          </w:tcPr>
          <w:p w14:paraId="1B1D9C94">
            <w:pPr>
              <w:spacing w:line="246" w:lineRule="auto"/>
              <w:rPr>
                <w:rFonts w:ascii="Arial"/>
              </w:rPr>
            </w:pPr>
          </w:p>
          <w:p w14:paraId="208D62D0">
            <w:pPr>
              <w:spacing w:line="246" w:lineRule="auto"/>
              <w:rPr>
                <w:rFonts w:ascii="Arial"/>
              </w:rPr>
            </w:pPr>
          </w:p>
          <w:p w14:paraId="1065DF07">
            <w:pPr>
              <w:pStyle w:val="167"/>
              <w:spacing w:before="62"/>
              <w:ind w:left="368" w:right="206" w:hanging="154"/>
              <w:rPr>
                <w:sz w:val="19"/>
                <w:szCs w:val="19"/>
              </w:rPr>
            </w:pPr>
            <w:r>
              <w:rPr>
                <w:spacing w:val="4"/>
                <w:sz w:val="19"/>
                <w:szCs w:val="19"/>
              </w:rPr>
              <w:t>★A02052305</w:t>
            </w:r>
            <w:r>
              <w:rPr>
                <w:spacing w:val="3"/>
                <w:sz w:val="19"/>
                <w:szCs w:val="19"/>
              </w:rPr>
              <w:t xml:space="preserve"> </w:t>
            </w:r>
            <w:r>
              <w:rPr>
                <w:spacing w:val="6"/>
                <w:sz w:val="19"/>
                <w:szCs w:val="19"/>
              </w:rPr>
              <w:t>空调机组</w:t>
            </w:r>
          </w:p>
        </w:tc>
        <w:tc>
          <w:tcPr>
            <w:tcW w:w="1611" w:type="dxa"/>
          </w:tcPr>
          <w:p w14:paraId="1E33BA42">
            <w:pPr>
              <w:pStyle w:val="167"/>
              <w:spacing w:before="34" w:line="230" w:lineRule="auto"/>
              <w:ind w:left="121"/>
              <w:rPr>
                <w:sz w:val="19"/>
                <w:szCs w:val="19"/>
              </w:rPr>
            </w:pPr>
            <w:r>
              <w:rPr>
                <w:spacing w:val="6"/>
                <w:sz w:val="19"/>
                <w:szCs w:val="19"/>
              </w:rPr>
              <w:t>多联式空调（热</w:t>
            </w:r>
          </w:p>
          <w:p w14:paraId="11487F89">
            <w:pPr>
              <w:pStyle w:val="167"/>
              <w:spacing w:before="23" w:line="227" w:lineRule="auto"/>
              <w:ind w:left="161"/>
              <w:rPr>
                <w:sz w:val="19"/>
                <w:szCs w:val="19"/>
              </w:rPr>
            </w:pPr>
            <w:r>
              <w:rPr>
                <w:spacing w:val="7"/>
                <w:sz w:val="19"/>
                <w:szCs w:val="19"/>
              </w:rPr>
              <w:t>泵）机组(制冷</w:t>
            </w:r>
          </w:p>
          <w:p w14:paraId="35C2F120">
            <w:pPr>
              <w:pStyle w:val="167"/>
              <w:spacing w:before="25" w:line="213" w:lineRule="auto"/>
              <w:ind w:left="311"/>
              <w:rPr>
                <w:sz w:val="19"/>
                <w:szCs w:val="19"/>
              </w:rPr>
            </w:pPr>
            <w:r>
              <w:rPr>
                <w:spacing w:val="4"/>
                <w:sz w:val="19"/>
                <w:szCs w:val="19"/>
              </w:rPr>
              <w:t>量&gt;14000W)</w:t>
            </w:r>
          </w:p>
        </w:tc>
        <w:tc>
          <w:tcPr>
            <w:tcW w:w="4337" w:type="dxa"/>
          </w:tcPr>
          <w:p w14:paraId="3FDFF135">
            <w:pPr>
              <w:pStyle w:val="167"/>
              <w:spacing w:before="164"/>
              <w:ind w:left="115" w:right="109" w:firstLine="3"/>
              <w:rPr>
                <w:sz w:val="19"/>
                <w:szCs w:val="19"/>
              </w:rPr>
            </w:pPr>
            <w:r>
              <w:rPr>
                <w:spacing w:val="5"/>
                <w:sz w:val="19"/>
                <w:szCs w:val="19"/>
              </w:rPr>
              <w:t>《多联式空调（热泵）机组能效限定值及能源效</w:t>
            </w:r>
            <w:r>
              <w:rPr>
                <w:spacing w:val="6"/>
                <w:sz w:val="19"/>
                <w:szCs w:val="19"/>
              </w:rPr>
              <w:t xml:space="preserve"> 率等级》（</w:t>
            </w:r>
            <w:r>
              <w:rPr>
                <w:sz w:val="19"/>
                <w:szCs w:val="19"/>
              </w:rPr>
              <w:t>GB</w:t>
            </w:r>
            <w:r>
              <w:rPr>
                <w:spacing w:val="6"/>
                <w:sz w:val="19"/>
                <w:szCs w:val="19"/>
              </w:rPr>
              <w:t>21454）</w:t>
            </w:r>
          </w:p>
        </w:tc>
      </w:tr>
      <w:tr w14:paraId="046F8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646" w:type="dxa"/>
            <w:vMerge w:val="continue"/>
            <w:tcBorders>
              <w:top w:val="nil"/>
              <w:bottom w:val="nil"/>
            </w:tcBorders>
          </w:tcPr>
          <w:p w14:paraId="678A6A84">
            <w:pPr>
              <w:rPr>
                <w:rFonts w:ascii="Arial"/>
              </w:rPr>
            </w:pPr>
          </w:p>
        </w:tc>
        <w:tc>
          <w:tcPr>
            <w:tcW w:w="1115" w:type="dxa"/>
            <w:vMerge w:val="continue"/>
            <w:tcBorders>
              <w:top w:val="nil"/>
              <w:bottom w:val="nil"/>
            </w:tcBorders>
          </w:tcPr>
          <w:p w14:paraId="74563276">
            <w:pPr>
              <w:rPr>
                <w:rFonts w:ascii="Arial"/>
              </w:rPr>
            </w:pPr>
          </w:p>
        </w:tc>
        <w:tc>
          <w:tcPr>
            <w:tcW w:w="1515" w:type="dxa"/>
            <w:vMerge w:val="continue"/>
            <w:tcBorders>
              <w:top w:val="nil"/>
            </w:tcBorders>
          </w:tcPr>
          <w:p w14:paraId="24339B3E">
            <w:pPr>
              <w:rPr>
                <w:rFonts w:ascii="Arial"/>
              </w:rPr>
            </w:pPr>
          </w:p>
        </w:tc>
        <w:tc>
          <w:tcPr>
            <w:tcW w:w="1611" w:type="dxa"/>
          </w:tcPr>
          <w:p w14:paraId="544FBDFD">
            <w:pPr>
              <w:pStyle w:val="167"/>
              <w:spacing w:before="35" w:line="239" w:lineRule="auto"/>
              <w:ind w:left="359" w:right="203" w:hanging="147"/>
              <w:rPr>
                <w:sz w:val="19"/>
                <w:szCs w:val="19"/>
              </w:rPr>
            </w:pPr>
            <w:r>
              <w:rPr>
                <w:spacing w:val="8"/>
                <w:sz w:val="19"/>
                <w:szCs w:val="19"/>
              </w:rPr>
              <w:t>单元式空气调</w:t>
            </w:r>
            <w:r>
              <w:rPr>
                <w:spacing w:val="1"/>
                <w:sz w:val="19"/>
                <w:szCs w:val="19"/>
              </w:rPr>
              <w:t xml:space="preserve"> </w:t>
            </w:r>
            <w:r>
              <w:rPr>
                <w:spacing w:val="7"/>
                <w:sz w:val="19"/>
                <w:szCs w:val="19"/>
              </w:rPr>
              <w:t>节机(制冷</w:t>
            </w:r>
            <w:r>
              <w:rPr>
                <w:sz w:val="19"/>
                <w:szCs w:val="19"/>
              </w:rPr>
              <w:t xml:space="preserve">  </w:t>
            </w:r>
            <w:r>
              <w:rPr>
                <w:spacing w:val="4"/>
                <w:sz w:val="19"/>
                <w:szCs w:val="19"/>
              </w:rPr>
              <w:t>量&gt;14000W</w:t>
            </w:r>
          </w:p>
        </w:tc>
        <w:tc>
          <w:tcPr>
            <w:tcW w:w="4337" w:type="dxa"/>
          </w:tcPr>
          <w:p w14:paraId="5F18C774">
            <w:pPr>
              <w:pStyle w:val="167"/>
              <w:spacing w:before="34" w:line="227" w:lineRule="auto"/>
              <w:ind w:left="119"/>
              <w:rPr>
                <w:sz w:val="19"/>
                <w:szCs w:val="19"/>
              </w:rPr>
            </w:pPr>
            <w:r>
              <w:rPr>
                <w:spacing w:val="8"/>
                <w:sz w:val="19"/>
                <w:szCs w:val="19"/>
              </w:rPr>
              <w:t>《单元式空气调节机能效限定值及能效等级》</w:t>
            </w:r>
          </w:p>
          <w:p w14:paraId="0D8C0BCA">
            <w:pPr>
              <w:pStyle w:val="167"/>
              <w:spacing w:before="24" w:line="233" w:lineRule="auto"/>
              <w:ind w:left="113" w:right="126" w:firstLine="10"/>
              <w:rPr>
                <w:sz w:val="19"/>
                <w:szCs w:val="19"/>
              </w:rPr>
            </w:pPr>
            <w:r>
              <w:rPr>
                <w:spacing w:val="8"/>
                <w:sz w:val="19"/>
                <w:szCs w:val="19"/>
              </w:rPr>
              <w:t>（</w:t>
            </w:r>
            <w:r>
              <w:rPr>
                <w:sz w:val="19"/>
                <w:szCs w:val="19"/>
              </w:rPr>
              <w:t>GB</w:t>
            </w:r>
            <w:r>
              <w:rPr>
                <w:spacing w:val="8"/>
                <w:sz w:val="19"/>
                <w:szCs w:val="19"/>
              </w:rPr>
              <w:t>19576）《风管送风式空调机组能效限定值</w:t>
            </w:r>
            <w:r>
              <w:rPr>
                <w:spacing w:val="9"/>
                <w:sz w:val="19"/>
                <w:szCs w:val="19"/>
              </w:rPr>
              <w:t xml:space="preserve"> </w:t>
            </w:r>
            <w:r>
              <w:rPr>
                <w:spacing w:val="7"/>
                <w:sz w:val="19"/>
                <w:szCs w:val="19"/>
              </w:rPr>
              <w:t>及能效等级》（</w:t>
            </w:r>
            <w:r>
              <w:rPr>
                <w:sz w:val="19"/>
                <w:szCs w:val="19"/>
              </w:rPr>
              <w:t>GB</w:t>
            </w:r>
            <w:r>
              <w:rPr>
                <w:spacing w:val="7"/>
                <w:sz w:val="19"/>
                <w:szCs w:val="19"/>
              </w:rPr>
              <w:t>37479）</w:t>
            </w:r>
          </w:p>
        </w:tc>
      </w:tr>
      <w:tr w14:paraId="5E79B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646" w:type="dxa"/>
            <w:vMerge w:val="continue"/>
            <w:tcBorders>
              <w:top w:val="nil"/>
              <w:bottom w:val="nil"/>
            </w:tcBorders>
          </w:tcPr>
          <w:p w14:paraId="67684B39">
            <w:pPr>
              <w:rPr>
                <w:rFonts w:ascii="Arial"/>
              </w:rPr>
            </w:pPr>
          </w:p>
        </w:tc>
        <w:tc>
          <w:tcPr>
            <w:tcW w:w="1115" w:type="dxa"/>
            <w:vMerge w:val="continue"/>
            <w:tcBorders>
              <w:top w:val="nil"/>
              <w:bottom w:val="nil"/>
            </w:tcBorders>
          </w:tcPr>
          <w:p w14:paraId="514851F7">
            <w:pPr>
              <w:rPr>
                <w:rFonts w:ascii="Arial"/>
              </w:rPr>
            </w:pPr>
          </w:p>
        </w:tc>
        <w:tc>
          <w:tcPr>
            <w:tcW w:w="1515" w:type="dxa"/>
          </w:tcPr>
          <w:p w14:paraId="7D63F982">
            <w:pPr>
              <w:pStyle w:val="167"/>
              <w:spacing w:before="36" w:line="235" w:lineRule="auto"/>
              <w:ind w:left="214"/>
              <w:rPr>
                <w:sz w:val="19"/>
                <w:szCs w:val="19"/>
              </w:rPr>
            </w:pPr>
            <w:r>
              <w:rPr>
                <w:spacing w:val="4"/>
                <w:sz w:val="19"/>
                <w:szCs w:val="19"/>
              </w:rPr>
              <w:t>★A02052309</w:t>
            </w:r>
          </w:p>
          <w:p w14:paraId="1A318681">
            <w:pPr>
              <w:pStyle w:val="167"/>
              <w:spacing w:before="14" w:line="229" w:lineRule="auto"/>
              <w:ind w:left="111"/>
              <w:rPr>
                <w:sz w:val="19"/>
                <w:szCs w:val="19"/>
              </w:rPr>
            </w:pPr>
            <w:r>
              <w:rPr>
                <w:spacing w:val="-6"/>
                <w:sz w:val="19"/>
                <w:szCs w:val="19"/>
              </w:rPr>
              <w:t>专用制冷、空调</w:t>
            </w:r>
          </w:p>
          <w:p w14:paraId="05CC77C9">
            <w:pPr>
              <w:pStyle w:val="167"/>
              <w:spacing w:before="23" w:line="215" w:lineRule="auto"/>
              <w:ind w:left="564"/>
              <w:rPr>
                <w:sz w:val="19"/>
                <w:szCs w:val="19"/>
              </w:rPr>
            </w:pPr>
            <w:r>
              <w:rPr>
                <w:spacing w:val="3"/>
                <w:sz w:val="19"/>
                <w:szCs w:val="19"/>
              </w:rPr>
              <w:t>设备</w:t>
            </w:r>
          </w:p>
        </w:tc>
        <w:tc>
          <w:tcPr>
            <w:tcW w:w="1611" w:type="dxa"/>
          </w:tcPr>
          <w:p w14:paraId="031B801C">
            <w:pPr>
              <w:pStyle w:val="167"/>
              <w:spacing w:before="293" w:line="227" w:lineRule="auto"/>
              <w:ind w:left="409"/>
              <w:rPr>
                <w:sz w:val="19"/>
                <w:szCs w:val="19"/>
              </w:rPr>
            </w:pPr>
            <w:r>
              <w:rPr>
                <w:spacing w:val="8"/>
                <w:sz w:val="19"/>
                <w:szCs w:val="19"/>
              </w:rPr>
              <w:t>机房空调</w:t>
            </w:r>
          </w:p>
        </w:tc>
        <w:tc>
          <w:tcPr>
            <w:tcW w:w="4337" w:type="dxa"/>
          </w:tcPr>
          <w:p w14:paraId="3D50770B">
            <w:pPr>
              <w:pStyle w:val="167"/>
              <w:spacing w:before="163" w:line="246" w:lineRule="auto"/>
              <w:ind w:left="123" w:right="239" w:hanging="4"/>
              <w:rPr>
                <w:sz w:val="19"/>
                <w:szCs w:val="19"/>
              </w:rPr>
            </w:pPr>
            <w:r>
              <w:rPr>
                <w:spacing w:val="8"/>
                <w:sz w:val="19"/>
                <w:szCs w:val="19"/>
              </w:rPr>
              <w:t>《单元式空气调节机能效限定值及能效等级》</w:t>
            </w:r>
            <w:r>
              <w:rPr>
                <w:spacing w:val="11"/>
                <w:sz w:val="19"/>
                <w:szCs w:val="19"/>
              </w:rPr>
              <w:t xml:space="preserve"> </w:t>
            </w:r>
            <w:r>
              <w:rPr>
                <w:spacing w:val="3"/>
                <w:sz w:val="19"/>
                <w:szCs w:val="19"/>
              </w:rPr>
              <w:t>（</w:t>
            </w:r>
            <w:r>
              <w:rPr>
                <w:sz w:val="19"/>
                <w:szCs w:val="19"/>
              </w:rPr>
              <w:t>GB</w:t>
            </w:r>
            <w:r>
              <w:rPr>
                <w:spacing w:val="3"/>
                <w:sz w:val="19"/>
                <w:szCs w:val="19"/>
              </w:rPr>
              <w:t>19576）</w:t>
            </w:r>
          </w:p>
        </w:tc>
      </w:tr>
      <w:tr w14:paraId="08C41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46" w:type="dxa"/>
            <w:vMerge w:val="continue"/>
            <w:tcBorders>
              <w:top w:val="nil"/>
            </w:tcBorders>
          </w:tcPr>
          <w:p w14:paraId="3111DB41">
            <w:pPr>
              <w:rPr>
                <w:rFonts w:ascii="Arial"/>
              </w:rPr>
            </w:pPr>
          </w:p>
        </w:tc>
        <w:tc>
          <w:tcPr>
            <w:tcW w:w="1115" w:type="dxa"/>
            <w:vMerge w:val="continue"/>
            <w:tcBorders>
              <w:top w:val="nil"/>
            </w:tcBorders>
          </w:tcPr>
          <w:p w14:paraId="09DAB244">
            <w:pPr>
              <w:rPr>
                <w:rFonts w:ascii="Arial"/>
              </w:rPr>
            </w:pPr>
          </w:p>
        </w:tc>
        <w:tc>
          <w:tcPr>
            <w:tcW w:w="1515" w:type="dxa"/>
          </w:tcPr>
          <w:p w14:paraId="2D486D07">
            <w:pPr>
              <w:pStyle w:val="167"/>
              <w:spacing w:before="34" w:line="230" w:lineRule="auto"/>
              <w:ind w:left="181"/>
              <w:rPr>
                <w:sz w:val="19"/>
                <w:szCs w:val="19"/>
              </w:rPr>
            </w:pPr>
            <w:r>
              <w:rPr>
                <w:spacing w:val="4"/>
                <w:sz w:val="19"/>
                <w:szCs w:val="19"/>
              </w:rPr>
              <w:t>A02052399</w:t>
            </w:r>
            <w:r>
              <w:rPr>
                <w:spacing w:val="-36"/>
                <w:sz w:val="19"/>
                <w:szCs w:val="19"/>
              </w:rPr>
              <w:t xml:space="preserve"> </w:t>
            </w:r>
            <w:r>
              <w:rPr>
                <w:spacing w:val="4"/>
                <w:sz w:val="19"/>
                <w:szCs w:val="19"/>
              </w:rPr>
              <w:t>其</w:t>
            </w:r>
          </w:p>
          <w:p w14:paraId="4BFA1662">
            <w:pPr>
              <w:pStyle w:val="167"/>
              <w:spacing w:before="22" w:line="229" w:lineRule="auto"/>
              <w:ind w:left="160"/>
              <w:rPr>
                <w:sz w:val="19"/>
                <w:szCs w:val="19"/>
              </w:rPr>
            </w:pPr>
            <w:r>
              <w:rPr>
                <w:spacing w:val="8"/>
                <w:sz w:val="19"/>
                <w:szCs w:val="19"/>
              </w:rPr>
              <w:t>他制冷空调设</w:t>
            </w:r>
          </w:p>
          <w:p w14:paraId="27B35B36">
            <w:pPr>
              <w:pStyle w:val="167"/>
              <w:spacing w:before="23" w:line="215" w:lineRule="auto"/>
              <w:ind w:left="664"/>
              <w:rPr>
                <w:sz w:val="19"/>
                <w:szCs w:val="19"/>
              </w:rPr>
            </w:pPr>
            <w:r>
              <w:rPr>
                <w:sz w:val="19"/>
                <w:szCs w:val="19"/>
              </w:rPr>
              <w:t>备</w:t>
            </w:r>
          </w:p>
        </w:tc>
        <w:tc>
          <w:tcPr>
            <w:tcW w:w="1611" w:type="dxa"/>
          </w:tcPr>
          <w:p w14:paraId="1029C646">
            <w:pPr>
              <w:pStyle w:val="167"/>
              <w:spacing w:before="294" w:line="230" w:lineRule="auto"/>
              <w:ind w:left="512"/>
              <w:rPr>
                <w:sz w:val="19"/>
                <w:szCs w:val="19"/>
              </w:rPr>
            </w:pPr>
            <w:r>
              <w:rPr>
                <w:spacing w:val="6"/>
                <w:sz w:val="19"/>
                <w:szCs w:val="19"/>
              </w:rPr>
              <w:t>冷却塔</w:t>
            </w:r>
          </w:p>
        </w:tc>
        <w:tc>
          <w:tcPr>
            <w:tcW w:w="4337" w:type="dxa"/>
          </w:tcPr>
          <w:p w14:paraId="6C64052B">
            <w:pPr>
              <w:pStyle w:val="167"/>
              <w:spacing w:before="34"/>
              <w:ind w:left="114" w:right="227" w:firstLine="5"/>
              <w:rPr>
                <w:sz w:val="19"/>
                <w:szCs w:val="19"/>
              </w:rPr>
            </w:pPr>
            <w:r>
              <w:rPr>
                <w:spacing w:val="5"/>
                <w:sz w:val="19"/>
                <w:szCs w:val="19"/>
              </w:rPr>
              <w:t>《机械通风冷却塔第</w:t>
            </w:r>
            <w:r>
              <w:rPr>
                <w:spacing w:val="-14"/>
                <w:sz w:val="19"/>
                <w:szCs w:val="19"/>
              </w:rPr>
              <w:t xml:space="preserve"> </w:t>
            </w:r>
            <w:r>
              <w:rPr>
                <w:spacing w:val="5"/>
                <w:sz w:val="19"/>
                <w:szCs w:val="19"/>
              </w:rPr>
              <w:t>1</w:t>
            </w:r>
            <w:r>
              <w:rPr>
                <w:spacing w:val="-36"/>
                <w:sz w:val="19"/>
                <w:szCs w:val="19"/>
              </w:rPr>
              <w:t xml:space="preserve"> </w:t>
            </w:r>
            <w:r>
              <w:rPr>
                <w:spacing w:val="5"/>
                <w:sz w:val="19"/>
                <w:szCs w:val="19"/>
              </w:rPr>
              <w:t>部分：</w:t>
            </w:r>
            <w:r>
              <w:rPr>
                <w:spacing w:val="-56"/>
                <w:sz w:val="19"/>
                <w:szCs w:val="19"/>
              </w:rPr>
              <w:t xml:space="preserve"> </w:t>
            </w:r>
            <w:r>
              <w:rPr>
                <w:spacing w:val="5"/>
                <w:sz w:val="19"/>
                <w:szCs w:val="19"/>
              </w:rPr>
              <w:t>中小型开式冷却</w:t>
            </w:r>
            <w:r>
              <w:rPr>
                <w:sz w:val="19"/>
                <w:szCs w:val="19"/>
              </w:rPr>
              <w:t xml:space="preserve"> </w:t>
            </w:r>
            <w:r>
              <w:rPr>
                <w:spacing w:val="7"/>
                <w:sz w:val="19"/>
                <w:szCs w:val="19"/>
              </w:rPr>
              <w:t>塔》（</w:t>
            </w:r>
            <w:r>
              <w:rPr>
                <w:sz w:val="19"/>
                <w:szCs w:val="19"/>
              </w:rPr>
              <w:t>GB</w:t>
            </w:r>
            <w:r>
              <w:rPr>
                <w:spacing w:val="7"/>
                <w:sz w:val="19"/>
                <w:szCs w:val="19"/>
              </w:rPr>
              <w:t>/T7190.1</w:t>
            </w:r>
            <w:r>
              <w:rPr>
                <w:spacing w:val="12"/>
                <w:sz w:val="19"/>
                <w:szCs w:val="19"/>
              </w:rPr>
              <w:t>）；</w:t>
            </w:r>
            <w:r>
              <w:rPr>
                <w:spacing w:val="7"/>
                <w:sz w:val="19"/>
                <w:szCs w:val="19"/>
              </w:rPr>
              <w:t>《机械通风冷却塔第</w:t>
            </w:r>
            <w:r>
              <w:rPr>
                <w:spacing w:val="-31"/>
                <w:sz w:val="19"/>
                <w:szCs w:val="19"/>
              </w:rPr>
              <w:t xml:space="preserve"> </w:t>
            </w:r>
            <w:r>
              <w:rPr>
                <w:spacing w:val="7"/>
                <w:sz w:val="19"/>
                <w:szCs w:val="19"/>
              </w:rPr>
              <w:t>2</w:t>
            </w:r>
            <w:r>
              <w:rPr>
                <w:sz w:val="19"/>
                <w:szCs w:val="19"/>
              </w:rPr>
              <w:t xml:space="preserve"> </w:t>
            </w:r>
            <w:r>
              <w:rPr>
                <w:spacing w:val="7"/>
                <w:sz w:val="19"/>
                <w:szCs w:val="19"/>
              </w:rPr>
              <w:t>部分：大型开式冷却塔》（</w:t>
            </w:r>
            <w:r>
              <w:rPr>
                <w:sz w:val="19"/>
                <w:szCs w:val="19"/>
              </w:rPr>
              <w:t>GB</w:t>
            </w:r>
            <w:r>
              <w:rPr>
                <w:spacing w:val="7"/>
                <w:sz w:val="19"/>
                <w:szCs w:val="19"/>
              </w:rPr>
              <w:t>/T7190.2）</w:t>
            </w:r>
          </w:p>
        </w:tc>
      </w:tr>
      <w:tr w14:paraId="4199A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46" w:type="dxa"/>
          </w:tcPr>
          <w:p w14:paraId="0F4D2596">
            <w:pPr>
              <w:pStyle w:val="167"/>
              <w:spacing w:before="197" w:line="188" w:lineRule="auto"/>
              <w:ind w:left="282"/>
              <w:rPr>
                <w:sz w:val="19"/>
                <w:szCs w:val="19"/>
              </w:rPr>
            </w:pPr>
            <w:r>
              <w:rPr>
                <w:sz w:val="19"/>
                <w:szCs w:val="19"/>
              </w:rPr>
              <w:t>7</w:t>
            </w:r>
          </w:p>
        </w:tc>
        <w:tc>
          <w:tcPr>
            <w:tcW w:w="1115" w:type="dxa"/>
          </w:tcPr>
          <w:p w14:paraId="125D0714">
            <w:pPr>
              <w:pStyle w:val="167"/>
              <w:spacing w:before="65" w:line="220" w:lineRule="auto"/>
              <w:ind w:left="384" w:right="207" w:hanging="180"/>
              <w:rPr>
                <w:sz w:val="19"/>
                <w:szCs w:val="19"/>
              </w:rPr>
            </w:pPr>
            <w:r>
              <w:rPr>
                <w:spacing w:val="4"/>
                <w:sz w:val="19"/>
                <w:szCs w:val="19"/>
              </w:rPr>
              <w:t>A020601</w:t>
            </w:r>
            <w:r>
              <w:rPr>
                <w:spacing w:val="3"/>
                <w:sz w:val="19"/>
                <w:szCs w:val="19"/>
              </w:rPr>
              <w:t xml:space="preserve"> </w:t>
            </w:r>
            <w:r>
              <w:rPr>
                <w:spacing w:val="-7"/>
                <w:sz w:val="19"/>
                <w:szCs w:val="19"/>
              </w:rPr>
              <w:t>电机</w:t>
            </w:r>
          </w:p>
        </w:tc>
        <w:tc>
          <w:tcPr>
            <w:tcW w:w="1515" w:type="dxa"/>
          </w:tcPr>
          <w:p w14:paraId="5EB5F32B">
            <w:pPr>
              <w:rPr>
                <w:rFonts w:ascii="Arial"/>
              </w:rPr>
            </w:pPr>
          </w:p>
        </w:tc>
        <w:tc>
          <w:tcPr>
            <w:tcW w:w="1611" w:type="dxa"/>
          </w:tcPr>
          <w:p w14:paraId="49EC2642">
            <w:pPr>
              <w:rPr>
                <w:rFonts w:ascii="Arial"/>
              </w:rPr>
            </w:pPr>
          </w:p>
        </w:tc>
        <w:tc>
          <w:tcPr>
            <w:tcW w:w="4337" w:type="dxa"/>
          </w:tcPr>
          <w:p w14:paraId="6674F0BA">
            <w:pPr>
              <w:pStyle w:val="167"/>
              <w:spacing w:before="36" w:line="234" w:lineRule="auto"/>
              <w:ind w:left="117" w:right="227" w:firstLine="2"/>
              <w:rPr>
                <w:sz w:val="19"/>
                <w:szCs w:val="19"/>
              </w:rPr>
            </w:pPr>
            <w:r>
              <w:rPr>
                <w:spacing w:val="9"/>
                <w:sz w:val="19"/>
                <w:szCs w:val="19"/>
              </w:rPr>
              <w:t>《中小型三相异步电动机能效限定值及能效等</w:t>
            </w:r>
            <w:r>
              <w:rPr>
                <w:spacing w:val="3"/>
                <w:sz w:val="19"/>
                <w:szCs w:val="19"/>
              </w:rPr>
              <w:t xml:space="preserve"> </w:t>
            </w:r>
            <w:r>
              <w:rPr>
                <w:spacing w:val="5"/>
                <w:sz w:val="19"/>
                <w:szCs w:val="19"/>
              </w:rPr>
              <w:t>级》（</w:t>
            </w:r>
            <w:r>
              <w:rPr>
                <w:sz w:val="19"/>
                <w:szCs w:val="19"/>
              </w:rPr>
              <w:t>GB</w:t>
            </w:r>
            <w:r>
              <w:rPr>
                <w:spacing w:val="5"/>
                <w:sz w:val="19"/>
                <w:szCs w:val="19"/>
              </w:rPr>
              <w:t>18613）</w:t>
            </w:r>
          </w:p>
        </w:tc>
      </w:tr>
      <w:tr w14:paraId="28CFC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46" w:type="dxa"/>
          </w:tcPr>
          <w:p w14:paraId="1A81B032">
            <w:pPr>
              <w:pStyle w:val="167"/>
              <w:spacing w:before="191" w:line="189" w:lineRule="auto"/>
              <w:ind w:left="278"/>
              <w:rPr>
                <w:sz w:val="19"/>
                <w:szCs w:val="19"/>
              </w:rPr>
            </w:pPr>
            <w:r>
              <w:rPr>
                <w:sz w:val="19"/>
                <w:szCs w:val="19"/>
              </w:rPr>
              <w:t>8</w:t>
            </w:r>
          </w:p>
        </w:tc>
        <w:tc>
          <w:tcPr>
            <w:tcW w:w="1115" w:type="dxa"/>
          </w:tcPr>
          <w:p w14:paraId="5969F1DF">
            <w:pPr>
              <w:pStyle w:val="167"/>
              <w:spacing w:before="61" w:line="220" w:lineRule="auto"/>
              <w:ind w:left="260" w:right="207" w:hanging="56"/>
              <w:rPr>
                <w:sz w:val="19"/>
                <w:szCs w:val="19"/>
              </w:rPr>
            </w:pPr>
            <w:r>
              <w:rPr>
                <w:spacing w:val="4"/>
                <w:sz w:val="19"/>
                <w:szCs w:val="19"/>
              </w:rPr>
              <w:t>A020602</w:t>
            </w:r>
            <w:r>
              <w:rPr>
                <w:spacing w:val="3"/>
                <w:sz w:val="19"/>
                <w:szCs w:val="19"/>
              </w:rPr>
              <w:t xml:space="preserve"> </w:t>
            </w:r>
            <w:r>
              <w:rPr>
                <w:spacing w:val="7"/>
                <w:sz w:val="19"/>
                <w:szCs w:val="19"/>
              </w:rPr>
              <w:t>变压器</w:t>
            </w:r>
          </w:p>
        </w:tc>
        <w:tc>
          <w:tcPr>
            <w:tcW w:w="1515" w:type="dxa"/>
          </w:tcPr>
          <w:p w14:paraId="123A0440">
            <w:pPr>
              <w:pStyle w:val="167"/>
              <w:spacing w:before="159" w:line="230" w:lineRule="auto"/>
              <w:ind w:left="261"/>
              <w:rPr>
                <w:sz w:val="19"/>
                <w:szCs w:val="19"/>
              </w:rPr>
            </w:pPr>
            <w:r>
              <w:rPr>
                <w:spacing w:val="8"/>
                <w:sz w:val="19"/>
                <w:szCs w:val="19"/>
              </w:rPr>
              <w:t>配电变压器</w:t>
            </w:r>
          </w:p>
        </w:tc>
        <w:tc>
          <w:tcPr>
            <w:tcW w:w="1611" w:type="dxa"/>
          </w:tcPr>
          <w:p w14:paraId="1CE15C73">
            <w:pPr>
              <w:rPr>
                <w:rFonts w:ascii="Arial"/>
              </w:rPr>
            </w:pPr>
          </w:p>
        </w:tc>
        <w:tc>
          <w:tcPr>
            <w:tcW w:w="4337" w:type="dxa"/>
          </w:tcPr>
          <w:p w14:paraId="55A4E983">
            <w:pPr>
              <w:pStyle w:val="167"/>
              <w:spacing w:before="30" w:line="235" w:lineRule="auto"/>
              <w:ind w:left="123" w:right="439" w:hanging="4"/>
              <w:rPr>
                <w:sz w:val="19"/>
                <w:szCs w:val="19"/>
              </w:rPr>
            </w:pPr>
            <w:r>
              <w:rPr>
                <w:spacing w:val="8"/>
                <w:sz w:val="19"/>
                <w:szCs w:val="19"/>
              </w:rPr>
              <w:t>《三相配电变压器能效限定值及能效等级》</w:t>
            </w:r>
            <w:r>
              <w:rPr>
                <w:spacing w:val="10"/>
                <w:sz w:val="19"/>
                <w:szCs w:val="19"/>
              </w:rPr>
              <w:t xml:space="preserve"> </w:t>
            </w:r>
            <w:r>
              <w:rPr>
                <w:spacing w:val="3"/>
                <w:sz w:val="19"/>
                <w:szCs w:val="19"/>
              </w:rPr>
              <w:t>（</w:t>
            </w:r>
            <w:r>
              <w:rPr>
                <w:sz w:val="19"/>
                <w:szCs w:val="19"/>
              </w:rPr>
              <w:t>GB</w:t>
            </w:r>
            <w:r>
              <w:rPr>
                <w:spacing w:val="3"/>
                <w:sz w:val="19"/>
                <w:szCs w:val="19"/>
              </w:rPr>
              <w:t>20052）</w:t>
            </w:r>
          </w:p>
        </w:tc>
      </w:tr>
      <w:tr w14:paraId="3CED0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46" w:type="dxa"/>
          </w:tcPr>
          <w:p w14:paraId="4F93AF39">
            <w:pPr>
              <w:pStyle w:val="167"/>
              <w:spacing w:before="190" w:line="189" w:lineRule="auto"/>
              <w:ind w:left="278"/>
              <w:rPr>
                <w:sz w:val="19"/>
                <w:szCs w:val="19"/>
              </w:rPr>
            </w:pPr>
            <w:r>
              <w:rPr>
                <w:sz w:val="19"/>
                <w:szCs w:val="19"/>
              </w:rPr>
              <w:t>9</w:t>
            </w:r>
          </w:p>
        </w:tc>
        <w:tc>
          <w:tcPr>
            <w:tcW w:w="1115" w:type="dxa"/>
          </w:tcPr>
          <w:p w14:paraId="70588372">
            <w:pPr>
              <w:pStyle w:val="167"/>
              <w:spacing w:before="31" w:line="234" w:lineRule="auto"/>
              <w:ind w:left="259" w:right="107" w:hanging="147"/>
              <w:rPr>
                <w:sz w:val="19"/>
                <w:szCs w:val="19"/>
              </w:rPr>
            </w:pPr>
            <w:r>
              <w:rPr>
                <w:spacing w:val="4"/>
                <w:sz w:val="19"/>
                <w:szCs w:val="19"/>
              </w:rPr>
              <w:t>★A020609</w:t>
            </w:r>
            <w:r>
              <w:rPr>
                <w:spacing w:val="2"/>
                <w:sz w:val="19"/>
                <w:szCs w:val="19"/>
              </w:rPr>
              <w:t xml:space="preserve"> </w:t>
            </w:r>
            <w:r>
              <w:rPr>
                <w:spacing w:val="7"/>
                <w:sz w:val="19"/>
                <w:szCs w:val="19"/>
              </w:rPr>
              <w:t>镇流器</w:t>
            </w:r>
          </w:p>
        </w:tc>
        <w:tc>
          <w:tcPr>
            <w:tcW w:w="1515" w:type="dxa"/>
          </w:tcPr>
          <w:p w14:paraId="052D4C6F">
            <w:pPr>
              <w:pStyle w:val="167"/>
              <w:spacing w:before="31" w:line="234" w:lineRule="auto"/>
              <w:ind w:left="561" w:right="157" w:hanging="396"/>
              <w:rPr>
                <w:sz w:val="19"/>
                <w:szCs w:val="19"/>
              </w:rPr>
            </w:pPr>
            <w:r>
              <w:rPr>
                <w:spacing w:val="7"/>
                <w:sz w:val="19"/>
                <w:szCs w:val="19"/>
              </w:rPr>
              <w:t>管型荧光灯镇</w:t>
            </w:r>
            <w:r>
              <w:rPr>
                <w:spacing w:val="4"/>
                <w:sz w:val="19"/>
                <w:szCs w:val="19"/>
              </w:rPr>
              <w:t xml:space="preserve"> 流器</w:t>
            </w:r>
          </w:p>
        </w:tc>
        <w:tc>
          <w:tcPr>
            <w:tcW w:w="1611" w:type="dxa"/>
          </w:tcPr>
          <w:p w14:paraId="3D7555A8">
            <w:pPr>
              <w:rPr>
                <w:rFonts w:ascii="Arial"/>
              </w:rPr>
            </w:pPr>
          </w:p>
        </w:tc>
        <w:tc>
          <w:tcPr>
            <w:tcW w:w="4337" w:type="dxa"/>
          </w:tcPr>
          <w:p w14:paraId="76C456D7">
            <w:pPr>
              <w:pStyle w:val="167"/>
              <w:spacing w:before="31" w:line="234" w:lineRule="auto"/>
              <w:ind w:left="123" w:right="239" w:hanging="4"/>
              <w:rPr>
                <w:sz w:val="19"/>
                <w:szCs w:val="19"/>
              </w:rPr>
            </w:pPr>
            <w:r>
              <w:rPr>
                <w:spacing w:val="8"/>
                <w:sz w:val="19"/>
                <w:szCs w:val="19"/>
              </w:rPr>
              <w:t>《管形荧光灯镇流器能效限定值及能效等级》</w:t>
            </w:r>
            <w:r>
              <w:rPr>
                <w:spacing w:val="11"/>
                <w:sz w:val="19"/>
                <w:szCs w:val="19"/>
              </w:rPr>
              <w:t xml:space="preserve"> </w:t>
            </w:r>
            <w:r>
              <w:rPr>
                <w:spacing w:val="3"/>
                <w:sz w:val="19"/>
                <w:szCs w:val="19"/>
              </w:rPr>
              <w:t>（</w:t>
            </w:r>
            <w:r>
              <w:rPr>
                <w:sz w:val="19"/>
                <w:szCs w:val="19"/>
              </w:rPr>
              <w:t>GB</w:t>
            </w:r>
            <w:r>
              <w:rPr>
                <w:spacing w:val="3"/>
                <w:sz w:val="19"/>
                <w:szCs w:val="19"/>
              </w:rPr>
              <w:t>17896）</w:t>
            </w:r>
          </w:p>
        </w:tc>
      </w:tr>
      <w:tr w14:paraId="78BA7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46" w:type="dxa"/>
            <w:vMerge w:val="restart"/>
            <w:tcBorders>
              <w:bottom w:val="nil"/>
            </w:tcBorders>
          </w:tcPr>
          <w:p w14:paraId="7EA09A88">
            <w:pPr>
              <w:spacing w:line="249" w:lineRule="auto"/>
              <w:rPr>
                <w:rFonts w:ascii="Arial"/>
              </w:rPr>
            </w:pPr>
          </w:p>
          <w:p w14:paraId="6DBDDB6E">
            <w:pPr>
              <w:spacing w:line="249" w:lineRule="auto"/>
              <w:rPr>
                <w:rFonts w:ascii="Arial"/>
              </w:rPr>
            </w:pPr>
          </w:p>
          <w:p w14:paraId="01DC7947">
            <w:pPr>
              <w:spacing w:line="249" w:lineRule="auto"/>
              <w:rPr>
                <w:rFonts w:ascii="Arial"/>
              </w:rPr>
            </w:pPr>
          </w:p>
          <w:p w14:paraId="79F955A0">
            <w:pPr>
              <w:spacing w:line="249" w:lineRule="auto"/>
              <w:rPr>
                <w:rFonts w:ascii="Arial"/>
              </w:rPr>
            </w:pPr>
          </w:p>
          <w:p w14:paraId="67B5CE08">
            <w:pPr>
              <w:spacing w:line="250" w:lineRule="auto"/>
              <w:rPr>
                <w:rFonts w:ascii="Arial"/>
              </w:rPr>
            </w:pPr>
          </w:p>
          <w:p w14:paraId="17FB2553">
            <w:pPr>
              <w:spacing w:line="250" w:lineRule="auto"/>
              <w:rPr>
                <w:rFonts w:ascii="Arial"/>
              </w:rPr>
            </w:pPr>
          </w:p>
          <w:p w14:paraId="2CC374B4">
            <w:pPr>
              <w:spacing w:line="250" w:lineRule="auto"/>
              <w:rPr>
                <w:rFonts w:ascii="Arial"/>
              </w:rPr>
            </w:pPr>
          </w:p>
          <w:p w14:paraId="0D818366">
            <w:pPr>
              <w:spacing w:line="250" w:lineRule="auto"/>
              <w:rPr>
                <w:rFonts w:ascii="Arial"/>
              </w:rPr>
            </w:pPr>
          </w:p>
          <w:p w14:paraId="25B87E1B">
            <w:pPr>
              <w:spacing w:line="250" w:lineRule="auto"/>
              <w:rPr>
                <w:rFonts w:ascii="Arial"/>
              </w:rPr>
            </w:pPr>
          </w:p>
          <w:p w14:paraId="2E1A60C4">
            <w:pPr>
              <w:spacing w:line="250" w:lineRule="auto"/>
              <w:rPr>
                <w:rFonts w:ascii="Arial"/>
              </w:rPr>
            </w:pPr>
          </w:p>
          <w:p w14:paraId="0B2EF5C7">
            <w:pPr>
              <w:spacing w:line="250" w:lineRule="auto"/>
              <w:rPr>
                <w:rFonts w:ascii="Arial"/>
              </w:rPr>
            </w:pPr>
          </w:p>
          <w:p w14:paraId="0C3E6757">
            <w:pPr>
              <w:pStyle w:val="167"/>
              <w:spacing w:before="61" w:line="190" w:lineRule="auto"/>
              <w:ind w:left="242"/>
              <w:rPr>
                <w:sz w:val="19"/>
                <w:szCs w:val="19"/>
              </w:rPr>
            </w:pPr>
            <w:r>
              <w:rPr>
                <w:spacing w:val="-7"/>
                <w:sz w:val="19"/>
                <w:szCs w:val="19"/>
              </w:rPr>
              <w:t>10</w:t>
            </w:r>
          </w:p>
        </w:tc>
        <w:tc>
          <w:tcPr>
            <w:tcW w:w="1115" w:type="dxa"/>
            <w:vMerge w:val="restart"/>
            <w:tcBorders>
              <w:bottom w:val="nil"/>
            </w:tcBorders>
          </w:tcPr>
          <w:p w14:paraId="384B5783">
            <w:pPr>
              <w:spacing w:line="248" w:lineRule="auto"/>
              <w:rPr>
                <w:rFonts w:ascii="Arial"/>
              </w:rPr>
            </w:pPr>
          </w:p>
          <w:p w14:paraId="77CA4CAA">
            <w:pPr>
              <w:spacing w:line="248" w:lineRule="auto"/>
              <w:rPr>
                <w:rFonts w:ascii="Arial"/>
              </w:rPr>
            </w:pPr>
          </w:p>
          <w:p w14:paraId="71F8131E">
            <w:pPr>
              <w:spacing w:line="248" w:lineRule="auto"/>
              <w:rPr>
                <w:rFonts w:ascii="Arial"/>
              </w:rPr>
            </w:pPr>
          </w:p>
          <w:p w14:paraId="6D5A2F75">
            <w:pPr>
              <w:spacing w:line="249" w:lineRule="auto"/>
              <w:rPr>
                <w:rFonts w:ascii="Arial"/>
              </w:rPr>
            </w:pPr>
          </w:p>
          <w:p w14:paraId="771832D3">
            <w:pPr>
              <w:spacing w:line="249" w:lineRule="auto"/>
              <w:rPr>
                <w:rFonts w:ascii="Arial"/>
              </w:rPr>
            </w:pPr>
          </w:p>
          <w:p w14:paraId="319871EF">
            <w:pPr>
              <w:spacing w:line="249" w:lineRule="auto"/>
              <w:rPr>
                <w:rFonts w:ascii="Arial"/>
              </w:rPr>
            </w:pPr>
          </w:p>
          <w:p w14:paraId="1F19550B">
            <w:pPr>
              <w:spacing w:line="249" w:lineRule="auto"/>
              <w:rPr>
                <w:rFonts w:ascii="Arial"/>
              </w:rPr>
            </w:pPr>
          </w:p>
          <w:p w14:paraId="1C05EBF2">
            <w:pPr>
              <w:spacing w:line="249" w:lineRule="auto"/>
              <w:rPr>
                <w:rFonts w:ascii="Arial"/>
              </w:rPr>
            </w:pPr>
          </w:p>
          <w:p w14:paraId="393B2F11">
            <w:pPr>
              <w:spacing w:line="249" w:lineRule="auto"/>
              <w:rPr>
                <w:rFonts w:ascii="Arial"/>
              </w:rPr>
            </w:pPr>
          </w:p>
          <w:p w14:paraId="597B9832">
            <w:pPr>
              <w:spacing w:line="249" w:lineRule="auto"/>
              <w:rPr>
                <w:rFonts w:ascii="Arial"/>
              </w:rPr>
            </w:pPr>
          </w:p>
          <w:p w14:paraId="638229FC">
            <w:pPr>
              <w:pStyle w:val="167"/>
              <w:spacing w:before="62" w:line="191" w:lineRule="auto"/>
              <w:ind w:left="204"/>
              <w:rPr>
                <w:sz w:val="19"/>
                <w:szCs w:val="19"/>
              </w:rPr>
            </w:pPr>
            <w:r>
              <w:rPr>
                <w:spacing w:val="4"/>
                <w:sz w:val="19"/>
                <w:szCs w:val="19"/>
              </w:rPr>
              <w:t>A020618</w:t>
            </w:r>
          </w:p>
          <w:p w14:paraId="7D5197B2">
            <w:pPr>
              <w:pStyle w:val="167"/>
              <w:spacing w:before="32" w:line="229" w:lineRule="auto"/>
              <w:ind w:left="161"/>
              <w:rPr>
                <w:sz w:val="19"/>
                <w:szCs w:val="19"/>
              </w:rPr>
            </w:pPr>
            <w:r>
              <w:rPr>
                <w:spacing w:val="7"/>
                <w:sz w:val="19"/>
                <w:szCs w:val="19"/>
              </w:rPr>
              <w:t>生活用电</w:t>
            </w:r>
          </w:p>
          <w:p w14:paraId="7858D193">
            <w:pPr>
              <w:pStyle w:val="167"/>
              <w:spacing w:before="23" w:line="233" w:lineRule="auto"/>
              <w:ind w:left="459"/>
              <w:rPr>
                <w:sz w:val="19"/>
                <w:szCs w:val="19"/>
              </w:rPr>
            </w:pPr>
            <w:r>
              <w:rPr>
                <w:spacing w:val="1"/>
                <w:sz w:val="19"/>
                <w:szCs w:val="19"/>
              </w:rPr>
              <w:t>器</w:t>
            </w:r>
          </w:p>
        </w:tc>
        <w:tc>
          <w:tcPr>
            <w:tcW w:w="1515" w:type="dxa"/>
          </w:tcPr>
          <w:p w14:paraId="4451F68C">
            <w:pPr>
              <w:pStyle w:val="167"/>
              <w:spacing w:before="61" w:line="220" w:lineRule="auto"/>
              <w:ind w:left="484" w:right="206" w:hanging="279"/>
              <w:rPr>
                <w:sz w:val="19"/>
                <w:szCs w:val="19"/>
              </w:rPr>
            </w:pPr>
            <w:r>
              <w:rPr>
                <w:spacing w:val="4"/>
                <w:sz w:val="19"/>
                <w:szCs w:val="19"/>
              </w:rPr>
              <w:t>A0206180101</w:t>
            </w:r>
            <w:r>
              <w:rPr>
                <w:spacing w:val="8"/>
                <w:sz w:val="19"/>
                <w:szCs w:val="19"/>
              </w:rPr>
              <w:t xml:space="preserve"> </w:t>
            </w:r>
            <w:r>
              <w:rPr>
                <w:spacing w:val="-1"/>
                <w:sz w:val="19"/>
                <w:szCs w:val="19"/>
              </w:rPr>
              <w:t>电冰箱</w:t>
            </w:r>
          </w:p>
        </w:tc>
        <w:tc>
          <w:tcPr>
            <w:tcW w:w="1611" w:type="dxa"/>
          </w:tcPr>
          <w:p w14:paraId="58343510">
            <w:pPr>
              <w:rPr>
                <w:rFonts w:ascii="Arial"/>
              </w:rPr>
            </w:pPr>
          </w:p>
        </w:tc>
        <w:tc>
          <w:tcPr>
            <w:tcW w:w="4337" w:type="dxa"/>
          </w:tcPr>
          <w:p w14:paraId="34294FAF">
            <w:pPr>
              <w:pStyle w:val="167"/>
              <w:spacing w:before="31" w:line="228" w:lineRule="auto"/>
              <w:ind w:left="119"/>
              <w:rPr>
                <w:sz w:val="19"/>
                <w:szCs w:val="19"/>
              </w:rPr>
            </w:pPr>
            <w:r>
              <w:rPr>
                <w:spacing w:val="9"/>
                <w:sz w:val="19"/>
                <w:szCs w:val="19"/>
              </w:rPr>
              <w:t>《家用电冰箱耗电量限定值及能效等级》（</w:t>
            </w:r>
            <w:r>
              <w:rPr>
                <w:sz w:val="19"/>
                <w:szCs w:val="19"/>
              </w:rPr>
              <w:t>GB</w:t>
            </w:r>
          </w:p>
          <w:p w14:paraId="7337FCBA">
            <w:pPr>
              <w:pStyle w:val="167"/>
              <w:spacing w:before="24" w:line="217" w:lineRule="auto"/>
              <w:ind w:left="128"/>
              <w:rPr>
                <w:sz w:val="19"/>
                <w:szCs w:val="19"/>
              </w:rPr>
            </w:pPr>
            <w:r>
              <w:rPr>
                <w:spacing w:val="1"/>
                <w:sz w:val="19"/>
                <w:szCs w:val="19"/>
              </w:rPr>
              <w:t>12021.2）</w:t>
            </w:r>
          </w:p>
        </w:tc>
      </w:tr>
      <w:tr w14:paraId="2B939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646" w:type="dxa"/>
            <w:vMerge w:val="continue"/>
            <w:tcBorders>
              <w:top w:val="nil"/>
              <w:bottom w:val="nil"/>
            </w:tcBorders>
          </w:tcPr>
          <w:p w14:paraId="53F38504">
            <w:pPr>
              <w:rPr>
                <w:rFonts w:ascii="Arial"/>
              </w:rPr>
            </w:pPr>
          </w:p>
        </w:tc>
        <w:tc>
          <w:tcPr>
            <w:tcW w:w="1115" w:type="dxa"/>
            <w:vMerge w:val="continue"/>
            <w:tcBorders>
              <w:top w:val="nil"/>
              <w:bottom w:val="nil"/>
            </w:tcBorders>
          </w:tcPr>
          <w:p w14:paraId="521FE3F8">
            <w:pPr>
              <w:rPr>
                <w:rFonts w:ascii="Arial"/>
              </w:rPr>
            </w:pPr>
          </w:p>
        </w:tc>
        <w:tc>
          <w:tcPr>
            <w:tcW w:w="1515" w:type="dxa"/>
            <w:vMerge w:val="restart"/>
            <w:tcBorders>
              <w:bottom w:val="nil"/>
            </w:tcBorders>
          </w:tcPr>
          <w:p w14:paraId="47D4059A">
            <w:pPr>
              <w:spacing w:line="252" w:lineRule="auto"/>
              <w:rPr>
                <w:rFonts w:ascii="Arial"/>
              </w:rPr>
            </w:pPr>
          </w:p>
          <w:p w14:paraId="681C0047">
            <w:pPr>
              <w:spacing w:line="252" w:lineRule="auto"/>
              <w:rPr>
                <w:rFonts w:ascii="Arial"/>
              </w:rPr>
            </w:pPr>
          </w:p>
          <w:p w14:paraId="619581B6">
            <w:pPr>
              <w:spacing w:line="253" w:lineRule="auto"/>
              <w:rPr>
                <w:rFonts w:ascii="Arial"/>
              </w:rPr>
            </w:pPr>
          </w:p>
          <w:p w14:paraId="51D174D5">
            <w:pPr>
              <w:spacing w:line="253" w:lineRule="auto"/>
              <w:rPr>
                <w:rFonts w:ascii="Arial"/>
              </w:rPr>
            </w:pPr>
          </w:p>
          <w:p w14:paraId="20C735A3">
            <w:pPr>
              <w:pStyle w:val="167"/>
              <w:spacing w:before="62"/>
              <w:ind w:left="466" w:right="107" w:hanging="353"/>
              <w:rPr>
                <w:sz w:val="19"/>
                <w:szCs w:val="19"/>
              </w:rPr>
            </w:pPr>
            <w:r>
              <w:rPr>
                <w:spacing w:val="4"/>
                <w:sz w:val="19"/>
                <w:szCs w:val="19"/>
              </w:rPr>
              <w:t xml:space="preserve">★A0206180203 </w:t>
            </w:r>
            <w:r>
              <w:rPr>
                <w:spacing w:val="5"/>
                <w:sz w:val="19"/>
                <w:szCs w:val="19"/>
              </w:rPr>
              <w:t>空调机</w:t>
            </w:r>
          </w:p>
        </w:tc>
        <w:tc>
          <w:tcPr>
            <w:tcW w:w="1611" w:type="dxa"/>
          </w:tcPr>
          <w:p w14:paraId="49093B3F">
            <w:pPr>
              <w:pStyle w:val="167"/>
              <w:spacing w:before="291" w:line="242" w:lineRule="auto"/>
              <w:ind w:left="709" w:right="203" w:hanging="498"/>
              <w:rPr>
                <w:sz w:val="19"/>
                <w:szCs w:val="19"/>
              </w:rPr>
            </w:pPr>
            <w:r>
              <w:rPr>
                <w:spacing w:val="8"/>
                <w:sz w:val="19"/>
                <w:szCs w:val="19"/>
              </w:rPr>
              <w:t>房间空气调节</w:t>
            </w:r>
            <w:r>
              <w:rPr>
                <w:spacing w:val="2"/>
                <w:sz w:val="19"/>
                <w:szCs w:val="19"/>
              </w:rPr>
              <w:t xml:space="preserve"> </w:t>
            </w:r>
            <w:r>
              <w:rPr>
                <w:spacing w:val="1"/>
                <w:sz w:val="19"/>
                <w:szCs w:val="19"/>
              </w:rPr>
              <w:t>器</w:t>
            </w:r>
          </w:p>
        </w:tc>
        <w:tc>
          <w:tcPr>
            <w:tcW w:w="4337" w:type="dxa"/>
          </w:tcPr>
          <w:p w14:paraId="12CB09A7">
            <w:pPr>
              <w:pStyle w:val="167"/>
              <w:spacing w:before="31" w:line="243" w:lineRule="auto"/>
              <w:ind w:left="114" w:right="107" w:firstLine="5"/>
              <w:rPr>
                <w:sz w:val="19"/>
                <w:szCs w:val="19"/>
              </w:rPr>
            </w:pPr>
            <w:r>
              <w:rPr>
                <w:spacing w:val="9"/>
                <w:sz w:val="19"/>
                <w:szCs w:val="19"/>
              </w:rPr>
              <w:t>《转速可控型房间空气调节器能效限定值及能</w:t>
            </w:r>
            <w:r>
              <w:rPr>
                <w:spacing w:val="1"/>
                <w:sz w:val="19"/>
                <w:szCs w:val="19"/>
              </w:rPr>
              <w:t xml:space="preserve">  </w:t>
            </w:r>
            <w:r>
              <w:rPr>
                <w:spacing w:val="6"/>
                <w:sz w:val="19"/>
                <w:szCs w:val="19"/>
              </w:rPr>
              <w:t>效等级》（</w:t>
            </w:r>
            <w:r>
              <w:rPr>
                <w:sz w:val="19"/>
                <w:szCs w:val="19"/>
              </w:rPr>
              <w:t>GB</w:t>
            </w:r>
            <w:r>
              <w:rPr>
                <w:spacing w:val="6"/>
                <w:sz w:val="19"/>
                <w:szCs w:val="19"/>
              </w:rPr>
              <w:t>21455-2013</w:t>
            </w:r>
            <w:r>
              <w:rPr>
                <w:spacing w:val="14"/>
                <w:sz w:val="19"/>
                <w:szCs w:val="19"/>
              </w:rPr>
              <w:t>），</w:t>
            </w:r>
            <w:r>
              <w:rPr>
                <w:spacing w:val="6"/>
                <w:sz w:val="19"/>
                <w:szCs w:val="19"/>
              </w:rPr>
              <w:t>待</w:t>
            </w:r>
            <w:r>
              <w:rPr>
                <w:spacing w:val="-34"/>
                <w:sz w:val="19"/>
                <w:szCs w:val="19"/>
              </w:rPr>
              <w:t xml:space="preserve"> </w:t>
            </w:r>
            <w:r>
              <w:rPr>
                <w:spacing w:val="6"/>
                <w:sz w:val="19"/>
                <w:szCs w:val="19"/>
              </w:rPr>
              <w:t>2019</w:t>
            </w:r>
            <w:r>
              <w:rPr>
                <w:spacing w:val="-34"/>
                <w:sz w:val="19"/>
                <w:szCs w:val="19"/>
              </w:rPr>
              <w:t xml:space="preserve"> </w:t>
            </w:r>
            <w:r>
              <w:rPr>
                <w:spacing w:val="5"/>
                <w:sz w:val="19"/>
                <w:szCs w:val="19"/>
              </w:rPr>
              <w:t>年修订发</w:t>
            </w:r>
            <w:r>
              <w:rPr>
                <w:sz w:val="19"/>
                <w:szCs w:val="19"/>
              </w:rPr>
              <w:t xml:space="preserve"> </w:t>
            </w:r>
            <w:r>
              <w:rPr>
                <w:spacing w:val="5"/>
                <w:sz w:val="19"/>
                <w:szCs w:val="19"/>
              </w:rPr>
              <w:t>布后，按《房间空气调节器能效限定值及能效等</w:t>
            </w:r>
            <w:r>
              <w:rPr>
                <w:spacing w:val="14"/>
                <w:sz w:val="19"/>
                <w:szCs w:val="19"/>
              </w:rPr>
              <w:t xml:space="preserve"> </w:t>
            </w:r>
            <w:r>
              <w:rPr>
                <w:spacing w:val="6"/>
                <w:sz w:val="19"/>
                <w:szCs w:val="19"/>
              </w:rPr>
              <w:t>级》（</w:t>
            </w:r>
            <w:r>
              <w:rPr>
                <w:sz w:val="19"/>
                <w:szCs w:val="19"/>
              </w:rPr>
              <w:t>GB</w:t>
            </w:r>
            <w:r>
              <w:rPr>
                <w:spacing w:val="6"/>
                <w:sz w:val="19"/>
                <w:szCs w:val="19"/>
              </w:rPr>
              <w:t>21455-2019）实施。</w:t>
            </w:r>
          </w:p>
        </w:tc>
      </w:tr>
      <w:tr w14:paraId="72616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46" w:type="dxa"/>
            <w:vMerge w:val="continue"/>
            <w:tcBorders>
              <w:top w:val="nil"/>
              <w:bottom w:val="nil"/>
            </w:tcBorders>
          </w:tcPr>
          <w:p w14:paraId="7724DEB9">
            <w:pPr>
              <w:rPr>
                <w:rFonts w:ascii="Arial"/>
              </w:rPr>
            </w:pPr>
          </w:p>
        </w:tc>
        <w:tc>
          <w:tcPr>
            <w:tcW w:w="1115" w:type="dxa"/>
            <w:vMerge w:val="continue"/>
            <w:tcBorders>
              <w:top w:val="nil"/>
              <w:bottom w:val="nil"/>
            </w:tcBorders>
          </w:tcPr>
          <w:p w14:paraId="20BA8048">
            <w:pPr>
              <w:rPr>
                <w:rFonts w:ascii="Arial"/>
              </w:rPr>
            </w:pPr>
          </w:p>
        </w:tc>
        <w:tc>
          <w:tcPr>
            <w:tcW w:w="1515" w:type="dxa"/>
            <w:vMerge w:val="continue"/>
            <w:tcBorders>
              <w:top w:val="nil"/>
              <w:bottom w:val="nil"/>
            </w:tcBorders>
          </w:tcPr>
          <w:p w14:paraId="6575E666">
            <w:pPr>
              <w:rPr>
                <w:rFonts w:ascii="Arial"/>
              </w:rPr>
            </w:pPr>
          </w:p>
        </w:tc>
        <w:tc>
          <w:tcPr>
            <w:tcW w:w="1611" w:type="dxa"/>
          </w:tcPr>
          <w:p w14:paraId="163A9356">
            <w:pPr>
              <w:pStyle w:val="167"/>
              <w:spacing w:before="34" w:line="239" w:lineRule="auto"/>
              <w:ind w:left="113" w:right="107" w:firstLine="8"/>
              <w:rPr>
                <w:sz w:val="19"/>
                <w:szCs w:val="19"/>
              </w:rPr>
            </w:pPr>
            <w:r>
              <w:rPr>
                <w:spacing w:val="6"/>
                <w:sz w:val="19"/>
                <w:szCs w:val="19"/>
              </w:rPr>
              <w:t>多联式空调（热</w:t>
            </w:r>
            <w:r>
              <w:rPr>
                <w:spacing w:val="4"/>
                <w:sz w:val="19"/>
                <w:szCs w:val="19"/>
              </w:rPr>
              <w:t xml:space="preserve"> </w:t>
            </w:r>
            <w:r>
              <w:rPr>
                <w:spacing w:val="7"/>
                <w:sz w:val="19"/>
                <w:szCs w:val="19"/>
              </w:rPr>
              <w:t>泵）机组（制冷</w:t>
            </w:r>
            <w:r>
              <w:rPr>
                <w:spacing w:val="5"/>
                <w:sz w:val="19"/>
                <w:szCs w:val="19"/>
              </w:rPr>
              <w:t xml:space="preserve"> </w:t>
            </w:r>
            <w:r>
              <w:rPr>
                <w:spacing w:val="7"/>
                <w:sz w:val="19"/>
                <w:szCs w:val="19"/>
              </w:rPr>
              <w:t>量≤</w:t>
            </w:r>
            <w:r>
              <w:rPr>
                <w:spacing w:val="30"/>
                <w:sz w:val="19"/>
                <w:szCs w:val="19"/>
              </w:rPr>
              <w:t xml:space="preserve"> </w:t>
            </w:r>
            <w:r>
              <w:rPr>
                <w:spacing w:val="7"/>
                <w:sz w:val="19"/>
                <w:szCs w:val="19"/>
              </w:rPr>
              <w:t>14000W）</w:t>
            </w:r>
          </w:p>
        </w:tc>
        <w:tc>
          <w:tcPr>
            <w:tcW w:w="4337" w:type="dxa"/>
          </w:tcPr>
          <w:p w14:paraId="65A39C78">
            <w:pPr>
              <w:pStyle w:val="167"/>
              <w:spacing w:before="159"/>
              <w:ind w:left="115" w:right="109" w:firstLine="3"/>
              <w:rPr>
                <w:sz w:val="19"/>
                <w:szCs w:val="19"/>
              </w:rPr>
            </w:pPr>
            <w:r>
              <w:rPr>
                <w:spacing w:val="5"/>
                <w:sz w:val="19"/>
                <w:szCs w:val="19"/>
              </w:rPr>
              <w:t>《多联式空调（热泵）机组能效限定值及能源效</w:t>
            </w:r>
            <w:r>
              <w:rPr>
                <w:spacing w:val="6"/>
                <w:sz w:val="19"/>
                <w:szCs w:val="19"/>
              </w:rPr>
              <w:t xml:space="preserve"> 率等级》（</w:t>
            </w:r>
            <w:r>
              <w:rPr>
                <w:sz w:val="19"/>
                <w:szCs w:val="19"/>
              </w:rPr>
              <w:t>GB</w:t>
            </w:r>
            <w:r>
              <w:rPr>
                <w:spacing w:val="6"/>
                <w:sz w:val="19"/>
                <w:szCs w:val="19"/>
              </w:rPr>
              <w:t>21454）</w:t>
            </w:r>
          </w:p>
        </w:tc>
      </w:tr>
      <w:tr w14:paraId="05E30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646" w:type="dxa"/>
            <w:vMerge w:val="continue"/>
            <w:tcBorders>
              <w:top w:val="nil"/>
              <w:bottom w:val="nil"/>
            </w:tcBorders>
          </w:tcPr>
          <w:p w14:paraId="33BC337E">
            <w:pPr>
              <w:rPr>
                <w:rFonts w:ascii="Arial"/>
              </w:rPr>
            </w:pPr>
          </w:p>
        </w:tc>
        <w:tc>
          <w:tcPr>
            <w:tcW w:w="1115" w:type="dxa"/>
            <w:vMerge w:val="continue"/>
            <w:tcBorders>
              <w:top w:val="nil"/>
              <w:bottom w:val="nil"/>
            </w:tcBorders>
          </w:tcPr>
          <w:p w14:paraId="03DB8E0F">
            <w:pPr>
              <w:rPr>
                <w:rFonts w:ascii="Arial"/>
              </w:rPr>
            </w:pPr>
          </w:p>
        </w:tc>
        <w:tc>
          <w:tcPr>
            <w:tcW w:w="1515" w:type="dxa"/>
            <w:vMerge w:val="continue"/>
            <w:tcBorders>
              <w:top w:val="nil"/>
            </w:tcBorders>
          </w:tcPr>
          <w:p w14:paraId="4EC85FE0">
            <w:pPr>
              <w:rPr>
                <w:rFonts w:ascii="Arial"/>
              </w:rPr>
            </w:pPr>
          </w:p>
        </w:tc>
        <w:tc>
          <w:tcPr>
            <w:tcW w:w="1611" w:type="dxa"/>
          </w:tcPr>
          <w:p w14:paraId="1158105B">
            <w:pPr>
              <w:pStyle w:val="167"/>
              <w:spacing w:before="32" w:line="229" w:lineRule="auto"/>
              <w:ind w:left="212"/>
              <w:rPr>
                <w:sz w:val="19"/>
                <w:szCs w:val="19"/>
              </w:rPr>
            </w:pPr>
            <w:r>
              <w:rPr>
                <w:spacing w:val="8"/>
                <w:sz w:val="19"/>
                <w:szCs w:val="19"/>
              </w:rPr>
              <w:t>单元式空气调</w:t>
            </w:r>
          </w:p>
          <w:p w14:paraId="62A4094C">
            <w:pPr>
              <w:pStyle w:val="167"/>
              <w:spacing w:before="24" w:line="227" w:lineRule="auto"/>
              <w:ind w:left="160"/>
              <w:rPr>
                <w:sz w:val="19"/>
                <w:szCs w:val="19"/>
              </w:rPr>
            </w:pPr>
            <w:r>
              <w:rPr>
                <w:spacing w:val="7"/>
                <w:sz w:val="19"/>
                <w:szCs w:val="19"/>
              </w:rPr>
              <w:t>节机(制冷量≤</w:t>
            </w:r>
          </w:p>
          <w:p w14:paraId="41F6FC13">
            <w:pPr>
              <w:pStyle w:val="167"/>
              <w:spacing w:before="25" w:line="215" w:lineRule="auto"/>
              <w:ind w:left="475"/>
              <w:rPr>
                <w:sz w:val="19"/>
                <w:szCs w:val="19"/>
              </w:rPr>
            </w:pPr>
            <w:r>
              <w:rPr>
                <w:spacing w:val="1"/>
                <w:sz w:val="19"/>
                <w:szCs w:val="19"/>
              </w:rPr>
              <w:t>14000W)</w:t>
            </w:r>
          </w:p>
        </w:tc>
        <w:tc>
          <w:tcPr>
            <w:tcW w:w="4337" w:type="dxa"/>
          </w:tcPr>
          <w:p w14:paraId="4CE8B371">
            <w:pPr>
              <w:pStyle w:val="167"/>
              <w:spacing w:before="32"/>
              <w:ind w:left="117" w:right="129" w:firstLine="2"/>
              <w:rPr>
                <w:sz w:val="19"/>
                <w:szCs w:val="19"/>
              </w:rPr>
            </w:pPr>
            <w:r>
              <w:rPr>
                <w:spacing w:val="9"/>
                <w:sz w:val="19"/>
                <w:szCs w:val="19"/>
              </w:rPr>
              <w:t>《单元式空气调节机能效限定值及能源效率等</w:t>
            </w:r>
            <w:r>
              <w:rPr>
                <w:spacing w:val="1"/>
                <w:sz w:val="19"/>
                <w:szCs w:val="19"/>
              </w:rPr>
              <w:t xml:space="preserve">  </w:t>
            </w:r>
            <w:r>
              <w:rPr>
                <w:spacing w:val="8"/>
                <w:sz w:val="19"/>
                <w:szCs w:val="19"/>
              </w:rPr>
              <w:t>级》（</w:t>
            </w:r>
            <w:r>
              <w:rPr>
                <w:sz w:val="19"/>
                <w:szCs w:val="19"/>
              </w:rPr>
              <w:t>GB</w:t>
            </w:r>
            <w:r>
              <w:rPr>
                <w:spacing w:val="8"/>
                <w:sz w:val="19"/>
                <w:szCs w:val="19"/>
              </w:rPr>
              <w:t>19576）《风管送风式空调机组能效限</w:t>
            </w:r>
            <w:r>
              <w:rPr>
                <w:spacing w:val="13"/>
                <w:sz w:val="19"/>
                <w:szCs w:val="19"/>
              </w:rPr>
              <w:t xml:space="preserve"> </w:t>
            </w:r>
            <w:r>
              <w:rPr>
                <w:spacing w:val="7"/>
                <w:sz w:val="19"/>
                <w:szCs w:val="19"/>
              </w:rPr>
              <w:t>定值及能效等级》（</w:t>
            </w:r>
            <w:r>
              <w:rPr>
                <w:sz w:val="19"/>
                <w:szCs w:val="19"/>
              </w:rPr>
              <w:t>GB</w:t>
            </w:r>
            <w:r>
              <w:rPr>
                <w:spacing w:val="7"/>
                <w:sz w:val="19"/>
                <w:szCs w:val="19"/>
              </w:rPr>
              <w:t>37479）</w:t>
            </w:r>
          </w:p>
        </w:tc>
      </w:tr>
      <w:tr w14:paraId="7631C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46" w:type="dxa"/>
            <w:vMerge w:val="continue"/>
            <w:tcBorders>
              <w:top w:val="nil"/>
              <w:bottom w:val="nil"/>
            </w:tcBorders>
          </w:tcPr>
          <w:p w14:paraId="154B441A">
            <w:pPr>
              <w:rPr>
                <w:rFonts w:ascii="Arial"/>
              </w:rPr>
            </w:pPr>
          </w:p>
        </w:tc>
        <w:tc>
          <w:tcPr>
            <w:tcW w:w="1115" w:type="dxa"/>
            <w:vMerge w:val="continue"/>
            <w:tcBorders>
              <w:top w:val="nil"/>
              <w:bottom w:val="nil"/>
            </w:tcBorders>
          </w:tcPr>
          <w:p w14:paraId="019137F2">
            <w:pPr>
              <w:rPr>
                <w:rFonts w:ascii="Arial"/>
              </w:rPr>
            </w:pPr>
          </w:p>
        </w:tc>
        <w:tc>
          <w:tcPr>
            <w:tcW w:w="1515" w:type="dxa"/>
          </w:tcPr>
          <w:p w14:paraId="1F610359">
            <w:pPr>
              <w:pStyle w:val="167"/>
              <w:spacing w:before="61" w:line="220" w:lineRule="auto"/>
              <w:ind w:left="459" w:right="206" w:hanging="254"/>
              <w:rPr>
                <w:sz w:val="19"/>
                <w:szCs w:val="19"/>
              </w:rPr>
            </w:pPr>
            <w:r>
              <w:rPr>
                <w:spacing w:val="4"/>
                <w:sz w:val="19"/>
                <w:szCs w:val="19"/>
              </w:rPr>
              <w:t>A0206180301</w:t>
            </w:r>
            <w:r>
              <w:rPr>
                <w:spacing w:val="8"/>
                <w:sz w:val="19"/>
                <w:szCs w:val="19"/>
              </w:rPr>
              <w:t xml:space="preserve"> </w:t>
            </w:r>
            <w:r>
              <w:rPr>
                <w:spacing w:val="7"/>
                <w:sz w:val="19"/>
                <w:szCs w:val="19"/>
              </w:rPr>
              <w:t>洗衣机</w:t>
            </w:r>
          </w:p>
        </w:tc>
        <w:tc>
          <w:tcPr>
            <w:tcW w:w="1611" w:type="dxa"/>
          </w:tcPr>
          <w:p w14:paraId="396C55F5">
            <w:pPr>
              <w:rPr>
                <w:rFonts w:ascii="Arial"/>
              </w:rPr>
            </w:pPr>
          </w:p>
        </w:tc>
        <w:tc>
          <w:tcPr>
            <w:tcW w:w="4337" w:type="dxa"/>
          </w:tcPr>
          <w:p w14:paraId="6ABB67F1">
            <w:pPr>
              <w:pStyle w:val="167"/>
              <w:spacing w:before="32" w:line="234" w:lineRule="auto"/>
              <w:ind w:left="123" w:right="839" w:hanging="4"/>
              <w:rPr>
                <w:sz w:val="19"/>
                <w:szCs w:val="19"/>
              </w:rPr>
            </w:pPr>
            <w:r>
              <w:rPr>
                <w:spacing w:val="8"/>
                <w:sz w:val="19"/>
                <w:szCs w:val="19"/>
              </w:rPr>
              <w:t>《电动洗衣机能效水效限定值及等级》</w:t>
            </w:r>
            <w:r>
              <w:rPr>
                <w:spacing w:val="5"/>
                <w:sz w:val="19"/>
                <w:szCs w:val="19"/>
              </w:rPr>
              <w:t xml:space="preserve"> </w:t>
            </w:r>
            <w:r>
              <w:rPr>
                <w:spacing w:val="4"/>
                <w:sz w:val="19"/>
                <w:szCs w:val="19"/>
              </w:rPr>
              <w:t>（</w:t>
            </w:r>
            <w:r>
              <w:rPr>
                <w:sz w:val="19"/>
                <w:szCs w:val="19"/>
              </w:rPr>
              <w:t>GB</w:t>
            </w:r>
            <w:r>
              <w:rPr>
                <w:spacing w:val="4"/>
                <w:sz w:val="19"/>
                <w:szCs w:val="19"/>
              </w:rPr>
              <w:t>12021.4）</w:t>
            </w:r>
          </w:p>
        </w:tc>
      </w:tr>
      <w:tr w14:paraId="23EC4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46" w:type="dxa"/>
            <w:vMerge w:val="continue"/>
            <w:tcBorders>
              <w:top w:val="nil"/>
              <w:bottom w:val="nil"/>
            </w:tcBorders>
          </w:tcPr>
          <w:p w14:paraId="0830E01C">
            <w:pPr>
              <w:rPr>
                <w:rFonts w:ascii="Arial"/>
              </w:rPr>
            </w:pPr>
          </w:p>
        </w:tc>
        <w:tc>
          <w:tcPr>
            <w:tcW w:w="1115" w:type="dxa"/>
            <w:vMerge w:val="continue"/>
            <w:tcBorders>
              <w:top w:val="nil"/>
              <w:bottom w:val="nil"/>
            </w:tcBorders>
          </w:tcPr>
          <w:p w14:paraId="4831D024">
            <w:pPr>
              <w:rPr>
                <w:rFonts w:ascii="Arial"/>
              </w:rPr>
            </w:pPr>
          </w:p>
        </w:tc>
        <w:tc>
          <w:tcPr>
            <w:tcW w:w="1515" w:type="dxa"/>
            <w:vMerge w:val="restart"/>
            <w:tcBorders>
              <w:bottom w:val="nil"/>
            </w:tcBorders>
          </w:tcPr>
          <w:p w14:paraId="0011B297">
            <w:pPr>
              <w:spacing w:line="252" w:lineRule="auto"/>
              <w:rPr>
                <w:rFonts w:ascii="Arial"/>
              </w:rPr>
            </w:pPr>
          </w:p>
          <w:p w14:paraId="747F9A9A">
            <w:pPr>
              <w:spacing w:line="253" w:lineRule="auto"/>
              <w:rPr>
                <w:rFonts w:ascii="Arial"/>
              </w:rPr>
            </w:pPr>
          </w:p>
          <w:p w14:paraId="58481E36">
            <w:pPr>
              <w:spacing w:line="253" w:lineRule="auto"/>
              <w:rPr>
                <w:rFonts w:ascii="Arial"/>
              </w:rPr>
            </w:pPr>
          </w:p>
          <w:p w14:paraId="2637F9B1">
            <w:pPr>
              <w:pStyle w:val="167"/>
              <w:spacing w:before="62"/>
              <w:ind w:left="563" w:right="183" w:hanging="382"/>
              <w:rPr>
                <w:sz w:val="19"/>
                <w:szCs w:val="19"/>
              </w:rPr>
            </w:pPr>
            <w:r>
              <w:rPr>
                <w:spacing w:val="3"/>
                <w:sz w:val="19"/>
                <w:szCs w:val="19"/>
              </w:rPr>
              <w:t>A02061808</w:t>
            </w:r>
            <w:r>
              <w:rPr>
                <w:spacing w:val="-26"/>
                <w:sz w:val="19"/>
                <w:szCs w:val="19"/>
              </w:rPr>
              <w:t xml:space="preserve"> </w:t>
            </w:r>
            <w:r>
              <w:rPr>
                <w:spacing w:val="3"/>
                <w:sz w:val="19"/>
                <w:szCs w:val="19"/>
              </w:rPr>
              <w:t>热</w:t>
            </w:r>
            <w:r>
              <w:rPr>
                <w:sz w:val="19"/>
                <w:szCs w:val="19"/>
              </w:rPr>
              <w:t xml:space="preserve"> </w:t>
            </w:r>
            <w:r>
              <w:rPr>
                <w:spacing w:val="4"/>
                <w:sz w:val="19"/>
                <w:szCs w:val="19"/>
              </w:rPr>
              <w:t>水器</w:t>
            </w:r>
          </w:p>
        </w:tc>
        <w:tc>
          <w:tcPr>
            <w:tcW w:w="1611" w:type="dxa"/>
          </w:tcPr>
          <w:p w14:paraId="4022403C">
            <w:pPr>
              <w:pStyle w:val="167"/>
              <w:spacing w:before="163" w:line="228" w:lineRule="auto"/>
              <w:ind w:left="314"/>
              <w:rPr>
                <w:sz w:val="19"/>
                <w:szCs w:val="19"/>
              </w:rPr>
            </w:pPr>
            <w:r>
              <w:rPr>
                <w:spacing w:val="7"/>
                <w:sz w:val="19"/>
                <w:szCs w:val="19"/>
              </w:rPr>
              <w:t>★电热水器</w:t>
            </w:r>
          </w:p>
        </w:tc>
        <w:tc>
          <w:tcPr>
            <w:tcW w:w="4337" w:type="dxa"/>
          </w:tcPr>
          <w:p w14:paraId="1C5FC6CD">
            <w:pPr>
              <w:pStyle w:val="167"/>
              <w:spacing w:before="33" w:line="233" w:lineRule="auto"/>
              <w:ind w:left="123" w:right="439" w:hanging="4"/>
              <w:rPr>
                <w:sz w:val="19"/>
                <w:szCs w:val="19"/>
              </w:rPr>
            </w:pPr>
            <w:r>
              <w:rPr>
                <w:spacing w:val="8"/>
                <w:sz w:val="19"/>
                <w:szCs w:val="19"/>
              </w:rPr>
              <w:t>《储水式电热水器能效限定值及能效等级》</w:t>
            </w:r>
            <w:r>
              <w:rPr>
                <w:spacing w:val="10"/>
                <w:sz w:val="19"/>
                <w:szCs w:val="19"/>
              </w:rPr>
              <w:t xml:space="preserve"> </w:t>
            </w:r>
            <w:r>
              <w:rPr>
                <w:spacing w:val="3"/>
                <w:sz w:val="19"/>
                <w:szCs w:val="19"/>
              </w:rPr>
              <w:t>（</w:t>
            </w:r>
            <w:r>
              <w:rPr>
                <w:sz w:val="19"/>
                <w:szCs w:val="19"/>
              </w:rPr>
              <w:t>GB</w:t>
            </w:r>
            <w:r>
              <w:rPr>
                <w:spacing w:val="3"/>
                <w:sz w:val="19"/>
                <w:szCs w:val="19"/>
              </w:rPr>
              <w:t>21519）</w:t>
            </w:r>
          </w:p>
        </w:tc>
      </w:tr>
      <w:tr w14:paraId="5BED0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46" w:type="dxa"/>
            <w:vMerge w:val="continue"/>
            <w:tcBorders>
              <w:top w:val="nil"/>
              <w:bottom w:val="nil"/>
            </w:tcBorders>
          </w:tcPr>
          <w:p w14:paraId="21822E7F">
            <w:pPr>
              <w:rPr>
                <w:rFonts w:ascii="Arial"/>
              </w:rPr>
            </w:pPr>
          </w:p>
        </w:tc>
        <w:tc>
          <w:tcPr>
            <w:tcW w:w="1115" w:type="dxa"/>
            <w:vMerge w:val="continue"/>
            <w:tcBorders>
              <w:top w:val="nil"/>
              <w:bottom w:val="nil"/>
            </w:tcBorders>
          </w:tcPr>
          <w:p w14:paraId="0E75C47E">
            <w:pPr>
              <w:rPr>
                <w:rFonts w:ascii="Arial"/>
              </w:rPr>
            </w:pPr>
          </w:p>
        </w:tc>
        <w:tc>
          <w:tcPr>
            <w:tcW w:w="1515" w:type="dxa"/>
            <w:vMerge w:val="continue"/>
            <w:tcBorders>
              <w:top w:val="nil"/>
              <w:bottom w:val="nil"/>
            </w:tcBorders>
          </w:tcPr>
          <w:p w14:paraId="5407374E">
            <w:pPr>
              <w:rPr>
                <w:rFonts w:ascii="Arial"/>
              </w:rPr>
            </w:pPr>
          </w:p>
        </w:tc>
        <w:tc>
          <w:tcPr>
            <w:tcW w:w="1611" w:type="dxa"/>
          </w:tcPr>
          <w:p w14:paraId="3778E1D5">
            <w:pPr>
              <w:pStyle w:val="167"/>
              <w:spacing w:before="163" w:line="228" w:lineRule="auto"/>
              <w:ind w:left="312"/>
              <w:rPr>
                <w:sz w:val="19"/>
                <w:szCs w:val="19"/>
              </w:rPr>
            </w:pPr>
            <w:r>
              <w:rPr>
                <w:spacing w:val="7"/>
                <w:sz w:val="19"/>
                <w:szCs w:val="19"/>
              </w:rPr>
              <w:t>燃气热水器</w:t>
            </w:r>
          </w:p>
        </w:tc>
        <w:tc>
          <w:tcPr>
            <w:tcW w:w="4337" w:type="dxa"/>
          </w:tcPr>
          <w:p w14:paraId="7DAC987D">
            <w:pPr>
              <w:pStyle w:val="167"/>
              <w:spacing w:before="34" w:line="233" w:lineRule="auto"/>
              <w:ind w:left="127" w:right="227" w:hanging="8"/>
              <w:rPr>
                <w:sz w:val="19"/>
                <w:szCs w:val="19"/>
              </w:rPr>
            </w:pPr>
            <w:r>
              <w:rPr>
                <w:spacing w:val="9"/>
                <w:sz w:val="19"/>
                <w:szCs w:val="19"/>
              </w:rPr>
              <w:t>《家用燃气快速热水器和燃气采暖热水炉能效</w:t>
            </w:r>
            <w:r>
              <w:rPr>
                <w:spacing w:val="3"/>
                <w:sz w:val="19"/>
                <w:szCs w:val="19"/>
              </w:rPr>
              <w:t xml:space="preserve"> </w:t>
            </w:r>
            <w:r>
              <w:rPr>
                <w:spacing w:val="6"/>
                <w:sz w:val="19"/>
                <w:szCs w:val="19"/>
              </w:rPr>
              <w:t>限定值及能效等级》（</w:t>
            </w:r>
            <w:r>
              <w:rPr>
                <w:sz w:val="19"/>
                <w:szCs w:val="19"/>
              </w:rPr>
              <w:t>GB</w:t>
            </w:r>
            <w:r>
              <w:rPr>
                <w:spacing w:val="6"/>
                <w:sz w:val="19"/>
                <w:szCs w:val="19"/>
              </w:rPr>
              <w:t>20665）</w:t>
            </w:r>
          </w:p>
        </w:tc>
      </w:tr>
      <w:tr w14:paraId="2EA1C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46" w:type="dxa"/>
            <w:vMerge w:val="continue"/>
            <w:tcBorders>
              <w:top w:val="nil"/>
              <w:bottom w:val="nil"/>
            </w:tcBorders>
          </w:tcPr>
          <w:p w14:paraId="15DEF256">
            <w:pPr>
              <w:rPr>
                <w:rFonts w:ascii="Arial"/>
              </w:rPr>
            </w:pPr>
          </w:p>
        </w:tc>
        <w:tc>
          <w:tcPr>
            <w:tcW w:w="1115" w:type="dxa"/>
            <w:vMerge w:val="continue"/>
            <w:tcBorders>
              <w:top w:val="nil"/>
              <w:bottom w:val="nil"/>
            </w:tcBorders>
          </w:tcPr>
          <w:p w14:paraId="762B3250">
            <w:pPr>
              <w:rPr>
                <w:rFonts w:ascii="Arial"/>
              </w:rPr>
            </w:pPr>
          </w:p>
        </w:tc>
        <w:tc>
          <w:tcPr>
            <w:tcW w:w="1515" w:type="dxa"/>
            <w:vMerge w:val="continue"/>
            <w:tcBorders>
              <w:top w:val="nil"/>
              <w:bottom w:val="nil"/>
            </w:tcBorders>
          </w:tcPr>
          <w:p w14:paraId="2D53965C">
            <w:pPr>
              <w:rPr>
                <w:rFonts w:ascii="Arial"/>
              </w:rPr>
            </w:pPr>
          </w:p>
        </w:tc>
        <w:tc>
          <w:tcPr>
            <w:tcW w:w="1611" w:type="dxa"/>
          </w:tcPr>
          <w:p w14:paraId="05856ECC">
            <w:pPr>
              <w:pStyle w:val="167"/>
              <w:spacing w:before="162" w:line="228" w:lineRule="auto"/>
              <w:ind w:left="315"/>
              <w:rPr>
                <w:sz w:val="19"/>
                <w:szCs w:val="19"/>
              </w:rPr>
            </w:pPr>
            <w:r>
              <w:rPr>
                <w:spacing w:val="7"/>
                <w:sz w:val="19"/>
                <w:szCs w:val="19"/>
              </w:rPr>
              <w:t>热泵热水器</w:t>
            </w:r>
          </w:p>
        </w:tc>
        <w:tc>
          <w:tcPr>
            <w:tcW w:w="4337" w:type="dxa"/>
          </w:tcPr>
          <w:p w14:paraId="1FE11908">
            <w:pPr>
              <w:pStyle w:val="167"/>
              <w:spacing w:before="34" w:line="233" w:lineRule="auto"/>
              <w:ind w:left="123" w:right="239" w:hanging="4"/>
              <w:rPr>
                <w:sz w:val="19"/>
                <w:szCs w:val="19"/>
              </w:rPr>
            </w:pPr>
            <w:r>
              <w:rPr>
                <w:spacing w:val="8"/>
                <w:sz w:val="19"/>
                <w:szCs w:val="19"/>
              </w:rPr>
              <w:t>《热泵热水机（器）能效限定值及能效等级》</w:t>
            </w:r>
            <w:r>
              <w:rPr>
                <w:spacing w:val="11"/>
                <w:sz w:val="19"/>
                <w:szCs w:val="19"/>
              </w:rPr>
              <w:t xml:space="preserve"> </w:t>
            </w:r>
            <w:r>
              <w:rPr>
                <w:spacing w:val="3"/>
                <w:sz w:val="19"/>
                <w:szCs w:val="19"/>
              </w:rPr>
              <w:t>（</w:t>
            </w:r>
            <w:r>
              <w:rPr>
                <w:sz w:val="19"/>
                <w:szCs w:val="19"/>
              </w:rPr>
              <w:t>GB</w:t>
            </w:r>
            <w:r>
              <w:rPr>
                <w:spacing w:val="3"/>
                <w:sz w:val="19"/>
                <w:szCs w:val="19"/>
              </w:rPr>
              <w:t>29541）</w:t>
            </w:r>
          </w:p>
        </w:tc>
      </w:tr>
      <w:tr w14:paraId="371E8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46" w:type="dxa"/>
            <w:vMerge w:val="continue"/>
            <w:tcBorders>
              <w:top w:val="nil"/>
            </w:tcBorders>
          </w:tcPr>
          <w:p w14:paraId="12A22CA3">
            <w:pPr>
              <w:rPr>
                <w:rFonts w:ascii="Arial"/>
              </w:rPr>
            </w:pPr>
          </w:p>
        </w:tc>
        <w:tc>
          <w:tcPr>
            <w:tcW w:w="1115" w:type="dxa"/>
            <w:vMerge w:val="continue"/>
            <w:tcBorders>
              <w:top w:val="nil"/>
            </w:tcBorders>
          </w:tcPr>
          <w:p w14:paraId="3425F616">
            <w:pPr>
              <w:rPr>
                <w:rFonts w:ascii="Arial"/>
              </w:rPr>
            </w:pPr>
          </w:p>
        </w:tc>
        <w:tc>
          <w:tcPr>
            <w:tcW w:w="1515" w:type="dxa"/>
            <w:vMerge w:val="continue"/>
            <w:tcBorders>
              <w:top w:val="nil"/>
            </w:tcBorders>
          </w:tcPr>
          <w:p w14:paraId="59B594E4">
            <w:pPr>
              <w:rPr>
                <w:rFonts w:ascii="Arial"/>
              </w:rPr>
            </w:pPr>
          </w:p>
        </w:tc>
        <w:tc>
          <w:tcPr>
            <w:tcW w:w="1611" w:type="dxa"/>
          </w:tcPr>
          <w:p w14:paraId="592FB49A">
            <w:pPr>
              <w:pStyle w:val="167"/>
              <w:spacing w:before="34" w:line="233" w:lineRule="auto"/>
              <w:ind w:left="713" w:right="203" w:hanging="503"/>
              <w:rPr>
                <w:sz w:val="19"/>
                <w:szCs w:val="19"/>
              </w:rPr>
            </w:pPr>
            <w:r>
              <w:rPr>
                <w:spacing w:val="8"/>
                <w:sz w:val="19"/>
                <w:szCs w:val="19"/>
              </w:rPr>
              <w:t>太阳能热水系</w:t>
            </w:r>
            <w:r>
              <w:rPr>
                <w:spacing w:val="2"/>
                <w:sz w:val="19"/>
                <w:szCs w:val="19"/>
              </w:rPr>
              <w:t xml:space="preserve"> </w:t>
            </w:r>
            <w:r>
              <w:rPr>
                <w:sz w:val="19"/>
                <w:szCs w:val="19"/>
              </w:rPr>
              <w:t>统</w:t>
            </w:r>
          </w:p>
        </w:tc>
        <w:tc>
          <w:tcPr>
            <w:tcW w:w="4337" w:type="dxa"/>
          </w:tcPr>
          <w:p w14:paraId="11014CDB">
            <w:pPr>
              <w:pStyle w:val="167"/>
              <w:spacing w:before="34" w:line="233" w:lineRule="auto"/>
              <w:ind w:left="123" w:right="40" w:hanging="4"/>
              <w:rPr>
                <w:sz w:val="19"/>
                <w:szCs w:val="19"/>
              </w:rPr>
            </w:pPr>
            <w:r>
              <w:rPr>
                <w:spacing w:val="8"/>
                <w:sz w:val="19"/>
                <w:szCs w:val="19"/>
              </w:rPr>
              <w:t>《家用太阳能热水系统能效限定值及能效等级》</w:t>
            </w:r>
            <w:r>
              <w:rPr>
                <w:spacing w:val="13"/>
                <w:sz w:val="19"/>
                <w:szCs w:val="19"/>
              </w:rPr>
              <w:t xml:space="preserve"> </w:t>
            </w:r>
            <w:r>
              <w:rPr>
                <w:spacing w:val="3"/>
                <w:sz w:val="19"/>
                <w:szCs w:val="19"/>
              </w:rPr>
              <w:t>（</w:t>
            </w:r>
            <w:r>
              <w:rPr>
                <w:sz w:val="19"/>
                <w:szCs w:val="19"/>
              </w:rPr>
              <w:t>GB</w:t>
            </w:r>
            <w:r>
              <w:rPr>
                <w:spacing w:val="3"/>
                <w:sz w:val="19"/>
                <w:szCs w:val="19"/>
              </w:rPr>
              <w:t>26969）</w:t>
            </w:r>
          </w:p>
        </w:tc>
      </w:tr>
      <w:tr w14:paraId="4B073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46" w:type="dxa"/>
            <w:vMerge w:val="restart"/>
            <w:tcBorders>
              <w:bottom w:val="nil"/>
            </w:tcBorders>
          </w:tcPr>
          <w:p w14:paraId="14D4752C">
            <w:pPr>
              <w:spacing w:line="261" w:lineRule="auto"/>
              <w:rPr>
                <w:rFonts w:ascii="Arial"/>
              </w:rPr>
            </w:pPr>
          </w:p>
          <w:p w14:paraId="2889B444">
            <w:pPr>
              <w:spacing w:line="261" w:lineRule="auto"/>
              <w:rPr>
                <w:rFonts w:ascii="Arial"/>
              </w:rPr>
            </w:pPr>
          </w:p>
          <w:p w14:paraId="7DA8FB7C">
            <w:pPr>
              <w:spacing w:line="262" w:lineRule="auto"/>
              <w:rPr>
                <w:rFonts w:ascii="Arial"/>
              </w:rPr>
            </w:pPr>
          </w:p>
          <w:p w14:paraId="3EC91DE1">
            <w:pPr>
              <w:spacing w:line="262" w:lineRule="auto"/>
              <w:rPr>
                <w:rFonts w:ascii="Arial"/>
              </w:rPr>
            </w:pPr>
          </w:p>
          <w:p w14:paraId="3F732219">
            <w:pPr>
              <w:pStyle w:val="167"/>
              <w:spacing w:before="62" w:line="190" w:lineRule="auto"/>
              <w:ind w:left="242"/>
              <w:rPr>
                <w:sz w:val="19"/>
                <w:szCs w:val="19"/>
              </w:rPr>
            </w:pPr>
            <w:r>
              <w:rPr>
                <w:spacing w:val="-7"/>
                <w:sz w:val="19"/>
                <w:szCs w:val="19"/>
              </w:rPr>
              <w:t>11</w:t>
            </w:r>
          </w:p>
        </w:tc>
        <w:tc>
          <w:tcPr>
            <w:tcW w:w="1115" w:type="dxa"/>
            <w:vMerge w:val="restart"/>
            <w:tcBorders>
              <w:bottom w:val="nil"/>
            </w:tcBorders>
          </w:tcPr>
          <w:p w14:paraId="0532F3AF">
            <w:pPr>
              <w:spacing w:line="305" w:lineRule="auto"/>
              <w:rPr>
                <w:rFonts w:ascii="Arial"/>
              </w:rPr>
            </w:pPr>
          </w:p>
          <w:p w14:paraId="2AFB82B9">
            <w:pPr>
              <w:spacing w:line="305" w:lineRule="auto"/>
              <w:rPr>
                <w:rFonts w:ascii="Arial"/>
              </w:rPr>
            </w:pPr>
          </w:p>
          <w:p w14:paraId="1F66992C">
            <w:pPr>
              <w:spacing w:line="306" w:lineRule="auto"/>
              <w:rPr>
                <w:rFonts w:ascii="Arial"/>
              </w:rPr>
            </w:pPr>
          </w:p>
          <w:p w14:paraId="3E3DFDEB">
            <w:pPr>
              <w:pStyle w:val="167"/>
              <w:spacing w:before="61" w:line="249" w:lineRule="auto"/>
              <w:ind w:left="166" w:right="158" w:firstLine="38"/>
              <w:rPr>
                <w:sz w:val="19"/>
                <w:szCs w:val="19"/>
              </w:rPr>
            </w:pPr>
            <w:r>
              <w:rPr>
                <w:spacing w:val="4"/>
                <w:sz w:val="19"/>
                <w:szCs w:val="19"/>
              </w:rPr>
              <w:t>A020619</w:t>
            </w:r>
            <w:r>
              <w:rPr>
                <w:spacing w:val="3"/>
                <w:sz w:val="19"/>
                <w:szCs w:val="19"/>
              </w:rPr>
              <w:t xml:space="preserve"> </w:t>
            </w:r>
            <w:r>
              <w:rPr>
                <w:spacing w:val="6"/>
                <w:sz w:val="19"/>
                <w:szCs w:val="19"/>
              </w:rPr>
              <w:t>照明设备</w:t>
            </w:r>
          </w:p>
        </w:tc>
        <w:tc>
          <w:tcPr>
            <w:tcW w:w="1515" w:type="dxa"/>
          </w:tcPr>
          <w:p w14:paraId="17A88322">
            <w:pPr>
              <w:pStyle w:val="167"/>
              <w:spacing w:before="33" w:line="233" w:lineRule="auto"/>
              <w:ind w:left="261" w:right="157" w:hanging="97"/>
              <w:rPr>
                <w:sz w:val="19"/>
                <w:szCs w:val="19"/>
              </w:rPr>
            </w:pPr>
            <w:r>
              <w:rPr>
                <w:spacing w:val="8"/>
                <w:sz w:val="19"/>
                <w:szCs w:val="19"/>
              </w:rPr>
              <w:t>★普通照明用</w:t>
            </w:r>
            <w:r>
              <w:rPr>
                <w:sz w:val="19"/>
                <w:szCs w:val="19"/>
              </w:rPr>
              <w:t xml:space="preserve"> </w:t>
            </w:r>
            <w:r>
              <w:rPr>
                <w:spacing w:val="8"/>
                <w:sz w:val="19"/>
                <w:szCs w:val="19"/>
              </w:rPr>
              <w:t>双端荧光灯</w:t>
            </w:r>
          </w:p>
        </w:tc>
        <w:tc>
          <w:tcPr>
            <w:tcW w:w="1611" w:type="dxa"/>
          </w:tcPr>
          <w:p w14:paraId="22001166">
            <w:pPr>
              <w:rPr>
                <w:rFonts w:ascii="Arial"/>
              </w:rPr>
            </w:pPr>
          </w:p>
        </w:tc>
        <w:tc>
          <w:tcPr>
            <w:tcW w:w="4337" w:type="dxa"/>
          </w:tcPr>
          <w:p w14:paraId="09D72FDB">
            <w:pPr>
              <w:pStyle w:val="167"/>
              <w:spacing w:before="33" w:line="233" w:lineRule="auto"/>
              <w:ind w:left="117" w:right="227" w:firstLine="2"/>
              <w:rPr>
                <w:sz w:val="19"/>
                <w:szCs w:val="19"/>
              </w:rPr>
            </w:pPr>
            <w:r>
              <w:rPr>
                <w:spacing w:val="9"/>
                <w:sz w:val="19"/>
                <w:szCs w:val="19"/>
              </w:rPr>
              <w:t>《普通照明用双端荧光灯能效限定值及能效等</w:t>
            </w:r>
            <w:r>
              <w:rPr>
                <w:spacing w:val="3"/>
                <w:sz w:val="19"/>
                <w:szCs w:val="19"/>
              </w:rPr>
              <w:t xml:space="preserve"> </w:t>
            </w:r>
            <w:r>
              <w:rPr>
                <w:spacing w:val="5"/>
                <w:sz w:val="19"/>
                <w:szCs w:val="19"/>
              </w:rPr>
              <w:t>级》（</w:t>
            </w:r>
            <w:r>
              <w:rPr>
                <w:sz w:val="19"/>
                <w:szCs w:val="19"/>
              </w:rPr>
              <w:t>GB</w:t>
            </w:r>
            <w:r>
              <w:rPr>
                <w:spacing w:val="5"/>
                <w:sz w:val="19"/>
                <w:szCs w:val="19"/>
              </w:rPr>
              <w:t>19043）</w:t>
            </w:r>
          </w:p>
        </w:tc>
      </w:tr>
      <w:tr w14:paraId="44361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46" w:type="dxa"/>
            <w:vMerge w:val="continue"/>
            <w:tcBorders>
              <w:top w:val="nil"/>
              <w:bottom w:val="nil"/>
            </w:tcBorders>
          </w:tcPr>
          <w:p w14:paraId="1D663A69">
            <w:pPr>
              <w:rPr>
                <w:rFonts w:ascii="Arial"/>
              </w:rPr>
            </w:pPr>
          </w:p>
        </w:tc>
        <w:tc>
          <w:tcPr>
            <w:tcW w:w="1115" w:type="dxa"/>
            <w:vMerge w:val="continue"/>
            <w:tcBorders>
              <w:top w:val="nil"/>
              <w:bottom w:val="nil"/>
            </w:tcBorders>
          </w:tcPr>
          <w:p w14:paraId="59D93F01">
            <w:pPr>
              <w:rPr>
                <w:rFonts w:ascii="Arial"/>
              </w:rPr>
            </w:pPr>
          </w:p>
        </w:tc>
        <w:tc>
          <w:tcPr>
            <w:tcW w:w="1515" w:type="dxa"/>
          </w:tcPr>
          <w:p w14:paraId="00E09F2E">
            <w:pPr>
              <w:pStyle w:val="167"/>
              <w:spacing w:before="32" w:line="234" w:lineRule="auto"/>
              <w:ind w:left="368" w:right="133" w:hanging="233"/>
              <w:rPr>
                <w:sz w:val="19"/>
                <w:szCs w:val="19"/>
              </w:rPr>
            </w:pPr>
            <w:r>
              <w:rPr>
                <w:sz w:val="19"/>
                <w:szCs w:val="19"/>
              </w:rPr>
              <w:t>LED</w:t>
            </w:r>
            <w:r>
              <w:rPr>
                <w:spacing w:val="-39"/>
                <w:sz w:val="19"/>
                <w:szCs w:val="19"/>
              </w:rPr>
              <w:t xml:space="preserve"> </w:t>
            </w:r>
            <w:r>
              <w:rPr>
                <w:spacing w:val="9"/>
                <w:sz w:val="19"/>
                <w:szCs w:val="19"/>
              </w:rPr>
              <w:t>道路/隧道</w:t>
            </w:r>
            <w:r>
              <w:rPr>
                <w:sz w:val="19"/>
                <w:szCs w:val="19"/>
              </w:rPr>
              <w:t xml:space="preserve"> </w:t>
            </w:r>
            <w:r>
              <w:rPr>
                <w:spacing w:val="6"/>
                <w:sz w:val="19"/>
                <w:szCs w:val="19"/>
              </w:rPr>
              <w:t>照明产品</w:t>
            </w:r>
          </w:p>
        </w:tc>
        <w:tc>
          <w:tcPr>
            <w:tcW w:w="1611" w:type="dxa"/>
          </w:tcPr>
          <w:p w14:paraId="44381BC9">
            <w:pPr>
              <w:rPr>
                <w:rFonts w:ascii="Arial"/>
              </w:rPr>
            </w:pPr>
          </w:p>
        </w:tc>
        <w:tc>
          <w:tcPr>
            <w:tcW w:w="4337" w:type="dxa"/>
          </w:tcPr>
          <w:p w14:paraId="0AD70F6D">
            <w:pPr>
              <w:pStyle w:val="167"/>
              <w:spacing w:before="32" w:line="234" w:lineRule="auto"/>
              <w:ind w:left="118" w:right="227"/>
              <w:rPr>
                <w:sz w:val="19"/>
                <w:szCs w:val="19"/>
              </w:rPr>
            </w:pPr>
            <w:r>
              <w:rPr>
                <w:spacing w:val="12"/>
                <w:sz w:val="19"/>
                <w:szCs w:val="19"/>
              </w:rPr>
              <w:t>《道路和隧道照明用</w:t>
            </w:r>
            <w:r>
              <w:rPr>
                <w:sz w:val="19"/>
                <w:szCs w:val="19"/>
              </w:rPr>
              <w:t>LED</w:t>
            </w:r>
            <w:r>
              <w:rPr>
                <w:spacing w:val="-32"/>
                <w:sz w:val="19"/>
                <w:szCs w:val="19"/>
              </w:rPr>
              <w:t xml:space="preserve"> </w:t>
            </w:r>
            <w:r>
              <w:rPr>
                <w:spacing w:val="12"/>
                <w:sz w:val="19"/>
                <w:szCs w:val="19"/>
              </w:rPr>
              <w:t>灯具能效限定值及能</w:t>
            </w:r>
            <w:r>
              <w:rPr>
                <w:sz w:val="19"/>
                <w:szCs w:val="19"/>
              </w:rPr>
              <w:t xml:space="preserve"> </w:t>
            </w:r>
            <w:r>
              <w:rPr>
                <w:spacing w:val="6"/>
                <w:sz w:val="19"/>
                <w:szCs w:val="19"/>
              </w:rPr>
              <w:t>效等级》（</w:t>
            </w:r>
            <w:r>
              <w:rPr>
                <w:sz w:val="19"/>
                <w:szCs w:val="19"/>
              </w:rPr>
              <w:t>GB</w:t>
            </w:r>
            <w:r>
              <w:rPr>
                <w:spacing w:val="6"/>
                <w:sz w:val="19"/>
                <w:szCs w:val="19"/>
              </w:rPr>
              <w:t>37478）</w:t>
            </w:r>
          </w:p>
        </w:tc>
      </w:tr>
      <w:tr w14:paraId="797AA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46" w:type="dxa"/>
            <w:vMerge w:val="continue"/>
            <w:tcBorders>
              <w:top w:val="nil"/>
              <w:bottom w:val="nil"/>
            </w:tcBorders>
          </w:tcPr>
          <w:p w14:paraId="58EF46C2">
            <w:pPr>
              <w:rPr>
                <w:rFonts w:ascii="Arial"/>
              </w:rPr>
            </w:pPr>
          </w:p>
        </w:tc>
        <w:tc>
          <w:tcPr>
            <w:tcW w:w="1115" w:type="dxa"/>
            <w:vMerge w:val="continue"/>
            <w:tcBorders>
              <w:top w:val="nil"/>
              <w:bottom w:val="nil"/>
            </w:tcBorders>
          </w:tcPr>
          <w:p w14:paraId="45F50F64">
            <w:pPr>
              <w:rPr>
                <w:rFonts w:ascii="Arial"/>
              </w:rPr>
            </w:pPr>
          </w:p>
        </w:tc>
        <w:tc>
          <w:tcPr>
            <w:tcW w:w="1515" w:type="dxa"/>
          </w:tcPr>
          <w:p w14:paraId="25312605">
            <w:pPr>
              <w:pStyle w:val="167"/>
              <w:spacing w:before="163" w:line="228" w:lineRule="auto"/>
              <w:ind w:left="384"/>
              <w:rPr>
                <w:sz w:val="19"/>
                <w:szCs w:val="19"/>
              </w:rPr>
            </w:pPr>
            <w:r>
              <w:rPr>
                <w:sz w:val="19"/>
                <w:szCs w:val="19"/>
              </w:rPr>
              <w:t>LED</w:t>
            </w:r>
            <w:r>
              <w:rPr>
                <w:spacing w:val="-35"/>
                <w:sz w:val="19"/>
                <w:szCs w:val="19"/>
              </w:rPr>
              <w:t xml:space="preserve"> </w:t>
            </w:r>
            <w:r>
              <w:rPr>
                <w:spacing w:val="8"/>
                <w:sz w:val="19"/>
                <w:szCs w:val="19"/>
              </w:rPr>
              <w:t>筒灯</w:t>
            </w:r>
          </w:p>
        </w:tc>
        <w:tc>
          <w:tcPr>
            <w:tcW w:w="1611" w:type="dxa"/>
          </w:tcPr>
          <w:p w14:paraId="1342C038">
            <w:pPr>
              <w:rPr>
                <w:rFonts w:ascii="Arial"/>
              </w:rPr>
            </w:pPr>
          </w:p>
        </w:tc>
        <w:tc>
          <w:tcPr>
            <w:tcW w:w="4337" w:type="dxa"/>
          </w:tcPr>
          <w:p w14:paraId="0839CFCA">
            <w:pPr>
              <w:pStyle w:val="167"/>
              <w:spacing w:before="34" w:line="233" w:lineRule="auto"/>
              <w:ind w:left="123" w:right="40" w:hanging="4"/>
              <w:rPr>
                <w:sz w:val="19"/>
                <w:szCs w:val="19"/>
              </w:rPr>
            </w:pPr>
            <w:r>
              <w:rPr>
                <w:spacing w:val="11"/>
                <w:sz w:val="19"/>
                <w:szCs w:val="19"/>
              </w:rPr>
              <w:t>《室内照明用</w:t>
            </w:r>
            <w:r>
              <w:rPr>
                <w:sz w:val="19"/>
                <w:szCs w:val="19"/>
              </w:rPr>
              <w:t>LED</w:t>
            </w:r>
            <w:r>
              <w:rPr>
                <w:spacing w:val="-28"/>
                <w:sz w:val="19"/>
                <w:szCs w:val="19"/>
              </w:rPr>
              <w:t xml:space="preserve"> </w:t>
            </w:r>
            <w:r>
              <w:rPr>
                <w:spacing w:val="11"/>
                <w:sz w:val="19"/>
                <w:szCs w:val="19"/>
              </w:rPr>
              <w:t>产品能效限定值及能效等级》</w:t>
            </w:r>
            <w:r>
              <w:rPr>
                <w:sz w:val="19"/>
                <w:szCs w:val="19"/>
              </w:rPr>
              <w:t xml:space="preserve"> </w:t>
            </w:r>
            <w:r>
              <w:rPr>
                <w:spacing w:val="3"/>
                <w:sz w:val="19"/>
                <w:szCs w:val="19"/>
              </w:rPr>
              <w:t>（</w:t>
            </w:r>
            <w:r>
              <w:rPr>
                <w:sz w:val="19"/>
                <w:szCs w:val="19"/>
              </w:rPr>
              <w:t>GB</w:t>
            </w:r>
            <w:r>
              <w:rPr>
                <w:spacing w:val="3"/>
                <w:sz w:val="19"/>
                <w:szCs w:val="19"/>
              </w:rPr>
              <w:t>30255）</w:t>
            </w:r>
          </w:p>
        </w:tc>
      </w:tr>
      <w:tr w14:paraId="059DE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646" w:type="dxa"/>
            <w:vMerge w:val="continue"/>
            <w:tcBorders>
              <w:top w:val="nil"/>
            </w:tcBorders>
          </w:tcPr>
          <w:p w14:paraId="7C82F3F3">
            <w:pPr>
              <w:rPr>
                <w:rFonts w:ascii="Arial"/>
              </w:rPr>
            </w:pPr>
          </w:p>
        </w:tc>
        <w:tc>
          <w:tcPr>
            <w:tcW w:w="1115" w:type="dxa"/>
            <w:vMerge w:val="continue"/>
            <w:tcBorders>
              <w:top w:val="nil"/>
            </w:tcBorders>
          </w:tcPr>
          <w:p w14:paraId="11C85AF2">
            <w:pPr>
              <w:rPr>
                <w:rFonts w:ascii="Arial"/>
              </w:rPr>
            </w:pPr>
          </w:p>
        </w:tc>
        <w:tc>
          <w:tcPr>
            <w:tcW w:w="1515" w:type="dxa"/>
          </w:tcPr>
          <w:p w14:paraId="04E2E053">
            <w:pPr>
              <w:pStyle w:val="167"/>
              <w:spacing w:before="33" w:line="228" w:lineRule="auto"/>
              <w:ind w:left="160"/>
              <w:rPr>
                <w:sz w:val="19"/>
                <w:szCs w:val="19"/>
              </w:rPr>
            </w:pPr>
            <w:r>
              <w:rPr>
                <w:spacing w:val="8"/>
                <w:sz w:val="19"/>
                <w:szCs w:val="19"/>
              </w:rPr>
              <w:t>普通照明用非</w:t>
            </w:r>
          </w:p>
          <w:p w14:paraId="1850B879">
            <w:pPr>
              <w:pStyle w:val="167"/>
              <w:spacing w:before="24" w:line="228" w:lineRule="auto"/>
              <w:ind w:left="266"/>
              <w:rPr>
                <w:sz w:val="19"/>
                <w:szCs w:val="19"/>
              </w:rPr>
            </w:pPr>
            <w:r>
              <w:rPr>
                <w:spacing w:val="7"/>
                <w:sz w:val="19"/>
                <w:szCs w:val="19"/>
              </w:rPr>
              <w:t>定向自镇流</w:t>
            </w:r>
          </w:p>
          <w:p w14:paraId="31A5F06B">
            <w:pPr>
              <w:pStyle w:val="167"/>
              <w:spacing w:before="24" w:line="215" w:lineRule="auto"/>
              <w:ind w:left="485"/>
              <w:rPr>
                <w:sz w:val="19"/>
                <w:szCs w:val="19"/>
              </w:rPr>
            </w:pPr>
            <w:r>
              <w:rPr>
                <w:sz w:val="19"/>
                <w:szCs w:val="19"/>
              </w:rPr>
              <w:t>LED</w:t>
            </w:r>
            <w:r>
              <w:rPr>
                <w:spacing w:val="-38"/>
                <w:sz w:val="19"/>
                <w:szCs w:val="19"/>
              </w:rPr>
              <w:t xml:space="preserve"> </w:t>
            </w:r>
            <w:r>
              <w:rPr>
                <w:spacing w:val="7"/>
                <w:sz w:val="19"/>
                <w:szCs w:val="19"/>
              </w:rPr>
              <w:t>灯</w:t>
            </w:r>
          </w:p>
        </w:tc>
        <w:tc>
          <w:tcPr>
            <w:tcW w:w="1611" w:type="dxa"/>
          </w:tcPr>
          <w:p w14:paraId="66E4A531">
            <w:pPr>
              <w:rPr>
                <w:rFonts w:ascii="Arial"/>
              </w:rPr>
            </w:pPr>
          </w:p>
        </w:tc>
        <w:tc>
          <w:tcPr>
            <w:tcW w:w="4337" w:type="dxa"/>
          </w:tcPr>
          <w:p w14:paraId="61C4332F">
            <w:pPr>
              <w:pStyle w:val="167"/>
              <w:spacing w:before="163" w:line="246" w:lineRule="auto"/>
              <w:ind w:left="123" w:right="40" w:hanging="4"/>
              <w:rPr>
                <w:sz w:val="19"/>
                <w:szCs w:val="19"/>
              </w:rPr>
            </w:pPr>
            <w:r>
              <w:rPr>
                <w:spacing w:val="11"/>
                <w:sz w:val="19"/>
                <w:szCs w:val="19"/>
              </w:rPr>
              <w:t>《室内照明用</w:t>
            </w:r>
            <w:r>
              <w:rPr>
                <w:sz w:val="19"/>
                <w:szCs w:val="19"/>
              </w:rPr>
              <w:t>LED</w:t>
            </w:r>
            <w:r>
              <w:rPr>
                <w:spacing w:val="-28"/>
                <w:sz w:val="19"/>
                <w:szCs w:val="19"/>
              </w:rPr>
              <w:t xml:space="preserve"> </w:t>
            </w:r>
            <w:r>
              <w:rPr>
                <w:spacing w:val="11"/>
                <w:sz w:val="19"/>
                <w:szCs w:val="19"/>
              </w:rPr>
              <w:t>产品能效限定值及能效等级》</w:t>
            </w:r>
            <w:r>
              <w:rPr>
                <w:sz w:val="19"/>
                <w:szCs w:val="19"/>
              </w:rPr>
              <w:t xml:space="preserve"> </w:t>
            </w:r>
            <w:r>
              <w:rPr>
                <w:spacing w:val="3"/>
                <w:sz w:val="19"/>
                <w:szCs w:val="19"/>
              </w:rPr>
              <w:t>（</w:t>
            </w:r>
            <w:r>
              <w:rPr>
                <w:sz w:val="19"/>
                <w:szCs w:val="19"/>
              </w:rPr>
              <w:t>GB</w:t>
            </w:r>
            <w:r>
              <w:rPr>
                <w:spacing w:val="3"/>
                <w:sz w:val="19"/>
                <w:szCs w:val="19"/>
              </w:rPr>
              <w:t>30255）</w:t>
            </w:r>
          </w:p>
        </w:tc>
      </w:tr>
      <w:tr w14:paraId="50416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46" w:type="dxa"/>
          </w:tcPr>
          <w:p w14:paraId="22AE6608">
            <w:pPr>
              <w:spacing w:line="258" w:lineRule="auto"/>
              <w:rPr>
                <w:rFonts w:ascii="Arial"/>
              </w:rPr>
            </w:pPr>
          </w:p>
          <w:p w14:paraId="06ACB5C6">
            <w:pPr>
              <w:pStyle w:val="167"/>
              <w:spacing w:before="62" w:line="190" w:lineRule="auto"/>
              <w:ind w:left="242"/>
              <w:rPr>
                <w:sz w:val="19"/>
                <w:szCs w:val="19"/>
              </w:rPr>
            </w:pPr>
            <w:r>
              <w:rPr>
                <w:spacing w:val="-7"/>
                <w:sz w:val="19"/>
                <w:szCs w:val="19"/>
              </w:rPr>
              <w:t>12</w:t>
            </w:r>
          </w:p>
        </w:tc>
        <w:tc>
          <w:tcPr>
            <w:tcW w:w="1115" w:type="dxa"/>
          </w:tcPr>
          <w:p w14:paraId="1CB01DCC">
            <w:pPr>
              <w:pStyle w:val="167"/>
              <w:spacing w:before="162"/>
              <w:ind w:left="182" w:right="107" w:hanging="70"/>
              <w:rPr>
                <w:sz w:val="19"/>
                <w:szCs w:val="19"/>
              </w:rPr>
            </w:pPr>
            <w:r>
              <w:rPr>
                <w:spacing w:val="4"/>
                <w:sz w:val="19"/>
                <w:szCs w:val="19"/>
              </w:rPr>
              <w:t>★A020910</w:t>
            </w:r>
            <w:r>
              <w:rPr>
                <w:spacing w:val="2"/>
                <w:sz w:val="19"/>
                <w:szCs w:val="19"/>
              </w:rPr>
              <w:t xml:space="preserve"> </w:t>
            </w:r>
            <w:r>
              <w:rPr>
                <w:spacing w:val="1"/>
                <w:sz w:val="19"/>
                <w:szCs w:val="19"/>
              </w:rPr>
              <w:t>电视设备</w:t>
            </w:r>
          </w:p>
        </w:tc>
        <w:tc>
          <w:tcPr>
            <w:tcW w:w="1515" w:type="dxa"/>
          </w:tcPr>
          <w:p w14:paraId="0F7F5D08">
            <w:pPr>
              <w:pStyle w:val="167"/>
              <w:spacing w:before="32" w:line="228" w:lineRule="auto"/>
              <w:ind w:left="181"/>
              <w:rPr>
                <w:sz w:val="19"/>
                <w:szCs w:val="19"/>
              </w:rPr>
            </w:pPr>
            <w:r>
              <w:rPr>
                <w:spacing w:val="4"/>
                <w:sz w:val="19"/>
                <w:szCs w:val="19"/>
              </w:rPr>
              <w:t>A02091001</w:t>
            </w:r>
            <w:r>
              <w:rPr>
                <w:spacing w:val="-36"/>
                <w:sz w:val="19"/>
                <w:szCs w:val="19"/>
              </w:rPr>
              <w:t xml:space="preserve"> </w:t>
            </w:r>
            <w:r>
              <w:rPr>
                <w:spacing w:val="4"/>
                <w:sz w:val="19"/>
                <w:szCs w:val="19"/>
              </w:rPr>
              <w:t>普</w:t>
            </w:r>
          </w:p>
          <w:p w14:paraId="582E8FEF">
            <w:pPr>
              <w:pStyle w:val="167"/>
              <w:spacing w:before="25" w:line="233" w:lineRule="auto"/>
              <w:ind w:left="459" w:right="106" w:hanging="349"/>
              <w:rPr>
                <w:sz w:val="19"/>
                <w:szCs w:val="19"/>
              </w:rPr>
            </w:pPr>
            <w:r>
              <w:rPr>
                <w:spacing w:val="-6"/>
                <w:sz w:val="19"/>
                <w:szCs w:val="19"/>
              </w:rPr>
              <w:t>通电视设备（电</w:t>
            </w:r>
            <w:r>
              <w:rPr>
                <w:spacing w:val="3"/>
                <w:sz w:val="19"/>
                <w:szCs w:val="19"/>
              </w:rPr>
              <w:t xml:space="preserve"> 视机）</w:t>
            </w:r>
          </w:p>
        </w:tc>
        <w:tc>
          <w:tcPr>
            <w:tcW w:w="1611" w:type="dxa"/>
          </w:tcPr>
          <w:p w14:paraId="10923FB3">
            <w:pPr>
              <w:rPr>
                <w:rFonts w:ascii="Arial"/>
              </w:rPr>
            </w:pPr>
          </w:p>
        </w:tc>
        <w:tc>
          <w:tcPr>
            <w:tcW w:w="4337" w:type="dxa"/>
          </w:tcPr>
          <w:p w14:paraId="6696DBC1">
            <w:pPr>
              <w:pStyle w:val="167"/>
              <w:spacing w:before="292" w:line="227" w:lineRule="auto"/>
              <w:ind w:right="16"/>
              <w:jc w:val="right"/>
              <w:rPr>
                <w:sz w:val="19"/>
                <w:szCs w:val="19"/>
              </w:rPr>
            </w:pPr>
            <w:r>
              <w:rPr>
                <w:spacing w:val="4"/>
                <w:sz w:val="19"/>
                <w:szCs w:val="19"/>
              </w:rPr>
              <w:t>《平板电视能效限定值及能效等级》（</w:t>
            </w:r>
            <w:r>
              <w:rPr>
                <w:sz w:val="19"/>
                <w:szCs w:val="19"/>
              </w:rPr>
              <w:t>GB</w:t>
            </w:r>
            <w:r>
              <w:rPr>
                <w:spacing w:val="4"/>
                <w:sz w:val="19"/>
                <w:szCs w:val="19"/>
              </w:rPr>
              <w:t>24850）</w:t>
            </w:r>
          </w:p>
        </w:tc>
      </w:tr>
      <w:tr w14:paraId="51CEE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646" w:type="dxa"/>
          </w:tcPr>
          <w:p w14:paraId="7FF5B205">
            <w:pPr>
              <w:spacing w:line="390" w:lineRule="auto"/>
              <w:rPr>
                <w:rFonts w:ascii="Arial"/>
              </w:rPr>
            </w:pPr>
          </w:p>
          <w:p w14:paraId="623D78CA">
            <w:pPr>
              <w:pStyle w:val="167"/>
              <w:spacing w:before="61" w:line="190" w:lineRule="auto"/>
              <w:ind w:left="242"/>
              <w:rPr>
                <w:sz w:val="19"/>
                <w:szCs w:val="19"/>
              </w:rPr>
            </w:pPr>
            <w:r>
              <w:rPr>
                <w:spacing w:val="-7"/>
                <w:sz w:val="19"/>
                <w:szCs w:val="19"/>
              </w:rPr>
              <w:t>13</w:t>
            </w:r>
          </w:p>
        </w:tc>
        <w:tc>
          <w:tcPr>
            <w:tcW w:w="1115" w:type="dxa"/>
          </w:tcPr>
          <w:p w14:paraId="41914328">
            <w:pPr>
              <w:pStyle w:val="167"/>
              <w:spacing w:before="294"/>
              <w:ind w:left="158" w:right="107" w:hanging="46"/>
              <w:rPr>
                <w:sz w:val="19"/>
                <w:szCs w:val="19"/>
              </w:rPr>
            </w:pPr>
            <w:r>
              <w:rPr>
                <w:spacing w:val="4"/>
                <w:sz w:val="19"/>
                <w:szCs w:val="19"/>
              </w:rPr>
              <w:t>★A020911</w:t>
            </w:r>
            <w:r>
              <w:rPr>
                <w:spacing w:val="2"/>
                <w:sz w:val="19"/>
                <w:szCs w:val="19"/>
              </w:rPr>
              <w:t xml:space="preserve"> </w:t>
            </w:r>
            <w:r>
              <w:rPr>
                <w:spacing w:val="8"/>
                <w:sz w:val="19"/>
                <w:szCs w:val="19"/>
              </w:rPr>
              <w:t>视频设备</w:t>
            </w:r>
          </w:p>
        </w:tc>
        <w:tc>
          <w:tcPr>
            <w:tcW w:w="1515" w:type="dxa"/>
          </w:tcPr>
          <w:p w14:paraId="0299B2DD">
            <w:pPr>
              <w:pStyle w:val="167"/>
              <w:spacing w:before="294"/>
              <w:ind w:left="262" w:right="183" w:hanging="81"/>
              <w:rPr>
                <w:sz w:val="19"/>
                <w:szCs w:val="19"/>
              </w:rPr>
            </w:pPr>
            <w:r>
              <w:rPr>
                <w:spacing w:val="4"/>
                <w:sz w:val="19"/>
                <w:szCs w:val="19"/>
              </w:rPr>
              <w:t>A02091107</w:t>
            </w:r>
            <w:r>
              <w:rPr>
                <w:spacing w:val="-36"/>
                <w:sz w:val="19"/>
                <w:szCs w:val="19"/>
              </w:rPr>
              <w:t xml:space="preserve"> </w:t>
            </w:r>
            <w:r>
              <w:rPr>
                <w:spacing w:val="4"/>
                <w:sz w:val="19"/>
                <w:szCs w:val="19"/>
              </w:rPr>
              <w:t>视</w:t>
            </w:r>
            <w:r>
              <w:rPr>
                <w:sz w:val="19"/>
                <w:szCs w:val="19"/>
              </w:rPr>
              <w:t xml:space="preserve"> </w:t>
            </w:r>
            <w:r>
              <w:rPr>
                <w:spacing w:val="7"/>
                <w:sz w:val="19"/>
                <w:szCs w:val="19"/>
              </w:rPr>
              <w:t>频监控设备</w:t>
            </w:r>
          </w:p>
        </w:tc>
        <w:tc>
          <w:tcPr>
            <w:tcW w:w="1611" w:type="dxa"/>
          </w:tcPr>
          <w:p w14:paraId="4EA557EE">
            <w:pPr>
              <w:spacing w:line="359" w:lineRule="auto"/>
              <w:rPr>
                <w:rFonts w:ascii="Arial"/>
              </w:rPr>
            </w:pPr>
          </w:p>
          <w:p w14:paraId="46E989D8">
            <w:pPr>
              <w:pStyle w:val="167"/>
              <w:spacing w:before="62" w:line="229" w:lineRule="auto"/>
              <w:ind w:left="511"/>
              <w:rPr>
                <w:sz w:val="19"/>
                <w:szCs w:val="19"/>
              </w:rPr>
            </w:pPr>
            <w:r>
              <w:rPr>
                <w:spacing w:val="7"/>
                <w:sz w:val="19"/>
                <w:szCs w:val="19"/>
              </w:rPr>
              <w:t>监视器</w:t>
            </w:r>
          </w:p>
        </w:tc>
        <w:tc>
          <w:tcPr>
            <w:tcW w:w="4337" w:type="dxa"/>
          </w:tcPr>
          <w:p w14:paraId="24B0F883">
            <w:pPr>
              <w:pStyle w:val="167"/>
              <w:spacing w:before="35" w:line="242" w:lineRule="auto"/>
              <w:ind w:left="114" w:right="26" w:firstLine="21"/>
              <w:rPr>
                <w:sz w:val="19"/>
                <w:szCs w:val="19"/>
              </w:rPr>
            </w:pPr>
            <w:r>
              <w:rPr>
                <w:spacing w:val="4"/>
                <w:sz w:val="19"/>
                <w:szCs w:val="19"/>
              </w:rPr>
              <w:t>以射频信号为主要信号输入的监视器应符合《平</w:t>
            </w:r>
            <w:r>
              <w:rPr>
                <w:spacing w:val="6"/>
                <w:sz w:val="19"/>
                <w:szCs w:val="19"/>
              </w:rPr>
              <w:t xml:space="preserve">  </w:t>
            </w:r>
            <w:r>
              <w:rPr>
                <w:spacing w:val="8"/>
                <w:sz w:val="19"/>
                <w:szCs w:val="19"/>
              </w:rPr>
              <w:t>板电视能效限定值及能效等级》（</w:t>
            </w:r>
            <w:r>
              <w:rPr>
                <w:sz w:val="19"/>
                <w:szCs w:val="19"/>
              </w:rPr>
              <w:t>GB</w:t>
            </w:r>
            <w:r>
              <w:rPr>
                <w:spacing w:val="8"/>
                <w:sz w:val="19"/>
                <w:szCs w:val="19"/>
              </w:rPr>
              <w:t>24850</w:t>
            </w:r>
            <w:r>
              <w:rPr>
                <w:spacing w:val="23"/>
                <w:sz w:val="19"/>
                <w:szCs w:val="19"/>
              </w:rPr>
              <w:t>），</w:t>
            </w:r>
            <w:r>
              <w:rPr>
                <w:sz w:val="19"/>
                <w:szCs w:val="19"/>
              </w:rPr>
              <w:t xml:space="preserve">  </w:t>
            </w:r>
            <w:r>
              <w:rPr>
                <w:spacing w:val="5"/>
                <w:sz w:val="19"/>
                <w:szCs w:val="19"/>
              </w:rPr>
              <w:t>以数字信号为主要信号输入的监视器应符合《计</w:t>
            </w:r>
            <w:r>
              <w:rPr>
                <w:spacing w:val="6"/>
                <w:sz w:val="19"/>
                <w:szCs w:val="19"/>
              </w:rPr>
              <w:t xml:space="preserve">  </w:t>
            </w:r>
            <w:r>
              <w:rPr>
                <w:spacing w:val="4"/>
                <w:sz w:val="19"/>
                <w:szCs w:val="19"/>
              </w:rPr>
              <w:t>算机显示器能效限定值及能效等级》（</w:t>
            </w:r>
            <w:r>
              <w:rPr>
                <w:sz w:val="19"/>
                <w:szCs w:val="19"/>
              </w:rPr>
              <w:t>GB</w:t>
            </w:r>
            <w:r>
              <w:rPr>
                <w:spacing w:val="4"/>
                <w:sz w:val="19"/>
                <w:szCs w:val="19"/>
              </w:rPr>
              <w:t>21520）</w:t>
            </w:r>
          </w:p>
        </w:tc>
      </w:tr>
      <w:tr w14:paraId="52EB8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646" w:type="dxa"/>
          </w:tcPr>
          <w:p w14:paraId="1EBBE42C">
            <w:pPr>
              <w:spacing w:line="260" w:lineRule="auto"/>
              <w:rPr>
                <w:rFonts w:ascii="Arial"/>
              </w:rPr>
            </w:pPr>
          </w:p>
          <w:p w14:paraId="30761242">
            <w:pPr>
              <w:pStyle w:val="167"/>
              <w:spacing w:before="62" w:line="190" w:lineRule="auto"/>
              <w:ind w:left="242"/>
              <w:rPr>
                <w:sz w:val="19"/>
                <w:szCs w:val="19"/>
              </w:rPr>
            </w:pPr>
            <w:r>
              <w:rPr>
                <w:spacing w:val="-7"/>
                <w:sz w:val="19"/>
                <w:szCs w:val="19"/>
              </w:rPr>
              <w:t>14</w:t>
            </w:r>
          </w:p>
        </w:tc>
        <w:tc>
          <w:tcPr>
            <w:tcW w:w="1115" w:type="dxa"/>
          </w:tcPr>
          <w:p w14:paraId="6E5E7178">
            <w:pPr>
              <w:pStyle w:val="167"/>
              <w:spacing w:before="63" w:line="191" w:lineRule="auto"/>
              <w:ind w:left="204"/>
              <w:rPr>
                <w:sz w:val="19"/>
                <w:szCs w:val="19"/>
              </w:rPr>
            </w:pPr>
            <w:r>
              <w:rPr>
                <w:spacing w:val="4"/>
                <w:sz w:val="19"/>
                <w:szCs w:val="19"/>
              </w:rPr>
              <w:t>A031210</w:t>
            </w:r>
          </w:p>
          <w:p w14:paraId="3704502C">
            <w:pPr>
              <w:pStyle w:val="167"/>
              <w:spacing w:before="32" w:line="229" w:lineRule="auto"/>
              <w:ind w:left="159"/>
              <w:rPr>
                <w:sz w:val="19"/>
                <w:szCs w:val="19"/>
              </w:rPr>
            </w:pPr>
            <w:r>
              <w:rPr>
                <w:spacing w:val="7"/>
                <w:sz w:val="19"/>
                <w:szCs w:val="19"/>
              </w:rPr>
              <w:t>饮食炊事</w:t>
            </w:r>
          </w:p>
          <w:p w14:paraId="4957172E">
            <w:pPr>
              <w:pStyle w:val="167"/>
              <w:spacing w:before="23" w:line="214" w:lineRule="auto"/>
              <w:ind w:left="360"/>
              <w:rPr>
                <w:sz w:val="19"/>
                <w:szCs w:val="19"/>
              </w:rPr>
            </w:pPr>
            <w:r>
              <w:rPr>
                <w:spacing w:val="5"/>
                <w:sz w:val="19"/>
                <w:szCs w:val="19"/>
              </w:rPr>
              <w:t>机械</w:t>
            </w:r>
          </w:p>
        </w:tc>
        <w:tc>
          <w:tcPr>
            <w:tcW w:w="1515" w:type="dxa"/>
          </w:tcPr>
          <w:p w14:paraId="08A1DA8F">
            <w:pPr>
              <w:pStyle w:val="167"/>
              <w:spacing w:before="293" w:line="229" w:lineRule="auto"/>
              <w:ind w:left="164"/>
              <w:rPr>
                <w:sz w:val="19"/>
                <w:szCs w:val="19"/>
              </w:rPr>
            </w:pPr>
            <w:r>
              <w:rPr>
                <w:spacing w:val="8"/>
                <w:sz w:val="19"/>
                <w:szCs w:val="19"/>
              </w:rPr>
              <w:t>商用燃气灶具</w:t>
            </w:r>
          </w:p>
        </w:tc>
        <w:tc>
          <w:tcPr>
            <w:tcW w:w="1611" w:type="dxa"/>
          </w:tcPr>
          <w:p w14:paraId="02A0F9F3">
            <w:pPr>
              <w:rPr>
                <w:rFonts w:ascii="Arial"/>
              </w:rPr>
            </w:pPr>
          </w:p>
        </w:tc>
        <w:tc>
          <w:tcPr>
            <w:tcW w:w="4337" w:type="dxa"/>
          </w:tcPr>
          <w:p w14:paraId="7C47A5B0">
            <w:pPr>
              <w:pStyle w:val="167"/>
              <w:spacing w:before="164" w:line="246" w:lineRule="auto"/>
              <w:ind w:left="123" w:right="638" w:hanging="4"/>
              <w:rPr>
                <w:sz w:val="19"/>
                <w:szCs w:val="19"/>
              </w:rPr>
            </w:pPr>
            <w:r>
              <w:rPr>
                <w:spacing w:val="8"/>
                <w:sz w:val="19"/>
                <w:szCs w:val="19"/>
              </w:rPr>
              <w:t>《商用燃气灶具能效限定值及能效等级》</w:t>
            </w:r>
            <w:r>
              <w:rPr>
                <w:spacing w:val="9"/>
                <w:sz w:val="19"/>
                <w:szCs w:val="19"/>
              </w:rPr>
              <w:t xml:space="preserve"> </w:t>
            </w:r>
            <w:r>
              <w:rPr>
                <w:spacing w:val="3"/>
                <w:sz w:val="19"/>
                <w:szCs w:val="19"/>
              </w:rPr>
              <w:t>（</w:t>
            </w:r>
            <w:r>
              <w:rPr>
                <w:sz w:val="19"/>
                <w:szCs w:val="19"/>
              </w:rPr>
              <w:t>GB</w:t>
            </w:r>
            <w:r>
              <w:rPr>
                <w:spacing w:val="3"/>
                <w:sz w:val="19"/>
                <w:szCs w:val="19"/>
              </w:rPr>
              <w:t>30531）</w:t>
            </w:r>
          </w:p>
        </w:tc>
      </w:tr>
      <w:tr w14:paraId="36B37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46" w:type="dxa"/>
            <w:vMerge w:val="restart"/>
            <w:tcBorders>
              <w:bottom w:val="nil"/>
            </w:tcBorders>
          </w:tcPr>
          <w:p w14:paraId="5E09E1FE">
            <w:pPr>
              <w:spacing w:line="270" w:lineRule="auto"/>
              <w:rPr>
                <w:rFonts w:ascii="Arial"/>
              </w:rPr>
            </w:pPr>
          </w:p>
          <w:p w14:paraId="51DF14E8">
            <w:pPr>
              <w:spacing w:line="271" w:lineRule="auto"/>
              <w:rPr>
                <w:rFonts w:ascii="Arial"/>
              </w:rPr>
            </w:pPr>
          </w:p>
          <w:p w14:paraId="6FFE9C59">
            <w:pPr>
              <w:pStyle w:val="167"/>
              <w:spacing w:before="62" w:line="190" w:lineRule="auto"/>
              <w:ind w:left="242"/>
              <w:rPr>
                <w:sz w:val="19"/>
                <w:szCs w:val="19"/>
              </w:rPr>
            </w:pPr>
            <w:r>
              <w:rPr>
                <w:spacing w:val="-7"/>
                <w:sz w:val="19"/>
                <w:szCs w:val="19"/>
              </w:rPr>
              <w:t>15</w:t>
            </w:r>
          </w:p>
        </w:tc>
        <w:tc>
          <w:tcPr>
            <w:tcW w:w="1115" w:type="dxa"/>
            <w:vMerge w:val="restart"/>
            <w:tcBorders>
              <w:bottom w:val="nil"/>
            </w:tcBorders>
          </w:tcPr>
          <w:p w14:paraId="124F10D1">
            <w:pPr>
              <w:spacing w:line="382" w:lineRule="auto"/>
              <w:rPr>
                <w:rFonts w:ascii="Arial"/>
              </w:rPr>
            </w:pPr>
          </w:p>
          <w:p w14:paraId="050CCFCB">
            <w:pPr>
              <w:pStyle w:val="167"/>
              <w:spacing w:before="62"/>
              <w:ind w:left="361" w:right="107" w:hanging="249"/>
              <w:rPr>
                <w:sz w:val="19"/>
                <w:szCs w:val="19"/>
              </w:rPr>
            </w:pPr>
            <w:r>
              <w:rPr>
                <w:spacing w:val="4"/>
                <w:sz w:val="19"/>
                <w:szCs w:val="19"/>
              </w:rPr>
              <w:t>★A060805</w:t>
            </w:r>
            <w:r>
              <w:rPr>
                <w:spacing w:val="2"/>
                <w:sz w:val="19"/>
                <w:szCs w:val="19"/>
              </w:rPr>
              <w:t xml:space="preserve"> </w:t>
            </w:r>
            <w:r>
              <w:rPr>
                <w:spacing w:val="4"/>
                <w:sz w:val="19"/>
                <w:szCs w:val="19"/>
              </w:rPr>
              <w:t>便器</w:t>
            </w:r>
          </w:p>
        </w:tc>
        <w:tc>
          <w:tcPr>
            <w:tcW w:w="1515" w:type="dxa"/>
          </w:tcPr>
          <w:p w14:paraId="43AAAF71">
            <w:pPr>
              <w:pStyle w:val="167"/>
              <w:spacing w:before="48" w:line="225" w:lineRule="auto"/>
              <w:ind w:left="461"/>
              <w:rPr>
                <w:sz w:val="19"/>
                <w:szCs w:val="19"/>
              </w:rPr>
            </w:pPr>
            <w:r>
              <w:rPr>
                <w:spacing w:val="7"/>
                <w:sz w:val="19"/>
                <w:szCs w:val="19"/>
              </w:rPr>
              <w:t>坐便器</w:t>
            </w:r>
          </w:p>
        </w:tc>
        <w:tc>
          <w:tcPr>
            <w:tcW w:w="1611" w:type="dxa"/>
          </w:tcPr>
          <w:p w14:paraId="3CA70338">
            <w:pPr>
              <w:rPr>
                <w:rFonts w:ascii="Arial"/>
              </w:rPr>
            </w:pPr>
          </w:p>
        </w:tc>
        <w:tc>
          <w:tcPr>
            <w:tcW w:w="4337" w:type="dxa"/>
          </w:tcPr>
          <w:p w14:paraId="45FE8FB9">
            <w:pPr>
              <w:pStyle w:val="167"/>
              <w:spacing w:before="48" w:line="225" w:lineRule="auto"/>
              <w:ind w:left="119"/>
              <w:rPr>
                <w:sz w:val="19"/>
                <w:szCs w:val="19"/>
              </w:rPr>
            </w:pPr>
            <w:r>
              <w:rPr>
                <w:spacing w:val="8"/>
                <w:sz w:val="19"/>
                <w:szCs w:val="19"/>
              </w:rPr>
              <w:t>《坐便器水效限定值及水效等级》（</w:t>
            </w:r>
            <w:r>
              <w:rPr>
                <w:sz w:val="19"/>
                <w:szCs w:val="19"/>
              </w:rPr>
              <w:t>GB</w:t>
            </w:r>
            <w:r>
              <w:rPr>
                <w:spacing w:val="8"/>
                <w:sz w:val="19"/>
                <w:szCs w:val="19"/>
              </w:rPr>
              <w:t>25502）</w:t>
            </w:r>
          </w:p>
        </w:tc>
      </w:tr>
      <w:tr w14:paraId="4C61C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46" w:type="dxa"/>
            <w:vMerge w:val="continue"/>
            <w:tcBorders>
              <w:top w:val="nil"/>
              <w:bottom w:val="nil"/>
            </w:tcBorders>
          </w:tcPr>
          <w:p w14:paraId="07E349A9">
            <w:pPr>
              <w:rPr>
                <w:rFonts w:ascii="Arial"/>
              </w:rPr>
            </w:pPr>
          </w:p>
        </w:tc>
        <w:tc>
          <w:tcPr>
            <w:tcW w:w="1115" w:type="dxa"/>
            <w:vMerge w:val="continue"/>
            <w:tcBorders>
              <w:top w:val="nil"/>
              <w:bottom w:val="nil"/>
            </w:tcBorders>
          </w:tcPr>
          <w:p w14:paraId="220E408D">
            <w:pPr>
              <w:rPr>
                <w:rFonts w:ascii="Arial"/>
              </w:rPr>
            </w:pPr>
          </w:p>
        </w:tc>
        <w:tc>
          <w:tcPr>
            <w:tcW w:w="1515" w:type="dxa"/>
          </w:tcPr>
          <w:p w14:paraId="0FC39104">
            <w:pPr>
              <w:pStyle w:val="167"/>
              <w:spacing w:before="163" w:line="228" w:lineRule="auto"/>
              <w:ind w:left="460"/>
              <w:rPr>
                <w:sz w:val="19"/>
                <w:szCs w:val="19"/>
              </w:rPr>
            </w:pPr>
            <w:r>
              <w:rPr>
                <w:spacing w:val="7"/>
                <w:sz w:val="19"/>
                <w:szCs w:val="19"/>
              </w:rPr>
              <w:t>蹲便器</w:t>
            </w:r>
          </w:p>
        </w:tc>
        <w:tc>
          <w:tcPr>
            <w:tcW w:w="1611" w:type="dxa"/>
          </w:tcPr>
          <w:p w14:paraId="6E040260">
            <w:pPr>
              <w:rPr>
                <w:rFonts w:ascii="Arial"/>
              </w:rPr>
            </w:pPr>
          </w:p>
        </w:tc>
        <w:tc>
          <w:tcPr>
            <w:tcW w:w="4337" w:type="dxa"/>
          </w:tcPr>
          <w:p w14:paraId="1D5D6DE8">
            <w:pPr>
              <w:pStyle w:val="167"/>
              <w:spacing w:before="33" w:line="233" w:lineRule="auto"/>
              <w:ind w:left="123" w:right="439" w:hanging="4"/>
              <w:rPr>
                <w:sz w:val="19"/>
                <w:szCs w:val="19"/>
              </w:rPr>
            </w:pPr>
            <w:r>
              <w:rPr>
                <w:spacing w:val="8"/>
                <w:sz w:val="19"/>
                <w:szCs w:val="19"/>
              </w:rPr>
              <w:t>《蹲便器用水效率限定值及用水效率等级》</w:t>
            </w:r>
            <w:r>
              <w:rPr>
                <w:spacing w:val="10"/>
                <w:sz w:val="19"/>
                <w:szCs w:val="19"/>
              </w:rPr>
              <w:t xml:space="preserve"> </w:t>
            </w:r>
            <w:r>
              <w:rPr>
                <w:spacing w:val="3"/>
                <w:sz w:val="19"/>
                <w:szCs w:val="19"/>
              </w:rPr>
              <w:t>（</w:t>
            </w:r>
            <w:r>
              <w:rPr>
                <w:sz w:val="19"/>
                <w:szCs w:val="19"/>
              </w:rPr>
              <w:t>GB</w:t>
            </w:r>
            <w:r>
              <w:rPr>
                <w:spacing w:val="3"/>
                <w:sz w:val="19"/>
                <w:szCs w:val="19"/>
              </w:rPr>
              <w:t>30717）</w:t>
            </w:r>
          </w:p>
        </w:tc>
      </w:tr>
      <w:tr w14:paraId="513E3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646" w:type="dxa"/>
            <w:vMerge w:val="continue"/>
            <w:tcBorders>
              <w:top w:val="nil"/>
            </w:tcBorders>
          </w:tcPr>
          <w:p w14:paraId="3DED589F">
            <w:pPr>
              <w:rPr>
                <w:rFonts w:ascii="Arial"/>
              </w:rPr>
            </w:pPr>
          </w:p>
        </w:tc>
        <w:tc>
          <w:tcPr>
            <w:tcW w:w="1115" w:type="dxa"/>
            <w:vMerge w:val="continue"/>
            <w:tcBorders>
              <w:top w:val="nil"/>
            </w:tcBorders>
          </w:tcPr>
          <w:p w14:paraId="037A4557">
            <w:pPr>
              <w:rPr>
                <w:rFonts w:ascii="Arial"/>
              </w:rPr>
            </w:pPr>
          </w:p>
        </w:tc>
        <w:tc>
          <w:tcPr>
            <w:tcW w:w="1515" w:type="dxa"/>
          </w:tcPr>
          <w:p w14:paraId="50784D0C">
            <w:pPr>
              <w:pStyle w:val="167"/>
              <w:spacing w:before="165" w:line="228" w:lineRule="auto"/>
              <w:ind w:left="466"/>
              <w:rPr>
                <w:sz w:val="19"/>
                <w:szCs w:val="19"/>
              </w:rPr>
            </w:pPr>
            <w:r>
              <w:rPr>
                <w:spacing w:val="5"/>
                <w:sz w:val="19"/>
                <w:szCs w:val="19"/>
              </w:rPr>
              <w:t>小便器</w:t>
            </w:r>
          </w:p>
        </w:tc>
        <w:tc>
          <w:tcPr>
            <w:tcW w:w="1611" w:type="dxa"/>
          </w:tcPr>
          <w:p w14:paraId="5F7E63D2">
            <w:pPr>
              <w:rPr>
                <w:rFonts w:ascii="Arial"/>
              </w:rPr>
            </w:pPr>
          </w:p>
        </w:tc>
        <w:tc>
          <w:tcPr>
            <w:tcW w:w="4337" w:type="dxa"/>
          </w:tcPr>
          <w:p w14:paraId="25ACA2ED">
            <w:pPr>
              <w:pStyle w:val="167"/>
              <w:spacing w:before="36" w:line="233" w:lineRule="auto"/>
              <w:ind w:left="123" w:right="439" w:hanging="4"/>
              <w:rPr>
                <w:sz w:val="19"/>
                <w:szCs w:val="19"/>
              </w:rPr>
            </w:pPr>
            <w:r>
              <w:rPr>
                <w:spacing w:val="8"/>
                <w:sz w:val="19"/>
                <w:szCs w:val="19"/>
              </w:rPr>
              <w:t>《小便器用水效率限定值及用水效率等级》</w:t>
            </w:r>
            <w:r>
              <w:rPr>
                <w:spacing w:val="10"/>
                <w:sz w:val="19"/>
                <w:szCs w:val="19"/>
              </w:rPr>
              <w:t xml:space="preserve"> </w:t>
            </w:r>
            <w:r>
              <w:rPr>
                <w:spacing w:val="3"/>
                <w:sz w:val="19"/>
                <w:szCs w:val="19"/>
              </w:rPr>
              <w:t>（</w:t>
            </w:r>
            <w:r>
              <w:rPr>
                <w:sz w:val="19"/>
                <w:szCs w:val="19"/>
              </w:rPr>
              <w:t>GB</w:t>
            </w:r>
            <w:r>
              <w:rPr>
                <w:spacing w:val="3"/>
                <w:sz w:val="19"/>
                <w:szCs w:val="19"/>
              </w:rPr>
              <w:t>28377）</w:t>
            </w:r>
          </w:p>
        </w:tc>
      </w:tr>
      <w:tr w14:paraId="6BE87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646" w:type="dxa"/>
          </w:tcPr>
          <w:p w14:paraId="6A8791B3">
            <w:pPr>
              <w:pStyle w:val="167"/>
              <w:spacing w:before="195" w:line="190" w:lineRule="auto"/>
              <w:ind w:left="242"/>
              <w:rPr>
                <w:sz w:val="19"/>
                <w:szCs w:val="19"/>
              </w:rPr>
            </w:pPr>
            <w:r>
              <w:rPr>
                <w:spacing w:val="-7"/>
                <w:sz w:val="19"/>
                <w:szCs w:val="19"/>
              </w:rPr>
              <w:t>16</w:t>
            </w:r>
          </w:p>
        </w:tc>
        <w:tc>
          <w:tcPr>
            <w:tcW w:w="1115" w:type="dxa"/>
          </w:tcPr>
          <w:p w14:paraId="7E172129">
            <w:pPr>
              <w:pStyle w:val="167"/>
              <w:spacing w:before="35" w:line="234" w:lineRule="auto"/>
              <w:ind w:left="363" w:right="107" w:hanging="251"/>
              <w:rPr>
                <w:sz w:val="19"/>
                <w:szCs w:val="19"/>
              </w:rPr>
            </w:pPr>
            <w:r>
              <w:rPr>
                <w:spacing w:val="4"/>
                <w:sz w:val="19"/>
                <w:szCs w:val="19"/>
              </w:rPr>
              <w:t>★A060806</w:t>
            </w:r>
            <w:r>
              <w:rPr>
                <w:spacing w:val="2"/>
                <w:sz w:val="19"/>
                <w:szCs w:val="19"/>
              </w:rPr>
              <w:t xml:space="preserve"> </w:t>
            </w:r>
            <w:r>
              <w:rPr>
                <w:spacing w:val="4"/>
                <w:sz w:val="19"/>
                <w:szCs w:val="19"/>
              </w:rPr>
              <w:t>水嘴</w:t>
            </w:r>
          </w:p>
        </w:tc>
        <w:tc>
          <w:tcPr>
            <w:tcW w:w="1515" w:type="dxa"/>
          </w:tcPr>
          <w:p w14:paraId="17705C59">
            <w:pPr>
              <w:rPr>
                <w:rFonts w:ascii="Arial"/>
              </w:rPr>
            </w:pPr>
          </w:p>
        </w:tc>
        <w:tc>
          <w:tcPr>
            <w:tcW w:w="1611" w:type="dxa"/>
          </w:tcPr>
          <w:p w14:paraId="29EF455C">
            <w:pPr>
              <w:rPr>
                <w:rFonts w:ascii="Arial"/>
              </w:rPr>
            </w:pPr>
          </w:p>
        </w:tc>
        <w:tc>
          <w:tcPr>
            <w:tcW w:w="4337" w:type="dxa"/>
          </w:tcPr>
          <w:p w14:paraId="458A58B9">
            <w:pPr>
              <w:pStyle w:val="167"/>
              <w:spacing w:before="35" w:line="228" w:lineRule="auto"/>
              <w:ind w:left="119"/>
              <w:rPr>
                <w:sz w:val="19"/>
                <w:szCs w:val="19"/>
              </w:rPr>
            </w:pPr>
            <w:r>
              <w:rPr>
                <w:spacing w:val="9"/>
                <w:sz w:val="19"/>
                <w:szCs w:val="19"/>
              </w:rPr>
              <w:t>《水嘴用水效率限定值及用水效率等级》（</w:t>
            </w:r>
            <w:r>
              <w:rPr>
                <w:sz w:val="19"/>
                <w:szCs w:val="19"/>
              </w:rPr>
              <w:t>GB</w:t>
            </w:r>
          </w:p>
          <w:p w14:paraId="0724AAC2">
            <w:pPr>
              <w:pStyle w:val="167"/>
              <w:spacing w:before="24" w:line="216" w:lineRule="auto"/>
              <w:ind w:left="116"/>
              <w:rPr>
                <w:sz w:val="19"/>
                <w:szCs w:val="19"/>
              </w:rPr>
            </w:pPr>
            <w:r>
              <w:rPr>
                <w:spacing w:val="2"/>
                <w:sz w:val="19"/>
                <w:szCs w:val="19"/>
              </w:rPr>
              <w:t>25501）</w:t>
            </w:r>
          </w:p>
        </w:tc>
      </w:tr>
      <w:tr w14:paraId="18D6E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646" w:type="dxa"/>
          </w:tcPr>
          <w:p w14:paraId="02624BE2">
            <w:pPr>
              <w:spacing w:line="257" w:lineRule="auto"/>
              <w:rPr>
                <w:rFonts w:ascii="Arial"/>
              </w:rPr>
            </w:pPr>
          </w:p>
          <w:p w14:paraId="6A1FC5E5">
            <w:pPr>
              <w:pStyle w:val="167"/>
              <w:spacing w:before="62" w:line="190" w:lineRule="auto"/>
              <w:ind w:left="242"/>
              <w:rPr>
                <w:sz w:val="19"/>
                <w:szCs w:val="19"/>
              </w:rPr>
            </w:pPr>
            <w:r>
              <w:rPr>
                <w:spacing w:val="-7"/>
                <w:sz w:val="19"/>
                <w:szCs w:val="19"/>
              </w:rPr>
              <w:t>17</w:t>
            </w:r>
          </w:p>
        </w:tc>
        <w:tc>
          <w:tcPr>
            <w:tcW w:w="1115" w:type="dxa"/>
          </w:tcPr>
          <w:p w14:paraId="69586292">
            <w:pPr>
              <w:pStyle w:val="167"/>
              <w:spacing w:before="60" w:line="191" w:lineRule="auto"/>
              <w:ind w:left="204"/>
              <w:rPr>
                <w:sz w:val="19"/>
                <w:szCs w:val="19"/>
              </w:rPr>
            </w:pPr>
            <w:r>
              <w:rPr>
                <w:spacing w:val="4"/>
                <w:sz w:val="19"/>
                <w:szCs w:val="19"/>
              </w:rPr>
              <w:t>A060807</w:t>
            </w:r>
          </w:p>
          <w:p w14:paraId="4D53F804">
            <w:pPr>
              <w:pStyle w:val="167"/>
              <w:spacing w:before="33" w:line="228" w:lineRule="auto"/>
              <w:ind w:left="160"/>
              <w:rPr>
                <w:sz w:val="19"/>
                <w:szCs w:val="19"/>
              </w:rPr>
            </w:pPr>
            <w:r>
              <w:rPr>
                <w:spacing w:val="7"/>
                <w:sz w:val="19"/>
                <w:szCs w:val="19"/>
              </w:rPr>
              <w:t>便器冲洗</w:t>
            </w:r>
          </w:p>
          <w:p w14:paraId="365EBBCC">
            <w:pPr>
              <w:pStyle w:val="167"/>
              <w:spacing w:before="24" w:line="215" w:lineRule="auto"/>
              <w:ind w:left="478"/>
              <w:rPr>
                <w:sz w:val="19"/>
                <w:szCs w:val="19"/>
              </w:rPr>
            </w:pPr>
            <w:r>
              <w:rPr>
                <w:sz w:val="19"/>
                <w:szCs w:val="19"/>
              </w:rPr>
              <w:t>阀</w:t>
            </w:r>
          </w:p>
        </w:tc>
        <w:tc>
          <w:tcPr>
            <w:tcW w:w="1515" w:type="dxa"/>
          </w:tcPr>
          <w:p w14:paraId="5A6CB6B1">
            <w:pPr>
              <w:rPr>
                <w:rFonts w:ascii="Arial"/>
              </w:rPr>
            </w:pPr>
          </w:p>
        </w:tc>
        <w:tc>
          <w:tcPr>
            <w:tcW w:w="1611" w:type="dxa"/>
          </w:tcPr>
          <w:p w14:paraId="4144ECDB">
            <w:pPr>
              <w:rPr>
                <w:rFonts w:ascii="Arial"/>
              </w:rPr>
            </w:pPr>
          </w:p>
        </w:tc>
        <w:tc>
          <w:tcPr>
            <w:tcW w:w="4337" w:type="dxa"/>
          </w:tcPr>
          <w:p w14:paraId="5178A58E">
            <w:pPr>
              <w:pStyle w:val="167"/>
              <w:spacing w:before="161" w:line="246" w:lineRule="auto"/>
              <w:ind w:left="123" w:right="40" w:hanging="4"/>
              <w:rPr>
                <w:sz w:val="19"/>
                <w:szCs w:val="19"/>
              </w:rPr>
            </w:pPr>
            <w:r>
              <w:rPr>
                <w:spacing w:val="8"/>
                <w:sz w:val="19"/>
                <w:szCs w:val="19"/>
              </w:rPr>
              <w:t>《便器冲洗阀用水效率限定值及用水效率等级》</w:t>
            </w:r>
            <w:r>
              <w:rPr>
                <w:spacing w:val="13"/>
                <w:sz w:val="19"/>
                <w:szCs w:val="19"/>
              </w:rPr>
              <w:t xml:space="preserve"> </w:t>
            </w:r>
            <w:r>
              <w:rPr>
                <w:spacing w:val="3"/>
                <w:sz w:val="19"/>
                <w:szCs w:val="19"/>
              </w:rPr>
              <w:t>（</w:t>
            </w:r>
            <w:r>
              <w:rPr>
                <w:sz w:val="19"/>
                <w:szCs w:val="19"/>
              </w:rPr>
              <w:t>GB</w:t>
            </w:r>
            <w:r>
              <w:rPr>
                <w:spacing w:val="3"/>
                <w:sz w:val="19"/>
                <w:szCs w:val="19"/>
              </w:rPr>
              <w:t>28379）</w:t>
            </w:r>
          </w:p>
        </w:tc>
      </w:tr>
      <w:tr w14:paraId="5EDC9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646" w:type="dxa"/>
          </w:tcPr>
          <w:p w14:paraId="30A5A1A5">
            <w:pPr>
              <w:pStyle w:val="167"/>
              <w:spacing w:before="192" w:line="190" w:lineRule="auto"/>
              <w:ind w:left="242"/>
              <w:rPr>
                <w:sz w:val="19"/>
                <w:szCs w:val="19"/>
              </w:rPr>
            </w:pPr>
            <w:r>
              <w:rPr>
                <w:spacing w:val="-7"/>
                <w:sz w:val="19"/>
                <w:szCs w:val="19"/>
              </w:rPr>
              <w:t>18</w:t>
            </w:r>
          </w:p>
        </w:tc>
        <w:tc>
          <w:tcPr>
            <w:tcW w:w="1115" w:type="dxa"/>
          </w:tcPr>
          <w:p w14:paraId="4A369F53">
            <w:pPr>
              <w:pStyle w:val="167"/>
              <w:spacing w:before="64" w:line="220" w:lineRule="auto"/>
              <w:ind w:left="262" w:right="207" w:hanging="58"/>
              <w:rPr>
                <w:sz w:val="19"/>
                <w:szCs w:val="19"/>
              </w:rPr>
            </w:pPr>
            <w:r>
              <w:rPr>
                <w:spacing w:val="4"/>
                <w:sz w:val="19"/>
                <w:szCs w:val="19"/>
              </w:rPr>
              <w:t>A060810</w:t>
            </w:r>
            <w:r>
              <w:rPr>
                <w:spacing w:val="3"/>
                <w:sz w:val="19"/>
                <w:szCs w:val="19"/>
              </w:rPr>
              <w:t xml:space="preserve"> </w:t>
            </w:r>
            <w:r>
              <w:rPr>
                <w:spacing w:val="6"/>
                <w:sz w:val="19"/>
                <w:szCs w:val="19"/>
              </w:rPr>
              <w:t>淋浴器</w:t>
            </w:r>
          </w:p>
        </w:tc>
        <w:tc>
          <w:tcPr>
            <w:tcW w:w="1515" w:type="dxa"/>
          </w:tcPr>
          <w:p w14:paraId="6D476FCF">
            <w:pPr>
              <w:rPr>
                <w:rFonts w:ascii="Arial"/>
              </w:rPr>
            </w:pPr>
          </w:p>
        </w:tc>
        <w:tc>
          <w:tcPr>
            <w:tcW w:w="1611" w:type="dxa"/>
          </w:tcPr>
          <w:p w14:paraId="1FDD890E">
            <w:pPr>
              <w:rPr>
                <w:rFonts w:ascii="Arial"/>
              </w:rPr>
            </w:pPr>
          </w:p>
        </w:tc>
        <w:tc>
          <w:tcPr>
            <w:tcW w:w="4337" w:type="dxa"/>
          </w:tcPr>
          <w:p w14:paraId="6DF6BE17">
            <w:pPr>
              <w:pStyle w:val="167"/>
              <w:spacing w:before="35" w:line="234" w:lineRule="auto"/>
              <w:ind w:left="123" w:right="439" w:hanging="4"/>
              <w:rPr>
                <w:sz w:val="19"/>
                <w:szCs w:val="19"/>
              </w:rPr>
            </w:pPr>
            <w:r>
              <w:rPr>
                <w:spacing w:val="8"/>
                <w:sz w:val="19"/>
                <w:szCs w:val="19"/>
              </w:rPr>
              <w:t>《淋浴器用水效率限定值及用水效率等级》</w:t>
            </w:r>
            <w:r>
              <w:rPr>
                <w:spacing w:val="10"/>
                <w:sz w:val="19"/>
                <w:szCs w:val="19"/>
              </w:rPr>
              <w:t xml:space="preserve"> </w:t>
            </w:r>
            <w:r>
              <w:rPr>
                <w:spacing w:val="3"/>
                <w:sz w:val="19"/>
                <w:szCs w:val="19"/>
              </w:rPr>
              <w:t>（</w:t>
            </w:r>
            <w:r>
              <w:rPr>
                <w:sz w:val="19"/>
                <w:szCs w:val="19"/>
              </w:rPr>
              <w:t>GB</w:t>
            </w:r>
            <w:r>
              <w:rPr>
                <w:spacing w:val="3"/>
                <w:sz w:val="19"/>
                <w:szCs w:val="19"/>
              </w:rPr>
              <w:t>28378）</w:t>
            </w:r>
          </w:p>
        </w:tc>
      </w:tr>
    </w:tbl>
    <w:p w14:paraId="542A4A83">
      <w:pPr>
        <w:pStyle w:val="16"/>
      </w:pPr>
    </w:p>
    <w:p w14:paraId="23CCF2DD">
      <w:pPr>
        <w:spacing w:before="32" w:line="472" w:lineRule="auto"/>
        <w:ind w:left="569" w:right="711" w:hanging="541"/>
        <w:rPr>
          <w:rFonts w:ascii="宋体" w:hAnsi="宋体" w:cs="宋体"/>
          <w:sz w:val="20"/>
          <w:szCs w:val="20"/>
        </w:rPr>
      </w:pPr>
      <w:r>
        <w:rPr>
          <w:rFonts w:ascii="宋体" w:hAnsi="宋体" w:cs="宋体"/>
          <w:spacing w:val="3"/>
          <w:sz w:val="20"/>
          <w:szCs w:val="20"/>
        </w:rPr>
        <w:t>注：</w:t>
      </w:r>
      <w:r>
        <w:rPr>
          <w:rFonts w:ascii="Calibri" w:hAnsi="Calibri" w:eastAsia="Calibri" w:cs="Calibri"/>
          <w:spacing w:val="3"/>
          <w:sz w:val="20"/>
          <w:szCs w:val="20"/>
        </w:rPr>
        <w:t>1.</w:t>
      </w:r>
      <w:r>
        <w:rPr>
          <w:rFonts w:ascii="宋体" w:hAnsi="宋体" w:cs="宋体"/>
          <w:spacing w:val="3"/>
          <w:sz w:val="20"/>
          <w:szCs w:val="20"/>
        </w:rPr>
        <w:t>节能产品认证应依据相关国家标准的最新版本，依据国家标准中二级能效（水效）指标。</w:t>
      </w:r>
      <w:r>
        <w:rPr>
          <w:rFonts w:ascii="宋体" w:hAnsi="宋体" w:cs="宋体"/>
          <w:spacing w:val="7"/>
          <w:sz w:val="20"/>
          <w:szCs w:val="20"/>
        </w:rPr>
        <w:t xml:space="preserve"> </w:t>
      </w:r>
      <w:r>
        <w:rPr>
          <w:rFonts w:ascii="Calibri" w:hAnsi="Calibri" w:eastAsia="Calibri" w:cs="Calibri"/>
          <w:spacing w:val="5"/>
          <w:sz w:val="20"/>
          <w:szCs w:val="20"/>
        </w:rPr>
        <w:t>2.</w:t>
      </w:r>
      <w:r>
        <w:rPr>
          <w:rFonts w:ascii="Calibri" w:hAnsi="Calibri" w:eastAsia="Calibri" w:cs="Calibri"/>
          <w:spacing w:val="1"/>
          <w:sz w:val="20"/>
          <w:szCs w:val="20"/>
        </w:rPr>
        <w:t xml:space="preserve"> </w:t>
      </w:r>
      <w:r>
        <w:rPr>
          <w:rFonts w:ascii="宋体" w:hAnsi="宋体" w:cs="宋体"/>
          <w:spacing w:val="5"/>
          <w:sz w:val="20"/>
          <w:szCs w:val="20"/>
        </w:rPr>
        <w:t>以</w:t>
      </w:r>
      <w:r>
        <w:rPr>
          <w:rFonts w:ascii="Calibri" w:hAnsi="Calibri" w:eastAsia="Calibri" w:cs="Calibri"/>
          <w:spacing w:val="5"/>
          <w:sz w:val="20"/>
          <w:szCs w:val="20"/>
        </w:rPr>
        <w:t>“</w:t>
      </w:r>
      <w:r>
        <w:rPr>
          <w:rFonts w:ascii="宋体" w:hAnsi="宋体" w:cs="宋体"/>
          <w:spacing w:val="5"/>
          <w:sz w:val="20"/>
          <w:szCs w:val="20"/>
        </w:rPr>
        <w:t>★</w:t>
      </w:r>
      <w:r>
        <w:rPr>
          <w:rFonts w:ascii="Calibri" w:hAnsi="Calibri" w:eastAsia="Calibri" w:cs="Calibri"/>
          <w:spacing w:val="5"/>
          <w:sz w:val="20"/>
          <w:szCs w:val="20"/>
        </w:rPr>
        <w:t>”</w:t>
      </w:r>
      <w:r>
        <w:rPr>
          <w:rFonts w:ascii="宋体" w:hAnsi="宋体" w:cs="宋体"/>
          <w:spacing w:val="5"/>
          <w:sz w:val="20"/>
          <w:szCs w:val="20"/>
        </w:rPr>
        <w:t>标注的为政府强制采购产品。</w:t>
      </w:r>
    </w:p>
    <w:p w14:paraId="71D70141">
      <w:pPr>
        <w:spacing w:line="472" w:lineRule="auto"/>
        <w:rPr>
          <w:rFonts w:ascii="宋体" w:hAnsi="宋体" w:cs="宋体"/>
          <w:sz w:val="20"/>
          <w:szCs w:val="20"/>
        </w:rPr>
        <w:sectPr>
          <w:footerReference r:id="rId16" w:type="default"/>
          <w:pgSz w:w="11905" w:h="16839"/>
          <w:pgMar w:top="400" w:right="1448" w:bottom="1106" w:left="1227" w:header="0" w:footer="943" w:gutter="0"/>
          <w:cols w:space="720" w:num="1"/>
        </w:sectPr>
      </w:pPr>
    </w:p>
    <w:p w14:paraId="6601A024">
      <w:pPr>
        <w:spacing w:before="101" w:line="224" w:lineRule="auto"/>
        <w:ind w:left="172"/>
        <w:rPr>
          <w:rFonts w:ascii="宋体" w:hAnsi="宋体" w:cs="宋体"/>
          <w:sz w:val="31"/>
          <w:szCs w:val="31"/>
        </w:rPr>
      </w:pPr>
      <w:r>
        <w:rPr>
          <w:rFonts w:ascii="宋体" w:hAnsi="宋体" w:cs="宋体"/>
          <w:spacing w:val="-8"/>
          <w:sz w:val="31"/>
          <w:szCs w:val="31"/>
        </w:rPr>
        <w:t>附件</w:t>
      </w:r>
      <w:r>
        <w:rPr>
          <w:rFonts w:ascii="宋体" w:hAnsi="宋体" w:cs="宋体"/>
          <w:spacing w:val="-57"/>
          <w:sz w:val="31"/>
          <w:szCs w:val="31"/>
        </w:rPr>
        <w:t xml:space="preserve"> </w:t>
      </w:r>
      <w:r>
        <w:rPr>
          <w:rFonts w:ascii="宋体" w:hAnsi="宋体" w:cs="宋体"/>
          <w:spacing w:val="-8"/>
          <w:sz w:val="31"/>
          <w:szCs w:val="31"/>
        </w:rPr>
        <w:t>2：</w:t>
      </w:r>
    </w:p>
    <w:p w14:paraId="46400863">
      <w:pPr>
        <w:spacing w:before="35" w:line="212" w:lineRule="auto"/>
        <w:ind w:left="2633"/>
        <w:rPr>
          <w:rFonts w:ascii="宋体" w:hAnsi="宋体" w:cs="宋体"/>
          <w:sz w:val="30"/>
          <w:szCs w:val="30"/>
        </w:rPr>
      </w:pPr>
      <w:r>
        <w:rPr>
          <w:rFonts w:ascii="宋体" w:hAnsi="宋体" w:cs="宋体"/>
          <w:b/>
          <w:bCs/>
          <w:spacing w:val="-4"/>
          <w:sz w:val="30"/>
          <w:szCs w:val="30"/>
        </w:rPr>
        <w:t>统计上大中小微型企业划分标准</w:t>
      </w:r>
    </w:p>
    <w:tbl>
      <w:tblPr>
        <w:tblStyle w:val="168"/>
        <w:tblW w:w="9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7"/>
        <w:gridCol w:w="1368"/>
        <w:gridCol w:w="709"/>
        <w:gridCol w:w="1124"/>
        <w:gridCol w:w="1700"/>
        <w:gridCol w:w="1425"/>
        <w:gridCol w:w="996"/>
      </w:tblGrid>
      <w:tr w14:paraId="5DFFA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2117" w:type="dxa"/>
          </w:tcPr>
          <w:p w14:paraId="05BDB54E">
            <w:pPr>
              <w:pStyle w:val="167"/>
              <w:spacing w:before="188" w:line="220" w:lineRule="auto"/>
              <w:ind w:left="704"/>
              <w:rPr>
                <w:sz w:val="18"/>
                <w:szCs w:val="18"/>
              </w:rPr>
            </w:pPr>
            <w:r>
              <w:rPr>
                <w:b/>
                <w:bCs/>
                <w:spacing w:val="-4"/>
                <w:sz w:val="18"/>
                <w:szCs w:val="18"/>
              </w:rPr>
              <w:t>行业名称</w:t>
            </w:r>
          </w:p>
        </w:tc>
        <w:tc>
          <w:tcPr>
            <w:tcW w:w="1368" w:type="dxa"/>
          </w:tcPr>
          <w:p w14:paraId="7EDD9DA5">
            <w:pPr>
              <w:pStyle w:val="167"/>
              <w:spacing w:before="188" w:line="220" w:lineRule="auto"/>
              <w:ind w:left="328"/>
              <w:rPr>
                <w:sz w:val="18"/>
                <w:szCs w:val="18"/>
              </w:rPr>
            </w:pPr>
            <w:r>
              <w:rPr>
                <w:b/>
                <w:bCs/>
                <w:spacing w:val="-4"/>
                <w:sz w:val="18"/>
                <w:szCs w:val="18"/>
              </w:rPr>
              <w:t>指标名称</w:t>
            </w:r>
          </w:p>
        </w:tc>
        <w:tc>
          <w:tcPr>
            <w:tcW w:w="709" w:type="dxa"/>
          </w:tcPr>
          <w:p w14:paraId="4055595C">
            <w:pPr>
              <w:pStyle w:val="167"/>
              <w:spacing w:before="58" w:line="236" w:lineRule="auto"/>
              <w:ind w:left="178" w:right="173" w:hanging="1"/>
              <w:rPr>
                <w:sz w:val="18"/>
                <w:szCs w:val="18"/>
              </w:rPr>
            </w:pPr>
            <w:r>
              <w:rPr>
                <w:b/>
                <w:bCs/>
                <w:spacing w:val="-6"/>
                <w:sz w:val="18"/>
                <w:szCs w:val="18"/>
              </w:rPr>
              <w:t>计量</w:t>
            </w:r>
            <w:r>
              <w:rPr>
                <w:sz w:val="18"/>
                <w:szCs w:val="18"/>
              </w:rPr>
              <w:t xml:space="preserve"> </w:t>
            </w:r>
            <w:r>
              <w:rPr>
                <w:b/>
                <w:bCs/>
                <w:spacing w:val="-7"/>
                <w:sz w:val="18"/>
                <w:szCs w:val="18"/>
              </w:rPr>
              <w:t>单位</w:t>
            </w:r>
          </w:p>
        </w:tc>
        <w:tc>
          <w:tcPr>
            <w:tcW w:w="1124" w:type="dxa"/>
          </w:tcPr>
          <w:p w14:paraId="79304937">
            <w:pPr>
              <w:pStyle w:val="167"/>
              <w:spacing w:before="188" w:line="220" w:lineRule="auto"/>
              <w:ind w:left="387"/>
              <w:rPr>
                <w:sz w:val="18"/>
                <w:szCs w:val="18"/>
              </w:rPr>
            </w:pPr>
            <w:r>
              <w:rPr>
                <w:b/>
                <w:bCs/>
                <w:spacing w:val="-7"/>
                <w:sz w:val="18"/>
                <w:szCs w:val="18"/>
              </w:rPr>
              <w:t>大型</w:t>
            </w:r>
          </w:p>
        </w:tc>
        <w:tc>
          <w:tcPr>
            <w:tcW w:w="1700" w:type="dxa"/>
          </w:tcPr>
          <w:p w14:paraId="350508AC">
            <w:pPr>
              <w:pStyle w:val="167"/>
              <w:spacing w:before="188" w:line="220" w:lineRule="auto"/>
              <w:ind w:left="692"/>
              <w:rPr>
                <w:sz w:val="18"/>
                <w:szCs w:val="18"/>
              </w:rPr>
            </w:pPr>
            <w:r>
              <w:rPr>
                <w:b/>
                <w:bCs/>
                <w:spacing w:val="-14"/>
                <w:sz w:val="18"/>
                <w:szCs w:val="18"/>
              </w:rPr>
              <w:t>中型</w:t>
            </w:r>
          </w:p>
        </w:tc>
        <w:tc>
          <w:tcPr>
            <w:tcW w:w="1425" w:type="dxa"/>
          </w:tcPr>
          <w:p w14:paraId="228D3C2A">
            <w:pPr>
              <w:pStyle w:val="167"/>
              <w:spacing w:before="189" w:line="221" w:lineRule="auto"/>
              <w:ind w:left="542"/>
              <w:rPr>
                <w:sz w:val="18"/>
                <w:szCs w:val="18"/>
              </w:rPr>
            </w:pPr>
            <w:r>
              <w:rPr>
                <w:b/>
                <w:bCs/>
                <w:spacing w:val="-8"/>
                <w:sz w:val="18"/>
                <w:szCs w:val="18"/>
              </w:rPr>
              <w:t>小型</w:t>
            </w:r>
          </w:p>
        </w:tc>
        <w:tc>
          <w:tcPr>
            <w:tcW w:w="996" w:type="dxa"/>
          </w:tcPr>
          <w:p w14:paraId="1DD9D48E">
            <w:pPr>
              <w:pStyle w:val="167"/>
              <w:spacing w:before="188" w:line="219" w:lineRule="auto"/>
              <w:ind w:left="322"/>
              <w:rPr>
                <w:sz w:val="18"/>
                <w:szCs w:val="18"/>
              </w:rPr>
            </w:pPr>
            <w:r>
              <w:rPr>
                <w:b/>
                <w:bCs/>
                <w:spacing w:val="-6"/>
                <w:sz w:val="18"/>
                <w:szCs w:val="18"/>
              </w:rPr>
              <w:t>微型</w:t>
            </w:r>
          </w:p>
        </w:tc>
      </w:tr>
      <w:tr w14:paraId="5A416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2117" w:type="dxa"/>
          </w:tcPr>
          <w:p w14:paraId="5DC38EDE">
            <w:pPr>
              <w:pStyle w:val="167"/>
              <w:spacing w:before="55" w:line="204" w:lineRule="auto"/>
              <w:ind w:left="115"/>
              <w:rPr>
                <w:sz w:val="18"/>
                <w:szCs w:val="18"/>
              </w:rPr>
            </w:pPr>
            <w:r>
              <w:rPr>
                <w:spacing w:val="-1"/>
                <w:sz w:val="18"/>
                <w:szCs w:val="18"/>
              </w:rPr>
              <w:t>农、林、牧、渔业</w:t>
            </w:r>
          </w:p>
        </w:tc>
        <w:tc>
          <w:tcPr>
            <w:tcW w:w="1368" w:type="dxa"/>
          </w:tcPr>
          <w:p w14:paraId="3F3D51B5">
            <w:pPr>
              <w:pStyle w:val="167"/>
              <w:spacing w:before="55" w:line="204" w:lineRule="auto"/>
              <w:ind w:left="198"/>
              <w:rPr>
                <w:sz w:val="18"/>
                <w:szCs w:val="18"/>
              </w:rPr>
            </w:pPr>
            <w:r>
              <w:rPr>
                <w:spacing w:val="-2"/>
                <w:sz w:val="18"/>
                <w:szCs w:val="18"/>
              </w:rPr>
              <w:t>营业收入(Y)</w:t>
            </w:r>
          </w:p>
        </w:tc>
        <w:tc>
          <w:tcPr>
            <w:tcW w:w="709" w:type="dxa"/>
          </w:tcPr>
          <w:p w14:paraId="5EBF8A76">
            <w:pPr>
              <w:pStyle w:val="167"/>
              <w:spacing w:before="55" w:line="204" w:lineRule="auto"/>
              <w:ind w:left="182"/>
              <w:rPr>
                <w:sz w:val="18"/>
                <w:szCs w:val="18"/>
              </w:rPr>
            </w:pPr>
            <w:r>
              <w:rPr>
                <w:spacing w:val="-6"/>
                <w:sz w:val="18"/>
                <w:szCs w:val="18"/>
              </w:rPr>
              <w:t>万元</w:t>
            </w:r>
          </w:p>
        </w:tc>
        <w:tc>
          <w:tcPr>
            <w:tcW w:w="1124" w:type="dxa"/>
          </w:tcPr>
          <w:p w14:paraId="2FDEFDAD">
            <w:pPr>
              <w:pStyle w:val="167"/>
              <w:spacing w:before="55" w:line="204" w:lineRule="auto"/>
              <w:ind w:left="202"/>
              <w:rPr>
                <w:sz w:val="18"/>
                <w:szCs w:val="18"/>
              </w:rPr>
            </w:pPr>
            <w:r>
              <w:rPr>
                <w:spacing w:val="-1"/>
                <w:sz w:val="18"/>
                <w:szCs w:val="18"/>
              </w:rPr>
              <w:t>Y≥20000</w:t>
            </w:r>
          </w:p>
        </w:tc>
        <w:tc>
          <w:tcPr>
            <w:tcW w:w="1700" w:type="dxa"/>
          </w:tcPr>
          <w:p w14:paraId="6C5107A1">
            <w:pPr>
              <w:pStyle w:val="167"/>
              <w:spacing w:before="55" w:line="204" w:lineRule="auto"/>
              <w:ind w:left="273"/>
              <w:rPr>
                <w:sz w:val="18"/>
                <w:szCs w:val="18"/>
              </w:rPr>
            </w:pPr>
            <w:r>
              <w:rPr>
                <w:spacing w:val="-1"/>
                <w:sz w:val="18"/>
                <w:szCs w:val="18"/>
              </w:rPr>
              <w:t>500≤Y＜20000</w:t>
            </w:r>
          </w:p>
        </w:tc>
        <w:tc>
          <w:tcPr>
            <w:tcW w:w="1425" w:type="dxa"/>
          </w:tcPr>
          <w:p w14:paraId="54401424">
            <w:pPr>
              <w:pStyle w:val="167"/>
              <w:spacing w:before="55" w:line="204" w:lineRule="auto"/>
              <w:ind w:left="272"/>
              <w:rPr>
                <w:sz w:val="18"/>
                <w:szCs w:val="18"/>
              </w:rPr>
            </w:pPr>
            <w:r>
              <w:rPr>
                <w:spacing w:val="-2"/>
                <w:sz w:val="18"/>
                <w:szCs w:val="18"/>
              </w:rPr>
              <w:t>50≤Y＜500</w:t>
            </w:r>
          </w:p>
        </w:tc>
        <w:tc>
          <w:tcPr>
            <w:tcW w:w="996" w:type="dxa"/>
          </w:tcPr>
          <w:p w14:paraId="101AACFA">
            <w:pPr>
              <w:pStyle w:val="167"/>
              <w:spacing w:before="55" w:line="204" w:lineRule="auto"/>
              <w:ind w:left="273"/>
              <w:rPr>
                <w:sz w:val="18"/>
                <w:szCs w:val="18"/>
              </w:rPr>
            </w:pPr>
            <w:r>
              <w:rPr>
                <w:spacing w:val="-1"/>
                <w:sz w:val="18"/>
                <w:szCs w:val="18"/>
              </w:rPr>
              <w:t>Y＜50</w:t>
            </w:r>
          </w:p>
        </w:tc>
      </w:tr>
      <w:tr w14:paraId="5EE57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2117" w:type="dxa"/>
            <w:vMerge w:val="restart"/>
            <w:tcBorders>
              <w:bottom w:val="nil"/>
            </w:tcBorders>
          </w:tcPr>
          <w:p w14:paraId="527A5149">
            <w:pPr>
              <w:pStyle w:val="167"/>
              <w:spacing w:before="191" w:line="232" w:lineRule="auto"/>
              <w:ind w:left="117"/>
              <w:rPr>
                <w:rFonts w:ascii="Times New Roman" w:hAnsi="Times New Roman" w:eastAsia="Times New Roman" w:cs="Times New Roman"/>
                <w:sz w:val="18"/>
                <w:szCs w:val="18"/>
              </w:rPr>
            </w:pPr>
            <w:r>
              <w:rPr>
                <w:spacing w:val="-4"/>
                <w:sz w:val="18"/>
                <w:szCs w:val="18"/>
              </w:rPr>
              <w:t>工业</w:t>
            </w:r>
            <w:r>
              <w:rPr>
                <w:spacing w:val="13"/>
                <w:sz w:val="18"/>
                <w:szCs w:val="18"/>
              </w:rPr>
              <w:t xml:space="preserve"> </w:t>
            </w:r>
            <w:r>
              <w:rPr>
                <w:rFonts w:ascii="Times New Roman" w:hAnsi="Times New Roman" w:eastAsia="Times New Roman" w:cs="Times New Roman"/>
                <w:spacing w:val="-4"/>
                <w:sz w:val="18"/>
                <w:szCs w:val="18"/>
              </w:rPr>
              <w:t>*</w:t>
            </w:r>
          </w:p>
        </w:tc>
        <w:tc>
          <w:tcPr>
            <w:tcW w:w="1368" w:type="dxa"/>
          </w:tcPr>
          <w:p w14:paraId="74DC76C8">
            <w:pPr>
              <w:pStyle w:val="167"/>
              <w:spacing w:before="55" w:line="204" w:lineRule="auto"/>
              <w:ind w:left="194"/>
              <w:rPr>
                <w:sz w:val="18"/>
                <w:szCs w:val="18"/>
              </w:rPr>
            </w:pPr>
            <w:r>
              <w:rPr>
                <w:spacing w:val="-2"/>
                <w:sz w:val="18"/>
                <w:szCs w:val="18"/>
              </w:rPr>
              <w:t>从业人员(X)</w:t>
            </w:r>
          </w:p>
        </w:tc>
        <w:tc>
          <w:tcPr>
            <w:tcW w:w="709" w:type="dxa"/>
          </w:tcPr>
          <w:p w14:paraId="1C2D0F44">
            <w:pPr>
              <w:pStyle w:val="167"/>
              <w:spacing w:before="55" w:line="204" w:lineRule="auto"/>
              <w:ind w:left="268"/>
              <w:rPr>
                <w:sz w:val="18"/>
                <w:szCs w:val="18"/>
              </w:rPr>
            </w:pPr>
            <w:r>
              <w:rPr>
                <w:sz w:val="18"/>
                <w:szCs w:val="18"/>
              </w:rPr>
              <w:t>人</w:t>
            </w:r>
          </w:p>
        </w:tc>
        <w:tc>
          <w:tcPr>
            <w:tcW w:w="1124" w:type="dxa"/>
          </w:tcPr>
          <w:p w14:paraId="64E05026">
            <w:pPr>
              <w:pStyle w:val="167"/>
              <w:spacing w:before="55" w:line="204" w:lineRule="auto"/>
              <w:ind w:left="249"/>
              <w:rPr>
                <w:sz w:val="18"/>
                <w:szCs w:val="18"/>
              </w:rPr>
            </w:pPr>
            <w:r>
              <w:rPr>
                <w:spacing w:val="-1"/>
                <w:sz w:val="18"/>
                <w:szCs w:val="18"/>
              </w:rPr>
              <w:t>X≥1000</w:t>
            </w:r>
          </w:p>
        </w:tc>
        <w:tc>
          <w:tcPr>
            <w:tcW w:w="1700" w:type="dxa"/>
          </w:tcPr>
          <w:p w14:paraId="0E2171F6">
            <w:pPr>
              <w:pStyle w:val="167"/>
              <w:spacing w:before="55" w:line="204" w:lineRule="auto"/>
              <w:ind w:left="319"/>
              <w:rPr>
                <w:sz w:val="18"/>
                <w:szCs w:val="18"/>
              </w:rPr>
            </w:pPr>
            <w:r>
              <w:rPr>
                <w:spacing w:val="-1"/>
                <w:sz w:val="18"/>
                <w:szCs w:val="18"/>
              </w:rPr>
              <w:t>300≤X＜1000</w:t>
            </w:r>
          </w:p>
        </w:tc>
        <w:tc>
          <w:tcPr>
            <w:tcW w:w="1425" w:type="dxa"/>
          </w:tcPr>
          <w:p w14:paraId="6B99F61A">
            <w:pPr>
              <w:pStyle w:val="167"/>
              <w:spacing w:before="55" w:line="204" w:lineRule="auto"/>
              <w:ind w:left="271"/>
              <w:rPr>
                <w:sz w:val="18"/>
                <w:szCs w:val="18"/>
              </w:rPr>
            </w:pPr>
            <w:r>
              <w:rPr>
                <w:spacing w:val="-2"/>
                <w:sz w:val="18"/>
                <w:szCs w:val="18"/>
              </w:rPr>
              <w:t>20≤X＜300</w:t>
            </w:r>
          </w:p>
        </w:tc>
        <w:tc>
          <w:tcPr>
            <w:tcW w:w="996" w:type="dxa"/>
          </w:tcPr>
          <w:p w14:paraId="69C9CDC1">
            <w:pPr>
              <w:pStyle w:val="167"/>
              <w:spacing w:before="55" w:line="204" w:lineRule="auto"/>
              <w:ind w:left="274"/>
              <w:rPr>
                <w:sz w:val="18"/>
                <w:szCs w:val="18"/>
              </w:rPr>
            </w:pPr>
            <w:r>
              <w:rPr>
                <w:spacing w:val="-1"/>
                <w:sz w:val="18"/>
                <w:szCs w:val="18"/>
              </w:rPr>
              <w:t>X＜20</w:t>
            </w:r>
          </w:p>
        </w:tc>
      </w:tr>
      <w:tr w14:paraId="0FC98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2117" w:type="dxa"/>
            <w:vMerge w:val="continue"/>
            <w:tcBorders>
              <w:top w:val="nil"/>
            </w:tcBorders>
          </w:tcPr>
          <w:p w14:paraId="166E6744">
            <w:pPr>
              <w:rPr>
                <w:rFonts w:ascii="Arial"/>
              </w:rPr>
            </w:pPr>
          </w:p>
        </w:tc>
        <w:tc>
          <w:tcPr>
            <w:tcW w:w="1368" w:type="dxa"/>
          </w:tcPr>
          <w:p w14:paraId="779D8273">
            <w:pPr>
              <w:pStyle w:val="167"/>
              <w:spacing w:before="57" w:line="202" w:lineRule="auto"/>
              <w:ind w:left="198"/>
              <w:rPr>
                <w:sz w:val="18"/>
                <w:szCs w:val="18"/>
              </w:rPr>
            </w:pPr>
            <w:r>
              <w:rPr>
                <w:spacing w:val="-2"/>
                <w:sz w:val="18"/>
                <w:szCs w:val="18"/>
              </w:rPr>
              <w:t>营业收入(Y)</w:t>
            </w:r>
          </w:p>
        </w:tc>
        <w:tc>
          <w:tcPr>
            <w:tcW w:w="709" w:type="dxa"/>
          </w:tcPr>
          <w:p w14:paraId="2781DF94">
            <w:pPr>
              <w:pStyle w:val="167"/>
              <w:spacing w:before="57" w:line="202" w:lineRule="auto"/>
              <w:ind w:left="182"/>
              <w:rPr>
                <w:sz w:val="18"/>
                <w:szCs w:val="18"/>
              </w:rPr>
            </w:pPr>
            <w:r>
              <w:rPr>
                <w:spacing w:val="-6"/>
                <w:sz w:val="18"/>
                <w:szCs w:val="18"/>
              </w:rPr>
              <w:t>万元</w:t>
            </w:r>
          </w:p>
        </w:tc>
        <w:tc>
          <w:tcPr>
            <w:tcW w:w="1124" w:type="dxa"/>
          </w:tcPr>
          <w:p w14:paraId="7A02F0CA">
            <w:pPr>
              <w:pStyle w:val="167"/>
              <w:spacing w:before="57" w:line="202" w:lineRule="auto"/>
              <w:ind w:left="202"/>
              <w:rPr>
                <w:sz w:val="18"/>
                <w:szCs w:val="18"/>
              </w:rPr>
            </w:pPr>
            <w:r>
              <w:rPr>
                <w:spacing w:val="-1"/>
                <w:sz w:val="18"/>
                <w:szCs w:val="18"/>
              </w:rPr>
              <w:t>Y≥40000</w:t>
            </w:r>
          </w:p>
        </w:tc>
        <w:tc>
          <w:tcPr>
            <w:tcW w:w="1700" w:type="dxa"/>
          </w:tcPr>
          <w:p w14:paraId="0298C0C1">
            <w:pPr>
              <w:pStyle w:val="167"/>
              <w:spacing w:before="57" w:line="202" w:lineRule="auto"/>
              <w:ind w:left="226"/>
              <w:rPr>
                <w:sz w:val="18"/>
                <w:szCs w:val="18"/>
              </w:rPr>
            </w:pPr>
            <w:r>
              <w:rPr>
                <w:spacing w:val="-1"/>
                <w:sz w:val="18"/>
                <w:szCs w:val="18"/>
              </w:rPr>
              <w:t>2000≤Y＜40000</w:t>
            </w:r>
          </w:p>
        </w:tc>
        <w:tc>
          <w:tcPr>
            <w:tcW w:w="1425" w:type="dxa"/>
          </w:tcPr>
          <w:p w14:paraId="5238F42E">
            <w:pPr>
              <w:pStyle w:val="167"/>
              <w:spacing w:before="57" w:line="202" w:lineRule="auto"/>
              <w:ind w:left="181"/>
              <w:rPr>
                <w:sz w:val="18"/>
                <w:szCs w:val="18"/>
              </w:rPr>
            </w:pPr>
            <w:r>
              <w:rPr>
                <w:spacing w:val="-1"/>
                <w:sz w:val="18"/>
                <w:szCs w:val="18"/>
              </w:rPr>
              <w:t>300≤Y＜2000</w:t>
            </w:r>
          </w:p>
        </w:tc>
        <w:tc>
          <w:tcPr>
            <w:tcW w:w="996" w:type="dxa"/>
          </w:tcPr>
          <w:p w14:paraId="5C9AA79F">
            <w:pPr>
              <w:pStyle w:val="167"/>
              <w:spacing w:before="57" w:line="202" w:lineRule="auto"/>
              <w:ind w:left="230"/>
              <w:rPr>
                <w:sz w:val="18"/>
                <w:szCs w:val="18"/>
              </w:rPr>
            </w:pPr>
            <w:r>
              <w:rPr>
                <w:spacing w:val="-1"/>
                <w:sz w:val="18"/>
                <w:szCs w:val="18"/>
              </w:rPr>
              <w:t>Y＜300</w:t>
            </w:r>
          </w:p>
        </w:tc>
      </w:tr>
      <w:tr w14:paraId="2E5DE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restart"/>
            <w:tcBorders>
              <w:bottom w:val="nil"/>
            </w:tcBorders>
          </w:tcPr>
          <w:p w14:paraId="72FEEEC6">
            <w:pPr>
              <w:pStyle w:val="167"/>
              <w:spacing w:before="194" w:line="220" w:lineRule="auto"/>
              <w:ind w:left="117"/>
              <w:rPr>
                <w:sz w:val="18"/>
                <w:szCs w:val="18"/>
              </w:rPr>
            </w:pPr>
            <w:r>
              <w:rPr>
                <w:spacing w:val="-4"/>
                <w:sz w:val="18"/>
                <w:szCs w:val="18"/>
              </w:rPr>
              <w:t>建筑业</w:t>
            </w:r>
          </w:p>
        </w:tc>
        <w:tc>
          <w:tcPr>
            <w:tcW w:w="1368" w:type="dxa"/>
          </w:tcPr>
          <w:p w14:paraId="3B79A7DC">
            <w:pPr>
              <w:pStyle w:val="167"/>
              <w:spacing w:before="57" w:line="203" w:lineRule="auto"/>
              <w:ind w:left="198"/>
              <w:rPr>
                <w:sz w:val="18"/>
                <w:szCs w:val="18"/>
              </w:rPr>
            </w:pPr>
            <w:r>
              <w:rPr>
                <w:spacing w:val="-2"/>
                <w:sz w:val="18"/>
                <w:szCs w:val="18"/>
              </w:rPr>
              <w:t>营业收入(Y)</w:t>
            </w:r>
          </w:p>
        </w:tc>
        <w:tc>
          <w:tcPr>
            <w:tcW w:w="709" w:type="dxa"/>
          </w:tcPr>
          <w:p w14:paraId="310AF034">
            <w:pPr>
              <w:pStyle w:val="167"/>
              <w:spacing w:before="57" w:line="203" w:lineRule="auto"/>
              <w:ind w:left="182"/>
              <w:rPr>
                <w:sz w:val="18"/>
                <w:szCs w:val="18"/>
              </w:rPr>
            </w:pPr>
            <w:r>
              <w:rPr>
                <w:spacing w:val="-6"/>
                <w:sz w:val="18"/>
                <w:szCs w:val="18"/>
              </w:rPr>
              <w:t>万元</w:t>
            </w:r>
          </w:p>
        </w:tc>
        <w:tc>
          <w:tcPr>
            <w:tcW w:w="1124" w:type="dxa"/>
          </w:tcPr>
          <w:p w14:paraId="25F9F425">
            <w:pPr>
              <w:pStyle w:val="167"/>
              <w:spacing w:before="57" w:line="203" w:lineRule="auto"/>
              <w:ind w:left="202"/>
              <w:rPr>
                <w:sz w:val="18"/>
                <w:szCs w:val="18"/>
              </w:rPr>
            </w:pPr>
            <w:r>
              <w:rPr>
                <w:spacing w:val="-1"/>
                <w:sz w:val="18"/>
                <w:szCs w:val="18"/>
              </w:rPr>
              <w:t>Y≥80000</w:t>
            </w:r>
          </w:p>
        </w:tc>
        <w:tc>
          <w:tcPr>
            <w:tcW w:w="1700" w:type="dxa"/>
          </w:tcPr>
          <w:p w14:paraId="20FC7D09">
            <w:pPr>
              <w:pStyle w:val="167"/>
              <w:spacing w:before="57" w:line="203" w:lineRule="auto"/>
              <w:ind w:left="225"/>
              <w:rPr>
                <w:sz w:val="18"/>
                <w:szCs w:val="18"/>
              </w:rPr>
            </w:pPr>
            <w:r>
              <w:rPr>
                <w:spacing w:val="-1"/>
                <w:sz w:val="18"/>
                <w:szCs w:val="18"/>
              </w:rPr>
              <w:t>6000≤Y＜80000</w:t>
            </w:r>
          </w:p>
        </w:tc>
        <w:tc>
          <w:tcPr>
            <w:tcW w:w="1425" w:type="dxa"/>
          </w:tcPr>
          <w:p w14:paraId="7199E24D">
            <w:pPr>
              <w:pStyle w:val="167"/>
              <w:spacing w:before="57" w:line="203" w:lineRule="auto"/>
              <w:ind w:left="181"/>
              <w:rPr>
                <w:sz w:val="18"/>
                <w:szCs w:val="18"/>
              </w:rPr>
            </w:pPr>
            <w:r>
              <w:rPr>
                <w:spacing w:val="-1"/>
                <w:sz w:val="18"/>
                <w:szCs w:val="18"/>
              </w:rPr>
              <w:t>300≤Y＜6000</w:t>
            </w:r>
          </w:p>
        </w:tc>
        <w:tc>
          <w:tcPr>
            <w:tcW w:w="996" w:type="dxa"/>
          </w:tcPr>
          <w:p w14:paraId="3F1EEC7B">
            <w:pPr>
              <w:pStyle w:val="167"/>
              <w:spacing w:before="57" w:line="203" w:lineRule="auto"/>
              <w:ind w:left="230"/>
              <w:rPr>
                <w:sz w:val="18"/>
                <w:szCs w:val="18"/>
              </w:rPr>
            </w:pPr>
            <w:r>
              <w:rPr>
                <w:spacing w:val="-1"/>
                <w:sz w:val="18"/>
                <w:szCs w:val="18"/>
              </w:rPr>
              <w:t>Y＜300</w:t>
            </w:r>
          </w:p>
        </w:tc>
      </w:tr>
      <w:tr w14:paraId="69C55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continue"/>
            <w:tcBorders>
              <w:top w:val="nil"/>
            </w:tcBorders>
          </w:tcPr>
          <w:p w14:paraId="3AA3F5CF">
            <w:pPr>
              <w:rPr>
                <w:rFonts w:ascii="Arial"/>
              </w:rPr>
            </w:pPr>
          </w:p>
        </w:tc>
        <w:tc>
          <w:tcPr>
            <w:tcW w:w="1368" w:type="dxa"/>
          </w:tcPr>
          <w:p w14:paraId="5E82E085">
            <w:pPr>
              <w:pStyle w:val="167"/>
              <w:spacing w:before="58" w:line="202" w:lineRule="auto"/>
              <w:ind w:left="200"/>
              <w:rPr>
                <w:sz w:val="18"/>
                <w:szCs w:val="18"/>
              </w:rPr>
            </w:pPr>
            <w:r>
              <w:rPr>
                <w:spacing w:val="-2"/>
                <w:sz w:val="18"/>
                <w:szCs w:val="18"/>
              </w:rPr>
              <w:t>资产总额(Z)</w:t>
            </w:r>
          </w:p>
        </w:tc>
        <w:tc>
          <w:tcPr>
            <w:tcW w:w="709" w:type="dxa"/>
          </w:tcPr>
          <w:p w14:paraId="1CBF8579">
            <w:pPr>
              <w:pStyle w:val="167"/>
              <w:spacing w:before="58" w:line="202" w:lineRule="auto"/>
              <w:ind w:left="182"/>
              <w:rPr>
                <w:sz w:val="18"/>
                <w:szCs w:val="18"/>
              </w:rPr>
            </w:pPr>
            <w:r>
              <w:rPr>
                <w:spacing w:val="-6"/>
                <w:sz w:val="18"/>
                <w:szCs w:val="18"/>
              </w:rPr>
              <w:t>万元</w:t>
            </w:r>
          </w:p>
        </w:tc>
        <w:tc>
          <w:tcPr>
            <w:tcW w:w="1124" w:type="dxa"/>
          </w:tcPr>
          <w:p w14:paraId="2D1F0D70">
            <w:pPr>
              <w:pStyle w:val="167"/>
              <w:spacing w:before="58" w:line="202" w:lineRule="auto"/>
              <w:ind w:left="205"/>
              <w:rPr>
                <w:sz w:val="18"/>
                <w:szCs w:val="18"/>
              </w:rPr>
            </w:pPr>
            <w:r>
              <w:rPr>
                <w:spacing w:val="-1"/>
                <w:sz w:val="18"/>
                <w:szCs w:val="18"/>
              </w:rPr>
              <w:t>Z≥80000</w:t>
            </w:r>
          </w:p>
        </w:tc>
        <w:tc>
          <w:tcPr>
            <w:tcW w:w="1700" w:type="dxa"/>
          </w:tcPr>
          <w:p w14:paraId="5F84BAA7">
            <w:pPr>
              <w:pStyle w:val="167"/>
              <w:spacing w:before="58" w:line="202" w:lineRule="auto"/>
              <w:ind w:left="227"/>
              <w:rPr>
                <w:sz w:val="18"/>
                <w:szCs w:val="18"/>
              </w:rPr>
            </w:pPr>
            <w:r>
              <w:rPr>
                <w:spacing w:val="-1"/>
                <w:sz w:val="18"/>
                <w:szCs w:val="18"/>
              </w:rPr>
              <w:t>5000≤Z＜80000</w:t>
            </w:r>
          </w:p>
        </w:tc>
        <w:tc>
          <w:tcPr>
            <w:tcW w:w="1425" w:type="dxa"/>
          </w:tcPr>
          <w:p w14:paraId="13AAAB57">
            <w:pPr>
              <w:pStyle w:val="167"/>
              <w:spacing w:before="58" w:line="202" w:lineRule="auto"/>
              <w:ind w:left="181"/>
              <w:rPr>
                <w:sz w:val="18"/>
                <w:szCs w:val="18"/>
              </w:rPr>
            </w:pPr>
            <w:r>
              <w:rPr>
                <w:spacing w:val="-1"/>
                <w:sz w:val="18"/>
                <w:szCs w:val="18"/>
              </w:rPr>
              <w:t>300≤Z＜5000</w:t>
            </w:r>
          </w:p>
        </w:tc>
        <w:tc>
          <w:tcPr>
            <w:tcW w:w="996" w:type="dxa"/>
          </w:tcPr>
          <w:p w14:paraId="734522AB">
            <w:pPr>
              <w:pStyle w:val="167"/>
              <w:spacing w:before="58" w:line="202" w:lineRule="auto"/>
              <w:ind w:left="232"/>
              <w:rPr>
                <w:sz w:val="18"/>
                <w:szCs w:val="18"/>
              </w:rPr>
            </w:pPr>
            <w:r>
              <w:rPr>
                <w:spacing w:val="-2"/>
                <w:sz w:val="18"/>
                <w:szCs w:val="18"/>
              </w:rPr>
              <w:t>Z＜300</w:t>
            </w:r>
          </w:p>
        </w:tc>
      </w:tr>
      <w:tr w14:paraId="24FBE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restart"/>
            <w:tcBorders>
              <w:bottom w:val="nil"/>
            </w:tcBorders>
          </w:tcPr>
          <w:p w14:paraId="6DFA6474">
            <w:pPr>
              <w:pStyle w:val="167"/>
              <w:spacing w:before="194" w:line="220" w:lineRule="auto"/>
              <w:ind w:left="115"/>
              <w:rPr>
                <w:sz w:val="18"/>
                <w:szCs w:val="18"/>
              </w:rPr>
            </w:pPr>
            <w:r>
              <w:rPr>
                <w:spacing w:val="-3"/>
                <w:sz w:val="18"/>
                <w:szCs w:val="18"/>
              </w:rPr>
              <w:t>批发业</w:t>
            </w:r>
          </w:p>
        </w:tc>
        <w:tc>
          <w:tcPr>
            <w:tcW w:w="1368" w:type="dxa"/>
          </w:tcPr>
          <w:p w14:paraId="5E4E291F">
            <w:pPr>
              <w:pStyle w:val="167"/>
              <w:spacing w:before="57" w:line="203" w:lineRule="auto"/>
              <w:ind w:left="194"/>
              <w:rPr>
                <w:sz w:val="18"/>
                <w:szCs w:val="18"/>
              </w:rPr>
            </w:pPr>
            <w:r>
              <w:rPr>
                <w:spacing w:val="-2"/>
                <w:sz w:val="18"/>
                <w:szCs w:val="18"/>
              </w:rPr>
              <w:t>从业人员(X)</w:t>
            </w:r>
          </w:p>
        </w:tc>
        <w:tc>
          <w:tcPr>
            <w:tcW w:w="709" w:type="dxa"/>
          </w:tcPr>
          <w:p w14:paraId="1FF82BE8">
            <w:pPr>
              <w:pStyle w:val="167"/>
              <w:spacing w:before="57" w:line="203" w:lineRule="auto"/>
              <w:ind w:left="268"/>
              <w:rPr>
                <w:sz w:val="18"/>
                <w:szCs w:val="18"/>
              </w:rPr>
            </w:pPr>
            <w:r>
              <w:rPr>
                <w:sz w:val="18"/>
                <w:szCs w:val="18"/>
              </w:rPr>
              <w:t>人</w:t>
            </w:r>
          </w:p>
        </w:tc>
        <w:tc>
          <w:tcPr>
            <w:tcW w:w="1124" w:type="dxa"/>
          </w:tcPr>
          <w:p w14:paraId="2AAB5D05">
            <w:pPr>
              <w:pStyle w:val="167"/>
              <w:spacing w:before="57" w:line="203" w:lineRule="auto"/>
              <w:ind w:left="292"/>
              <w:rPr>
                <w:sz w:val="18"/>
                <w:szCs w:val="18"/>
              </w:rPr>
            </w:pPr>
            <w:r>
              <w:rPr>
                <w:spacing w:val="-1"/>
                <w:sz w:val="18"/>
                <w:szCs w:val="18"/>
              </w:rPr>
              <w:t>X≥200</w:t>
            </w:r>
          </w:p>
        </w:tc>
        <w:tc>
          <w:tcPr>
            <w:tcW w:w="1700" w:type="dxa"/>
          </w:tcPr>
          <w:p w14:paraId="19789DD8">
            <w:pPr>
              <w:pStyle w:val="167"/>
              <w:spacing w:before="57" w:line="203" w:lineRule="auto"/>
              <w:ind w:left="406"/>
              <w:rPr>
                <w:sz w:val="18"/>
                <w:szCs w:val="18"/>
              </w:rPr>
            </w:pPr>
            <w:r>
              <w:rPr>
                <w:spacing w:val="-1"/>
                <w:sz w:val="18"/>
                <w:szCs w:val="18"/>
              </w:rPr>
              <w:t>20≤X＜200</w:t>
            </w:r>
          </w:p>
        </w:tc>
        <w:tc>
          <w:tcPr>
            <w:tcW w:w="1425" w:type="dxa"/>
          </w:tcPr>
          <w:p w14:paraId="4E72B254">
            <w:pPr>
              <w:pStyle w:val="167"/>
              <w:spacing w:before="57" w:line="203" w:lineRule="auto"/>
              <w:ind w:left="361"/>
              <w:rPr>
                <w:sz w:val="18"/>
                <w:szCs w:val="18"/>
              </w:rPr>
            </w:pPr>
            <w:r>
              <w:rPr>
                <w:spacing w:val="-2"/>
                <w:sz w:val="18"/>
                <w:szCs w:val="18"/>
              </w:rPr>
              <w:t>5≤X＜20</w:t>
            </w:r>
          </w:p>
        </w:tc>
        <w:tc>
          <w:tcPr>
            <w:tcW w:w="996" w:type="dxa"/>
          </w:tcPr>
          <w:p w14:paraId="29697075">
            <w:pPr>
              <w:pStyle w:val="167"/>
              <w:spacing w:before="57" w:line="203" w:lineRule="auto"/>
              <w:ind w:left="320"/>
              <w:rPr>
                <w:sz w:val="18"/>
                <w:szCs w:val="18"/>
              </w:rPr>
            </w:pPr>
            <w:r>
              <w:rPr>
                <w:spacing w:val="-2"/>
                <w:sz w:val="18"/>
                <w:szCs w:val="18"/>
              </w:rPr>
              <w:t>X＜5</w:t>
            </w:r>
          </w:p>
        </w:tc>
      </w:tr>
      <w:tr w14:paraId="00C83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continue"/>
            <w:tcBorders>
              <w:top w:val="nil"/>
            </w:tcBorders>
          </w:tcPr>
          <w:p w14:paraId="16157119">
            <w:pPr>
              <w:rPr>
                <w:rFonts w:ascii="Arial"/>
              </w:rPr>
            </w:pPr>
          </w:p>
        </w:tc>
        <w:tc>
          <w:tcPr>
            <w:tcW w:w="1368" w:type="dxa"/>
          </w:tcPr>
          <w:p w14:paraId="6ACEDFB6">
            <w:pPr>
              <w:pStyle w:val="167"/>
              <w:spacing w:before="58" w:line="202" w:lineRule="auto"/>
              <w:ind w:left="198"/>
              <w:rPr>
                <w:sz w:val="18"/>
                <w:szCs w:val="18"/>
              </w:rPr>
            </w:pPr>
            <w:r>
              <w:rPr>
                <w:spacing w:val="-2"/>
                <w:sz w:val="18"/>
                <w:szCs w:val="18"/>
              </w:rPr>
              <w:t>营业收入(Y)</w:t>
            </w:r>
          </w:p>
        </w:tc>
        <w:tc>
          <w:tcPr>
            <w:tcW w:w="709" w:type="dxa"/>
          </w:tcPr>
          <w:p w14:paraId="05EF96AF">
            <w:pPr>
              <w:pStyle w:val="167"/>
              <w:spacing w:before="58" w:line="202" w:lineRule="auto"/>
              <w:ind w:left="182"/>
              <w:rPr>
                <w:sz w:val="18"/>
                <w:szCs w:val="18"/>
              </w:rPr>
            </w:pPr>
            <w:r>
              <w:rPr>
                <w:spacing w:val="-6"/>
                <w:sz w:val="18"/>
                <w:szCs w:val="18"/>
              </w:rPr>
              <w:t>万元</w:t>
            </w:r>
          </w:p>
        </w:tc>
        <w:tc>
          <w:tcPr>
            <w:tcW w:w="1124" w:type="dxa"/>
          </w:tcPr>
          <w:p w14:paraId="05B95199">
            <w:pPr>
              <w:pStyle w:val="167"/>
              <w:spacing w:before="58" w:line="202" w:lineRule="auto"/>
              <w:ind w:left="202"/>
              <w:rPr>
                <w:sz w:val="18"/>
                <w:szCs w:val="18"/>
              </w:rPr>
            </w:pPr>
            <w:r>
              <w:rPr>
                <w:spacing w:val="-1"/>
                <w:sz w:val="18"/>
                <w:szCs w:val="18"/>
              </w:rPr>
              <w:t>Y≥40000</w:t>
            </w:r>
          </w:p>
        </w:tc>
        <w:tc>
          <w:tcPr>
            <w:tcW w:w="1700" w:type="dxa"/>
          </w:tcPr>
          <w:p w14:paraId="7F876AB5">
            <w:pPr>
              <w:pStyle w:val="167"/>
              <w:spacing w:before="58" w:line="202" w:lineRule="auto"/>
              <w:ind w:left="227"/>
              <w:rPr>
                <w:sz w:val="18"/>
                <w:szCs w:val="18"/>
              </w:rPr>
            </w:pPr>
            <w:r>
              <w:rPr>
                <w:spacing w:val="-1"/>
                <w:sz w:val="18"/>
                <w:szCs w:val="18"/>
              </w:rPr>
              <w:t>5000≤Y＜40000</w:t>
            </w:r>
          </w:p>
        </w:tc>
        <w:tc>
          <w:tcPr>
            <w:tcW w:w="1425" w:type="dxa"/>
          </w:tcPr>
          <w:p w14:paraId="7ED9D284">
            <w:pPr>
              <w:pStyle w:val="167"/>
              <w:spacing w:before="58" w:line="202" w:lineRule="auto"/>
              <w:ind w:left="145"/>
              <w:rPr>
                <w:sz w:val="18"/>
                <w:szCs w:val="18"/>
              </w:rPr>
            </w:pPr>
            <w:r>
              <w:rPr>
                <w:spacing w:val="-2"/>
                <w:sz w:val="18"/>
                <w:szCs w:val="18"/>
              </w:rPr>
              <w:t>1000≤Y＜5000</w:t>
            </w:r>
          </w:p>
        </w:tc>
        <w:tc>
          <w:tcPr>
            <w:tcW w:w="996" w:type="dxa"/>
          </w:tcPr>
          <w:p w14:paraId="7B2A2ED6">
            <w:pPr>
              <w:pStyle w:val="167"/>
              <w:spacing w:before="58" w:line="202" w:lineRule="auto"/>
              <w:ind w:left="185"/>
              <w:rPr>
                <w:sz w:val="18"/>
                <w:szCs w:val="18"/>
              </w:rPr>
            </w:pPr>
            <w:r>
              <w:rPr>
                <w:spacing w:val="-1"/>
                <w:sz w:val="18"/>
                <w:szCs w:val="18"/>
              </w:rPr>
              <w:t>Y＜1000</w:t>
            </w:r>
          </w:p>
        </w:tc>
      </w:tr>
      <w:tr w14:paraId="6F8A6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restart"/>
            <w:tcBorders>
              <w:bottom w:val="nil"/>
            </w:tcBorders>
          </w:tcPr>
          <w:p w14:paraId="3FFF257F">
            <w:pPr>
              <w:pStyle w:val="167"/>
              <w:spacing w:before="194" w:line="219" w:lineRule="auto"/>
              <w:ind w:left="116"/>
              <w:rPr>
                <w:sz w:val="18"/>
                <w:szCs w:val="18"/>
              </w:rPr>
            </w:pPr>
            <w:r>
              <w:rPr>
                <w:spacing w:val="-3"/>
                <w:sz w:val="18"/>
                <w:szCs w:val="18"/>
              </w:rPr>
              <w:t>零售业</w:t>
            </w:r>
          </w:p>
        </w:tc>
        <w:tc>
          <w:tcPr>
            <w:tcW w:w="1368" w:type="dxa"/>
          </w:tcPr>
          <w:p w14:paraId="05195580">
            <w:pPr>
              <w:pStyle w:val="167"/>
              <w:spacing w:before="57" w:line="203" w:lineRule="auto"/>
              <w:ind w:left="194"/>
              <w:rPr>
                <w:sz w:val="18"/>
                <w:szCs w:val="18"/>
              </w:rPr>
            </w:pPr>
            <w:r>
              <w:rPr>
                <w:spacing w:val="-2"/>
                <w:sz w:val="18"/>
                <w:szCs w:val="18"/>
              </w:rPr>
              <w:t>从业人员(X)</w:t>
            </w:r>
          </w:p>
        </w:tc>
        <w:tc>
          <w:tcPr>
            <w:tcW w:w="709" w:type="dxa"/>
          </w:tcPr>
          <w:p w14:paraId="4363CC47">
            <w:pPr>
              <w:pStyle w:val="167"/>
              <w:spacing w:before="57" w:line="203" w:lineRule="auto"/>
              <w:ind w:left="268"/>
              <w:rPr>
                <w:sz w:val="18"/>
                <w:szCs w:val="18"/>
              </w:rPr>
            </w:pPr>
            <w:r>
              <w:rPr>
                <w:sz w:val="18"/>
                <w:szCs w:val="18"/>
              </w:rPr>
              <w:t>人</w:t>
            </w:r>
          </w:p>
        </w:tc>
        <w:tc>
          <w:tcPr>
            <w:tcW w:w="1124" w:type="dxa"/>
          </w:tcPr>
          <w:p w14:paraId="43FC117B">
            <w:pPr>
              <w:pStyle w:val="167"/>
              <w:spacing w:before="57" w:line="203" w:lineRule="auto"/>
              <w:ind w:left="292"/>
              <w:rPr>
                <w:sz w:val="18"/>
                <w:szCs w:val="18"/>
              </w:rPr>
            </w:pPr>
            <w:r>
              <w:rPr>
                <w:spacing w:val="-1"/>
                <w:sz w:val="18"/>
                <w:szCs w:val="18"/>
              </w:rPr>
              <w:t>X≥300</w:t>
            </w:r>
          </w:p>
        </w:tc>
        <w:tc>
          <w:tcPr>
            <w:tcW w:w="1700" w:type="dxa"/>
          </w:tcPr>
          <w:p w14:paraId="5EF03568">
            <w:pPr>
              <w:pStyle w:val="167"/>
              <w:spacing w:before="57" w:line="203" w:lineRule="auto"/>
              <w:ind w:left="407"/>
              <w:rPr>
                <w:sz w:val="18"/>
                <w:szCs w:val="18"/>
              </w:rPr>
            </w:pPr>
            <w:r>
              <w:rPr>
                <w:spacing w:val="-2"/>
                <w:sz w:val="18"/>
                <w:szCs w:val="18"/>
              </w:rPr>
              <w:t>50≤X＜300</w:t>
            </w:r>
          </w:p>
        </w:tc>
        <w:tc>
          <w:tcPr>
            <w:tcW w:w="1425" w:type="dxa"/>
          </w:tcPr>
          <w:p w14:paraId="6FD97026">
            <w:pPr>
              <w:pStyle w:val="167"/>
              <w:spacing w:before="57" w:line="203" w:lineRule="auto"/>
              <w:ind w:left="325"/>
              <w:rPr>
                <w:sz w:val="18"/>
                <w:szCs w:val="18"/>
              </w:rPr>
            </w:pPr>
            <w:r>
              <w:rPr>
                <w:spacing w:val="-3"/>
                <w:sz w:val="18"/>
                <w:szCs w:val="18"/>
              </w:rPr>
              <w:t>10≤X＜50</w:t>
            </w:r>
          </w:p>
        </w:tc>
        <w:tc>
          <w:tcPr>
            <w:tcW w:w="996" w:type="dxa"/>
          </w:tcPr>
          <w:p w14:paraId="1EBD87CF">
            <w:pPr>
              <w:pStyle w:val="167"/>
              <w:spacing w:before="57" w:line="203" w:lineRule="auto"/>
              <w:ind w:left="274"/>
              <w:rPr>
                <w:sz w:val="18"/>
                <w:szCs w:val="18"/>
              </w:rPr>
            </w:pPr>
            <w:r>
              <w:rPr>
                <w:spacing w:val="-1"/>
                <w:sz w:val="18"/>
                <w:szCs w:val="18"/>
              </w:rPr>
              <w:t>X＜10</w:t>
            </w:r>
          </w:p>
        </w:tc>
      </w:tr>
      <w:tr w14:paraId="56CC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continue"/>
            <w:tcBorders>
              <w:top w:val="nil"/>
            </w:tcBorders>
          </w:tcPr>
          <w:p w14:paraId="5DFBF933">
            <w:pPr>
              <w:rPr>
                <w:rFonts w:ascii="Arial"/>
              </w:rPr>
            </w:pPr>
          </w:p>
        </w:tc>
        <w:tc>
          <w:tcPr>
            <w:tcW w:w="1368" w:type="dxa"/>
          </w:tcPr>
          <w:p w14:paraId="4E399C72">
            <w:pPr>
              <w:pStyle w:val="167"/>
              <w:spacing w:before="58" w:line="202" w:lineRule="auto"/>
              <w:ind w:left="198"/>
              <w:rPr>
                <w:sz w:val="18"/>
                <w:szCs w:val="18"/>
              </w:rPr>
            </w:pPr>
            <w:r>
              <w:rPr>
                <w:spacing w:val="-2"/>
                <w:sz w:val="18"/>
                <w:szCs w:val="18"/>
              </w:rPr>
              <w:t>营业收入(Y)</w:t>
            </w:r>
          </w:p>
        </w:tc>
        <w:tc>
          <w:tcPr>
            <w:tcW w:w="709" w:type="dxa"/>
          </w:tcPr>
          <w:p w14:paraId="3352E1C0">
            <w:pPr>
              <w:pStyle w:val="167"/>
              <w:spacing w:before="58" w:line="202" w:lineRule="auto"/>
              <w:ind w:left="182"/>
              <w:rPr>
                <w:sz w:val="18"/>
                <w:szCs w:val="18"/>
              </w:rPr>
            </w:pPr>
            <w:r>
              <w:rPr>
                <w:spacing w:val="-6"/>
                <w:sz w:val="18"/>
                <w:szCs w:val="18"/>
              </w:rPr>
              <w:t>万元</w:t>
            </w:r>
          </w:p>
        </w:tc>
        <w:tc>
          <w:tcPr>
            <w:tcW w:w="1124" w:type="dxa"/>
          </w:tcPr>
          <w:p w14:paraId="692D229D">
            <w:pPr>
              <w:pStyle w:val="167"/>
              <w:spacing w:before="58" w:line="202" w:lineRule="auto"/>
              <w:ind w:left="202"/>
              <w:rPr>
                <w:sz w:val="18"/>
                <w:szCs w:val="18"/>
              </w:rPr>
            </w:pPr>
            <w:r>
              <w:rPr>
                <w:spacing w:val="-1"/>
                <w:sz w:val="18"/>
                <w:szCs w:val="18"/>
              </w:rPr>
              <w:t>Y≥20000</w:t>
            </w:r>
          </w:p>
        </w:tc>
        <w:tc>
          <w:tcPr>
            <w:tcW w:w="1700" w:type="dxa"/>
          </w:tcPr>
          <w:p w14:paraId="019EA41F">
            <w:pPr>
              <w:pStyle w:val="167"/>
              <w:spacing w:before="58" w:line="202" w:lineRule="auto"/>
              <w:ind w:left="273"/>
              <w:rPr>
                <w:sz w:val="18"/>
                <w:szCs w:val="18"/>
              </w:rPr>
            </w:pPr>
            <w:r>
              <w:rPr>
                <w:spacing w:val="-1"/>
                <w:sz w:val="18"/>
                <w:szCs w:val="18"/>
              </w:rPr>
              <w:t>500≤Y＜20000</w:t>
            </w:r>
          </w:p>
        </w:tc>
        <w:tc>
          <w:tcPr>
            <w:tcW w:w="1425" w:type="dxa"/>
          </w:tcPr>
          <w:p w14:paraId="52238989">
            <w:pPr>
              <w:pStyle w:val="167"/>
              <w:spacing w:before="58" w:line="202" w:lineRule="auto"/>
              <w:ind w:left="236"/>
              <w:rPr>
                <w:sz w:val="18"/>
                <w:szCs w:val="18"/>
              </w:rPr>
            </w:pPr>
            <w:r>
              <w:rPr>
                <w:spacing w:val="-3"/>
                <w:sz w:val="18"/>
                <w:szCs w:val="18"/>
              </w:rPr>
              <w:t>100≤Y＜500</w:t>
            </w:r>
          </w:p>
        </w:tc>
        <w:tc>
          <w:tcPr>
            <w:tcW w:w="996" w:type="dxa"/>
          </w:tcPr>
          <w:p w14:paraId="3A4078CA">
            <w:pPr>
              <w:pStyle w:val="167"/>
              <w:spacing w:before="58" w:line="202" w:lineRule="auto"/>
              <w:ind w:left="230"/>
              <w:rPr>
                <w:sz w:val="18"/>
                <w:szCs w:val="18"/>
              </w:rPr>
            </w:pPr>
            <w:r>
              <w:rPr>
                <w:spacing w:val="-1"/>
                <w:sz w:val="18"/>
                <w:szCs w:val="18"/>
              </w:rPr>
              <w:t>Y＜100</w:t>
            </w:r>
          </w:p>
        </w:tc>
      </w:tr>
      <w:tr w14:paraId="268CD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restart"/>
            <w:tcBorders>
              <w:bottom w:val="nil"/>
            </w:tcBorders>
          </w:tcPr>
          <w:p w14:paraId="2A2C8293">
            <w:pPr>
              <w:pStyle w:val="167"/>
              <w:spacing w:before="194" w:line="219" w:lineRule="auto"/>
              <w:ind w:left="119"/>
              <w:rPr>
                <w:rFonts w:ascii="Times New Roman" w:hAnsi="Times New Roman" w:eastAsia="Times New Roman" w:cs="Times New Roman"/>
                <w:sz w:val="18"/>
                <w:szCs w:val="18"/>
              </w:rPr>
            </w:pPr>
            <w:r>
              <w:rPr>
                <w:spacing w:val="-2"/>
                <w:sz w:val="18"/>
                <w:szCs w:val="18"/>
              </w:rPr>
              <w:t>交通运输业</w:t>
            </w:r>
            <w:r>
              <w:rPr>
                <w:spacing w:val="11"/>
                <w:sz w:val="18"/>
                <w:szCs w:val="18"/>
              </w:rPr>
              <w:t xml:space="preserve"> </w:t>
            </w:r>
            <w:r>
              <w:rPr>
                <w:rFonts w:ascii="Times New Roman" w:hAnsi="Times New Roman" w:eastAsia="Times New Roman" w:cs="Times New Roman"/>
                <w:spacing w:val="-2"/>
                <w:sz w:val="18"/>
                <w:szCs w:val="18"/>
              </w:rPr>
              <w:t>*</w:t>
            </w:r>
          </w:p>
        </w:tc>
        <w:tc>
          <w:tcPr>
            <w:tcW w:w="1368" w:type="dxa"/>
          </w:tcPr>
          <w:p w14:paraId="570F4F1C">
            <w:pPr>
              <w:pStyle w:val="167"/>
              <w:spacing w:before="57" w:line="203" w:lineRule="auto"/>
              <w:ind w:left="194"/>
              <w:rPr>
                <w:sz w:val="18"/>
                <w:szCs w:val="18"/>
              </w:rPr>
            </w:pPr>
            <w:r>
              <w:rPr>
                <w:spacing w:val="-2"/>
                <w:sz w:val="18"/>
                <w:szCs w:val="18"/>
              </w:rPr>
              <w:t>从业人员(X)</w:t>
            </w:r>
          </w:p>
        </w:tc>
        <w:tc>
          <w:tcPr>
            <w:tcW w:w="709" w:type="dxa"/>
          </w:tcPr>
          <w:p w14:paraId="2E97F7CF">
            <w:pPr>
              <w:pStyle w:val="167"/>
              <w:spacing w:before="57" w:line="203" w:lineRule="auto"/>
              <w:ind w:left="268"/>
              <w:rPr>
                <w:sz w:val="18"/>
                <w:szCs w:val="18"/>
              </w:rPr>
            </w:pPr>
            <w:r>
              <w:rPr>
                <w:sz w:val="18"/>
                <w:szCs w:val="18"/>
              </w:rPr>
              <w:t>人</w:t>
            </w:r>
          </w:p>
        </w:tc>
        <w:tc>
          <w:tcPr>
            <w:tcW w:w="1124" w:type="dxa"/>
          </w:tcPr>
          <w:p w14:paraId="27079B70">
            <w:pPr>
              <w:pStyle w:val="167"/>
              <w:spacing w:before="57" w:line="203" w:lineRule="auto"/>
              <w:ind w:left="249"/>
              <w:rPr>
                <w:sz w:val="18"/>
                <w:szCs w:val="18"/>
              </w:rPr>
            </w:pPr>
            <w:r>
              <w:rPr>
                <w:spacing w:val="-1"/>
                <w:sz w:val="18"/>
                <w:szCs w:val="18"/>
              </w:rPr>
              <w:t>X≥1000</w:t>
            </w:r>
          </w:p>
        </w:tc>
        <w:tc>
          <w:tcPr>
            <w:tcW w:w="1700" w:type="dxa"/>
          </w:tcPr>
          <w:p w14:paraId="76E643C5">
            <w:pPr>
              <w:pStyle w:val="167"/>
              <w:spacing w:before="57" w:line="203" w:lineRule="auto"/>
              <w:ind w:left="319"/>
              <w:rPr>
                <w:sz w:val="18"/>
                <w:szCs w:val="18"/>
              </w:rPr>
            </w:pPr>
            <w:r>
              <w:rPr>
                <w:spacing w:val="-1"/>
                <w:sz w:val="18"/>
                <w:szCs w:val="18"/>
              </w:rPr>
              <w:t>300≤X＜1000</w:t>
            </w:r>
          </w:p>
        </w:tc>
        <w:tc>
          <w:tcPr>
            <w:tcW w:w="1425" w:type="dxa"/>
          </w:tcPr>
          <w:p w14:paraId="7A33B610">
            <w:pPr>
              <w:pStyle w:val="167"/>
              <w:spacing w:before="57" w:line="203" w:lineRule="auto"/>
              <w:ind w:left="271"/>
              <w:rPr>
                <w:sz w:val="18"/>
                <w:szCs w:val="18"/>
              </w:rPr>
            </w:pPr>
            <w:r>
              <w:rPr>
                <w:spacing w:val="-2"/>
                <w:sz w:val="18"/>
                <w:szCs w:val="18"/>
              </w:rPr>
              <w:t>20≤X＜300</w:t>
            </w:r>
          </w:p>
        </w:tc>
        <w:tc>
          <w:tcPr>
            <w:tcW w:w="996" w:type="dxa"/>
          </w:tcPr>
          <w:p w14:paraId="19D4A65D">
            <w:pPr>
              <w:pStyle w:val="167"/>
              <w:spacing w:before="57" w:line="203" w:lineRule="auto"/>
              <w:ind w:left="274"/>
              <w:rPr>
                <w:sz w:val="18"/>
                <w:szCs w:val="18"/>
              </w:rPr>
            </w:pPr>
            <w:r>
              <w:rPr>
                <w:spacing w:val="-1"/>
                <w:sz w:val="18"/>
                <w:szCs w:val="18"/>
              </w:rPr>
              <w:t>X＜20</w:t>
            </w:r>
          </w:p>
        </w:tc>
      </w:tr>
      <w:tr w14:paraId="48D79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continue"/>
            <w:tcBorders>
              <w:top w:val="nil"/>
            </w:tcBorders>
          </w:tcPr>
          <w:p w14:paraId="4ED67F75">
            <w:pPr>
              <w:rPr>
                <w:rFonts w:ascii="Arial"/>
              </w:rPr>
            </w:pPr>
          </w:p>
        </w:tc>
        <w:tc>
          <w:tcPr>
            <w:tcW w:w="1368" w:type="dxa"/>
          </w:tcPr>
          <w:p w14:paraId="11AE2B44">
            <w:pPr>
              <w:pStyle w:val="167"/>
              <w:spacing w:before="58" w:line="202" w:lineRule="auto"/>
              <w:ind w:left="198"/>
              <w:rPr>
                <w:sz w:val="18"/>
                <w:szCs w:val="18"/>
              </w:rPr>
            </w:pPr>
            <w:r>
              <w:rPr>
                <w:spacing w:val="-2"/>
                <w:sz w:val="18"/>
                <w:szCs w:val="18"/>
              </w:rPr>
              <w:t>营业收入(Y)</w:t>
            </w:r>
          </w:p>
        </w:tc>
        <w:tc>
          <w:tcPr>
            <w:tcW w:w="709" w:type="dxa"/>
          </w:tcPr>
          <w:p w14:paraId="3AE33C4F">
            <w:pPr>
              <w:pStyle w:val="167"/>
              <w:spacing w:before="58" w:line="202" w:lineRule="auto"/>
              <w:ind w:left="182"/>
              <w:rPr>
                <w:sz w:val="18"/>
                <w:szCs w:val="18"/>
              </w:rPr>
            </w:pPr>
            <w:r>
              <w:rPr>
                <w:spacing w:val="-6"/>
                <w:sz w:val="18"/>
                <w:szCs w:val="18"/>
              </w:rPr>
              <w:t>万元</w:t>
            </w:r>
          </w:p>
        </w:tc>
        <w:tc>
          <w:tcPr>
            <w:tcW w:w="1124" w:type="dxa"/>
          </w:tcPr>
          <w:p w14:paraId="771D7E73">
            <w:pPr>
              <w:pStyle w:val="167"/>
              <w:spacing w:before="58" w:line="202" w:lineRule="auto"/>
              <w:ind w:left="202"/>
              <w:rPr>
                <w:sz w:val="18"/>
                <w:szCs w:val="18"/>
              </w:rPr>
            </w:pPr>
            <w:r>
              <w:rPr>
                <w:spacing w:val="-1"/>
                <w:sz w:val="18"/>
                <w:szCs w:val="18"/>
              </w:rPr>
              <w:t>Y≥30000</w:t>
            </w:r>
          </w:p>
        </w:tc>
        <w:tc>
          <w:tcPr>
            <w:tcW w:w="1700" w:type="dxa"/>
          </w:tcPr>
          <w:p w14:paraId="116EA8D1">
            <w:pPr>
              <w:pStyle w:val="167"/>
              <w:spacing w:before="58" w:line="202" w:lineRule="auto"/>
              <w:ind w:left="227"/>
              <w:rPr>
                <w:sz w:val="18"/>
                <w:szCs w:val="18"/>
              </w:rPr>
            </w:pPr>
            <w:r>
              <w:rPr>
                <w:spacing w:val="-1"/>
                <w:sz w:val="18"/>
                <w:szCs w:val="18"/>
              </w:rPr>
              <w:t>3000≤Y＜30000</w:t>
            </w:r>
          </w:p>
        </w:tc>
        <w:tc>
          <w:tcPr>
            <w:tcW w:w="1425" w:type="dxa"/>
          </w:tcPr>
          <w:p w14:paraId="3CAC2AEA">
            <w:pPr>
              <w:pStyle w:val="167"/>
              <w:spacing w:before="58" w:line="202" w:lineRule="auto"/>
              <w:ind w:left="179"/>
              <w:rPr>
                <w:sz w:val="18"/>
                <w:szCs w:val="18"/>
              </w:rPr>
            </w:pPr>
            <w:r>
              <w:rPr>
                <w:spacing w:val="-1"/>
                <w:sz w:val="18"/>
                <w:szCs w:val="18"/>
              </w:rPr>
              <w:t>200≤Y＜3000</w:t>
            </w:r>
          </w:p>
        </w:tc>
        <w:tc>
          <w:tcPr>
            <w:tcW w:w="996" w:type="dxa"/>
          </w:tcPr>
          <w:p w14:paraId="05A60006">
            <w:pPr>
              <w:pStyle w:val="167"/>
              <w:spacing w:before="58" w:line="202" w:lineRule="auto"/>
              <w:ind w:left="230"/>
              <w:rPr>
                <w:sz w:val="18"/>
                <w:szCs w:val="18"/>
              </w:rPr>
            </w:pPr>
            <w:r>
              <w:rPr>
                <w:spacing w:val="-1"/>
                <w:sz w:val="18"/>
                <w:szCs w:val="18"/>
              </w:rPr>
              <w:t>Y＜200</w:t>
            </w:r>
          </w:p>
        </w:tc>
      </w:tr>
      <w:tr w14:paraId="15B2F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restart"/>
            <w:tcBorders>
              <w:bottom w:val="nil"/>
            </w:tcBorders>
          </w:tcPr>
          <w:p w14:paraId="7885E21B">
            <w:pPr>
              <w:pStyle w:val="167"/>
              <w:spacing w:before="194" w:line="220" w:lineRule="auto"/>
              <w:ind w:left="115"/>
              <w:rPr>
                <w:rFonts w:ascii="Times New Roman" w:hAnsi="Times New Roman" w:eastAsia="Times New Roman" w:cs="Times New Roman"/>
                <w:sz w:val="18"/>
                <w:szCs w:val="18"/>
              </w:rPr>
            </w:pPr>
            <w:r>
              <w:rPr>
                <w:spacing w:val="-2"/>
                <w:sz w:val="18"/>
                <w:szCs w:val="18"/>
              </w:rPr>
              <w:t>仓储业</w:t>
            </w:r>
            <w:r>
              <w:rPr>
                <w:rFonts w:ascii="Times New Roman" w:hAnsi="Times New Roman" w:eastAsia="Times New Roman" w:cs="Times New Roman"/>
                <w:spacing w:val="-2"/>
                <w:sz w:val="18"/>
                <w:szCs w:val="18"/>
              </w:rPr>
              <w:t>*</w:t>
            </w:r>
          </w:p>
        </w:tc>
        <w:tc>
          <w:tcPr>
            <w:tcW w:w="1368" w:type="dxa"/>
          </w:tcPr>
          <w:p w14:paraId="670A0E23">
            <w:pPr>
              <w:pStyle w:val="167"/>
              <w:spacing w:before="57" w:line="203" w:lineRule="auto"/>
              <w:ind w:left="194"/>
              <w:rPr>
                <w:sz w:val="18"/>
                <w:szCs w:val="18"/>
              </w:rPr>
            </w:pPr>
            <w:r>
              <w:rPr>
                <w:spacing w:val="-2"/>
                <w:sz w:val="18"/>
                <w:szCs w:val="18"/>
              </w:rPr>
              <w:t>从业人员(X)</w:t>
            </w:r>
          </w:p>
        </w:tc>
        <w:tc>
          <w:tcPr>
            <w:tcW w:w="709" w:type="dxa"/>
          </w:tcPr>
          <w:p w14:paraId="7B90CA0D">
            <w:pPr>
              <w:pStyle w:val="167"/>
              <w:spacing w:before="57" w:line="203" w:lineRule="auto"/>
              <w:ind w:left="268"/>
              <w:rPr>
                <w:sz w:val="18"/>
                <w:szCs w:val="18"/>
              </w:rPr>
            </w:pPr>
            <w:r>
              <w:rPr>
                <w:sz w:val="18"/>
                <w:szCs w:val="18"/>
              </w:rPr>
              <w:t>人</w:t>
            </w:r>
          </w:p>
        </w:tc>
        <w:tc>
          <w:tcPr>
            <w:tcW w:w="1124" w:type="dxa"/>
          </w:tcPr>
          <w:p w14:paraId="743C71ED">
            <w:pPr>
              <w:pStyle w:val="167"/>
              <w:spacing w:before="57" w:line="203" w:lineRule="auto"/>
              <w:ind w:left="292"/>
              <w:rPr>
                <w:sz w:val="18"/>
                <w:szCs w:val="18"/>
              </w:rPr>
            </w:pPr>
            <w:r>
              <w:rPr>
                <w:spacing w:val="-1"/>
                <w:sz w:val="18"/>
                <w:szCs w:val="18"/>
              </w:rPr>
              <w:t>X≥200</w:t>
            </w:r>
          </w:p>
        </w:tc>
        <w:tc>
          <w:tcPr>
            <w:tcW w:w="1700" w:type="dxa"/>
          </w:tcPr>
          <w:p w14:paraId="75D5C752">
            <w:pPr>
              <w:pStyle w:val="167"/>
              <w:spacing w:before="57" w:line="203" w:lineRule="auto"/>
              <w:ind w:left="319"/>
              <w:rPr>
                <w:sz w:val="18"/>
                <w:szCs w:val="18"/>
              </w:rPr>
            </w:pPr>
            <w:r>
              <w:rPr>
                <w:spacing w:val="-3"/>
                <w:sz w:val="18"/>
                <w:szCs w:val="18"/>
              </w:rPr>
              <w:t>100≤X＜200</w:t>
            </w:r>
          </w:p>
        </w:tc>
        <w:tc>
          <w:tcPr>
            <w:tcW w:w="1425" w:type="dxa"/>
          </w:tcPr>
          <w:p w14:paraId="09735565">
            <w:pPr>
              <w:pStyle w:val="167"/>
              <w:spacing w:before="57" w:line="203" w:lineRule="auto"/>
              <w:ind w:left="271"/>
              <w:rPr>
                <w:sz w:val="18"/>
                <w:szCs w:val="18"/>
              </w:rPr>
            </w:pPr>
            <w:r>
              <w:rPr>
                <w:spacing w:val="-2"/>
                <w:sz w:val="18"/>
                <w:szCs w:val="18"/>
              </w:rPr>
              <w:t>20≤X＜100</w:t>
            </w:r>
          </w:p>
        </w:tc>
        <w:tc>
          <w:tcPr>
            <w:tcW w:w="996" w:type="dxa"/>
          </w:tcPr>
          <w:p w14:paraId="4AFF4A5F">
            <w:pPr>
              <w:pStyle w:val="167"/>
              <w:spacing w:before="57" w:line="203" w:lineRule="auto"/>
              <w:ind w:left="274"/>
              <w:rPr>
                <w:sz w:val="18"/>
                <w:szCs w:val="18"/>
              </w:rPr>
            </w:pPr>
            <w:r>
              <w:rPr>
                <w:spacing w:val="-1"/>
                <w:sz w:val="18"/>
                <w:szCs w:val="18"/>
              </w:rPr>
              <w:t>X＜20</w:t>
            </w:r>
          </w:p>
        </w:tc>
      </w:tr>
      <w:tr w14:paraId="6DD14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continue"/>
            <w:tcBorders>
              <w:top w:val="nil"/>
            </w:tcBorders>
          </w:tcPr>
          <w:p w14:paraId="7A6F2698">
            <w:pPr>
              <w:rPr>
                <w:rFonts w:ascii="Arial"/>
              </w:rPr>
            </w:pPr>
          </w:p>
        </w:tc>
        <w:tc>
          <w:tcPr>
            <w:tcW w:w="1368" w:type="dxa"/>
          </w:tcPr>
          <w:p w14:paraId="5699F047">
            <w:pPr>
              <w:pStyle w:val="167"/>
              <w:spacing w:before="58" w:line="202" w:lineRule="auto"/>
              <w:ind w:left="198"/>
              <w:rPr>
                <w:sz w:val="18"/>
                <w:szCs w:val="18"/>
              </w:rPr>
            </w:pPr>
            <w:r>
              <w:rPr>
                <w:spacing w:val="-2"/>
                <w:sz w:val="18"/>
                <w:szCs w:val="18"/>
              </w:rPr>
              <w:t>营业收入(Y)</w:t>
            </w:r>
          </w:p>
        </w:tc>
        <w:tc>
          <w:tcPr>
            <w:tcW w:w="709" w:type="dxa"/>
          </w:tcPr>
          <w:p w14:paraId="4E2D8A27">
            <w:pPr>
              <w:pStyle w:val="167"/>
              <w:spacing w:before="58" w:line="202" w:lineRule="auto"/>
              <w:ind w:left="182"/>
              <w:rPr>
                <w:sz w:val="18"/>
                <w:szCs w:val="18"/>
              </w:rPr>
            </w:pPr>
            <w:r>
              <w:rPr>
                <w:spacing w:val="-6"/>
                <w:sz w:val="18"/>
                <w:szCs w:val="18"/>
              </w:rPr>
              <w:t>万元</w:t>
            </w:r>
          </w:p>
        </w:tc>
        <w:tc>
          <w:tcPr>
            <w:tcW w:w="1124" w:type="dxa"/>
          </w:tcPr>
          <w:p w14:paraId="46D17212">
            <w:pPr>
              <w:pStyle w:val="167"/>
              <w:spacing w:before="58" w:line="202" w:lineRule="auto"/>
              <w:ind w:left="202"/>
              <w:rPr>
                <w:sz w:val="18"/>
                <w:szCs w:val="18"/>
              </w:rPr>
            </w:pPr>
            <w:r>
              <w:rPr>
                <w:spacing w:val="-1"/>
                <w:sz w:val="18"/>
                <w:szCs w:val="18"/>
              </w:rPr>
              <w:t>Y≥30000</w:t>
            </w:r>
          </w:p>
        </w:tc>
        <w:tc>
          <w:tcPr>
            <w:tcW w:w="1700" w:type="dxa"/>
          </w:tcPr>
          <w:p w14:paraId="4C7B5D96">
            <w:pPr>
              <w:pStyle w:val="167"/>
              <w:spacing w:before="58" w:line="202" w:lineRule="auto"/>
              <w:ind w:left="237"/>
              <w:rPr>
                <w:sz w:val="18"/>
                <w:szCs w:val="18"/>
              </w:rPr>
            </w:pPr>
            <w:r>
              <w:rPr>
                <w:spacing w:val="-2"/>
                <w:sz w:val="18"/>
                <w:szCs w:val="18"/>
              </w:rPr>
              <w:t>1000≤Y＜30000</w:t>
            </w:r>
          </w:p>
        </w:tc>
        <w:tc>
          <w:tcPr>
            <w:tcW w:w="1425" w:type="dxa"/>
          </w:tcPr>
          <w:p w14:paraId="7D640252">
            <w:pPr>
              <w:pStyle w:val="167"/>
              <w:spacing w:before="58" w:line="202" w:lineRule="auto"/>
              <w:ind w:left="191"/>
              <w:rPr>
                <w:sz w:val="18"/>
                <w:szCs w:val="18"/>
              </w:rPr>
            </w:pPr>
            <w:r>
              <w:rPr>
                <w:spacing w:val="-2"/>
                <w:sz w:val="18"/>
                <w:szCs w:val="18"/>
              </w:rPr>
              <w:t>100≤Y＜1000</w:t>
            </w:r>
          </w:p>
        </w:tc>
        <w:tc>
          <w:tcPr>
            <w:tcW w:w="996" w:type="dxa"/>
          </w:tcPr>
          <w:p w14:paraId="32A0D8A3">
            <w:pPr>
              <w:pStyle w:val="167"/>
              <w:spacing w:before="58" w:line="202" w:lineRule="auto"/>
              <w:ind w:left="230"/>
              <w:rPr>
                <w:sz w:val="18"/>
                <w:szCs w:val="18"/>
              </w:rPr>
            </w:pPr>
            <w:r>
              <w:rPr>
                <w:spacing w:val="-1"/>
                <w:sz w:val="18"/>
                <w:szCs w:val="18"/>
              </w:rPr>
              <w:t>Y＜100</w:t>
            </w:r>
          </w:p>
        </w:tc>
      </w:tr>
      <w:tr w14:paraId="69FD0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restart"/>
            <w:tcBorders>
              <w:bottom w:val="nil"/>
            </w:tcBorders>
          </w:tcPr>
          <w:p w14:paraId="4923779E">
            <w:pPr>
              <w:pStyle w:val="167"/>
              <w:spacing w:before="193" w:line="221" w:lineRule="auto"/>
              <w:ind w:left="129"/>
              <w:rPr>
                <w:sz w:val="18"/>
                <w:szCs w:val="18"/>
              </w:rPr>
            </w:pPr>
            <w:r>
              <w:rPr>
                <w:spacing w:val="-7"/>
                <w:sz w:val="18"/>
                <w:szCs w:val="18"/>
              </w:rPr>
              <w:t>邮政业</w:t>
            </w:r>
          </w:p>
        </w:tc>
        <w:tc>
          <w:tcPr>
            <w:tcW w:w="1368" w:type="dxa"/>
          </w:tcPr>
          <w:p w14:paraId="624269E0">
            <w:pPr>
              <w:pStyle w:val="167"/>
              <w:spacing w:before="57" w:line="203" w:lineRule="auto"/>
              <w:ind w:left="194"/>
              <w:rPr>
                <w:sz w:val="18"/>
                <w:szCs w:val="18"/>
              </w:rPr>
            </w:pPr>
            <w:r>
              <w:rPr>
                <w:spacing w:val="-2"/>
                <w:sz w:val="18"/>
                <w:szCs w:val="18"/>
              </w:rPr>
              <w:t>从业人员(X)</w:t>
            </w:r>
          </w:p>
        </w:tc>
        <w:tc>
          <w:tcPr>
            <w:tcW w:w="709" w:type="dxa"/>
          </w:tcPr>
          <w:p w14:paraId="65DB819B">
            <w:pPr>
              <w:pStyle w:val="167"/>
              <w:spacing w:before="57" w:line="203" w:lineRule="auto"/>
              <w:ind w:left="268"/>
              <w:rPr>
                <w:sz w:val="18"/>
                <w:szCs w:val="18"/>
              </w:rPr>
            </w:pPr>
            <w:r>
              <w:rPr>
                <w:sz w:val="18"/>
                <w:szCs w:val="18"/>
              </w:rPr>
              <w:t>人</w:t>
            </w:r>
          </w:p>
        </w:tc>
        <w:tc>
          <w:tcPr>
            <w:tcW w:w="1124" w:type="dxa"/>
          </w:tcPr>
          <w:p w14:paraId="11BE3B54">
            <w:pPr>
              <w:pStyle w:val="167"/>
              <w:spacing w:before="57" w:line="203" w:lineRule="auto"/>
              <w:ind w:left="249"/>
              <w:rPr>
                <w:sz w:val="18"/>
                <w:szCs w:val="18"/>
              </w:rPr>
            </w:pPr>
            <w:r>
              <w:rPr>
                <w:spacing w:val="-1"/>
                <w:sz w:val="18"/>
                <w:szCs w:val="18"/>
              </w:rPr>
              <w:t>X≥1000</w:t>
            </w:r>
          </w:p>
        </w:tc>
        <w:tc>
          <w:tcPr>
            <w:tcW w:w="1700" w:type="dxa"/>
          </w:tcPr>
          <w:p w14:paraId="2A4C36FC">
            <w:pPr>
              <w:pStyle w:val="167"/>
              <w:spacing w:before="57" w:line="203" w:lineRule="auto"/>
              <w:ind w:left="319"/>
              <w:rPr>
                <w:sz w:val="18"/>
                <w:szCs w:val="18"/>
              </w:rPr>
            </w:pPr>
            <w:r>
              <w:rPr>
                <w:spacing w:val="-1"/>
                <w:sz w:val="18"/>
                <w:szCs w:val="18"/>
              </w:rPr>
              <w:t>300≤X＜1000</w:t>
            </w:r>
          </w:p>
        </w:tc>
        <w:tc>
          <w:tcPr>
            <w:tcW w:w="1425" w:type="dxa"/>
          </w:tcPr>
          <w:p w14:paraId="577B25BE">
            <w:pPr>
              <w:pStyle w:val="167"/>
              <w:spacing w:before="57" w:line="203" w:lineRule="auto"/>
              <w:ind w:left="271"/>
              <w:rPr>
                <w:sz w:val="18"/>
                <w:szCs w:val="18"/>
              </w:rPr>
            </w:pPr>
            <w:r>
              <w:rPr>
                <w:spacing w:val="-2"/>
                <w:sz w:val="18"/>
                <w:szCs w:val="18"/>
              </w:rPr>
              <w:t>20≤X＜300</w:t>
            </w:r>
          </w:p>
        </w:tc>
        <w:tc>
          <w:tcPr>
            <w:tcW w:w="996" w:type="dxa"/>
          </w:tcPr>
          <w:p w14:paraId="31269598">
            <w:pPr>
              <w:pStyle w:val="167"/>
              <w:spacing w:before="57" w:line="203" w:lineRule="auto"/>
              <w:ind w:left="274"/>
              <w:rPr>
                <w:sz w:val="18"/>
                <w:szCs w:val="18"/>
              </w:rPr>
            </w:pPr>
            <w:r>
              <w:rPr>
                <w:spacing w:val="-1"/>
                <w:sz w:val="18"/>
                <w:szCs w:val="18"/>
              </w:rPr>
              <w:t>X＜20</w:t>
            </w:r>
          </w:p>
        </w:tc>
      </w:tr>
      <w:tr w14:paraId="369F2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continue"/>
            <w:tcBorders>
              <w:top w:val="nil"/>
            </w:tcBorders>
          </w:tcPr>
          <w:p w14:paraId="00260A2A">
            <w:pPr>
              <w:rPr>
                <w:rFonts w:ascii="Arial"/>
              </w:rPr>
            </w:pPr>
          </w:p>
        </w:tc>
        <w:tc>
          <w:tcPr>
            <w:tcW w:w="1368" w:type="dxa"/>
          </w:tcPr>
          <w:p w14:paraId="230BD9AD">
            <w:pPr>
              <w:pStyle w:val="167"/>
              <w:spacing w:before="58" w:line="202" w:lineRule="auto"/>
              <w:ind w:left="198"/>
              <w:rPr>
                <w:sz w:val="18"/>
                <w:szCs w:val="18"/>
              </w:rPr>
            </w:pPr>
            <w:r>
              <w:rPr>
                <w:spacing w:val="-2"/>
                <w:sz w:val="18"/>
                <w:szCs w:val="18"/>
              </w:rPr>
              <w:t>营业收入(Y)</w:t>
            </w:r>
          </w:p>
        </w:tc>
        <w:tc>
          <w:tcPr>
            <w:tcW w:w="709" w:type="dxa"/>
          </w:tcPr>
          <w:p w14:paraId="6B8DF5DE">
            <w:pPr>
              <w:pStyle w:val="167"/>
              <w:spacing w:before="58" w:line="202" w:lineRule="auto"/>
              <w:ind w:left="182"/>
              <w:rPr>
                <w:sz w:val="18"/>
                <w:szCs w:val="18"/>
              </w:rPr>
            </w:pPr>
            <w:r>
              <w:rPr>
                <w:spacing w:val="-6"/>
                <w:sz w:val="18"/>
                <w:szCs w:val="18"/>
              </w:rPr>
              <w:t>万元</w:t>
            </w:r>
          </w:p>
        </w:tc>
        <w:tc>
          <w:tcPr>
            <w:tcW w:w="1124" w:type="dxa"/>
          </w:tcPr>
          <w:p w14:paraId="5E2E614B">
            <w:pPr>
              <w:pStyle w:val="167"/>
              <w:spacing w:before="58" w:line="202" w:lineRule="auto"/>
              <w:ind w:left="202"/>
              <w:rPr>
                <w:sz w:val="18"/>
                <w:szCs w:val="18"/>
              </w:rPr>
            </w:pPr>
            <w:r>
              <w:rPr>
                <w:spacing w:val="-1"/>
                <w:sz w:val="18"/>
                <w:szCs w:val="18"/>
              </w:rPr>
              <w:t>Y≥30000</w:t>
            </w:r>
          </w:p>
        </w:tc>
        <w:tc>
          <w:tcPr>
            <w:tcW w:w="1700" w:type="dxa"/>
          </w:tcPr>
          <w:p w14:paraId="0A5211D5">
            <w:pPr>
              <w:pStyle w:val="167"/>
              <w:spacing w:before="58" w:line="202" w:lineRule="auto"/>
              <w:ind w:left="226"/>
              <w:rPr>
                <w:sz w:val="18"/>
                <w:szCs w:val="18"/>
              </w:rPr>
            </w:pPr>
            <w:r>
              <w:rPr>
                <w:spacing w:val="-1"/>
                <w:sz w:val="18"/>
                <w:szCs w:val="18"/>
              </w:rPr>
              <w:t>2000≤Y＜30000</w:t>
            </w:r>
          </w:p>
        </w:tc>
        <w:tc>
          <w:tcPr>
            <w:tcW w:w="1425" w:type="dxa"/>
          </w:tcPr>
          <w:p w14:paraId="6D6A7B7B">
            <w:pPr>
              <w:pStyle w:val="167"/>
              <w:spacing w:before="58" w:line="202" w:lineRule="auto"/>
              <w:ind w:left="191"/>
              <w:rPr>
                <w:sz w:val="18"/>
                <w:szCs w:val="18"/>
              </w:rPr>
            </w:pPr>
            <w:r>
              <w:rPr>
                <w:spacing w:val="-2"/>
                <w:sz w:val="18"/>
                <w:szCs w:val="18"/>
              </w:rPr>
              <w:t>100≤Y＜2000</w:t>
            </w:r>
          </w:p>
        </w:tc>
        <w:tc>
          <w:tcPr>
            <w:tcW w:w="996" w:type="dxa"/>
          </w:tcPr>
          <w:p w14:paraId="7BEE8392">
            <w:pPr>
              <w:pStyle w:val="167"/>
              <w:spacing w:before="58" w:line="202" w:lineRule="auto"/>
              <w:ind w:left="230"/>
              <w:rPr>
                <w:sz w:val="18"/>
                <w:szCs w:val="18"/>
              </w:rPr>
            </w:pPr>
            <w:r>
              <w:rPr>
                <w:spacing w:val="-1"/>
                <w:sz w:val="18"/>
                <w:szCs w:val="18"/>
              </w:rPr>
              <w:t>Y＜100</w:t>
            </w:r>
          </w:p>
        </w:tc>
      </w:tr>
      <w:tr w14:paraId="40A82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restart"/>
            <w:tcBorders>
              <w:bottom w:val="nil"/>
            </w:tcBorders>
          </w:tcPr>
          <w:p w14:paraId="0DAE00CB">
            <w:pPr>
              <w:pStyle w:val="167"/>
              <w:spacing w:before="194" w:line="219" w:lineRule="auto"/>
              <w:ind w:left="115"/>
              <w:rPr>
                <w:sz w:val="18"/>
                <w:szCs w:val="18"/>
              </w:rPr>
            </w:pPr>
            <w:r>
              <w:rPr>
                <w:spacing w:val="-3"/>
                <w:sz w:val="18"/>
                <w:szCs w:val="18"/>
              </w:rPr>
              <w:t>住宿业</w:t>
            </w:r>
          </w:p>
        </w:tc>
        <w:tc>
          <w:tcPr>
            <w:tcW w:w="1368" w:type="dxa"/>
          </w:tcPr>
          <w:p w14:paraId="43508805">
            <w:pPr>
              <w:pStyle w:val="167"/>
              <w:spacing w:before="57" w:line="203" w:lineRule="auto"/>
              <w:ind w:left="194"/>
              <w:rPr>
                <w:sz w:val="18"/>
                <w:szCs w:val="18"/>
              </w:rPr>
            </w:pPr>
            <w:r>
              <w:rPr>
                <w:spacing w:val="-2"/>
                <w:sz w:val="18"/>
                <w:szCs w:val="18"/>
              </w:rPr>
              <w:t>从业人员(X)</w:t>
            </w:r>
          </w:p>
        </w:tc>
        <w:tc>
          <w:tcPr>
            <w:tcW w:w="709" w:type="dxa"/>
          </w:tcPr>
          <w:p w14:paraId="2E8AB2B9">
            <w:pPr>
              <w:pStyle w:val="167"/>
              <w:spacing w:before="57" w:line="203" w:lineRule="auto"/>
              <w:ind w:left="268"/>
              <w:rPr>
                <w:sz w:val="18"/>
                <w:szCs w:val="18"/>
              </w:rPr>
            </w:pPr>
            <w:r>
              <w:rPr>
                <w:sz w:val="18"/>
                <w:szCs w:val="18"/>
              </w:rPr>
              <w:t>人</w:t>
            </w:r>
          </w:p>
        </w:tc>
        <w:tc>
          <w:tcPr>
            <w:tcW w:w="1124" w:type="dxa"/>
          </w:tcPr>
          <w:p w14:paraId="6159659D">
            <w:pPr>
              <w:pStyle w:val="167"/>
              <w:spacing w:before="57" w:line="203" w:lineRule="auto"/>
              <w:ind w:left="292"/>
              <w:rPr>
                <w:sz w:val="18"/>
                <w:szCs w:val="18"/>
              </w:rPr>
            </w:pPr>
            <w:r>
              <w:rPr>
                <w:spacing w:val="-1"/>
                <w:sz w:val="18"/>
                <w:szCs w:val="18"/>
              </w:rPr>
              <w:t>X≥300</w:t>
            </w:r>
          </w:p>
        </w:tc>
        <w:tc>
          <w:tcPr>
            <w:tcW w:w="1700" w:type="dxa"/>
          </w:tcPr>
          <w:p w14:paraId="1F1E19BA">
            <w:pPr>
              <w:pStyle w:val="167"/>
              <w:spacing w:before="57" w:line="203" w:lineRule="auto"/>
              <w:ind w:left="319"/>
              <w:rPr>
                <w:sz w:val="18"/>
                <w:szCs w:val="18"/>
              </w:rPr>
            </w:pPr>
            <w:r>
              <w:rPr>
                <w:spacing w:val="-3"/>
                <w:sz w:val="18"/>
                <w:szCs w:val="18"/>
              </w:rPr>
              <w:t>100≤X＜300</w:t>
            </w:r>
          </w:p>
        </w:tc>
        <w:tc>
          <w:tcPr>
            <w:tcW w:w="1425" w:type="dxa"/>
          </w:tcPr>
          <w:p w14:paraId="2211E4D1">
            <w:pPr>
              <w:pStyle w:val="167"/>
              <w:spacing w:before="57" w:line="203" w:lineRule="auto"/>
              <w:ind w:left="282"/>
              <w:rPr>
                <w:sz w:val="18"/>
                <w:szCs w:val="18"/>
              </w:rPr>
            </w:pPr>
            <w:r>
              <w:rPr>
                <w:spacing w:val="-3"/>
                <w:sz w:val="18"/>
                <w:szCs w:val="18"/>
              </w:rPr>
              <w:t>10≤X＜100</w:t>
            </w:r>
          </w:p>
        </w:tc>
        <w:tc>
          <w:tcPr>
            <w:tcW w:w="996" w:type="dxa"/>
          </w:tcPr>
          <w:p w14:paraId="237248E8">
            <w:pPr>
              <w:pStyle w:val="167"/>
              <w:spacing w:before="57" w:line="203" w:lineRule="auto"/>
              <w:ind w:left="274"/>
              <w:rPr>
                <w:sz w:val="18"/>
                <w:szCs w:val="18"/>
              </w:rPr>
            </w:pPr>
            <w:r>
              <w:rPr>
                <w:spacing w:val="-1"/>
                <w:sz w:val="18"/>
                <w:szCs w:val="18"/>
              </w:rPr>
              <w:t>X＜10</w:t>
            </w:r>
          </w:p>
        </w:tc>
      </w:tr>
      <w:tr w14:paraId="38E2B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continue"/>
            <w:tcBorders>
              <w:top w:val="nil"/>
            </w:tcBorders>
          </w:tcPr>
          <w:p w14:paraId="2C8F9B8A">
            <w:pPr>
              <w:rPr>
                <w:rFonts w:ascii="Arial"/>
              </w:rPr>
            </w:pPr>
          </w:p>
        </w:tc>
        <w:tc>
          <w:tcPr>
            <w:tcW w:w="1368" w:type="dxa"/>
          </w:tcPr>
          <w:p w14:paraId="1264C5CC">
            <w:pPr>
              <w:pStyle w:val="167"/>
              <w:spacing w:before="58" w:line="202" w:lineRule="auto"/>
              <w:ind w:left="198"/>
              <w:rPr>
                <w:sz w:val="18"/>
                <w:szCs w:val="18"/>
              </w:rPr>
            </w:pPr>
            <w:r>
              <w:rPr>
                <w:spacing w:val="-2"/>
                <w:sz w:val="18"/>
                <w:szCs w:val="18"/>
              </w:rPr>
              <w:t>营业收入(Y)</w:t>
            </w:r>
          </w:p>
        </w:tc>
        <w:tc>
          <w:tcPr>
            <w:tcW w:w="709" w:type="dxa"/>
          </w:tcPr>
          <w:p w14:paraId="797CC2BD">
            <w:pPr>
              <w:pStyle w:val="167"/>
              <w:spacing w:before="58" w:line="202" w:lineRule="auto"/>
              <w:ind w:left="182"/>
              <w:rPr>
                <w:sz w:val="18"/>
                <w:szCs w:val="18"/>
              </w:rPr>
            </w:pPr>
            <w:r>
              <w:rPr>
                <w:spacing w:val="-6"/>
                <w:sz w:val="18"/>
                <w:szCs w:val="18"/>
              </w:rPr>
              <w:t>万元</w:t>
            </w:r>
          </w:p>
        </w:tc>
        <w:tc>
          <w:tcPr>
            <w:tcW w:w="1124" w:type="dxa"/>
          </w:tcPr>
          <w:p w14:paraId="17E9FA2A">
            <w:pPr>
              <w:pStyle w:val="167"/>
              <w:spacing w:before="58" w:line="202" w:lineRule="auto"/>
              <w:ind w:left="202"/>
              <w:rPr>
                <w:sz w:val="18"/>
                <w:szCs w:val="18"/>
              </w:rPr>
            </w:pPr>
            <w:r>
              <w:rPr>
                <w:spacing w:val="-1"/>
                <w:sz w:val="18"/>
                <w:szCs w:val="18"/>
              </w:rPr>
              <w:t>Y≥10000</w:t>
            </w:r>
          </w:p>
        </w:tc>
        <w:tc>
          <w:tcPr>
            <w:tcW w:w="1700" w:type="dxa"/>
          </w:tcPr>
          <w:p w14:paraId="6F949C8F">
            <w:pPr>
              <w:pStyle w:val="167"/>
              <w:spacing w:before="58" w:line="202" w:lineRule="auto"/>
              <w:ind w:left="226"/>
              <w:rPr>
                <w:sz w:val="18"/>
                <w:szCs w:val="18"/>
              </w:rPr>
            </w:pPr>
            <w:r>
              <w:rPr>
                <w:spacing w:val="-1"/>
                <w:sz w:val="18"/>
                <w:szCs w:val="18"/>
              </w:rPr>
              <w:t>2000≤Y＜10000</w:t>
            </w:r>
          </w:p>
        </w:tc>
        <w:tc>
          <w:tcPr>
            <w:tcW w:w="1425" w:type="dxa"/>
          </w:tcPr>
          <w:p w14:paraId="75A53C88">
            <w:pPr>
              <w:pStyle w:val="167"/>
              <w:spacing w:before="58" w:line="202" w:lineRule="auto"/>
              <w:ind w:left="191"/>
              <w:rPr>
                <w:sz w:val="18"/>
                <w:szCs w:val="18"/>
              </w:rPr>
            </w:pPr>
            <w:r>
              <w:rPr>
                <w:spacing w:val="-2"/>
                <w:sz w:val="18"/>
                <w:szCs w:val="18"/>
              </w:rPr>
              <w:t>100≤Y＜2000</w:t>
            </w:r>
          </w:p>
        </w:tc>
        <w:tc>
          <w:tcPr>
            <w:tcW w:w="996" w:type="dxa"/>
          </w:tcPr>
          <w:p w14:paraId="3E142610">
            <w:pPr>
              <w:pStyle w:val="167"/>
              <w:spacing w:before="58" w:line="202" w:lineRule="auto"/>
              <w:ind w:left="230"/>
              <w:rPr>
                <w:sz w:val="18"/>
                <w:szCs w:val="18"/>
              </w:rPr>
            </w:pPr>
            <w:r>
              <w:rPr>
                <w:spacing w:val="-1"/>
                <w:sz w:val="18"/>
                <w:szCs w:val="18"/>
              </w:rPr>
              <w:t>Y＜100</w:t>
            </w:r>
          </w:p>
        </w:tc>
      </w:tr>
      <w:tr w14:paraId="333CA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restart"/>
            <w:tcBorders>
              <w:bottom w:val="nil"/>
            </w:tcBorders>
          </w:tcPr>
          <w:p w14:paraId="43996904">
            <w:pPr>
              <w:pStyle w:val="167"/>
              <w:spacing w:before="194" w:line="219" w:lineRule="auto"/>
              <w:ind w:left="117"/>
              <w:rPr>
                <w:sz w:val="18"/>
                <w:szCs w:val="18"/>
              </w:rPr>
            </w:pPr>
            <w:r>
              <w:rPr>
                <w:spacing w:val="-3"/>
                <w:sz w:val="18"/>
                <w:szCs w:val="18"/>
              </w:rPr>
              <w:t>餐饮业</w:t>
            </w:r>
          </w:p>
        </w:tc>
        <w:tc>
          <w:tcPr>
            <w:tcW w:w="1368" w:type="dxa"/>
          </w:tcPr>
          <w:p w14:paraId="0EA866A1">
            <w:pPr>
              <w:pStyle w:val="167"/>
              <w:spacing w:before="57" w:line="203" w:lineRule="auto"/>
              <w:ind w:left="194"/>
              <w:rPr>
                <w:sz w:val="18"/>
                <w:szCs w:val="18"/>
              </w:rPr>
            </w:pPr>
            <w:r>
              <w:rPr>
                <w:spacing w:val="-2"/>
                <w:sz w:val="18"/>
                <w:szCs w:val="18"/>
              </w:rPr>
              <w:t>从业人员(X)</w:t>
            </w:r>
          </w:p>
        </w:tc>
        <w:tc>
          <w:tcPr>
            <w:tcW w:w="709" w:type="dxa"/>
          </w:tcPr>
          <w:p w14:paraId="27CF1E50">
            <w:pPr>
              <w:pStyle w:val="167"/>
              <w:spacing w:before="57" w:line="203" w:lineRule="auto"/>
              <w:ind w:left="268"/>
              <w:rPr>
                <w:sz w:val="18"/>
                <w:szCs w:val="18"/>
              </w:rPr>
            </w:pPr>
            <w:r>
              <w:rPr>
                <w:sz w:val="18"/>
                <w:szCs w:val="18"/>
              </w:rPr>
              <w:t>人</w:t>
            </w:r>
          </w:p>
        </w:tc>
        <w:tc>
          <w:tcPr>
            <w:tcW w:w="1124" w:type="dxa"/>
          </w:tcPr>
          <w:p w14:paraId="1E697F56">
            <w:pPr>
              <w:pStyle w:val="167"/>
              <w:spacing w:before="57" w:line="203" w:lineRule="auto"/>
              <w:ind w:left="292"/>
              <w:rPr>
                <w:sz w:val="18"/>
                <w:szCs w:val="18"/>
              </w:rPr>
            </w:pPr>
            <w:r>
              <w:rPr>
                <w:spacing w:val="-1"/>
                <w:sz w:val="18"/>
                <w:szCs w:val="18"/>
              </w:rPr>
              <w:t>X≥300</w:t>
            </w:r>
          </w:p>
        </w:tc>
        <w:tc>
          <w:tcPr>
            <w:tcW w:w="1700" w:type="dxa"/>
          </w:tcPr>
          <w:p w14:paraId="7EA02626">
            <w:pPr>
              <w:pStyle w:val="167"/>
              <w:spacing w:before="57" w:line="203" w:lineRule="auto"/>
              <w:ind w:left="319"/>
              <w:rPr>
                <w:sz w:val="18"/>
                <w:szCs w:val="18"/>
              </w:rPr>
            </w:pPr>
            <w:r>
              <w:rPr>
                <w:spacing w:val="-3"/>
                <w:sz w:val="18"/>
                <w:szCs w:val="18"/>
              </w:rPr>
              <w:t>100≤X＜300</w:t>
            </w:r>
          </w:p>
        </w:tc>
        <w:tc>
          <w:tcPr>
            <w:tcW w:w="1425" w:type="dxa"/>
          </w:tcPr>
          <w:p w14:paraId="0F751F02">
            <w:pPr>
              <w:pStyle w:val="167"/>
              <w:spacing w:before="57" w:line="203" w:lineRule="auto"/>
              <w:ind w:left="282"/>
              <w:rPr>
                <w:sz w:val="18"/>
                <w:szCs w:val="18"/>
              </w:rPr>
            </w:pPr>
            <w:r>
              <w:rPr>
                <w:spacing w:val="-3"/>
                <w:sz w:val="18"/>
                <w:szCs w:val="18"/>
              </w:rPr>
              <w:t>10≤X＜100</w:t>
            </w:r>
          </w:p>
        </w:tc>
        <w:tc>
          <w:tcPr>
            <w:tcW w:w="996" w:type="dxa"/>
          </w:tcPr>
          <w:p w14:paraId="68C56137">
            <w:pPr>
              <w:pStyle w:val="167"/>
              <w:spacing w:before="57" w:line="203" w:lineRule="auto"/>
              <w:ind w:left="274"/>
              <w:rPr>
                <w:sz w:val="18"/>
                <w:szCs w:val="18"/>
              </w:rPr>
            </w:pPr>
            <w:r>
              <w:rPr>
                <w:spacing w:val="-1"/>
                <w:sz w:val="18"/>
                <w:szCs w:val="18"/>
              </w:rPr>
              <w:t>X＜10</w:t>
            </w:r>
          </w:p>
        </w:tc>
      </w:tr>
      <w:tr w14:paraId="2CC9F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continue"/>
            <w:tcBorders>
              <w:top w:val="nil"/>
            </w:tcBorders>
          </w:tcPr>
          <w:p w14:paraId="4273E2E4">
            <w:pPr>
              <w:rPr>
                <w:rFonts w:ascii="Arial"/>
              </w:rPr>
            </w:pPr>
          </w:p>
        </w:tc>
        <w:tc>
          <w:tcPr>
            <w:tcW w:w="1368" w:type="dxa"/>
          </w:tcPr>
          <w:p w14:paraId="0E6363FB">
            <w:pPr>
              <w:pStyle w:val="167"/>
              <w:spacing w:before="58" w:line="202" w:lineRule="auto"/>
              <w:ind w:left="198"/>
              <w:rPr>
                <w:sz w:val="18"/>
                <w:szCs w:val="18"/>
              </w:rPr>
            </w:pPr>
            <w:r>
              <w:rPr>
                <w:spacing w:val="-2"/>
                <w:sz w:val="18"/>
                <w:szCs w:val="18"/>
              </w:rPr>
              <w:t>营业收入(Y)</w:t>
            </w:r>
          </w:p>
        </w:tc>
        <w:tc>
          <w:tcPr>
            <w:tcW w:w="709" w:type="dxa"/>
          </w:tcPr>
          <w:p w14:paraId="68032184">
            <w:pPr>
              <w:pStyle w:val="167"/>
              <w:spacing w:before="58" w:line="202" w:lineRule="auto"/>
              <w:ind w:left="182"/>
              <w:rPr>
                <w:sz w:val="18"/>
                <w:szCs w:val="18"/>
              </w:rPr>
            </w:pPr>
            <w:r>
              <w:rPr>
                <w:spacing w:val="-6"/>
                <w:sz w:val="18"/>
                <w:szCs w:val="18"/>
              </w:rPr>
              <w:t>万元</w:t>
            </w:r>
          </w:p>
        </w:tc>
        <w:tc>
          <w:tcPr>
            <w:tcW w:w="1124" w:type="dxa"/>
          </w:tcPr>
          <w:p w14:paraId="0AC150A9">
            <w:pPr>
              <w:pStyle w:val="167"/>
              <w:spacing w:before="58" w:line="202" w:lineRule="auto"/>
              <w:ind w:left="202"/>
              <w:rPr>
                <w:sz w:val="18"/>
                <w:szCs w:val="18"/>
              </w:rPr>
            </w:pPr>
            <w:r>
              <w:rPr>
                <w:spacing w:val="-1"/>
                <w:sz w:val="18"/>
                <w:szCs w:val="18"/>
              </w:rPr>
              <w:t>Y≥10000</w:t>
            </w:r>
          </w:p>
        </w:tc>
        <w:tc>
          <w:tcPr>
            <w:tcW w:w="1700" w:type="dxa"/>
          </w:tcPr>
          <w:p w14:paraId="6CAF1D98">
            <w:pPr>
              <w:pStyle w:val="167"/>
              <w:spacing w:before="58" w:line="202" w:lineRule="auto"/>
              <w:ind w:left="226"/>
              <w:rPr>
                <w:sz w:val="18"/>
                <w:szCs w:val="18"/>
              </w:rPr>
            </w:pPr>
            <w:r>
              <w:rPr>
                <w:spacing w:val="-1"/>
                <w:sz w:val="18"/>
                <w:szCs w:val="18"/>
              </w:rPr>
              <w:t>2000≤Y＜10000</w:t>
            </w:r>
          </w:p>
        </w:tc>
        <w:tc>
          <w:tcPr>
            <w:tcW w:w="1425" w:type="dxa"/>
          </w:tcPr>
          <w:p w14:paraId="1ADBAB4D">
            <w:pPr>
              <w:pStyle w:val="167"/>
              <w:spacing w:before="58" w:line="202" w:lineRule="auto"/>
              <w:ind w:left="191"/>
              <w:rPr>
                <w:sz w:val="18"/>
                <w:szCs w:val="18"/>
              </w:rPr>
            </w:pPr>
            <w:r>
              <w:rPr>
                <w:spacing w:val="-2"/>
                <w:sz w:val="18"/>
                <w:szCs w:val="18"/>
              </w:rPr>
              <w:t>100≤Y＜2000</w:t>
            </w:r>
          </w:p>
        </w:tc>
        <w:tc>
          <w:tcPr>
            <w:tcW w:w="996" w:type="dxa"/>
          </w:tcPr>
          <w:p w14:paraId="690E5838">
            <w:pPr>
              <w:pStyle w:val="167"/>
              <w:spacing w:before="58" w:line="202" w:lineRule="auto"/>
              <w:ind w:left="230"/>
              <w:rPr>
                <w:sz w:val="18"/>
                <w:szCs w:val="18"/>
              </w:rPr>
            </w:pPr>
            <w:r>
              <w:rPr>
                <w:spacing w:val="-1"/>
                <w:sz w:val="18"/>
                <w:szCs w:val="18"/>
              </w:rPr>
              <w:t>Y＜100</w:t>
            </w:r>
          </w:p>
        </w:tc>
      </w:tr>
      <w:tr w14:paraId="4F634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restart"/>
            <w:tcBorders>
              <w:bottom w:val="nil"/>
            </w:tcBorders>
          </w:tcPr>
          <w:p w14:paraId="4DE85CB3">
            <w:pPr>
              <w:pStyle w:val="167"/>
              <w:spacing w:before="193" w:line="219" w:lineRule="auto"/>
              <w:ind w:left="115"/>
              <w:rPr>
                <w:rFonts w:ascii="Times New Roman" w:hAnsi="Times New Roman" w:eastAsia="Times New Roman" w:cs="Times New Roman"/>
                <w:sz w:val="18"/>
                <w:szCs w:val="18"/>
              </w:rPr>
            </w:pPr>
            <w:r>
              <w:rPr>
                <w:spacing w:val="-2"/>
                <w:sz w:val="18"/>
                <w:szCs w:val="18"/>
              </w:rPr>
              <w:t>信息传输业</w:t>
            </w:r>
            <w:r>
              <w:rPr>
                <w:spacing w:val="15"/>
                <w:sz w:val="18"/>
                <w:szCs w:val="18"/>
              </w:rPr>
              <w:t xml:space="preserve"> </w:t>
            </w:r>
            <w:r>
              <w:rPr>
                <w:rFonts w:ascii="Times New Roman" w:hAnsi="Times New Roman" w:eastAsia="Times New Roman" w:cs="Times New Roman"/>
                <w:spacing w:val="-2"/>
                <w:sz w:val="18"/>
                <w:szCs w:val="18"/>
              </w:rPr>
              <w:t>*</w:t>
            </w:r>
          </w:p>
        </w:tc>
        <w:tc>
          <w:tcPr>
            <w:tcW w:w="1368" w:type="dxa"/>
          </w:tcPr>
          <w:p w14:paraId="2DBC286D">
            <w:pPr>
              <w:pStyle w:val="167"/>
              <w:spacing w:before="57" w:line="203" w:lineRule="auto"/>
              <w:ind w:left="194"/>
              <w:rPr>
                <w:sz w:val="18"/>
                <w:szCs w:val="18"/>
              </w:rPr>
            </w:pPr>
            <w:r>
              <w:rPr>
                <w:spacing w:val="-2"/>
                <w:sz w:val="18"/>
                <w:szCs w:val="18"/>
              </w:rPr>
              <w:t>从业人员(X)</w:t>
            </w:r>
          </w:p>
        </w:tc>
        <w:tc>
          <w:tcPr>
            <w:tcW w:w="709" w:type="dxa"/>
          </w:tcPr>
          <w:p w14:paraId="4E2BA818">
            <w:pPr>
              <w:pStyle w:val="167"/>
              <w:spacing w:before="57" w:line="203" w:lineRule="auto"/>
              <w:ind w:left="268"/>
              <w:rPr>
                <w:sz w:val="18"/>
                <w:szCs w:val="18"/>
              </w:rPr>
            </w:pPr>
            <w:r>
              <w:rPr>
                <w:sz w:val="18"/>
                <w:szCs w:val="18"/>
              </w:rPr>
              <w:t>人</w:t>
            </w:r>
          </w:p>
        </w:tc>
        <w:tc>
          <w:tcPr>
            <w:tcW w:w="1124" w:type="dxa"/>
          </w:tcPr>
          <w:p w14:paraId="1939EED8">
            <w:pPr>
              <w:pStyle w:val="167"/>
              <w:spacing w:before="57" w:line="203" w:lineRule="auto"/>
              <w:ind w:left="249"/>
              <w:rPr>
                <w:sz w:val="18"/>
                <w:szCs w:val="18"/>
              </w:rPr>
            </w:pPr>
            <w:r>
              <w:rPr>
                <w:spacing w:val="-1"/>
                <w:sz w:val="18"/>
                <w:szCs w:val="18"/>
              </w:rPr>
              <w:t>X≥2000</w:t>
            </w:r>
          </w:p>
        </w:tc>
        <w:tc>
          <w:tcPr>
            <w:tcW w:w="1700" w:type="dxa"/>
          </w:tcPr>
          <w:p w14:paraId="4A65BF60">
            <w:pPr>
              <w:pStyle w:val="167"/>
              <w:spacing w:before="57" w:line="203" w:lineRule="auto"/>
              <w:ind w:left="328"/>
              <w:rPr>
                <w:sz w:val="18"/>
                <w:szCs w:val="18"/>
              </w:rPr>
            </w:pPr>
            <w:r>
              <w:rPr>
                <w:spacing w:val="-2"/>
                <w:sz w:val="18"/>
                <w:szCs w:val="18"/>
              </w:rPr>
              <w:t>100≤X＜2000</w:t>
            </w:r>
          </w:p>
        </w:tc>
        <w:tc>
          <w:tcPr>
            <w:tcW w:w="1425" w:type="dxa"/>
          </w:tcPr>
          <w:p w14:paraId="4A5809B3">
            <w:pPr>
              <w:pStyle w:val="167"/>
              <w:spacing w:before="57" w:line="203" w:lineRule="auto"/>
              <w:ind w:left="282"/>
              <w:rPr>
                <w:sz w:val="18"/>
                <w:szCs w:val="18"/>
              </w:rPr>
            </w:pPr>
            <w:r>
              <w:rPr>
                <w:spacing w:val="-3"/>
                <w:sz w:val="18"/>
                <w:szCs w:val="18"/>
              </w:rPr>
              <w:t>10≤X＜100</w:t>
            </w:r>
          </w:p>
        </w:tc>
        <w:tc>
          <w:tcPr>
            <w:tcW w:w="996" w:type="dxa"/>
          </w:tcPr>
          <w:p w14:paraId="52D8CC91">
            <w:pPr>
              <w:pStyle w:val="167"/>
              <w:spacing w:before="57" w:line="203" w:lineRule="auto"/>
              <w:ind w:left="274"/>
              <w:rPr>
                <w:sz w:val="18"/>
                <w:szCs w:val="18"/>
              </w:rPr>
            </w:pPr>
            <w:r>
              <w:rPr>
                <w:spacing w:val="-1"/>
                <w:sz w:val="18"/>
                <w:szCs w:val="18"/>
              </w:rPr>
              <w:t>X＜10</w:t>
            </w:r>
          </w:p>
        </w:tc>
      </w:tr>
      <w:tr w14:paraId="3F885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continue"/>
            <w:tcBorders>
              <w:top w:val="nil"/>
            </w:tcBorders>
          </w:tcPr>
          <w:p w14:paraId="0EDAC9DC">
            <w:pPr>
              <w:rPr>
                <w:rFonts w:ascii="Arial"/>
              </w:rPr>
            </w:pPr>
          </w:p>
        </w:tc>
        <w:tc>
          <w:tcPr>
            <w:tcW w:w="1368" w:type="dxa"/>
          </w:tcPr>
          <w:p w14:paraId="10A20EB7">
            <w:pPr>
              <w:pStyle w:val="167"/>
              <w:spacing w:before="58" w:line="202" w:lineRule="auto"/>
              <w:ind w:left="198"/>
              <w:rPr>
                <w:sz w:val="18"/>
                <w:szCs w:val="18"/>
              </w:rPr>
            </w:pPr>
            <w:r>
              <w:rPr>
                <w:spacing w:val="-2"/>
                <w:sz w:val="18"/>
                <w:szCs w:val="18"/>
              </w:rPr>
              <w:t>营业收入(Y)</w:t>
            </w:r>
          </w:p>
        </w:tc>
        <w:tc>
          <w:tcPr>
            <w:tcW w:w="709" w:type="dxa"/>
          </w:tcPr>
          <w:p w14:paraId="22167B61">
            <w:pPr>
              <w:pStyle w:val="167"/>
              <w:spacing w:before="58" w:line="202" w:lineRule="auto"/>
              <w:ind w:left="182"/>
              <w:rPr>
                <w:sz w:val="18"/>
                <w:szCs w:val="18"/>
              </w:rPr>
            </w:pPr>
            <w:r>
              <w:rPr>
                <w:spacing w:val="-6"/>
                <w:sz w:val="18"/>
                <w:szCs w:val="18"/>
              </w:rPr>
              <w:t>万元</w:t>
            </w:r>
          </w:p>
        </w:tc>
        <w:tc>
          <w:tcPr>
            <w:tcW w:w="1124" w:type="dxa"/>
          </w:tcPr>
          <w:p w14:paraId="6AB5341C">
            <w:pPr>
              <w:pStyle w:val="167"/>
              <w:spacing w:before="58" w:line="202" w:lineRule="auto"/>
              <w:ind w:left="157"/>
              <w:rPr>
                <w:sz w:val="18"/>
                <w:szCs w:val="18"/>
              </w:rPr>
            </w:pPr>
            <w:r>
              <w:rPr>
                <w:spacing w:val="-1"/>
                <w:sz w:val="18"/>
                <w:szCs w:val="18"/>
              </w:rPr>
              <w:t>Y≥100000</w:t>
            </w:r>
          </w:p>
        </w:tc>
        <w:tc>
          <w:tcPr>
            <w:tcW w:w="1700" w:type="dxa"/>
          </w:tcPr>
          <w:p w14:paraId="1CC20079">
            <w:pPr>
              <w:pStyle w:val="167"/>
              <w:spacing w:before="58" w:line="202" w:lineRule="auto"/>
              <w:ind w:left="191"/>
              <w:rPr>
                <w:sz w:val="18"/>
                <w:szCs w:val="18"/>
              </w:rPr>
            </w:pPr>
            <w:r>
              <w:rPr>
                <w:spacing w:val="-2"/>
                <w:sz w:val="18"/>
                <w:szCs w:val="18"/>
              </w:rPr>
              <w:t>1000≤Y＜100000</w:t>
            </w:r>
          </w:p>
        </w:tc>
        <w:tc>
          <w:tcPr>
            <w:tcW w:w="1425" w:type="dxa"/>
          </w:tcPr>
          <w:p w14:paraId="6739882E">
            <w:pPr>
              <w:pStyle w:val="167"/>
              <w:spacing w:before="58" w:line="202" w:lineRule="auto"/>
              <w:ind w:left="191"/>
              <w:rPr>
                <w:sz w:val="18"/>
                <w:szCs w:val="18"/>
              </w:rPr>
            </w:pPr>
            <w:r>
              <w:rPr>
                <w:spacing w:val="-2"/>
                <w:sz w:val="18"/>
                <w:szCs w:val="18"/>
              </w:rPr>
              <w:t>100≤Y＜1000</w:t>
            </w:r>
          </w:p>
        </w:tc>
        <w:tc>
          <w:tcPr>
            <w:tcW w:w="996" w:type="dxa"/>
          </w:tcPr>
          <w:p w14:paraId="02D89254">
            <w:pPr>
              <w:pStyle w:val="167"/>
              <w:spacing w:before="58" w:line="202" w:lineRule="auto"/>
              <w:ind w:left="230"/>
              <w:rPr>
                <w:sz w:val="18"/>
                <w:szCs w:val="18"/>
              </w:rPr>
            </w:pPr>
            <w:r>
              <w:rPr>
                <w:spacing w:val="-1"/>
                <w:sz w:val="18"/>
                <w:szCs w:val="18"/>
              </w:rPr>
              <w:t>Y＜100</w:t>
            </w:r>
          </w:p>
        </w:tc>
      </w:tr>
      <w:tr w14:paraId="3CAFA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restart"/>
            <w:tcBorders>
              <w:bottom w:val="nil"/>
            </w:tcBorders>
          </w:tcPr>
          <w:p w14:paraId="5698836E">
            <w:pPr>
              <w:pStyle w:val="167"/>
              <w:spacing w:before="194" w:line="219" w:lineRule="auto"/>
              <w:ind w:left="117"/>
              <w:rPr>
                <w:sz w:val="18"/>
                <w:szCs w:val="18"/>
              </w:rPr>
            </w:pPr>
            <w:r>
              <w:rPr>
                <w:spacing w:val="-1"/>
                <w:sz w:val="18"/>
                <w:szCs w:val="18"/>
              </w:rPr>
              <w:t>软件和信息技术服务业</w:t>
            </w:r>
          </w:p>
        </w:tc>
        <w:tc>
          <w:tcPr>
            <w:tcW w:w="1368" w:type="dxa"/>
          </w:tcPr>
          <w:p w14:paraId="38E5ACCA">
            <w:pPr>
              <w:pStyle w:val="167"/>
              <w:spacing w:before="57" w:line="203" w:lineRule="auto"/>
              <w:ind w:left="194"/>
              <w:rPr>
                <w:sz w:val="18"/>
                <w:szCs w:val="18"/>
              </w:rPr>
            </w:pPr>
            <w:r>
              <w:rPr>
                <w:spacing w:val="-2"/>
                <w:sz w:val="18"/>
                <w:szCs w:val="18"/>
              </w:rPr>
              <w:t>从业人员(X)</w:t>
            </w:r>
          </w:p>
        </w:tc>
        <w:tc>
          <w:tcPr>
            <w:tcW w:w="709" w:type="dxa"/>
          </w:tcPr>
          <w:p w14:paraId="7827685A">
            <w:pPr>
              <w:pStyle w:val="167"/>
              <w:spacing w:before="57" w:line="203" w:lineRule="auto"/>
              <w:ind w:left="268"/>
              <w:rPr>
                <w:sz w:val="18"/>
                <w:szCs w:val="18"/>
              </w:rPr>
            </w:pPr>
            <w:r>
              <w:rPr>
                <w:sz w:val="18"/>
                <w:szCs w:val="18"/>
              </w:rPr>
              <w:t>人</w:t>
            </w:r>
          </w:p>
        </w:tc>
        <w:tc>
          <w:tcPr>
            <w:tcW w:w="1124" w:type="dxa"/>
          </w:tcPr>
          <w:p w14:paraId="04499F72">
            <w:pPr>
              <w:pStyle w:val="167"/>
              <w:spacing w:before="57" w:line="203" w:lineRule="auto"/>
              <w:ind w:left="292"/>
              <w:rPr>
                <w:sz w:val="18"/>
                <w:szCs w:val="18"/>
              </w:rPr>
            </w:pPr>
            <w:r>
              <w:rPr>
                <w:spacing w:val="-1"/>
                <w:sz w:val="18"/>
                <w:szCs w:val="18"/>
              </w:rPr>
              <w:t>X≥300</w:t>
            </w:r>
          </w:p>
        </w:tc>
        <w:tc>
          <w:tcPr>
            <w:tcW w:w="1700" w:type="dxa"/>
          </w:tcPr>
          <w:p w14:paraId="547E139C">
            <w:pPr>
              <w:pStyle w:val="167"/>
              <w:spacing w:before="57" w:line="203" w:lineRule="auto"/>
              <w:ind w:left="319"/>
              <w:rPr>
                <w:sz w:val="18"/>
                <w:szCs w:val="18"/>
              </w:rPr>
            </w:pPr>
            <w:r>
              <w:rPr>
                <w:spacing w:val="-3"/>
                <w:sz w:val="18"/>
                <w:szCs w:val="18"/>
              </w:rPr>
              <w:t>100≤X＜300</w:t>
            </w:r>
          </w:p>
        </w:tc>
        <w:tc>
          <w:tcPr>
            <w:tcW w:w="1425" w:type="dxa"/>
          </w:tcPr>
          <w:p w14:paraId="55491C68">
            <w:pPr>
              <w:pStyle w:val="167"/>
              <w:spacing w:before="57" w:line="203" w:lineRule="auto"/>
              <w:ind w:left="282"/>
              <w:rPr>
                <w:sz w:val="18"/>
                <w:szCs w:val="18"/>
              </w:rPr>
            </w:pPr>
            <w:r>
              <w:rPr>
                <w:spacing w:val="-3"/>
                <w:sz w:val="18"/>
                <w:szCs w:val="18"/>
              </w:rPr>
              <w:t>10≤X＜100</w:t>
            </w:r>
          </w:p>
        </w:tc>
        <w:tc>
          <w:tcPr>
            <w:tcW w:w="996" w:type="dxa"/>
          </w:tcPr>
          <w:p w14:paraId="14032D15">
            <w:pPr>
              <w:pStyle w:val="167"/>
              <w:spacing w:before="57" w:line="203" w:lineRule="auto"/>
              <w:ind w:left="274"/>
              <w:rPr>
                <w:sz w:val="18"/>
                <w:szCs w:val="18"/>
              </w:rPr>
            </w:pPr>
            <w:r>
              <w:rPr>
                <w:spacing w:val="-1"/>
                <w:sz w:val="18"/>
                <w:szCs w:val="18"/>
              </w:rPr>
              <w:t>X＜10</w:t>
            </w:r>
          </w:p>
        </w:tc>
      </w:tr>
      <w:tr w14:paraId="7ADA9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continue"/>
            <w:tcBorders>
              <w:top w:val="nil"/>
            </w:tcBorders>
          </w:tcPr>
          <w:p w14:paraId="74934B4A">
            <w:pPr>
              <w:rPr>
                <w:rFonts w:ascii="Arial"/>
              </w:rPr>
            </w:pPr>
          </w:p>
        </w:tc>
        <w:tc>
          <w:tcPr>
            <w:tcW w:w="1368" w:type="dxa"/>
          </w:tcPr>
          <w:p w14:paraId="146F85D6">
            <w:pPr>
              <w:pStyle w:val="167"/>
              <w:spacing w:before="58" w:line="202" w:lineRule="auto"/>
              <w:ind w:left="198"/>
              <w:rPr>
                <w:sz w:val="18"/>
                <w:szCs w:val="18"/>
              </w:rPr>
            </w:pPr>
            <w:r>
              <w:rPr>
                <w:spacing w:val="-2"/>
                <w:sz w:val="18"/>
                <w:szCs w:val="18"/>
              </w:rPr>
              <w:t>营业收入(Y)</w:t>
            </w:r>
          </w:p>
        </w:tc>
        <w:tc>
          <w:tcPr>
            <w:tcW w:w="709" w:type="dxa"/>
          </w:tcPr>
          <w:p w14:paraId="7AF922E2">
            <w:pPr>
              <w:pStyle w:val="167"/>
              <w:spacing w:before="58" w:line="202" w:lineRule="auto"/>
              <w:ind w:left="182"/>
              <w:rPr>
                <w:sz w:val="18"/>
                <w:szCs w:val="18"/>
              </w:rPr>
            </w:pPr>
            <w:r>
              <w:rPr>
                <w:spacing w:val="-6"/>
                <w:sz w:val="18"/>
                <w:szCs w:val="18"/>
              </w:rPr>
              <w:t>万元</w:t>
            </w:r>
          </w:p>
        </w:tc>
        <w:tc>
          <w:tcPr>
            <w:tcW w:w="1124" w:type="dxa"/>
          </w:tcPr>
          <w:p w14:paraId="2E7D4D3A">
            <w:pPr>
              <w:pStyle w:val="167"/>
              <w:spacing w:before="58" w:line="202" w:lineRule="auto"/>
              <w:ind w:left="202"/>
              <w:rPr>
                <w:sz w:val="18"/>
                <w:szCs w:val="18"/>
              </w:rPr>
            </w:pPr>
            <w:r>
              <w:rPr>
                <w:spacing w:val="-1"/>
                <w:sz w:val="18"/>
                <w:szCs w:val="18"/>
              </w:rPr>
              <w:t>Y≥10000</w:t>
            </w:r>
          </w:p>
        </w:tc>
        <w:tc>
          <w:tcPr>
            <w:tcW w:w="1700" w:type="dxa"/>
          </w:tcPr>
          <w:p w14:paraId="5DFA15ED">
            <w:pPr>
              <w:pStyle w:val="167"/>
              <w:spacing w:before="58" w:line="202" w:lineRule="auto"/>
              <w:ind w:left="237"/>
              <w:rPr>
                <w:sz w:val="18"/>
                <w:szCs w:val="18"/>
              </w:rPr>
            </w:pPr>
            <w:r>
              <w:rPr>
                <w:spacing w:val="-2"/>
                <w:sz w:val="18"/>
                <w:szCs w:val="18"/>
              </w:rPr>
              <w:t>1000≤Y＜10000</w:t>
            </w:r>
          </w:p>
        </w:tc>
        <w:tc>
          <w:tcPr>
            <w:tcW w:w="1425" w:type="dxa"/>
          </w:tcPr>
          <w:p w14:paraId="35365FA0">
            <w:pPr>
              <w:pStyle w:val="167"/>
              <w:spacing w:before="58" w:line="202" w:lineRule="auto"/>
              <w:ind w:left="227"/>
              <w:rPr>
                <w:sz w:val="18"/>
                <w:szCs w:val="18"/>
              </w:rPr>
            </w:pPr>
            <w:r>
              <w:rPr>
                <w:spacing w:val="-1"/>
                <w:sz w:val="18"/>
                <w:szCs w:val="18"/>
              </w:rPr>
              <w:t>50≤Y＜1000</w:t>
            </w:r>
          </w:p>
        </w:tc>
        <w:tc>
          <w:tcPr>
            <w:tcW w:w="996" w:type="dxa"/>
          </w:tcPr>
          <w:p w14:paraId="010217E4">
            <w:pPr>
              <w:pStyle w:val="167"/>
              <w:spacing w:before="58" w:line="202" w:lineRule="auto"/>
              <w:ind w:left="273"/>
              <w:rPr>
                <w:sz w:val="18"/>
                <w:szCs w:val="18"/>
              </w:rPr>
            </w:pPr>
            <w:r>
              <w:rPr>
                <w:spacing w:val="-1"/>
                <w:sz w:val="18"/>
                <w:szCs w:val="18"/>
              </w:rPr>
              <w:t>Y＜50</w:t>
            </w:r>
          </w:p>
        </w:tc>
      </w:tr>
      <w:tr w14:paraId="4226D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restart"/>
            <w:tcBorders>
              <w:bottom w:val="nil"/>
            </w:tcBorders>
          </w:tcPr>
          <w:p w14:paraId="4831A7A0">
            <w:pPr>
              <w:pStyle w:val="167"/>
              <w:spacing w:before="194" w:line="219" w:lineRule="auto"/>
              <w:ind w:left="116"/>
              <w:rPr>
                <w:sz w:val="18"/>
                <w:szCs w:val="18"/>
              </w:rPr>
            </w:pPr>
            <w:r>
              <w:rPr>
                <w:spacing w:val="-2"/>
                <w:sz w:val="18"/>
                <w:szCs w:val="18"/>
              </w:rPr>
              <w:t>房地产开发经营</w:t>
            </w:r>
          </w:p>
        </w:tc>
        <w:tc>
          <w:tcPr>
            <w:tcW w:w="1368" w:type="dxa"/>
          </w:tcPr>
          <w:p w14:paraId="47F88773">
            <w:pPr>
              <w:pStyle w:val="167"/>
              <w:spacing w:before="57" w:line="203" w:lineRule="auto"/>
              <w:ind w:left="198"/>
              <w:rPr>
                <w:sz w:val="18"/>
                <w:szCs w:val="18"/>
              </w:rPr>
            </w:pPr>
            <w:r>
              <w:rPr>
                <w:spacing w:val="-2"/>
                <w:sz w:val="18"/>
                <w:szCs w:val="18"/>
              </w:rPr>
              <w:t>营业收入(Y)</w:t>
            </w:r>
          </w:p>
        </w:tc>
        <w:tc>
          <w:tcPr>
            <w:tcW w:w="709" w:type="dxa"/>
          </w:tcPr>
          <w:p w14:paraId="76C50F8E">
            <w:pPr>
              <w:pStyle w:val="167"/>
              <w:spacing w:before="57" w:line="203" w:lineRule="auto"/>
              <w:ind w:left="182"/>
              <w:rPr>
                <w:sz w:val="18"/>
                <w:szCs w:val="18"/>
              </w:rPr>
            </w:pPr>
            <w:r>
              <w:rPr>
                <w:spacing w:val="-6"/>
                <w:sz w:val="18"/>
                <w:szCs w:val="18"/>
              </w:rPr>
              <w:t>万元</w:t>
            </w:r>
          </w:p>
        </w:tc>
        <w:tc>
          <w:tcPr>
            <w:tcW w:w="1124" w:type="dxa"/>
          </w:tcPr>
          <w:p w14:paraId="7BC658C3">
            <w:pPr>
              <w:pStyle w:val="167"/>
              <w:spacing w:before="57" w:line="203" w:lineRule="auto"/>
              <w:ind w:left="157"/>
              <w:rPr>
                <w:sz w:val="18"/>
                <w:szCs w:val="18"/>
              </w:rPr>
            </w:pPr>
            <w:r>
              <w:rPr>
                <w:spacing w:val="-1"/>
                <w:sz w:val="18"/>
                <w:szCs w:val="18"/>
              </w:rPr>
              <w:t>Y≥200000</w:t>
            </w:r>
          </w:p>
        </w:tc>
        <w:tc>
          <w:tcPr>
            <w:tcW w:w="1700" w:type="dxa"/>
          </w:tcPr>
          <w:p w14:paraId="0E2D1762">
            <w:pPr>
              <w:pStyle w:val="167"/>
              <w:spacing w:before="57" w:line="203" w:lineRule="auto"/>
              <w:ind w:left="191"/>
              <w:rPr>
                <w:sz w:val="18"/>
                <w:szCs w:val="18"/>
              </w:rPr>
            </w:pPr>
            <w:r>
              <w:rPr>
                <w:spacing w:val="-2"/>
                <w:sz w:val="18"/>
                <w:szCs w:val="18"/>
              </w:rPr>
              <w:t>1000≤Y＜200000</w:t>
            </w:r>
          </w:p>
        </w:tc>
        <w:tc>
          <w:tcPr>
            <w:tcW w:w="1425" w:type="dxa"/>
          </w:tcPr>
          <w:p w14:paraId="6D8D7960">
            <w:pPr>
              <w:pStyle w:val="167"/>
              <w:spacing w:before="57" w:line="203" w:lineRule="auto"/>
              <w:ind w:left="191"/>
              <w:rPr>
                <w:sz w:val="18"/>
                <w:szCs w:val="18"/>
              </w:rPr>
            </w:pPr>
            <w:r>
              <w:rPr>
                <w:spacing w:val="-2"/>
                <w:sz w:val="18"/>
                <w:szCs w:val="18"/>
              </w:rPr>
              <w:t>100≤Y＜1000</w:t>
            </w:r>
          </w:p>
        </w:tc>
        <w:tc>
          <w:tcPr>
            <w:tcW w:w="996" w:type="dxa"/>
          </w:tcPr>
          <w:p w14:paraId="6FD05E19">
            <w:pPr>
              <w:pStyle w:val="167"/>
              <w:spacing w:before="57" w:line="203" w:lineRule="auto"/>
              <w:ind w:left="230"/>
              <w:rPr>
                <w:sz w:val="18"/>
                <w:szCs w:val="18"/>
              </w:rPr>
            </w:pPr>
            <w:r>
              <w:rPr>
                <w:spacing w:val="-1"/>
                <w:sz w:val="18"/>
                <w:szCs w:val="18"/>
              </w:rPr>
              <w:t>Y＜100</w:t>
            </w:r>
          </w:p>
        </w:tc>
      </w:tr>
      <w:tr w14:paraId="7C5AD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continue"/>
            <w:tcBorders>
              <w:top w:val="nil"/>
            </w:tcBorders>
          </w:tcPr>
          <w:p w14:paraId="5E7F3B8A">
            <w:pPr>
              <w:rPr>
                <w:rFonts w:ascii="Arial"/>
              </w:rPr>
            </w:pPr>
          </w:p>
        </w:tc>
        <w:tc>
          <w:tcPr>
            <w:tcW w:w="1368" w:type="dxa"/>
          </w:tcPr>
          <w:p w14:paraId="656BCB11">
            <w:pPr>
              <w:pStyle w:val="167"/>
              <w:spacing w:before="58" w:line="202" w:lineRule="auto"/>
              <w:ind w:left="200"/>
              <w:rPr>
                <w:sz w:val="18"/>
                <w:szCs w:val="18"/>
              </w:rPr>
            </w:pPr>
            <w:r>
              <w:rPr>
                <w:spacing w:val="-2"/>
                <w:sz w:val="18"/>
                <w:szCs w:val="18"/>
              </w:rPr>
              <w:t>资产总额(Z)</w:t>
            </w:r>
          </w:p>
        </w:tc>
        <w:tc>
          <w:tcPr>
            <w:tcW w:w="709" w:type="dxa"/>
          </w:tcPr>
          <w:p w14:paraId="6A74F708">
            <w:pPr>
              <w:pStyle w:val="167"/>
              <w:spacing w:before="58" w:line="202" w:lineRule="auto"/>
              <w:ind w:left="182"/>
              <w:rPr>
                <w:sz w:val="18"/>
                <w:szCs w:val="18"/>
              </w:rPr>
            </w:pPr>
            <w:r>
              <w:rPr>
                <w:spacing w:val="-6"/>
                <w:sz w:val="18"/>
                <w:szCs w:val="18"/>
              </w:rPr>
              <w:t>万元</w:t>
            </w:r>
          </w:p>
        </w:tc>
        <w:tc>
          <w:tcPr>
            <w:tcW w:w="1124" w:type="dxa"/>
          </w:tcPr>
          <w:p w14:paraId="6F38C837">
            <w:pPr>
              <w:pStyle w:val="167"/>
              <w:spacing w:before="58" w:line="202" w:lineRule="auto"/>
              <w:ind w:left="205"/>
              <w:rPr>
                <w:sz w:val="18"/>
                <w:szCs w:val="18"/>
              </w:rPr>
            </w:pPr>
            <w:r>
              <w:rPr>
                <w:spacing w:val="-1"/>
                <w:sz w:val="18"/>
                <w:szCs w:val="18"/>
              </w:rPr>
              <w:t>Z≥10000</w:t>
            </w:r>
          </w:p>
        </w:tc>
        <w:tc>
          <w:tcPr>
            <w:tcW w:w="1700" w:type="dxa"/>
          </w:tcPr>
          <w:p w14:paraId="1D6B423F">
            <w:pPr>
              <w:pStyle w:val="167"/>
              <w:spacing w:before="58" w:line="202" w:lineRule="auto"/>
              <w:ind w:left="227"/>
              <w:rPr>
                <w:sz w:val="18"/>
                <w:szCs w:val="18"/>
              </w:rPr>
            </w:pPr>
            <w:r>
              <w:rPr>
                <w:spacing w:val="-1"/>
                <w:sz w:val="18"/>
                <w:szCs w:val="18"/>
              </w:rPr>
              <w:t>5000≤Z＜10000</w:t>
            </w:r>
          </w:p>
        </w:tc>
        <w:tc>
          <w:tcPr>
            <w:tcW w:w="1425" w:type="dxa"/>
          </w:tcPr>
          <w:p w14:paraId="7DFB5213">
            <w:pPr>
              <w:pStyle w:val="167"/>
              <w:spacing w:before="58" w:line="202" w:lineRule="auto"/>
              <w:ind w:left="136"/>
              <w:rPr>
                <w:sz w:val="18"/>
                <w:szCs w:val="18"/>
              </w:rPr>
            </w:pPr>
            <w:r>
              <w:rPr>
                <w:spacing w:val="-1"/>
                <w:sz w:val="18"/>
                <w:szCs w:val="18"/>
              </w:rPr>
              <w:t>2000≤Z＜5000</w:t>
            </w:r>
          </w:p>
        </w:tc>
        <w:tc>
          <w:tcPr>
            <w:tcW w:w="996" w:type="dxa"/>
          </w:tcPr>
          <w:p w14:paraId="494369EA">
            <w:pPr>
              <w:pStyle w:val="167"/>
              <w:spacing w:before="58" w:line="202" w:lineRule="auto"/>
              <w:ind w:left="187"/>
              <w:rPr>
                <w:sz w:val="18"/>
                <w:szCs w:val="18"/>
              </w:rPr>
            </w:pPr>
            <w:r>
              <w:rPr>
                <w:spacing w:val="-2"/>
                <w:sz w:val="18"/>
                <w:szCs w:val="18"/>
              </w:rPr>
              <w:t>Z＜2000</w:t>
            </w:r>
          </w:p>
        </w:tc>
      </w:tr>
      <w:tr w14:paraId="7C42A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restart"/>
            <w:tcBorders>
              <w:bottom w:val="nil"/>
            </w:tcBorders>
          </w:tcPr>
          <w:p w14:paraId="4F0B050E">
            <w:pPr>
              <w:pStyle w:val="167"/>
              <w:spacing w:before="194" w:line="219" w:lineRule="auto"/>
              <w:ind w:left="115"/>
              <w:rPr>
                <w:sz w:val="18"/>
                <w:szCs w:val="18"/>
              </w:rPr>
            </w:pPr>
            <w:r>
              <w:rPr>
                <w:spacing w:val="-2"/>
                <w:sz w:val="18"/>
                <w:szCs w:val="18"/>
              </w:rPr>
              <w:t>物业管理</w:t>
            </w:r>
          </w:p>
        </w:tc>
        <w:tc>
          <w:tcPr>
            <w:tcW w:w="1368" w:type="dxa"/>
          </w:tcPr>
          <w:p w14:paraId="60019A24">
            <w:pPr>
              <w:pStyle w:val="167"/>
              <w:spacing w:before="57" w:line="203" w:lineRule="auto"/>
              <w:ind w:left="194"/>
              <w:rPr>
                <w:sz w:val="18"/>
                <w:szCs w:val="18"/>
              </w:rPr>
            </w:pPr>
            <w:r>
              <w:rPr>
                <w:spacing w:val="-2"/>
                <w:sz w:val="18"/>
                <w:szCs w:val="18"/>
              </w:rPr>
              <w:t>从业人员(X)</w:t>
            </w:r>
          </w:p>
        </w:tc>
        <w:tc>
          <w:tcPr>
            <w:tcW w:w="709" w:type="dxa"/>
          </w:tcPr>
          <w:p w14:paraId="3B7B7502">
            <w:pPr>
              <w:pStyle w:val="167"/>
              <w:spacing w:before="57" w:line="203" w:lineRule="auto"/>
              <w:ind w:left="268"/>
              <w:rPr>
                <w:sz w:val="18"/>
                <w:szCs w:val="18"/>
              </w:rPr>
            </w:pPr>
            <w:r>
              <w:rPr>
                <w:sz w:val="18"/>
                <w:szCs w:val="18"/>
              </w:rPr>
              <w:t>人</w:t>
            </w:r>
          </w:p>
        </w:tc>
        <w:tc>
          <w:tcPr>
            <w:tcW w:w="1124" w:type="dxa"/>
          </w:tcPr>
          <w:p w14:paraId="6F738F43">
            <w:pPr>
              <w:pStyle w:val="167"/>
              <w:spacing w:before="57" w:line="203" w:lineRule="auto"/>
              <w:ind w:left="249"/>
              <w:rPr>
                <w:sz w:val="18"/>
                <w:szCs w:val="18"/>
              </w:rPr>
            </w:pPr>
            <w:r>
              <w:rPr>
                <w:spacing w:val="-1"/>
                <w:sz w:val="18"/>
                <w:szCs w:val="18"/>
              </w:rPr>
              <w:t>X≥1000</w:t>
            </w:r>
          </w:p>
        </w:tc>
        <w:tc>
          <w:tcPr>
            <w:tcW w:w="1700" w:type="dxa"/>
          </w:tcPr>
          <w:p w14:paraId="688A19D3">
            <w:pPr>
              <w:pStyle w:val="167"/>
              <w:spacing w:before="57" w:line="203" w:lineRule="auto"/>
              <w:ind w:left="319"/>
              <w:rPr>
                <w:sz w:val="18"/>
                <w:szCs w:val="18"/>
              </w:rPr>
            </w:pPr>
            <w:r>
              <w:rPr>
                <w:spacing w:val="-1"/>
                <w:sz w:val="18"/>
                <w:szCs w:val="18"/>
              </w:rPr>
              <w:t>300≤X＜1000</w:t>
            </w:r>
          </w:p>
        </w:tc>
        <w:tc>
          <w:tcPr>
            <w:tcW w:w="1425" w:type="dxa"/>
          </w:tcPr>
          <w:p w14:paraId="618F3976">
            <w:pPr>
              <w:pStyle w:val="167"/>
              <w:spacing w:before="57" w:line="203" w:lineRule="auto"/>
              <w:ind w:left="236"/>
              <w:rPr>
                <w:sz w:val="18"/>
                <w:szCs w:val="18"/>
              </w:rPr>
            </w:pPr>
            <w:r>
              <w:rPr>
                <w:spacing w:val="-3"/>
                <w:sz w:val="18"/>
                <w:szCs w:val="18"/>
              </w:rPr>
              <w:t>100≤X＜300</w:t>
            </w:r>
          </w:p>
        </w:tc>
        <w:tc>
          <w:tcPr>
            <w:tcW w:w="996" w:type="dxa"/>
          </w:tcPr>
          <w:p w14:paraId="108954D0">
            <w:pPr>
              <w:pStyle w:val="167"/>
              <w:spacing w:before="57" w:line="203" w:lineRule="auto"/>
              <w:ind w:left="231"/>
              <w:rPr>
                <w:sz w:val="18"/>
                <w:szCs w:val="18"/>
              </w:rPr>
            </w:pPr>
            <w:r>
              <w:rPr>
                <w:spacing w:val="-1"/>
                <w:sz w:val="18"/>
                <w:szCs w:val="18"/>
              </w:rPr>
              <w:t>X＜100</w:t>
            </w:r>
          </w:p>
        </w:tc>
      </w:tr>
      <w:tr w14:paraId="327E2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continue"/>
            <w:tcBorders>
              <w:top w:val="nil"/>
            </w:tcBorders>
          </w:tcPr>
          <w:p w14:paraId="0F2DF129">
            <w:pPr>
              <w:rPr>
                <w:rFonts w:ascii="Arial"/>
              </w:rPr>
            </w:pPr>
          </w:p>
        </w:tc>
        <w:tc>
          <w:tcPr>
            <w:tcW w:w="1368" w:type="dxa"/>
          </w:tcPr>
          <w:p w14:paraId="7E7894D4">
            <w:pPr>
              <w:pStyle w:val="167"/>
              <w:spacing w:before="58" w:line="202" w:lineRule="auto"/>
              <w:ind w:left="198"/>
              <w:rPr>
                <w:sz w:val="18"/>
                <w:szCs w:val="18"/>
              </w:rPr>
            </w:pPr>
            <w:r>
              <w:rPr>
                <w:spacing w:val="-2"/>
                <w:sz w:val="18"/>
                <w:szCs w:val="18"/>
              </w:rPr>
              <w:t>营业收入(Y)</w:t>
            </w:r>
          </w:p>
        </w:tc>
        <w:tc>
          <w:tcPr>
            <w:tcW w:w="709" w:type="dxa"/>
          </w:tcPr>
          <w:p w14:paraId="2CF1BBD3">
            <w:pPr>
              <w:pStyle w:val="167"/>
              <w:spacing w:before="58" w:line="202" w:lineRule="auto"/>
              <w:ind w:left="182"/>
              <w:rPr>
                <w:sz w:val="18"/>
                <w:szCs w:val="18"/>
              </w:rPr>
            </w:pPr>
            <w:r>
              <w:rPr>
                <w:spacing w:val="-6"/>
                <w:sz w:val="18"/>
                <w:szCs w:val="18"/>
              </w:rPr>
              <w:t>万元</w:t>
            </w:r>
          </w:p>
        </w:tc>
        <w:tc>
          <w:tcPr>
            <w:tcW w:w="1124" w:type="dxa"/>
          </w:tcPr>
          <w:p w14:paraId="33F6E87C">
            <w:pPr>
              <w:pStyle w:val="167"/>
              <w:spacing w:before="58" w:line="202" w:lineRule="auto"/>
              <w:ind w:left="248"/>
              <w:rPr>
                <w:sz w:val="18"/>
                <w:szCs w:val="18"/>
              </w:rPr>
            </w:pPr>
            <w:r>
              <w:rPr>
                <w:spacing w:val="-1"/>
                <w:sz w:val="18"/>
                <w:szCs w:val="18"/>
              </w:rPr>
              <w:t>Y≥5000</w:t>
            </w:r>
          </w:p>
        </w:tc>
        <w:tc>
          <w:tcPr>
            <w:tcW w:w="1700" w:type="dxa"/>
          </w:tcPr>
          <w:p w14:paraId="402DF856">
            <w:pPr>
              <w:pStyle w:val="167"/>
              <w:spacing w:before="58" w:line="202" w:lineRule="auto"/>
              <w:ind w:left="230"/>
              <w:rPr>
                <w:sz w:val="18"/>
                <w:szCs w:val="18"/>
              </w:rPr>
            </w:pPr>
            <w:r>
              <w:rPr>
                <w:spacing w:val="-2"/>
                <w:sz w:val="18"/>
                <w:szCs w:val="18"/>
              </w:rPr>
              <w:t>1000≤Y＜5000</w:t>
            </w:r>
          </w:p>
        </w:tc>
        <w:tc>
          <w:tcPr>
            <w:tcW w:w="1425" w:type="dxa"/>
          </w:tcPr>
          <w:p w14:paraId="47C3014E">
            <w:pPr>
              <w:pStyle w:val="167"/>
              <w:spacing w:before="58" w:line="202" w:lineRule="auto"/>
              <w:ind w:left="181"/>
              <w:rPr>
                <w:sz w:val="18"/>
                <w:szCs w:val="18"/>
              </w:rPr>
            </w:pPr>
            <w:r>
              <w:rPr>
                <w:spacing w:val="-1"/>
                <w:sz w:val="18"/>
                <w:szCs w:val="18"/>
              </w:rPr>
              <w:t>500≤Y＜1000</w:t>
            </w:r>
          </w:p>
        </w:tc>
        <w:tc>
          <w:tcPr>
            <w:tcW w:w="996" w:type="dxa"/>
          </w:tcPr>
          <w:p w14:paraId="40F5EEC8">
            <w:pPr>
              <w:pStyle w:val="167"/>
              <w:spacing w:before="58" w:line="202" w:lineRule="auto"/>
              <w:ind w:left="230"/>
              <w:rPr>
                <w:sz w:val="18"/>
                <w:szCs w:val="18"/>
              </w:rPr>
            </w:pPr>
            <w:r>
              <w:rPr>
                <w:spacing w:val="-1"/>
                <w:sz w:val="18"/>
                <w:szCs w:val="18"/>
              </w:rPr>
              <w:t>Y＜500</w:t>
            </w:r>
          </w:p>
        </w:tc>
      </w:tr>
      <w:tr w14:paraId="3602C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17" w:type="dxa"/>
            <w:vMerge w:val="restart"/>
            <w:tcBorders>
              <w:bottom w:val="nil"/>
            </w:tcBorders>
          </w:tcPr>
          <w:p w14:paraId="632F1FDC">
            <w:pPr>
              <w:pStyle w:val="167"/>
              <w:spacing w:before="194" w:line="219" w:lineRule="auto"/>
              <w:ind w:left="117"/>
              <w:rPr>
                <w:sz w:val="18"/>
                <w:szCs w:val="18"/>
              </w:rPr>
            </w:pPr>
            <w:r>
              <w:rPr>
                <w:spacing w:val="-2"/>
                <w:sz w:val="18"/>
                <w:szCs w:val="18"/>
              </w:rPr>
              <w:t>租赁和商务服务业</w:t>
            </w:r>
          </w:p>
        </w:tc>
        <w:tc>
          <w:tcPr>
            <w:tcW w:w="1368" w:type="dxa"/>
          </w:tcPr>
          <w:p w14:paraId="6A5AA5D6">
            <w:pPr>
              <w:pStyle w:val="167"/>
              <w:spacing w:before="57" w:line="203" w:lineRule="auto"/>
              <w:ind w:left="194"/>
              <w:rPr>
                <w:sz w:val="18"/>
                <w:szCs w:val="18"/>
              </w:rPr>
            </w:pPr>
            <w:r>
              <w:rPr>
                <w:spacing w:val="-2"/>
                <w:sz w:val="18"/>
                <w:szCs w:val="18"/>
              </w:rPr>
              <w:t>从业人员(X)</w:t>
            </w:r>
          </w:p>
        </w:tc>
        <w:tc>
          <w:tcPr>
            <w:tcW w:w="709" w:type="dxa"/>
          </w:tcPr>
          <w:p w14:paraId="0784A96D">
            <w:pPr>
              <w:pStyle w:val="167"/>
              <w:spacing w:before="57" w:line="203" w:lineRule="auto"/>
              <w:ind w:left="268"/>
              <w:rPr>
                <w:sz w:val="18"/>
                <w:szCs w:val="18"/>
              </w:rPr>
            </w:pPr>
            <w:r>
              <w:rPr>
                <w:sz w:val="18"/>
                <w:szCs w:val="18"/>
              </w:rPr>
              <w:t>人</w:t>
            </w:r>
          </w:p>
        </w:tc>
        <w:tc>
          <w:tcPr>
            <w:tcW w:w="1124" w:type="dxa"/>
          </w:tcPr>
          <w:p w14:paraId="693EAC77">
            <w:pPr>
              <w:pStyle w:val="167"/>
              <w:spacing w:before="57" w:line="203" w:lineRule="auto"/>
              <w:ind w:left="292"/>
              <w:rPr>
                <w:sz w:val="18"/>
                <w:szCs w:val="18"/>
              </w:rPr>
            </w:pPr>
            <w:r>
              <w:rPr>
                <w:spacing w:val="-1"/>
                <w:sz w:val="18"/>
                <w:szCs w:val="18"/>
              </w:rPr>
              <w:t>X≥300</w:t>
            </w:r>
          </w:p>
        </w:tc>
        <w:tc>
          <w:tcPr>
            <w:tcW w:w="1700" w:type="dxa"/>
          </w:tcPr>
          <w:p w14:paraId="37B1C724">
            <w:pPr>
              <w:pStyle w:val="167"/>
              <w:spacing w:before="57" w:line="203" w:lineRule="auto"/>
              <w:ind w:left="319"/>
              <w:rPr>
                <w:sz w:val="18"/>
                <w:szCs w:val="18"/>
              </w:rPr>
            </w:pPr>
            <w:r>
              <w:rPr>
                <w:spacing w:val="-3"/>
                <w:sz w:val="18"/>
                <w:szCs w:val="18"/>
              </w:rPr>
              <w:t>100≤X＜300</w:t>
            </w:r>
          </w:p>
        </w:tc>
        <w:tc>
          <w:tcPr>
            <w:tcW w:w="1425" w:type="dxa"/>
          </w:tcPr>
          <w:p w14:paraId="5E8EB29B">
            <w:pPr>
              <w:pStyle w:val="167"/>
              <w:spacing w:before="57" w:line="203" w:lineRule="auto"/>
              <w:ind w:left="282"/>
              <w:rPr>
                <w:sz w:val="18"/>
                <w:szCs w:val="18"/>
              </w:rPr>
            </w:pPr>
            <w:r>
              <w:rPr>
                <w:spacing w:val="-3"/>
                <w:sz w:val="18"/>
                <w:szCs w:val="18"/>
              </w:rPr>
              <w:t>10≤X＜100</w:t>
            </w:r>
          </w:p>
        </w:tc>
        <w:tc>
          <w:tcPr>
            <w:tcW w:w="996" w:type="dxa"/>
          </w:tcPr>
          <w:p w14:paraId="18698B82">
            <w:pPr>
              <w:pStyle w:val="167"/>
              <w:spacing w:before="57" w:line="203" w:lineRule="auto"/>
              <w:ind w:left="274"/>
              <w:rPr>
                <w:sz w:val="18"/>
                <w:szCs w:val="18"/>
              </w:rPr>
            </w:pPr>
            <w:r>
              <w:rPr>
                <w:spacing w:val="-1"/>
                <w:sz w:val="18"/>
                <w:szCs w:val="18"/>
              </w:rPr>
              <w:t>X＜10</w:t>
            </w:r>
          </w:p>
        </w:tc>
      </w:tr>
      <w:tr w14:paraId="7D565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2117" w:type="dxa"/>
            <w:vMerge w:val="continue"/>
            <w:tcBorders>
              <w:top w:val="nil"/>
            </w:tcBorders>
          </w:tcPr>
          <w:p w14:paraId="3B3DC322">
            <w:pPr>
              <w:rPr>
                <w:rFonts w:ascii="Arial"/>
              </w:rPr>
            </w:pPr>
          </w:p>
        </w:tc>
        <w:tc>
          <w:tcPr>
            <w:tcW w:w="1368" w:type="dxa"/>
          </w:tcPr>
          <w:p w14:paraId="033919E3">
            <w:pPr>
              <w:pStyle w:val="167"/>
              <w:spacing w:before="58" w:line="201" w:lineRule="auto"/>
              <w:ind w:left="200"/>
              <w:rPr>
                <w:sz w:val="18"/>
                <w:szCs w:val="18"/>
              </w:rPr>
            </w:pPr>
            <w:r>
              <w:rPr>
                <w:spacing w:val="-2"/>
                <w:sz w:val="18"/>
                <w:szCs w:val="18"/>
              </w:rPr>
              <w:t>资产总额(Z)</w:t>
            </w:r>
          </w:p>
        </w:tc>
        <w:tc>
          <w:tcPr>
            <w:tcW w:w="709" w:type="dxa"/>
          </w:tcPr>
          <w:p w14:paraId="1A1CF70F">
            <w:pPr>
              <w:pStyle w:val="167"/>
              <w:spacing w:before="58" w:line="201" w:lineRule="auto"/>
              <w:ind w:left="182"/>
              <w:rPr>
                <w:sz w:val="18"/>
                <w:szCs w:val="18"/>
              </w:rPr>
            </w:pPr>
            <w:r>
              <w:rPr>
                <w:spacing w:val="-6"/>
                <w:sz w:val="18"/>
                <w:szCs w:val="18"/>
              </w:rPr>
              <w:t>万元</w:t>
            </w:r>
          </w:p>
        </w:tc>
        <w:tc>
          <w:tcPr>
            <w:tcW w:w="1124" w:type="dxa"/>
          </w:tcPr>
          <w:p w14:paraId="7CE8EFDA">
            <w:pPr>
              <w:pStyle w:val="167"/>
              <w:spacing w:before="58" w:line="201" w:lineRule="auto"/>
              <w:ind w:left="159"/>
              <w:rPr>
                <w:sz w:val="18"/>
                <w:szCs w:val="18"/>
              </w:rPr>
            </w:pPr>
            <w:r>
              <w:rPr>
                <w:spacing w:val="-1"/>
                <w:sz w:val="18"/>
                <w:szCs w:val="18"/>
              </w:rPr>
              <w:t>Z≥120000</w:t>
            </w:r>
          </w:p>
        </w:tc>
        <w:tc>
          <w:tcPr>
            <w:tcW w:w="1700" w:type="dxa"/>
          </w:tcPr>
          <w:p w14:paraId="0AB648F8">
            <w:pPr>
              <w:pStyle w:val="167"/>
              <w:spacing w:before="58" w:line="201" w:lineRule="auto"/>
              <w:ind w:left="179"/>
              <w:rPr>
                <w:sz w:val="18"/>
                <w:szCs w:val="18"/>
              </w:rPr>
            </w:pPr>
            <w:r>
              <w:rPr>
                <w:spacing w:val="-1"/>
                <w:sz w:val="18"/>
                <w:szCs w:val="18"/>
              </w:rPr>
              <w:t>8000≤Z＜120000</w:t>
            </w:r>
          </w:p>
        </w:tc>
        <w:tc>
          <w:tcPr>
            <w:tcW w:w="1425" w:type="dxa"/>
          </w:tcPr>
          <w:p w14:paraId="44F462D6">
            <w:pPr>
              <w:pStyle w:val="167"/>
              <w:spacing w:before="58" w:line="201" w:lineRule="auto"/>
              <w:ind w:left="191"/>
              <w:rPr>
                <w:sz w:val="18"/>
                <w:szCs w:val="18"/>
              </w:rPr>
            </w:pPr>
            <w:r>
              <w:rPr>
                <w:spacing w:val="-2"/>
                <w:sz w:val="18"/>
                <w:szCs w:val="18"/>
              </w:rPr>
              <w:t>100≤Z＜8000</w:t>
            </w:r>
          </w:p>
        </w:tc>
        <w:tc>
          <w:tcPr>
            <w:tcW w:w="996" w:type="dxa"/>
          </w:tcPr>
          <w:p w14:paraId="2A0A194B">
            <w:pPr>
              <w:pStyle w:val="167"/>
              <w:spacing w:before="58" w:line="201" w:lineRule="auto"/>
              <w:ind w:left="232"/>
              <w:rPr>
                <w:sz w:val="18"/>
                <w:szCs w:val="18"/>
              </w:rPr>
            </w:pPr>
            <w:r>
              <w:rPr>
                <w:spacing w:val="-2"/>
                <w:sz w:val="18"/>
                <w:szCs w:val="18"/>
              </w:rPr>
              <w:t>Z＜100</w:t>
            </w:r>
          </w:p>
        </w:tc>
      </w:tr>
      <w:tr w14:paraId="42326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2117" w:type="dxa"/>
          </w:tcPr>
          <w:p w14:paraId="09E22974">
            <w:pPr>
              <w:pStyle w:val="167"/>
              <w:spacing w:before="58" w:line="206" w:lineRule="auto"/>
              <w:ind w:left="116"/>
              <w:rPr>
                <w:rFonts w:ascii="Times New Roman" w:hAnsi="Times New Roman" w:eastAsia="Times New Roman" w:cs="Times New Roman"/>
                <w:sz w:val="18"/>
                <w:szCs w:val="18"/>
              </w:rPr>
            </w:pPr>
            <w:r>
              <w:rPr>
                <w:sz w:val="18"/>
                <w:szCs w:val="18"/>
              </w:rPr>
              <w:t xml:space="preserve">其他未列明行业 </w:t>
            </w:r>
            <w:r>
              <w:rPr>
                <w:rFonts w:ascii="Times New Roman" w:hAnsi="Times New Roman" w:eastAsia="Times New Roman" w:cs="Times New Roman"/>
                <w:sz w:val="18"/>
                <w:szCs w:val="18"/>
              </w:rPr>
              <w:t>*</w:t>
            </w:r>
          </w:p>
        </w:tc>
        <w:tc>
          <w:tcPr>
            <w:tcW w:w="1368" w:type="dxa"/>
          </w:tcPr>
          <w:p w14:paraId="68A02FE6">
            <w:pPr>
              <w:pStyle w:val="167"/>
              <w:spacing w:before="58" w:line="206" w:lineRule="auto"/>
              <w:ind w:left="194"/>
              <w:rPr>
                <w:sz w:val="18"/>
                <w:szCs w:val="18"/>
              </w:rPr>
            </w:pPr>
            <w:r>
              <w:rPr>
                <w:spacing w:val="-2"/>
                <w:sz w:val="18"/>
                <w:szCs w:val="18"/>
              </w:rPr>
              <w:t>从业人员(X)</w:t>
            </w:r>
          </w:p>
        </w:tc>
        <w:tc>
          <w:tcPr>
            <w:tcW w:w="709" w:type="dxa"/>
          </w:tcPr>
          <w:p w14:paraId="40A41C14">
            <w:pPr>
              <w:pStyle w:val="167"/>
              <w:spacing w:before="58" w:line="206" w:lineRule="auto"/>
              <w:ind w:left="268"/>
              <w:rPr>
                <w:sz w:val="18"/>
                <w:szCs w:val="18"/>
              </w:rPr>
            </w:pPr>
            <w:r>
              <w:rPr>
                <w:sz w:val="18"/>
                <w:szCs w:val="18"/>
              </w:rPr>
              <w:t>人</w:t>
            </w:r>
          </w:p>
        </w:tc>
        <w:tc>
          <w:tcPr>
            <w:tcW w:w="1124" w:type="dxa"/>
          </w:tcPr>
          <w:p w14:paraId="34B23FAF">
            <w:pPr>
              <w:pStyle w:val="167"/>
              <w:spacing w:before="58" w:line="206" w:lineRule="auto"/>
              <w:ind w:left="292"/>
              <w:rPr>
                <w:sz w:val="18"/>
                <w:szCs w:val="18"/>
              </w:rPr>
            </w:pPr>
            <w:r>
              <w:rPr>
                <w:spacing w:val="-1"/>
                <w:sz w:val="18"/>
                <w:szCs w:val="18"/>
              </w:rPr>
              <w:t>X≥300</w:t>
            </w:r>
          </w:p>
        </w:tc>
        <w:tc>
          <w:tcPr>
            <w:tcW w:w="1700" w:type="dxa"/>
          </w:tcPr>
          <w:p w14:paraId="090C7255">
            <w:pPr>
              <w:pStyle w:val="167"/>
              <w:spacing w:before="58" w:line="206" w:lineRule="auto"/>
              <w:ind w:left="319"/>
              <w:rPr>
                <w:sz w:val="18"/>
                <w:szCs w:val="18"/>
              </w:rPr>
            </w:pPr>
            <w:r>
              <w:rPr>
                <w:spacing w:val="-3"/>
                <w:sz w:val="18"/>
                <w:szCs w:val="18"/>
              </w:rPr>
              <w:t>100≤X＜300</w:t>
            </w:r>
          </w:p>
        </w:tc>
        <w:tc>
          <w:tcPr>
            <w:tcW w:w="1425" w:type="dxa"/>
          </w:tcPr>
          <w:p w14:paraId="7D5F38CE">
            <w:pPr>
              <w:pStyle w:val="167"/>
              <w:spacing w:before="58" w:line="206" w:lineRule="auto"/>
              <w:ind w:left="282"/>
              <w:rPr>
                <w:sz w:val="18"/>
                <w:szCs w:val="18"/>
              </w:rPr>
            </w:pPr>
            <w:r>
              <w:rPr>
                <w:spacing w:val="-3"/>
                <w:sz w:val="18"/>
                <w:szCs w:val="18"/>
              </w:rPr>
              <w:t>10≤X＜100</w:t>
            </w:r>
          </w:p>
        </w:tc>
        <w:tc>
          <w:tcPr>
            <w:tcW w:w="996" w:type="dxa"/>
          </w:tcPr>
          <w:p w14:paraId="49FDF769">
            <w:pPr>
              <w:pStyle w:val="167"/>
              <w:spacing w:before="58" w:line="206" w:lineRule="auto"/>
              <w:ind w:left="274"/>
              <w:rPr>
                <w:sz w:val="18"/>
                <w:szCs w:val="18"/>
              </w:rPr>
            </w:pPr>
            <w:r>
              <w:rPr>
                <w:spacing w:val="-1"/>
                <w:sz w:val="18"/>
                <w:szCs w:val="18"/>
              </w:rPr>
              <w:t>X＜10</w:t>
            </w:r>
          </w:p>
        </w:tc>
      </w:tr>
    </w:tbl>
    <w:p w14:paraId="7E99956B">
      <w:pPr>
        <w:spacing w:before="29" w:line="228" w:lineRule="auto"/>
        <w:ind w:left="28"/>
        <w:rPr>
          <w:rFonts w:ascii="宋体" w:hAnsi="宋体" w:cs="宋体"/>
          <w:sz w:val="20"/>
          <w:szCs w:val="20"/>
        </w:rPr>
      </w:pPr>
      <w:r>
        <w:rPr>
          <w:rFonts w:ascii="宋体" w:hAnsi="宋体" w:cs="宋体"/>
          <w:spacing w:val="2"/>
          <w:sz w:val="20"/>
          <w:szCs w:val="20"/>
        </w:rPr>
        <w:t>说明：</w:t>
      </w:r>
    </w:p>
    <w:p w14:paraId="0248144F">
      <w:pPr>
        <w:spacing w:before="12" w:line="234" w:lineRule="auto"/>
        <w:ind w:left="45" w:right="70" w:firstLine="415"/>
        <w:rPr>
          <w:rFonts w:ascii="宋体" w:hAnsi="宋体" w:cs="宋体"/>
          <w:sz w:val="20"/>
          <w:szCs w:val="20"/>
        </w:rPr>
      </w:pPr>
      <w:r>
        <w:rPr>
          <w:rFonts w:ascii="宋体" w:hAnsi="宋体" w:cs="宋体"/>
          <w:spacing w:val="8"/>
          <w:sz w:val="20"/>
          <w:szCs w:val="20"/>
        </w:rPr>
        <w:t>1.大型、中型和小型企业须同时满足所列指标的下限，否则下划一档。微型企业只须满足所列指标</w:t>
      </w:r>
      <w:r>
        <w:rPr>
          <w:rFonts w:ascii="宋体" w:hAnsi="宋体" w:cs="宋体"/>
          <w:spacing w:val="11"/>
          <w:sz w:val="20"/>
          <w:szCs w:val="20"/>
        </w:rPr>
        <w:t xml:space="preserve"> </w:t>
      </w:r>
      <w:r>
        <w:rPr>
          <w:rFonts w:ascii="宋体" w:hAnsi="宋体" w:cs="宋体"/>
          <w:spacing w:val="4"/>
          <w:sz w:val="20"/>
          <w:szCs w:val="20"/>
        </w:rPr>
        <w:t>中的一项即可。</w:t>
      </w:r>
    </w:p>
    <w:p w14:paraId="193A5FE5">
      <w:pPr>
        <w:spacing w:before="15" w:line="238" w:lineRule="auto"/>
        <w:ind w:left="24" w:right="16" w:firstLine="424"/>
        <w:rPr>
          <w:rFonts w:ascii="宋体" w:hAnsi="宋体" w:cs="宋体"/>
          <w:sz w:val="20"/>
          <w:szCs w:val="20"/>
        </w:rPr>
      </w:pPr>
      <w:r>
        <w:rPr>
          <w:rFonts w:ascii="宋体" w:hAnsi="宋体" w:cs="宋体"/>
          <w:spacing w:val="5"/>
          <w:sz w:val="20"/>
          <w:szCs w:val="20"/>
        </w:rPr>
        <w:t>2.附表中各行业的范围以《国民经济行业分类》（</w:t>
      </w:r>
      <w:r>
        <w:rPr>
          <w:rFonts w:ascii="宋体" w:hAnsi="宋体" w:cs="宋体"/>
          <w:sz w:val="20"/>
          <w:szCs w:val="20"/>
        </w:rPr>
        <w:t>GB</w:t>
      </w:r>
      <w:r>
        <w:rPr>
          <w:rFonts w:ascii="宋体" w:hAnsi="宋体" w:cs="宋体"/>
          <w:spacing w:val="5"/>
          <w:sz w:val="20"/>
          <w:szCs w:val="20"/>
        </w:rPr>
        <w:t>/T4754-2</w:t>
      </w:r>
      <w:r>
        <w:rPr>
          <w:rFonts w:ascii="宋体" w:hAnsi="宋体" w:cs="宋体"/>
          <w:spacing w:val="4"/>
          <w:sz w:val="20"/>
          <w:szCs w:val="20"/>
        </w:rPr>
        <w:t>017）为准。带*的项为行业组合类别，</w:t>
      </w:r>
      <w:r>
        <w:rPr>
          <w:rFonts w:ascii="宋体" w:hAnsi="宋体" w:cs="宋体"/>
          <w:sz w:val="20"/>
          <w:szCs w:val="20"/>
        </w:rPr>
        <w:t xml:space="preserve"> </w:t>
      </w:r>
      <w:r>
        <w:rPr>
          <w:rFonts w:ascii="宋体" w:hAnsi="宋体" w:cs="宋体"/>
          <w:spacing w:val="10"/>
          <w:sz w:val="20"/>
          <w:szCs w:val="20"/>
        </w:rPr>
        <w:t>其中，工业包括采矿业，制造业，电力、热力、燃气及水生产和供应业。交通运输业包括道路运输业，</w:t>
      </w:r>
      <w:r>
        <w:rPr>
          <w:rFonts w:ascii="宋体" w:hAnsi="宋体" w:cs="宋体"/>
          <w:spacing w:val="5"/>
          <w:sz w:val="20"/>
          <w:szCs w:val="20"/>
        </w:rPr>
        <w:t xml:space="preserve"> </w:t>
      </w:r>
      <w:r>
        <w:rPr>
          <w:rFonts w:ascii="宋体" w:hAnsi="宋体" w:cs="宋体"/>
          <w:spacing w:val="9"/>
          <w:sz w:val="20"/>
          <w:szCs w:val="20"/>
        </w:rPr>
        <w:t>水上运输业，航空运输业，管道运输业，多式联运和运输代理业、装卸搬运，不包括铁路运</w:t>
      </w:r>
      <w:r>
        <w:rPr>
          <w:rFonts w:ascii="宋体" w:hAnsi="宋体" w:cs="宋体"/>
          <w:spacing w:val="8"/>
          <w:sz w:val="20"/>
          <w:szCs w:val="20"/>
        </w:rPr>
        <w:t>输业。仓储</w:t>
      </w:r>
      <w:r>
        <w:rPr>
          <w:rFonts w:ascii="宋体" w:hAnsi="宋体" w:cs="宋体"/>
          <w:sz w:val="20"/>
          <w:szCs w:val="20"/>
        </w:rPr>
        <w:t xml:space="preserve"> </w:t>
      </w:r>
      <w:r>
        <w:rPr>
          <w:rFonts w:ascii="宋体" w:hAnsi="宋体" w:cs="宋体"/>
          <w:spacing w:val="9"/>
          <w:sz w:val="20"/>
          <w:szCs w:val="20"/>
        </w:rPr>
        <w:t>业包括通用仓储，低温仓储，危险品仓储，谷物、棉花等农产品仓储，中药材仓储和其他仓</w:t>
      </w:r>
      <w:r>
        <w:rPr>
          <w:rFonts w:ascii="宋体" w:hAnsi="宋体" w:cs="宋体"/>
          <w:spacing w:val="8"/>
          <w:sz w:val="20"/>
          <w:szCs w:val="20"/>
        </w:rPr>
        <w:t>储业。信息</w:t>
      </w:r>
      <w:r>
        <w:rPr>
          <w:rFonts w:ascii="宋体" w:hAnsi="宋体" w:cs="宋体"/>
          <w:sz w:val="20"/>
          <w:szCs w:val="20"/>
        </w:rPr>
        <w:t xml:space="preserve"> </w:t>
      </w:r>
      <w:r>
        <w:rPr>
          <w:rFonts w:ascii="宋体" w:hAnsi="宋体" w:cs="宋体"/>
          <w:spacing w:val="9"/>
          <w:sz w:val="20"/>
          <w:szCs w:val="20"/>
        </w:rPr>
        <w:t>传输业包括电信、广播电视和卫星传输服务，互联网和相关服务。其他未列明行业包括科学</w:t>
      </w:r>
      <w:r>
        <w:rPr>
          <w:rFonts w:ascii="宋体" w:hAnsi="宋体" w:cs="宋体"/>
          <w:spacing w:val="8"/>
          <w:sz w:val="20"/>
          <w:szCs w:val="20"/>
        </w:rPr>
        <w:t>研究和技术</w:t>
      </w:r>
      <w:r>
        <w:rPr>
          <w:rFonts w:ascii="宋体" w:hAnsi="宋体" w:cs="宋体"/>
          <w:sz w:val="20"/>
          <w:szCs w:val="20"/>
        </w:rPr>
        <w:t xml:space="preserve"> </w:t>
      </w:r>
      <w:r>
        <w:rPr>
          <w:rFonts w:ascii="宋体" w:hAnsi="宋体" w:cs="宋体"/>
          <w:spacing w:val="9"/>
          <w:sz w:val="20"/>
          <w:szCs w:val="20"/>
        </w:rPr>
        <w:t>服务业，水利、环境和公共设施管理业，居民服务、修理和其他服务业，社会工作，文化、</w:t>
      </w:r>
      <w:r>
        <w:rPr>
          <w:rFonts w:ascii="宋体" w:hAnsi="宋体" w:cs="宋体"/>
          <w:spacing w:val="8"/>
          <w:sz w:val="20"/>
          <w:szCs w:val="20"/>
        </w:rPr>
        <w:t>体育和娱乐</w:t>
      </w:r>
      <w:r>
        <w:rPr>
          <w:rFonts w:ascii="宋体" w:hAnsi="宋体" w:cs="宋体"/>
          <w:sz w:val="20"/>
          <w:szCs w:val="20"/>
        </w:rPr>
        <w:t xml:space="preserve"> </w:t>
      </w:r>
      <w:r>
        <w:rPr>
          <w:rFonts w:ascii="宋体" w:hAnsi="宋体" w:cs="宋体"/>
          <w:spacing w:val="8"/>
          <w:sz w:val="20"/>
          <w:szCs w:val="20"/>
        </w:rPr>
        <w:t>业，</w:t>
      </w:r>
      <w:r>
        <w:rPr>
          <w:rFonts w:ascii="宋体" w:hAnsi="宋体" w:cs="宋体"/>
          <w:spacing w:val="-54"/>
          <w:sz w:val="20"/>
          <w:szCs w:val="20"/>
        </w:rPr>
        <w:t xml:space="preserve"> </w:t>
      </w:r>
      <w:r>
        <w:rPr>
          <w:rFonts w:ascii="宋体" w:hAnsi="宋体" w:cs="宋体"/>
          <w:spacing w:val="8"/>
          <w:sz w:val="20"/>
          <w:szCs w:val="20"/>
        </w:rPr>
        <w:t>以及房地产中介服务，其他房地产业等，不包括自有房地产经营活动。</w:t>
      </w:r>
    </w:p>
    <w:p w14:paraId="7E74A198">
      <w:pPr>
        <w:spacing w:before="14" w:line="237" w:lineRule="auto"/>
        <w:ind w:left="25" w:firstLine="425"/>
      </w:pPr>
      <w:r>
        <w:rPr>
          <w:rFonts w:ascii="宋体" w:hAnsi="宋体" w:cs="宋体"/>
          <w:spacing w:val="11"/>
          <w:sz w:val="20"/>
          <w:szCs w:val="20"/>
        </w:rPr>
        <w:t>3.企业划分指标以现行统计制度为准。（1）从业人员，是指期末从业人员</w:t>
      </w:r>
      <w:r>
        <w:rPr>
          <w:rFonts w:ascii="宋体" w:hAnsi="宋体" w:cs="宋体"/>
          <w:spacing w:val="10"/>
          <w:sz w:val="20"/>
          <w:szCs w:val="20"/>
        </w:rPr>
        <w:t>数，没有期末从业人员</w:t>
      </w:r>
      <w:r>
        <w:rPr>
          <w:rFonts w:ascii="宋体" w:hAnsi="宋体" w:cs="宋体"/>
          <w:sz w:val="20"/>
          <w:szCs w:val="20"/>
        </w:rPr>
        <w:t xml:space="preserve"> </w:t>
      </w:r>
      <w:r>
        <w:rPr>
          <w:rFonts w:ascii="宋体" w:hAnsi="宋体" w:cs="宋体"/>
          <w:spacing w:val="11"/>
          <w:sz w:val="20"/>
          <w:szCs w:val="20"/>
        </w:rPr>
        <w:t>数的，采用全年平均人员数代替。（2）营业收入，工业、建筑业、限额以上批发和零售业、限额以上</w:t>
      </w:r>
      <w:r>
        <w:rPr>
          <w:rFonts w:ascii="宋体" w:hAnsi="宋体" w:cs="宋体"/>
          <w:spacing w:val="4"/>
          <w:sz w:val="20"/>
          <w:szCs w:val="20"/>
        </w:rPr>
        <w:t xml:space="preserve"> </w:t>
      </w:r>
      <w:r>
        <w:rPr>
          <w:rFonts w:ascii="宋体" w:hAnsi="宋体" w:cs="宋体"/>
          <w:spacing w:val="9"/>
          <w:sz w:val="20"/>
          <w:szCs w:val="20"/>
        </w:rPr>
        <w:t>住宿和餐饮业以及其他设置主营业务收入指标的行业，采用主营业务收入。限额以下批发</w:t>
      </w:r>
      <w:r>
        <w:rPr>
          <w:rFonts w:ascii="宋体" w:hAnsi="宋体" w:cs="宋体"/>
          <w:spacing w:val="8"/>
          <w:sz w:val="20"/>
          <w:szCs w:val="20"/>
        </w:rPr>
        <w:t>与零售业企业</w:t>
      </w:r>
      <w:r>
        <w:rPr>
          <w:rFonts w:ascii="宋体" w:hAnsi="宋体" w:cs="宋体"/>
          <w:sz w:val="20"/>
          <w:szCs w:val="20"/>
        </w:rPr>
        <w:t xml:space="preserve"> </w:t>
      </w:r>
      <w:r>
        <w:rPr>
          <w:rFonts w:ascii="宋体" w:hAnsi="宋体" w:cs="宋体"/>
          <w:spacing w:val="9"/>
          <w:sz w:val="20"/>
          <w:szCs w:val="20"/>
        </w:rPr>
        <w:t>采用商品销售额代替。限额以下住宿与餐饮业企业采用营业额代替。农、林、牧、渔业企</w:t>
      </w:r>
      <w:r>
        <w:rPr>
          <w:rFonts w:ascii="宋体" w:hAnsi="宋体" w:cs="宋体"/>
          <w:spacing w:val="8"/>
          <w:sz w:val="20"/>
          <w:szCs w:val="20"/>
        </w:rPr>
        <w:t>业采用营业总</w:t>
      </w:r>
      <w:r>
        <w:rPr>
          <w:rFonts w:ascii="宋体" w:hAnsi="宋体" w:cs="宋体"/>
          <w:sz w:val="20"/>
          <w:szCs w:val="20"/>
        </w:rPr>
        <w:t xml:space="preserve"> </w:t>
      </w:r>
      <w:r>
        <w:rPr>
          <w:rFonts w:ascii="宋体" w:hAnsi="宋体" w:cs="宋体"/>
          <w:spacing w:val="8"/>
          <w:sz w:val="20"/>
          <w:szCs w:val="20"/>
        </w:rPr>
        <w:t>收入代替。其他未设置主营业务收入的行业，采用营业收入指标。（3）资产总额，采用资产总计代替。</w:t>
      </w:r>
    </w:p>
    <w:sectPr>
      <w:footerReference r:id="rId17" w:type="default"/>
      <w:pgSz w:w="11906" w:h="16838"/>
      <w:pgMar w:top="1304" w:right="1304" w:bottom="1304" w:left="1304"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monospace">
    <w:altName w:val="Arial"/>
    <w:panose1 w:val="00000000000000000000"/>
    <w:charset w:val="00"/>
    <w:family w:val="auto"/>
    <w:pitch w:val="default"/>
    <w:sig w:usb0="00000000" w:usb1="00000000" w:usb2="00000000" w:usb3="00000000" w:csb0="00000000" w:csb1="00000000"/>
  </w:font>
  <w:font w:name="华文楷体">
    <w:altName w:val="楷体_GB2312"/>
    <w:panose1 w:val="00000000000000000000"/>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Univers LT Std 45 Light">
    <w:altName w:val="宋体"/>
    <w:panose1 w:val="00000000000000000000"/>
    <w:charset w:val="86"/>
    <w:family w:val="swiss"/>
    <w:pitch w:val="default"/>
    <w:sig w:usb0="00000000" w:usb1="00000000" w:usb2="00000010"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Arial"/>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54D2D">
    <w:pPr>
      <w:pStyle w:val="23"/>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BF89D">
                          <w:pPr>
                            <w:pStyle w:val="2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BABF89D">
                    <w:pPr>
                      <w:pStyle w:val="2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F1C3C">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F08C3">
    <w:pPr>
      <w:pStyle w:val="23"/>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0BFB2">
                          <w:pPr>
                            <w:pStyle w:val="2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48A0BFB2">
                    <w:pPr>
                      <w:pStyle w:val="2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C2CF7">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4F1D0">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9F4F1D0">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9DEC1">
    <w:pPr>
      <w:pStyle w:val="2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3DA1E">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783DA1E">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E31F4">
    <w:pPr>
      <w:pStyle w:val="2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3139A">
                          <w:pPr>
                            <w:pStyle w:val="2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703139A">
                    <w:pPr>
                      <w:pStyle w:val="2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2FA1">
    <w:pPr>
      <w:pStyle w:val="2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C8F1A">
                          <w:pPr>
                            <w:pStyle w:val="23"/>
                            <w:jc w:val="center"/>
                            <w:rPr>
                              <w:rStyle w:val="39"/>
                            </w:rPr>
                          </w:pPr>
                          <w:r>
                            <w:fldChar w:fldCharType="begin"/>
                          </w:r>
                          <w:r>
                            <w:rPr>
                              <w:rStyle w:val="39"/>
                            </w:rPr>
                            <w:instrText xml:space="preserve">PAGE  </w:instrText>
                          </w:r>
                          <w:r>
                            <w:fldChar w:fldCharType="separate"/>
                          </w:r>
                          <w:r>
                            <w:rPr>
                              <w:rStyle w:val="39"/>
                            </w:rP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46C8F1A">
                    <w:pPr>
                      <w:pStyle w:val="23"/>
                      <w:jc w:val="center"/>
                      <w:rPr>
                        <w:rStyle w:val="39"/>
                      </w:rPr>
                    </w:pPr>
                    <w:r>
                      <w:fldChar w:fldCharType="begin"/>
                    </w:r>
                    <w:r>
                      <w:rPr>
                        <w:rStyle w:val="39"/>
                      </w:rPr>
                      <w:instrText xml:space="preserve">PAGE  </w:instrText>
                    </w:r>
                    <w:r>
                      <w:fldChar w:fldCharType="separate"/>
                    </w:r>
                    <w:r>
                      <w:rPr>
                        <w:rStyle w:val="39"/>
                      </w:rPr>
                      <w:t>41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3FA50">
    <w:pPr>
      <w:spacing w:line="176" w:lineRule="auto"/>
      <w:ind w:left="4654"/>
      <w:rPr>
        <w:rFonts w:eastAsia="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A6875">
                          <w:pPr>
                            <w:pStyle w:val="2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D4A6875">
                    <w:pPr>
                      <w:pStyle w:val="2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32E43">
    <w:pPr>
      <w:spacing w:line="176" w:lineRule="auto"/>
      <w:ind w:left="4651"/>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E98F7">
                          <w:pPr>
                            <w:pStyle w:val="2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2B7E98F7">
                    <w:pPr>
                      <w:pStyle w:val="2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E4E97">
    <w:pPr>
      <w:pStyle w:val="24"/>
      <w:tabs>
        <w:tab w:val="center" w:pos="0"/>
        <w:tab w:val="left" w:pos="8306"/>
        <w:tab w:val="clear" w:pos="4153"/>
      </w:tabs>
    </w:pPr>
    <w:r>
      <w:drawing>
        <wp:anchor distT="0" distB="0" distL="114300" distR="114300" simplePos="0" relativeHeight="251659264" behindDoc="0" locked="0" layoutInCell="1" allowOverlap="1">
          <wp:simplePos x="0" y="0"/>
          <wp:positionH relativeFrom="column">
            <wp:posOffset>410845</wp:posOffset>
          </wp:positionH>
          <wp:positionV relativeFrom="paragraph">
            <wp:posOffset>-78105</wp:posOffset>
          </wp:positionV>
          <wp:extent cx="349885" cy="302895"/>
          <wp:effectExtent l="0" t="0" r="12065" b="1905"/>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349885" cy="302895"/>
                  </a:xfrm>
                  <a:prstGeom prst="rect">
                    <a:avLst/>
                  </a:prstGeom>
                  <a:noFill/>
                  <a:ln>
                    <a:noFill/>
                  </a:ln>
                </pic:spPr>
              </pic:pic>
            </a:graphicData>
          </a:graphic>
        </wp:anchor>
      </w:drawing>
    </w:r>
    <w:r>
      <w:rPr>
        <w:rFonts w:hint="eastAsia"/>
      </w:rPr>
      <w:t>兽医实验室仪器设备采购（重）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71DD">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33AD4">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9CE7A">
    <w:pPr>
      <w:pStyle w:val="24"/>
      <w:ind w:right="360" w:firstLine="360" w:firstLineChars="200"/>
      <w:jc w:val="both"/>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B2291"/>
    <w:multiLevelType w:val="singleLevel"/>
    <w:tmpl w:val="834B2291"/>
    <w:lvl w:ilvl="0" w:tentative="0">
      <w:start w:val="1"/>
      <w:numFmt w:val="decimal"/>
      <w:lvlText w:val="%1."/>
      <w:lvlJc w:val="left"/>
      <w:pPr>
        <w:ind w:left="425" w:hanging="425"/>
      </w:pPr>
      <w:rPr>
        <w:rFonts w:hint="default"/>
      </w:rPr>
    </w:lvl>
  </w:abstractNum>
  <w:abstractNum w:abstractNumId="1">
    <w:nsid w:val="89AA9D38"/>
    <w:multiLevelType w:val="singleLevel"/>
    <w:tmpl w:val="89AA9D38"/>
    <w:lvl w:ilvl="0" w:tentative="0">
      <w:start w:val="1"/>
      <w:numFmt w:val="decimal"/>
      <w:lvlText w:val="%1."/>
      <w:lvlJc w:val="left"/>
      <w:pPr>
        <w:ind w:left="425" w:hanging="425"/>
      </w:pPr>
      <w:rPr>
        <w:rFonts w:hint="default"/>
      </w:rPr>
    </w:lvl>
  </w:abstractNum>
  <w:abstractNum w:abstractNumId="2">
    <w:nsid w:val="8C8C23A0"/>
    <w:multiLevelType w:val="singleLevel"/>
    <w:tmpl w:val="8C8C23A0"/>
    <w:lvl w:ilvl="0" w:tentative="0">
      <w:start w:val="1"/>
      <w:numFmt w:val="decimal"/>
      <w:lvlText w:val="%1."/>
      <w:lvlJc w:val="left"/>
      <w:pPr>
        <w:ind w:left="425" w:hanging="425"/>
      </w:pPr>
      <w:rPr>
        <w:rFonts w:hint="default"/>
      </w:rPr>
    </w:lvl>
  </w:abstractNum>
  <w:abstractNum w:abstractNumId="3">
    <w:nsid w:val="B7EDBD3A"/>
    <w:multiLevelType w:val="singleLevel"/>
    <w:tmpl w:val="B7EDBD3A"/>
    <w:lvl w:ilvl="0" w:tentative="0">
      <w:start w:val="1"/>
      <w:numFmt w:val="decimal"/>
      <w:lvlText w:val="%1."/>
      <w:lvlJc w:val="left"/>
      <w:pPr>
        <w:tabs>
          <w:tab w:val="left" w:pos="312"/>
        </w:tabs>
      </w:pPr>
    </w:lvl>
  </w:abstractNum>
  <w:abstractNum w:abstractNumId="4">
    <w:nsid w:val="BF6BC116"/>
    <w:multiLevelType w:val="singleLevel"/>
    <w:tmpl w:val="BF6BC116"/>
    <w:lvl w:ilvl="0" w:tentative="0">
      <w:start w:val="16"/>
      <w:numFmt w:val="decimal"/>
      <w:suff w:val="space"/>
      <w:lvlText w:val="%1."/>
      <w:lvlJc w:val="left"/>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110AACF"/>
    <w:multiLevelType w:val="singleLevel"/>
    <w:tmpl w:val="D110AACF"/>
    <w:lvl w:ilvl="0" w:tentative="0">
      <w:start w:val="1"/>
      <w:numFmt w:val="decimal"/>
      <w:lvlText w:val="%1."/>
      <w:lvlJc w:val="left"/>
      <w:pPr>
        <w:ind w:left="425" w:hanging="425"/>
      </w:pPr>
      <w:rPr>
        <w:rFonts w:hint="default"/>
      </w:rPr>
    </w:lvl>
  </w:abstractNum>
  <w:abstractNum w:abstractNumId="7">
    <w:nsid w:val="DC025A2F"/>
    <w:multiLevelType w:val="singleLevel"/>
    <w:tmpl w:val="DC025A2F"/>
    <w:lvl w:ilvl="0" w:tentative="0">
      <w:start w:val="1"/>
      <w:numFmt w:val="decimal"/>
      <w:lvlText w:val="%1."/>
      <w:lvlJc w:val="left"/>
      <w:pPr>
        <w:ind w:left="425" w:hanging="425"/>
      </w:pPr>
      <w:rPr>
        <w:rFonts w:hint="default"/>
      </w:rPr>
    </w:lvl>
  </w:abstractNum>
  <w:abstractNum w:abstractNumId="8">
    <w:nsid w:val="DDECD3BC"/>
    <w:multiLevelType w:val="singleLevel"/>
    <w:tmpl w:val="DDECD3BC"/>
    <w:lvl w:ilvl="0" w:tentative="0">
      <w:start w:val="6"/>
      <w:numFmt w:val="decimal"/>
      <w:suff w:val="space"/>
      <w:lvlText w:val="%1."/>
      <w:lvlJc w:val="left"/>
    </w:lvl>
  </w:abstractNum>
  <w:abstractNum w:abstractNumId="9">
    <w:nsid w:val="DE759F4B"/>
    <w:multiLevelType w:val="singleLevel"/>
    <w:tmpl w:val="DE759F4B"/>
    <w:lvl w:ilvl="0" w:tentative="0">
      <w:start w:val="2"/>
      <w:numFmt w:val="decimal"/>
      <w:suff w:val="space"/>
      <w:lvlText w:val="%1."/>
      <w:lvlJc w:val="left"/>
    </w:lvl>
  </w:abstractNum>
  <w:abstractNum w:abstractNumId="10">
    <w:nsid w:val="DEABE1DB"/>
    <w:multiLevelType w:val="singleLevel"/>
    <w:tmpl w:val="DEABE1DB"/>
    <w:lvl w:ilvl="0" w:tentative="0">
      <w:start w:val="23"/>
      <w:numFmt w:val="decimal"/>
      <w:suff w:val="space"/>
      <w:lvlText w:val="%1."/>
      <w:lvlJc w:val="left"/>
    </w:lvl>
  </w:abstractNum>
  <w:abstractNum w:abstractNumId="11">
    <w:nsid w:val="E96E88E0"/>
    <w:multiLevelType w:val="singleLevel"/>
    <w:tmpl w:val="E96E88E0"/>
    <w:lvl w:ilvl="0" w:tentative="0">
      <w:start w:val="1"/>
      <w:numFmt w:val="decimal"/>
      <w:lvlText w:val="(%1)"/>
      <w:lvlJc w:val="left"/>
      <w:pPr>
        <w:ind w:left="425" w:hanging="425"/>
      </w:pPr>
      <w:rPr>
        <w:rFonts w:hint="default"/>
      </w:rPr>
    </w:lvl>
  </w:abstractNum>
  <w:abstractNum w:abstractNumId="12">
    <w:nsid w:val="E9C7514B"/>
    <w:multiLevelType w:val="singleLevel"/>
    <w:tmpl w:val="E9C7514B"/>
    <w:lvl w:ilvl="0" w:tentative="0">
      <w:start w:val="1"/>
      <w:numFmt w:val="decimal"/>
      <w:lvlText w:val="%1."/>
      <w:lvlJc w:val="left"/>
      <w:pPr>
        <w:ind w:left="425" w:hanging="425"/>
      </w:pPr>
      <w:rPr>
        <w:rFonts w:hint="default"/>
      </w:rPr>
    </w:lvl>
  </w:abstractNum>
  <w:abstractNum w:abstractNumId="13">
    <w:nsid w:val="FFEFC674"/>
    <w:multiLevelType w:val="singleLevel"/>
    <w:tmpl w:val="FFEFC674"/>
    <w:lvl w:ilvl="0" w:tentative="0">
      <w:start w:val="1"/>
      <w:numFmt w:val="decimal"/>
      <w:suff w:val="nothing"/>
      <w:lvlText w:val="（%1）"/>
      <w:lvlJc w:val="left"/>
    </w:lvl>
  </w:abstractNum>
  <w:abstractNum w:abstractNumId="14">
    <w:nsid w:val="0000000A"/>
    <w:multiLevelType w:val="multilevel"/>
    <w:tmpl w:val="0000000A"/>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5">
    <w:nsid w:val="0000000B"/>
    <w:multiLevelType w:val="multilevel"/>
    <w:tmpl w:val="0000000B"/>
    <w:lvl w:ilvl="0" w:tentative="0">
      <w:start w:val="1"/>
      <w:numFmt w:val="lowerLetter"/>
      <w:pStyle w:val="136"/>
      <w:lvlText w:val="%1)"/>
      <w:lvlJc w:val="left"/>
      <w:pPr>
        <w:tabs>
          <w:tab w:val="left" w:pos="1440"/>
        </w:tabs>
        <w:ind w:left="1440" w:hanging="360"/>
      </w:pPr>
      <w:rPr>
        <w:rFonts w:hint="default" w:ascii="Arial" w:hAnsi="Arial" w:eastAsia="宋体"/>
        <w:b w:val="0"/>
        <w:i w:val="0"/>
        <w:color w:val="auto"/>
        <w:sz w:val="24"/>
        <w:szCs w:val="24"/>
      </w:rPr>
    </w:lvl>
    <w:lvl w:ilvl="1" w:tentative="0">
      <w:start w:val="1"/>
      <w:numFmt w:val="decimal"/>
      <w:lvlText w:val="%2)"/>
      <w:lvlJc w:val="left"/>
      <w:pPr>
        <w:tabs>
          <w:tab w:val="left" w:pos="1800"/>
        </w:tabs>
        <w:ind w:left="1800" w:hanging="360"/>
      </w:pPr>
      <w:rPr>
        <w:rFonts w:hint="default" w:ascii="Arial" w:hAnsi="Arial" w:eastAsia="宋体"/>
        <w:b w:val="0"/>
        <w:i w:val="0"/>
        <w:color w:val="auto"/>
        <w:sz w:val="24"/>
        <w:szCs w:val="24"/>
      </w:rPr>
    </w:lvl>
    <w:lvl w:ilvl="2" w:tentative="0">
      <w:start w:val="1"/>
      <w:numFmt w:val="lowerRoman"/>
      <w:lvlText w:val="%3)"/>
      <w:lvlJc w:val="left"/>
      <w:pPr>
        <w:tabs>
          <w:tab w:val="left" w:pos="2520"/>
        </w:tabs>
        <w:ind w:left="2520" w:hanging="720"/>
      </w:pPr>
      <w:rPr>
        <w:rFonts w:hint="default" w:ascii="Arial" w:hAnsi="Arial" w:eastAsia="宋体"/>
        <w:b w:val="0"/>
        <w:i w:val="0"/>
        <w:color w:val="auto"/>
        <w:sz w:val="24"/>
        <w:szCs w:val="24"/>
      </w:rPr>
    </w:lvl>
    <w:lvl w:ilvl="3" w:tentative="0">
      <w:start w:val="1"/>
      <w:numFmt w:val="upperRoman"/>
      <w:lvlText w:val="(%4)"/>
      <w:lvlJc w:val="left"/>
      <w:pPr>
        <w:tabs>
          <w:tab w:val="left" w:pos="3240"/>
        </w:tabs>
        <w:ind w:left="3240" w:hanging="720"/>
      </w:pPr>
      <w:rPr>
        <w:rFonts w:hint="default" w:ascii="Arial" w:hAnsi="Arial" w:eastAsia="宋体"/>
        <w:b w:val="0"/>
        <w:i w:val="0"/>
        <w:color w:val="auto"/>
        <w:sz w:val="22"/>
      </w:rPr>
    </w:lvl>
    <w:lvl w:ilvl="4" w:tentative="0">
      <w:start w:val="1"/>
      <w:numFmt w:val="bullet"/>
      <w:lvlText w:val=""/>
      <w:lvlJc w:val="left"/>
      <w:pPr>
        <w:tabs>
          <w:tab w:val="left" w:pos="3600"/>
        </w:tabs>
        <w:ind w:left="3600" w:hanging="360"/>
      </w:pPr>
      <w:rPr>
        <w:rFonts w:hint="default"/>
        <w:b w:val="0"/>
        <w:i w:val="0"/>
        <w:color w:val="auto"/>
        <w:sz w:val="22"/>
      </w:rPr>
    </w:lvl>
    <w:lvl w:ilvl="5" w:tentative="0">
      <w:start w:val="1"/>
      <w:numFmt w:val="bullet"/>
      <w:lvlText w:val=""/>
      <w:lvlJc w:val="left"/>
      <w:pPr>
        <w:tabs>
          <w:tab w:val="left" w:pos="3960"/>
        </w:tabs>
        <w:ind w:left="3960" w:hanging="360"/>
      </w:pPr>
      <w:rPr>
        <w:rFonts w:hint="default" w:ascii="Arial" w:hAnsi="Arial" w:eastAsia="宋体"/>
        <w:b w:val="0"/>
        <w:i w:val="0"/>
        <w:color w:val="auto"/>
        <w:sz w:val="22"/>
      </w:rPr>
    </w:lvl>
    <w:lvl w:ilvl="6" w:tentative="0">
      <w:start w:val="1"/>
      <w:numFmt w:val="decimal"/>
      <w:lvlText w:val="%7."/>
      <w:lvlJc w:val="left"/>
      <w:pPr>
        <w:tabs>
          <w:tab w:val="left" w:pos="4320"/>
        </w:tabs>
        <w:ind w:left="4320" w:hanging="360"/>
      </w:pPr>
      <w:rPr>
        <w:rFonts w:hint="eastAsia"/>
      </w:rPr>
    </w:lvl>
    <w:lvl w:ilvl="7" w:tentative="0">
      <w:start w:val="1"/>
      <w:numFmt w:val="lowerLetter"/>
      <w:lvlText w:val="%8."/>
      <w:lvlJc w:val="left"/>
      <w:pPr>
        <w:tabs>
          <w:tab w:val="left" w:pos="4680"/>
        </w:tabs>
        <w:ind w:left="4680" w:hanging="360"/>
      </w:pPr>
      <w:rPr>
        <w:rFonts w:hint="eastAsia"/>
      </w:rPr>
    </w:lvl>
    <w:lvl w:ilvl="8" w:tentative="0">
      <w:start w:val="1"/>
      <w:numFmt w:val="lowerRoman"/>
      <w:lvlText w:val="%9."/>
      <w:lvlJc w:val="left"/>
      <w:pPr>
        <w:tabs>
          <w:tab w:val="left" w:pos="5040"/>
        </w:tabs>
        <w:ind w:left="5040" w:hanging="360"/>
      </w:pPr>
      <w:rPr>
        <w:rFonts w:hint="eastAsia"/>
      </w:rPr>
    </w:lvl>
  </w:abstractNum>
  <w:abstractNum w:abstractNumId="16">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68" w:hanging="322"/>
      </w:pPr>
      <w:rPr>
        <w:rFonts w:hint="default"/>
        <w:lang w:val="zh-CN" w:eastAsia="zh-CN" w:bidi="zh-CN"/>
      </w:rPr>
    </w:lvl>
    <w:lvl w:ilvl="2" w:tentative="0">
      <w:start w:val="0"/>
      <w:numFmt w:val="bullet"/>
      <w:lvlText w:val="•"/>
      <w:lvlJc w:val="left"/>
      <w:pPr>
        <w:ind w:left="1937" w:hanging="322"/>
      </w:pPr>
      <w:rPr>
        <w:rFonts w:hint="default"/>
        <w:lang w:val="zh-CN" w:eastAsia="zh-CN" w:bidi="zh-CN"/>
      </w:rPr>
    </w:lvl>
    <w:lvl w:ilvl="3" w:tentative="0">
      <w:start w:val="0"/>
      <w:numFmt w:val="bullet"/>
      <w:lvlText w:val="•"/>
      <w:lvlJc w:val="left"/>
      <w:pPr>
        <w:ind w:left="2805" w:hanging="322"/>
      </w:pPr>
      <w:rPr>
        <w:rFonts w:hint="default"/>
        <w:lang w:val="zh-CN" w:eastAsia="zh-CN" w:bidi="zh-CN"/>
      </w:rPr>
    </w:lvl>
    <w:lvl w:ilvl="4" w:tentative="0">
      <w:start w:val="0"/>
      <w:numFmt w:val="bullet"/>
      <w:lvlText w:val="•"/>
      <w:lvlJc w:val="left"/>
      <w:pPr>
        <w:ind w:left="3674" w:hanging="322"/>
      </w:pPr>
      <w:rPr>
        <w:rFonts w:hint="default"/>
        <w:lang w:val="zh-CN" w:eastAsia="zh-CN" w:bidi="zh-CN"/>
      </w:rPr>
    </w:lvl>
    <w:lvl w:ilvl="5" w:tentative="0">
      <w:start w:val="0"/>
      <w:numFmt w:val="bullet"/>
      <w:lvlText w:val="•"/>
      <w:lvlJc w:val="left"/>
      <w:pPr>
        <w:ind w:left="4543" w:hanging="322"/>
      </w:pPr>
      <w:rPr>
        <w:rFonts w:hint="default"/>
        <w:lang w:val="zh-CN" w:eastAsia="zh-CN" w:bidi="zh-CN"/>
      </w:rPr>
    </w:lvl>
    <w:lvl w:ilvl="6" w:tentative="0">
      <w:start w:val="0"/>
      <w:numFmt w:val="bullet"/>
      <w:lvlText w:val="•"/>
      <w:lvlJc w:val="left"/>
      <w:pPr>
        <w:ind w:left="5411" w:hanging="322"/>
      </w:pPr>
      <w:rPr>
        <w:rFonts w:hint="default"/>
        <w:lang w:val="zh-CN" w:eastAsia="zh-CN" w:bidi="zh-CN"/>
      </w:rPr>
    </w:lvl>
    <w:lvl w:ilvl="7" w:tentative="0">
      <w:start w:val="0"/>
      <w:numFmt w:val="bullet"/>
      <w:lvlText w:val="•"/>
      <w:lvlJc w:val="left"/>
      <w:pPr>
        <w:ind w:left="6280" w:hanging="322"/>
      </w:pPr>
      <w:rPr>
        <w:rFonts w:hint="default"/>
        <w:lang w:val="zh-CN" w:eastAsia="zh-CN" w:bidi="zh-CN"/>
      </w:rPr>
    </w:lvl>
    <w:lvl w:ilvl="8" w:tentative="0">
      <w:start w:val="0"/>
      <w:numFmt w:val="bullet"/>
      <w:lvlText w:val="•"/>
      <w:lvlJc w:val="left"/>
      <w:pPr>
        <w:ind w:left="7148" w:hanging="322"/>
      </w:pPr>
      <w:rPr>
        <w:rFonts w:hint="default"/>
        <w:lang w:val="zh-CN" w:eastAsia="zh-CN" w:bidi="zh-CN"/>
      </w:rPr>
    </w:lvl>
  </w:abstractNum>
  <w:abstractNum w:abstractNumId="17">
    <w:nsid w:val="09893B40"/>
    <w:multiLevelType w:val="singleLevel"/>
    <w:tmpl w:val="09893B40"/>
    <w:lvl w:ilvl="0" w:tentative="0">
      <w:start w:val="1"/>
      <w:numFmt w:val="decimal"/>
      <w:lvlText w:val="%1."/>
      <w:lvlJc w:val="left"/>
      <w:pPr>
        <w:ind w:left="425" w:hanging="425"/>
      </w:pPr>
      <w:rPr>
        <w:rFonts w:hint="default"/>
      </w:rPr>
    </w:lvl>
  </w:abstractNum>
  <w:abstractNum w:abstractNumId="18">
    <w:nsid w:val="0FB16A35"/>
    <w:multiLevelType w:val="singleLevel"/>
    <w:tmpl w:val="0FB16A35"/>
    <w:lvl w:ilvl="0" w:tentative="0">
      <w:start w:val="1"/>
      <w:numFmt w:val="decimal"/>
      <w:lvlText w:val="%1."/>
      <w:lvlJc w:val="left"/>
      <w:pPr>
        <w:ind w:left="425" w:hanging="425"/>
      </w:pPr>
      <w:rPr>
        <w:rFonts w:hint="default"/>
      </w:rPr>
    </w:lvl>
  </w:abstractNum>
  <w:abstractNum w:abstractNumId="19">
    <w:nsid w:val="199DC9B7"/>
    <w:multiLevelType w:val="singleLevel"/>
    <w:tmpl w:val="199DC9B7"/>
    <w:lvl w:ilvl="0" w:tentative="0">
      <w:start w:val="1"/>
      <w:numFmt w:val="decimal"/>
      <w:lvlText w:val="(%1)"/>
      <w:lvlJc w:val="left"/>
      <w:pPr>
        <w:ind w:left="425" w:hanging="425"/>
      </w:pPr>
      <w:rPr>
        <w:rFonts w:hint="default"/>
      </w:rPr>
    </w:lvl>
  </w:abstractNum>
  <w:abstractNum w:abstractNumId="20">
    <w:nsid w:val="26E2ACAE"/>
    <w:multiLevelType w:val="singleLevel"/>
    <w:tmpl w:val="26E2ACAE"/>
    <w:lvl w:ilvl="0" w:tentative="0">
      <w:start w:val="1"/>
      <w:numFmt w:val="decimal"/>
      <w:lvlText w:val="%1."/>
      <w:lvlJc w:val="left"/>
      <w:pPr>
        <w:ind w:left="425" w:hanging="425"/>
      </w:pPr>
      <w:rPr>
        <w:rFonts w:hint="default"/>
      </w:rPr>
    </w:lvl>
  </w:abstractNum>
  <w:abstractNum w:abstractNumId="21">
    <w:nsid w:val="27CB42BA"/>
    <w:multiLevelType w:val="singleLevel"/>
    <w:tmpl w:val="27CB42BA"/>
    <w:lvl w:ilvl="0" w:tentative="0">
      <w:start w:val="1"/>
      <w:numFmt w:val="decimal"/>
      <w:lvlText w:val="(%1)"/>
      <w:lvlJc w:val="left"/>
      <w:pPr>
        <w:ind w:left="425" w:hanging="425"/>
      </w:pPr>
      <w:rPr>
        <w:rFonts w:hint="default"/>
      </w:rPr>
    </w:lvl>
  </w:abstractNum>
  <w:abstractNum w:abstractNumId="22">
    <w:nsid w:val="27EB7233"/>
    <w:multiLevelType w:val="singleLevel"/>
    <w:tmpl w:val="27EB7233"/>
    <w:lvl w:ilvl="0" w:tentative="0">
      <w:start w:val="1"/>
      <w:numFmt w:val="decimal"/>
      <w:lvlText w:val="%1."/>
      <w:lvlJc w:val="left"/>
      <w:pPr>
        <w:ind w:left="425" w:hanging="425"/>
      </w:pPr>
      <w:rPr>
        <w:rFonts w:hint="default"/>
      </w:rPr>
    </w:lvl>
  </w:abstractNum>
  <w:abstractNum w:abstractNumId="23">
    <w:nsid w:val="315C6771"/>
    <w:multiLevelType w:val="singleLevel"/>
    <w:tmpl w:val="315C6771"/>
    <w:lvl w:ilvl="0" w:tentative="0">
      <w:start w:val="1"/>
      <w:numFmt w:val="decimal"/>
      <w:lvlText w:val="%1."/>
      <w:lvlJc w:val="left"/>
      <w:pPr>
        <w:ind w:left="425" w:hanging="425"/>
      </w:pPr>
      <w:rPr>
        <w:rFonts w:hint="default"/>
      </w:rPr>
    </w:lvl>
  </w:abstractNum>
  <w:abstractNum w:abstractNumId="24">
    <w:nsid w:val="3A9B85F7"/>
    <w:multiLevelType w:val="singleLevel"/>
    <w:tmpl w:val="3A9B85F7"/>
    <w:lvl w:ilvl="0" w:tentative="0">
      <w:start w:val="1"/>
      <w:numFmt w:val="decimal"/>
      <w:lvlText w:val="%1."/>
      <w:lvlJc w:val="left"/>
      <w:pPr>
        <w:ind w:left="425" w:hanging="425"/>
      </w:pPr>
      <w:rPr>
        <w:rFonts w:hint="default"/>
      </w:rPr>
    </w:lvl>
  </w:abstractNum>
  <w:abstractNum w:abstractNumId="25">
    <w:nsid w:val="5FF59C22"/>
    <w:multiLevelType w:val="singleLevel"/>
    <w:tmpl w:val="5FF59C22"/>
    <w:lvl w:ilvl="0" w:tentative="0">
      <w:start w:val="1"/>
      <w:numFmt w:val="decimal"/>
      <w:lvlText w:val="%1."/>
      <w:lvlJc w:val="left"/>
      <w:pPr>
        <w:ind w:left="425" w:hanging="425"/>
      </w:pPr>
      <w:rPr>
        <w:rFonts w:hint="default"/>
      </w:rPr>
    </w:lvl>
  </w:abstractNum>
  <w:abstractNum w:abstractNumId="26">
    <w:nsid w:val="643902D2"/>
    <w:multiLevelType w:val="singleLevel"/>
    <w:tmpl w:val="643902D2"/>
    <w:lvl w:ilvl="0" w:tentative="0">
      <w:start w:val="7"/>
      <w:numFmt w:val="decimal"/>
      <w:suff w:val="nothing"/>
      <w:lvlText w:val="（%1）"/>
      <w:lvlJc w:val="left"/>
    </w:lvl>
  </w:abstractNum>
  <w:abstractNum w:abstractNumId="27">
    <w:nsid w:val="663E9255"/>
    <w:multiLevelType w:val="singleLevel"/>
    <w:tmpl w:val="663E9255"/>
    <w:lvl w:ilvl="0" w:tentative="0">
      <w:start w:val="1"/>
      <w:numFmt w:val="decimal"/>
      <w:lvlText w:val="%1."/>
      <w:lvlJc w:val="left"/>
      <w:pPr>
        <w:ind w:left="425" w:hanging="425"/>
      </w:pPr>
      <w:rPr>
        <w:rFonts w:hint="default"/>
      </w:rPr>
    </w:lvl>
  </w:abstractNum>
  <w:abstractNum w:abstractNumId="28">
    <w:nsid w:val="66AF79F6"/>
    <w:multiLevelType w:val="singleLevel"/>
    <w:tmpl w:val="66AF79F6"/>
    <w:lvl w:ilvl="0" w:tentative="0">
      <w:start w:val="1"/>
      <w:numFmt w:val="decimal"/>
      <w:lvlText w:val="%1."/>
      <w:lvlJc w:val="left"/>
      <w:pPr>
        <w:ind w:left="425" w:hanging="425"/>
      </w:pPr>
      <w:rPr>
        <w:rFonts w:hint="default"/>
      </w:rPr>
    </w:lvl>
  </w:abstractNum>
  <w:abstractNum w:abstractNumId="29">
    <w:nsid w:val="6897E0A0"/>
    <w:multiLevelType w:val="singleLevel"/>
    <w:tmpl w:val="6897E0A0"/>
    <w:lvl w:ilvl="0" w:tentative="0">
      <w:start w:val="1"/>
      <w:numFmt w:val="decimal"/>
      <w:lvlText w:val="%1."/>
      <w:lvlJc w:val="left"/>
      <w:pPr>
        <w:ind w:left="425" w:hanging="425"/>
      </w:pPr>
      <w:rPr>
        <w:rFonts w:hint="default"/>
      </w:rPr>
    </w:lvl>
  </w:abstractNum>
  <w:abstractNum w:abstractNumId="30">
    <w:nsid w:val="73B33961"/>
    <w:multiLevelType w:val="singleLevel"/>
    <w:tmpl w:val="73B33961"/>
    <w:lvl w:ilvl="0" w:tentative="0">
      <w:start w:val="1"/>
      <w:numFmt w:val="decimal"/>
      <w:lvlText w:val="%1."/>
      <w:lvlJc w:val="left"/>
      <w:pPr>
        <w:ind w:left="425" w:hanging="425"/>
      </w:pPr>
      <w:rPr>
        <w:rFonts w:hint="default"/>
      </w:rPr>
    </w:lvl>
  </w:abstractNum>
  <w:abstractNum w:abstractNumId="31">
    <w:nsid w:val="73C23036"/>
    <w:multiLevelType w:val="multilevel"/>
    <w:tmpl w:val="73C23036"/>
    <w:lvl w:ilvl="0" w:tentative="0">
      <w:start w:val="1"/>
      <w:numFmt w:val="japaneseCounting"/>
      <w:lvlText w:val="第%1章"/>
      <w:lvlJc w:val="left"/>
      <w:pPr>
        <w:ind w:left="1440" w:hanging="1440"/>
      </w:pPr>
      <w:rPr>
        <w:rFonts w:hint="default"/>
        <w:sz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A0F6431"/>
    <w:multiLevelType w:val="singleLevel"/>
    <w:tmpl w:val="7A0F6431"/>
    <w:lvl w:ilvl="0" w:tentative="0">
      <w:start w:val="1"/>
      <w:numFmt w:val="decimal"/>
      <w:suff w:val="space"/>
      <w:lvlText w:val="%1."/>
      <w:lvlJc w:val="left"/>
    </w:lvl>
  </w:abstractNum>
  <w:num w:numId="1">
    <w:abstractNumId w:val="14"/>
  </w:num>
  <w:num w:numId="2">
    <w:abstractNumId w:val="15"/>
  </w:num>
  <w:num w:numId="3">
    <w:abstractNumId w:val="31"/>
  </w:num>
  <w:num w:numId="4">
    <w:abstractNumId w:val="26"/>
  </w:num>
  <w:num w:numId="5">
    <w:abstractNumId w:val="25"/>
  </w:num>
  <w:num w:numId="6">
    <w:abstractNumId w:val="21"/>
  </w:num>
  <w:num w:numId="7">
    <w:abstractNumId w:val="24"/>
  </w:num>
  <w:num w:numId="8">
    <w:abstractNumId w:val="28"/>
  </w:num>
  <w:num w:numId="9">
    <w:abstractNumId w:val="12"/>
  </w:num>
  <w:num w:numId="10">
    <w:abstractNumId w:val="6"/>
  </w:num>
  <w:num w:numId="11">
    <w:abstractNumId w:val="18"/>
  </w:num>
  <w:num w:numId="12">
    <w:abstractNumId w:val="20"/>
  </w:num>
  <w:num w:numId="13">
    <w:abstractNumId w:val="2"/>
  </w:num>
  <w:num w:numId="14">
    <w:abstractNumId w:val="30"/>
  </w:num>
  <w:num w:numId="15">
    <w:abstractNumId w:val="11"/>
  </w:num>
  <w:num w:numId="16">
    <w:abstractNumId w:val="19"/>
  </w:num>
  <w:num w:numId="17">
    <w:abstractNumId w:val="27"/>
  </w:num>
  <w:num w:numId="18">
    <w:abstractNumId w:val="1"/>
  </w:num>
  <w:num w:numId="19">
    <w:abstractNumId w:val="17"/>
  </w:num>
  <w:num w:numId="20">
    <w:abstractNumId w:val="7"/>
  </w:num>
  <w:num w:numId="21">
    <w:abstractNumId w:val="22"/>
  </w:num>
  <w:num w:numId="22">
    <w:abstractNumId w:val="23"/>
  </w:num>
  <w:num w:numId="23">
    <w:abstractNumId w:val="29"/>
  </w:num>
  <w:num w:numId="24">
    <w:abstractNumId w:val="0"/>
  </w:num>
  <w:num w:numId="25">
    <w:abstractNumId w:val="3"/>
  </w:num>
  <w:num w:numId="26">
    <w:abstractNumId w:val="32"/>
  </w:num>
  <w:num w:numId="27">
    <w:abstractNumId w:val="5"/>
  </w:num>
  <w:num w:numId="28">
    <w:abstractNumId w:val="13"/>
  </w:num>
  <w:num w:numId="29">
    <w:abstractNumId w:val="9"/>
  </w:num>
  <w:num w:numId="30">
    <w:abstractNumId w:val="8"/>
  </w:num>
  <w:num w:numId="31">
    <w:abstractNumId w:val="4"/>
  </w:num>
  <w:num w:numId="32">
    <w:abstractNumId w:val="1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MTk2NDY1ZDg0NjI5ODA4OGVkZDM0NmQxZmZmM2EifQ=="/>
  </w:docVars>
  <w:rsids>
    <w:rsidRoot w:val="00172A27"/>
    <w:rsid w:val="00000055"/>
    <w:rsid w:val="00000A10"/>
    <w:rsid w:val="00005638"/>
    <w:rsid w:val="00005A9B"/>
    <w:rsid w:val="00005E60"/>
    <w:rsid w:val="00005F89"/>
    <w:rsid w:val="000108F6"/>
    <w:rsid w:val="00012AA7"/>
    <w:rsid w:val="0001370D"/>
    <w:rsid w:val="00013931"/>
    <w:rsid w:val="000159B8"/>
    <w:rsid w:val="00016FC2"/>
    <w:rsid w:val="0002156F"/>
    <w:rsid w:val="00026049"/>
    <w:rsid w:val="000302BB"/>
    <w:rsid w:val="00030E5F"/>
    <w:rsid w:val="00031C75"/>
    <w:rsid w:val="0003209C"/>
    <w:rsid w:val="00033530"/>
    <w:rsid w:val="00033FE1"/>
    <w:rsid w:val="000353C0"/>
    <w:rsid w:val="00036683"/>
    <w:rsid w:val="000402D6"/>
    <w:rsid w:val="00041F7D"/>
    <w:rsid w:val="00042349"/>
    <w:rsid w:val="0004301E"/>
    <w:rsid w:val="00046C2F"/>
    <w:rsid w:val="00050621"/>
    <w:rsid w:val="000522AD"/>
    <w:rsid w:val="00056062"/>
    <w:rsid w:val="00056E0E"/>
    <w:rsid w:val="000615F7"/>
    <w:rsid w:val="00066867"/>
    <w:rsid w:val="00066A3C"/>
    <w:rsid w:val="00066FC2"/>
    <w:rsid w:val="0006760B"/>
    <w:rsid w:val="0006773C"/>
    <w:rsid w:val="00082558"/>
    <w:rsid w:val="0008484B"/>
    <w:rsid w:val="00086BD7"/>
    <w:rsid w:val="000A039E"/>
    <w:rsid w:val="000A1AA6"/>
    <w:rsid w:val="000A2D20"/>
    <w:rsid w:val="000A4B7F"/>
    <w:rsid w:val="000A6769"/>
    <w:rsid w:val="000B0F23"/>
    <w:rsid w:val="000B3FE8"/>
    <w:rsid w:val="000B7E15"/>
    <w:rsid w:val="000C1FF9"/>
    <w:rsid w:val="000C2BDE"/>
    <w:rsid w:val="000C407E"/>
    <w:rsid w:val="000C6845"/>
    <w:rsid w:val="000C74A8"/>
    <w:rsid w:val="000C772D"/>
    <w:rsid w:val="000D08CD"/>
    <w:rsid w:val="000D24F5"/>
    <w:rsid w:val="000D70F0"/>
    <w:rsid w:val="000E08E5"/>
    <w:rsid w:val="000E4D99"/>
    <w:rsid w:val="000E5DEA"/>
    <w:rsid w:val="000F242E"/>
    <w:rsid w:val="000F3709"/>
    <w:rsid w:val="000F7A29"/>
    <w:rsid w:val="000F7EBC"/>
    <w:rsid w:val="00100C18"/>
    <w:rsid w:val="00107502"/>
    <w:rsid w:val="00114FBD"/>
    <w:rsid w:val="0011578E"/>
    <w:rsid w:val="00116564"/>
    <w:rsid w:val="001206BB"/>
    <w:rsid w:val="00120EF3"/>
    <w:rsid w:val="00125555"/>
    <w:rsid w:val="00126F2B"/>
    <w:rsid w:val="001300B9"/>
    <w:rsid w:val="00131B8E"/>
    <w:rsid w:val="0013395F"/>
    <w:rsid w:val="00133C0B"/>
    <w:rsid w:val="00133D2E"/>
    <w:rsid w:val="00134203"/>
    <w:rsid w:val="00134F38"/>
    <w:rsid w:val="00141D31"/>
    <w:rsid w:val="001458D8"/>
    <w:rsid w:val="001501C4"/>
    <w:rsid w:val="0015028C"/>
    <w:rsid w:val="001514BD"/>
    <w:rsid w:val="00152E21"/>
    <w:rsid w:val="00153446"/>
    <w:rsid w:val="00153C5D"/>
    <w:rsid w:val="001607B9"/>
    <w:rsid w:val="00162813"/>
    <w:rsid w:val="001633D8"/>
    <w:rsid w:val="00165E58"/>
    <w:rsid w:val="00170DCC"/>
    <w:rsid w:val="00170F1D"/>
    <w:rsid w:val="00172A27"/>
    <w:rsid w:val="00172FE4"/>
    <w:rsid w:val="0017356C"/>
    <w:rsid w:val="001754C5"/>
    <w:rsid w:val="00181412"/>
    <w:rsid w:val="00181B8A"/>
    <w:rsid w:val="00183522"/>
    <w:rsid w:val="00184186"/>
    <w:rsid w:val="00184F66"/>
    <w:rsid w:val="00185655"/>
    <w:rsid w:val="00190EEF"/>
    <w:rsid w:val="001912EE"/>
    <w:rsid w:val="001A2D01"/>
    <w:rsid w:val="001A6CE8"/>
    <w:rsid w:val="001A7FCB"/>
    <w:rsid w:val="001B3D9D"/>
    <w:rsid w:val="001B4294"/>
    <w:rsid w:val="001C1069"/>
    <w:rsid w:val="001C2769"/>
    <w:rsid w:val="001C3336"/>
    <w:rsid w:val="001C54B4"/>
    <w:rsid w:val="001D10B8"/>
    <w:rsid w:val="001D267A"/>
    <w:rsid w:val="001D34B0"/>
    <w:rsid w:val="001D5C93"/>
    <w:rsid w:val="001D7829"/>
    <w:rsid w:val="001E01CA"/>
    <w:rsid w:val="001E0A0F"/>
    <w:rsid w:val="001E138D"/>
    <w:rsid w:val="001E47E4"/>
    <w:rsid w:val="001E5148"/>
    <w:rsid w:val="001E6D4E"/>
    <w:rsid w:val="001E7FCF"/>
    <w:rsid w:val="001F066A"/>
    <w:rsid w:val="001F0E99"/>
    <w:rsid w:val="001F19A5"/>
    <w:rsid w:val="001F1EB3"/>
    <w:rsid w:val="001F30EB"/>
    <w:rsid w:val="001F48AE"/>
    <w:rsid w:val="001F509D"/>
    <w:rsid w:val="001F6736"/>
    <w:rsid w:val="00201152"/>
    <w:rsid w:val="00204430"/>
    <w:rsid w:val="002064FE"/>
    <w:rsid w:val="002119B1"/>
    <w:rsid w:val="00212CF0"/>
    <w:rsid w:val="00215F11"/>
    <w:rsid w:val="002219A7"/>
    <w:rsid w:val="0022735B"/>
    <w:rsid w:val="00227799"/>
    <w:rsid w:val="00227E03"/>
    <w:rsid w:val="00227EE9"/>
    <w:rsid w:val="00230132"/>
    <w:rsid w:val="002322D9"/>
    <w:rsid w:val="00233AB1"/>
    <w:rsid w:val="002342A5"/>
    <w:rsid w:val="00234C7A"/>
    <w:rsid w:val="002353AB"/>
    <w:rsid w:val="00237525"/>
    <w:rsid w:val="00240F68"/>
    <w:rsid w:val="00246800"/>
    <w:rsid w:val="00247458"/>
    <w:rsid w:val="002518A7"/>
    <w:rsid w:val="00251FA6"/>
    <w:rsid w:val="00252330"/>
    <w:rsid w:val="002544BB"/>
    <w:rsid w:val="00254F24"/>
    <w:rsid w:val="002559DA"/>
    <w:rsid w:val="00255C14"/>
    <w:rsid w:val="00256443"/>
    <w:rsid w:val="002613BF"/>
    <w:rsid w:val="00261D3B"/>
    <w:rsid w:val="0026246E"/>
    <w:rsid w:val="002632CA"/>
    <w:rsid w:val="00264509"/>
    <w:rsid w:val="00270F9B"/>
    <w:rsid w:val="002715D8"/>
    <w:rsid w:val="0027188C"/>
    <w:rsid w:val="002735D8"/>
    <w:rsid w:val="00277405"/>
    <w:rsid w:val="00277E41"/>
    <w:rsid w:val="002800C7"/>
    <w:rsid w:val="0028095E"/>
    <w:rsid w:val="00280DB6"/>
    <w:rsid w:val="002826E1"/>
    <w:rsid w:val="00283505"/>
    <w:rsid w:val="0028423A"/>
    <w:rsid w:val="00287016"/>
    <w:rsid w:val="00292C60"/>
    <w:rsid w:val="0029553B"/>
    <w:rsid w:val="00295B54"/>
    <w:rsid w:val="00297EA1"/>
    <w:rsid w:val="002A0F2A"/>
    <w:rsid w:val="002A4E2C"/>
    <w:rsid w:val="002B25B7"/>
    <w:rsid w:val="002B41BD"/>
    <w:rsid w:val="002B4E7E"/>
    <w:rsid w:val="002B5773"/>
    <w:rsid w:val="002B7A2B"/>
    <w:rsid w:val="002C0182"/>
    <w:rsid w:val="002C057D"/>
    <w:rsid w:val="002C36D1"/>
    <w:rsid w:val="002C5EEB"/>
    <w:rsid w:val="002D030B"/>
    <w:rsid w:val="002D2399"/>
    <w:rsid w:val="002D24F8"/>
    <w:rsid w:val="002D27BD"/>
    <w:rsid w:val="002D2AA7"/>
    <w:rsid w:val="002D3F69"/>
    <w:rsid w:val="002F067F"/>
    <w:rsid w:val="002F735B"/>
    <w:rsid w:val="0030002E"/>
    <w:rsid w:val="00305716"/>
    <w:rsid w:val="00312A58"/>
    <w:rsid w:val="003160C9"/>
    <w:rsid w:val="003163E6"/>
    <w:rsid w:val="00317FC3"/>
    <w:rsid w:val="00320234"/>
    <w:rsid w:val="00320962"/>
    <w:rsid w:val="0032156F"/>
    <w:rsid w:val="003261E8"/>
    <w:rsid w:val="00326446"/>
    <w:rsid w:val="003269E6"/>
    <w:rsid w:val="00332978"/>
    <w:rsid w:val="00332C7D"/>
    <w:rsid w:val="003341D1"/>
    <w:rsid w:val="003378BC"/>
    <w:rsid w:val="00337B39"/>
    <w:rsid w:val="00344F7A"/>
    <w:rsid w:val="00345C7D"/>
    <w:rsid w:val="00347D01"/>
    <w:rsid w:val="0035272F"/>
    <w:rsid w:val="00356A05"/>
    <w:rsid w:val="003614EC"/>
    <w:rsid w:val="00361B3C"/>
    <w:rsid w:val="00364A00"/>
    <w:rsid w:val="003659CD"/>
    <w:rsid w:val="00367123"/>
    <w:rsid w:val="00371505"/>
    <w:rsid w:val="00372A80"/>
    <w:rsid w:val="00376BB8"/>
    <w:rsid w:val="0037703B"/>
    <w:rsid w:val="0038307B"/>
    <w:rsid w:val="003852F4"/>
    <w:rsid w:val="00385C07"/>
    <w:rsid w:val="0038793D"/>
    <w:rsid w:val="00390CC1"/>
    <w:rsid w:val="003922BC"/>
    <w:rsid w:val="0039290D"/>
    <w:rsid w:val="00394711"/>
    <w:rsid w:val="00395542"/>
    <w:rsid w:val="00395EF6"/>
    <w:rsid w:val="00396B7C"/>
    <w:rsid w:val="00396E7A"/>
    <w:rsid w:val="00397393"/>
    <w:rsid w:val="003A0754"/>
    <w:rsid w:val="003A24E2"/>
    <w:rsid w:val="003A2D81"/>
    <w:rsid w:val="003A33FD"/>
    <w:rsid w:val="003A364D"/>
    <w:rsid w:val="003A453C"/>
    <w:rsid w:val="003A47EE"/>
    <w:rsid w:val="003B03F2"/>
    <w:rsid w:val="003B09AB"/>
    <w:rsid w:val="003B229B"/>
    <w:rsid w:val="003B367A"/>
    <w:rsid w:val="003B3773"/>
    <w:rsid w:val="003B3952"/>
    <w:rsid w:val="003B6E2C"/>
    <w:rsid w:val="003B7635"/>
    <w:rsid w:val="003C00B2"/>
    <w:rsid w:val="003C1A60"/>
    <w:rsid w:val="003C1B64"/>
    <w:rsid w:val="003C1BBC"/>
    <w:rsid w:val="003C64CC"/>
    <w:rsid w:val="003C72F7"/>
    <w:rsid w:val="003C7305"/>
    <w:rsid w:val="003D34FF"/>
    <w:rsid w:val="003D58E1"/>
    <w:rsid w:val="003D5B01"/>
    <w:rsid w:val="003D60D4"/>
    <w:rsid w:val="003E010B"/>
    <w:rsid w:val="003E2465"/>
    <w:rsid w:val="003E5DC3"/>
    <w:rsid w:val="003F3867"/>
    <w:rsid w:val="003F4707"/>
    <w:rsid w:val="003F5B28"/>
    <w:rsid w:val="003F746B"/>
    <w:rsid w:val="003F77A1"/>
    <w:rsid w:val="0040181D"/>
    <w:rsid w:val="00401B60"/>
    <w:rsid w:val="00402740"/>
    <w:rsid w:val="004042CA"/>
    <w:rsid w:val="00406E2C"/>
    <w:rsid w:val="004074D5"/>
    <w:rsid w:val="00410C9E"/>
    <w:rsid w:val="00411525"/>
    <w:rsid w:val="00413829"/>
    <w:rsid w:val="00413D6D"/>
    <w:rsid w:val="00416FBC"/>
    <w:rsid w:val="00421AE3"/>
    <w:rsid w:val="00422B37"/>
    <w:rsid w:val="00422BC8"/>
    <w:rsid w:val="00425923"/>
    <w:rsid w:val="00426474"/>
    <w:rsid w:val="00426EA3"/>
    <w:rsid w:val="004310CF"/>
    <w:rsid w:val="004373C0"/>
    <w:rsid w:val="0044338A"/>
    <w:rsid w:val="00443396"/>
    <w:rsid w:val="0044492A"/>
    <w:rsid w:val="004453CF"/>
    <w:rsid w:val="00447659"/>
    <w:rsid w:val="0045033C"/>
    <w:rsid w:val="00453C34"/>
    <w:rsid w:val="004540FF"/>
    <w:rsid w:val="0045668F"/>
    <w:rsid w:val="0045758F"/>
    <w:rsid w:val="004576CA"/>
    <w:rsid w:val="00460C0B"/>
    <w:rsid w:val="00463249"/>
    <w:rsid w:val="00465029"/>
    <w:rsid w:val="0046552F"/>
    <w:rsid w:val="00474279"/>
    <w:rsid w:val="004768EB"/>
    <w:rsid w:val="00476DF1"/>
    <w:rsid w:val="00476FEF"/>
    <w:rsid w:val="004815F5"/>
    <w:rsid w:val="00482E48"/>
    <w:rsid w:val="00482F7B"/>
    <w:rsid w:val="004877C3"/>
    <w:rsid w:val="004914B7"/>
    <w:rsid w:val="00494B8A"/>
    <w:rsid w:val="004A1A89"/>
    <w:rsid w:val="004A22C8"/>
    <w:rsid w:val="004A4112"/>
    <w:rsid w:val="004A432E"/>
    <w:rsid w:val="004A4F03"/>
    <w:rsid w:val="004A61D0"/>
    <w:rsid w:val="004A6A81"/>
    <w:rsid w:val="004B2D6C"/>
    <w:rsid w:val="004B3098"/>
    <w:rsid w:val="004C09C1"/>
    <w:rsid w:val="004C17F9"/>
    <w:rsid w:val="004C3589"/>
    <w:rsid w:val="004C5E5D"/>
    <w:rsid w:val="004D2170"/>
    <w:rsid w:val="004D483D"/>
    <w:rsid w:val="004E1AB8"/>
    <w:rsid w:val="004E268A"/>
    <w:rsid w:val="004E7A99"/>
    <w:rsid w:val="004F07FE"/>
    <w:rsid w:val="004F2716"/>
    <w:rsid w:val="004F3A33"/>
    <w:rsid w:val="004F63D8"/>
    <w:rsid w:val="004F7F37"/>
    <w:rsid w:val="00500322"/>
    <w:rsid w:val="00500F19"/>
    <w:rsid w:val="00503AE1"/>
    <w:rsid w:val="0050440A"/>
    <w:rsid w:val="005053D4"/>
    <w:rsid w:val="00506639"/>
    <w:rsid w:val="00511B22"/>
    <w:rsid w:val="00512B2D"/>
    <w:rsid w:val="00514BA3"/>
    <w:rsid w:val="00514EC4"/>
    <w:rsid w:val="00515AC1"/>
    <w:rsid w:val="00532349"/>
    <w:rsid w:val="00533454"/>
    <w:rsid w:val="005347A3"/>
    <w:rsid w:val="00541107"/>
    <w:rsid w:val="0054356C"/>
    <w:rsid w:val="00544DB9"/>
    <w:rsid w:val="00547039"/>
    <w:rsid w:val="005509CB"/>
    <w:rsid w:val="00555032"/>
    <w:rsid w:val="005550B8"/>
    <w:rsid w:val="00557C29"/>
    <w:rsid w:val="0056103F"/>
    <w:rsid w:val="00561A61"/>
    <w:rsid w:val="0056394C"/>
    <w:rsid w:val="00564458"/>
    <w:rsid w:val="0056494C"/>
    <w:rsid w:val="0056584C"/>
    <w:rsid w:val="00567764"/>
    <w:rsid w:val="00567924"/>
    <w:rsid w:val="00570720"/>
    <w:rsid w:val="00572D02"/>
    <w:rsid w:val="005776A9"/>
    <w:rsid w:val="00580F77"/>
    <w:rsid w:val="00585FED"/>
    <w:rsid w:val="00591125"/>
    <w:rsid w:val="0059280D"/>
    <w:rsid w:val="0059394B"/>
    <w:rsid w:val="0059446B"/>
    <w:rsid w:val="005962CF"/>
    <w:rsid w:val="00596B6E"/>
    <w:rsid w:val="005A27AB"/>
    <w:rsid w:val="005A3502"/>
    <w:rsid w:val="005A4AD7"/>
    <w:rsid w:val="005B16BE"/>
    <w:rsid w:val="005B24A0"/>
    <w:rsid w:val="005B317C"/>
    <w:rsid w:val="005B4D1F"/>
    <w:rsid w:val="005B5D83"/>
    <w:rsid w:val="005C0833"/>
    <w:rsid w:val="005C231C"/>
    <w:rsid w:val="005C64CA"/>
    <w:rsid w:val="005C79D3"/>
    <w:rsid w:val="005D3325"/>
    <w:rsid w:val="005D412D"/>
    <w:rsid w:val="005D6F3B"/>
    <w:rsid w:val="005D76F7"/>
    <w:rsid w:val="005E333C"/>
    <w:rsid w:val="005E5278"/>
    <w:rsid w:val="005E7B17"/>
    <w:rsid w:val="005F2053"/>
    <w:rsid w:val="005F2CDE"/>
    <w:rsid w:val="005F3FFF"/>
    <w:rsid w:val="005F7D0D"/>
    <w:rsid w:val="006007A6"/>
    <w:rsid w:val="00601C90"/>
    <w:rsid w:val="0060295F"/>
    <w:rsid w:val="00602EC0"/>
    <w:rsid w:val="006042AD"/>
    <w:rsid w:val="00604669"/>
    <w:rsid w:val="00612DA7"/>
    <w:rsid w:val="00616F3A"/>
    <w:rsid w:val="00617744"/>
    <w:rsid w:val="006178FE"/>
    <w:rsid w:val="006221F7"/>
    <w:rsid w:val="006276C7"/>
    <w:rsid w:val="006277B6"/>
    <w:rsid w:val="006321D4"/>
    <w:rsid w:val="00635DBE"/>
    <w:rsid w:val="006361FC"/>
    <w:rsid w:val="006414FB"/>
    <w:rsid w:val="00646049"/>
    <w:rsid w:val="00646A44"/>
    <w:rsid w:val="00651FFC"/>
    <w:rsid w:val="00652D6D"/>
    <w:rsid w:val="006570BC"/>
    <w:rsid w:val="006620DC"/>
    <w:rsid w:val="00662275"/>
    <w:rsid w:val="00662C07"/>
    <w:rsid w:val="006650BC"/>
    <w:rsid w:val="00666AE8"/>
    <w:rsid w:val="0066795B"/>
    <w:rsid w:val="00670093"/>
    <w:rsid w:val="0067416D"/>
    <w:rsid w:val="00675C9D"/>
    <w:rsid w:val="00680B69"/>
    <w:rsid w:val="006828B9"/>
    <w:rsid w:val="006842B1"/>
    <w:rsid w:val="00684CF6"/>
    <w:rsid w:val="006868EF"/>
    <w:rsid w:val="00691044"/>
    <w:rsid w:val="00695BEC"/>
    <w:rsid w:val="006A2C1A"/>
    <w:rsid w:val="006A63C0"/>
    <w:rsid w:val="006A7AA0"/>
    <w:rsid w:val="006B15E6"/>
    <w:rsid w:val="006B2D90"/>
    <w:rsid w:val="006B3918"/>
    <w:rsid w:val="006B51C8"/>
    <w:rsid w:val="006C31F2"/>
    <w:rsid w:val="006C5281"/>
    <w:rsid w:val="006C57F2"/>
    <w:rsid w:val="006C5C34"/>
    <w:rsid w:val="006D21D1"/>
    <w:rsid w:val="006D43EE"/>
    <w:rsid w:val="006D4E88"/>
    <w:rsid w:val="006D519A"/>
    <w:rsid w:val="006D633C"/>
    <w:rsid w:val="006E0FA9"/>
    <w:rsid w:val="006E17E4"/>
    <w:rsid w:val="006E20F2"/>
    <w:rsid w:val="006E7273"/>
    <w:rsid w:val="006E7DE9"/>
    <w:rsid w:val="006F0290"/>
    <w:rsid w:val="006F0D80"/>
    <w:rsid w:val="006F34F0"/>
    <w:rsid w:val="006F613A"/>
    <w:rsid w:val="006F6B4D"/>
    <w:rsid w:val="006F7B27"/>
    <w:rsid w:val="00701D46"/>
    <w:rsid w:val="00701F6C"/>
    <w:rsid w:val="00704489"/>
    <w:rsid w:val="00706F13"/>
    <w:rsid w:val="00711DDA"/>
    <w:rsid w:val="00713652"/>
    <w:rsid w:val="00713E46"/>
    <w:rsid w:val="007174F9"/>
    <w:rsid w:val="007205EC"/>
    <w:rsid w:val="007226B7"/>
    <w:rsid w:val="007259CE"/>
    <w:rsid w:val="00730239"/>
    <w:rsid w:val="00733402"/>
    <w:rsid w:val="00735EB7"/>
    <w:rsid w:val="00741F7D"/>
    <w:rsid w:val="00744DDD"/>
    <w:rsid w:val="00750D94"/>
    <w:rsid w:val="0075478F"/>
    <w:rsid w:val="00754A0E"/>
    <w:rsid w:val="00755550"/>
    <w:rsid w:val="00757040"/>
    <w:rsid w:val="00765083"/>
    <w:rsid w:val="00766250"/>
    <w:rsid w:val="00766833"/>
    <w:rsid w:val="00767815"/>
    <w:rsid w:val="0077284D"/>
    <w:rsid w:val="0077549B"/>
    <w:rsid w:val="00775F1C"/>
    <w:rsid w:val="00780D26"/>
    <w:rsid w:val="00783BFE"/>
    <w:rsid w:val="007861A6"/>
    <w:rsid w:val="00787667"/>
    <w:rsid w:val="007952CB"/>
    <w:rsid w:val="00796E48"/>
    <w:rsid w:val="007A44D4"/>
    <w:rsid w:val="007A713D"/>
    <w:rsid w:val="007B0E00"/>
    <w:rsid w:val="007B6AEB"/>
    <w:rsid w:val="007C5DFD"/>
    <w:rsid w:val="007C7508"/>
    <w:rsid w:val="007D0750"/>
    <w:rsid w:val="007D0C6B"/>
    <w:rsid w:val="007D7156"/>
    <w:rsid w:val="007E12E3"/>
    <w:rsid w:val="007E35C4"/>
    <w:rsid w:val="007E7035"/>
    <w:rsid w:val="007F01B7"/>
    <w:rsid w:val="00800171"/>
    <w:rsid w:val="00800438"/>
    <w:rsid w:val="00803A2A"/>
    <w:rsid w:val="00806823"/>
    <w:rsid w:val="00806D3B"/>
    <w:rsid w:val="0081142B"/>
    <w:rsid w:val="00811E45"/>
    <w:rsid w:val="00812F83"/>
    <w:rsid w:val="008220DD"/>
    <w:rsid w:val="00822194"/>
    <w:rsid w:val="008228EA"/>
    <w:rsid w:val="00825DB2"/>
    <w:rsid w:val="0082644F"/>
    <w:rsid w:val="00833273"/>
    <w:rsid w:val="00834265"/>
    <w:rsid w:val="0083577A"/>
    <w:rsid w:val="008374D3"/>
    <w:rsid w:val="0084176B"/>
    <w:rsid w:val="00842C3A"/>
    <w:rsid w:val="00843056"/>
    <w:rsid w:val="00844A3C"/>
    <w:rsid w:val="00845032"/>
    <w:rsid w:val="00846DDF"/>
    <w:rsid w:val="00850469"/>
    <w:rsid w:val="00850EC7"/>
    <w:rsid w:val="00860FB9"/>
    <w:rsid w:val="00862A08"/>
    <w:rsid w:val="00870454"/>
    <w:rsid w:val="008707DB"/>
    <w:rsid w:val="00872DC3"/>
    <w:rsid w:val="00891318"/>
    <w:rsid w:val="008A3DA6"/>
    <w:rsid w:val="008A4ACF"/>
    <w:rsid w:val="008A4E09"/>
    <w:rsid w:val="008B15C2"/>
    <w:rsid w:val="008B1604"/>
    <w:rsid w:val="008C1CD0"/>
    <w:rsid w:val="008C3486"/>
    <w:rsid w:val="008C3EE3"/>
    <w:rsid w:val="008C4256"/>
    <w:rsid w:val="008C71C8"/>
    <w:rsid w:val="008C7F52"/>
    <w:rsid w:val="008D0B44"/>
    <w:rsid w:val="008D2382"/>
    <w:rsid w:val="008D395B"/>
    <w:rsid w:val="008D3F6F"/>
    <w:rsid w:val="008D4E70"/>
    <w:rsid w:val="008D62CA"/>
    <w:rsid w:val="008D6973"/>
    <w:rsid w:val="008E1ECE"/>
    <w:rsid w:val="008E2693"/>
    <w:rsid w:val="008E4A2B"/>
    <w:rsid w:val="008E5716"/>
    <w:rsid w:val="008E62A4"/>
    <w:rsid w:val="008E6CEB"/>
    <w:rsid w:val="008F0DC4"/>
    <w:rsid w:val="008F0F89"/>
    <w:rsid w:val="008F214D"/>
    <w:rsid w:val="008F3A0E"/>
    <w:rsid w:val="00900275"/>
    <w:rsid w:val="00903118"/>
    <w:rsid w:val="009045FA"/>
    <w:rsid w:val="0090625D"/>
    <w:rsid w:val="00910BFE"/>
    <w:rsid w:val="00912511"/>
    <w:rsid w:val="00913F48"/>
    <w:rsid w:val="00915111"/>
    <w:rsid w:val="00917CCF"/>
    <w:rsid w:val="00923111"/>
    <w:rsid w:val="00936700"/>
    <w:rsid w:val="009376D8"/>
    <w:rsid w:val="00942E76"/>
    <w:rsid w:val="009467C4"/>
    <w:rsid w:val="00947699"/>
    <w:rsid w:val="00947760"/>
    <w:rsid w:val="00951BA7"/>
    <w:rsid w:val="009532EF"/>
    <w:rsid w:val="009554BA"/>
    <w:rsid w:val="00955F68"/>
    <w:rsid w:val="00963C7B"/>
    <w:rsid w:val="0096543D"/>
    <w:rsid w:val="00971D7A"/>
    <w:rsid w:val="00976EC0"/>
    <w:rsid w:val="00980ECD"/>
    <w:rsid w:val="00985541"/>
    <w:rsid w:val="00985791"/>
    <w:rsid w:val="00990F5A"/>
    <w:rsid w:val="009915AE"/>
    <w:rsid w:val="00992C1E"/>
    <w:rsid w:val="00993B97"/>
    <w:rsid w:val="009944F2"/>
    <w:rsid w:val="00996380"/>
    <w:rsid w:val="009975BA"/>
    <w:rsid w:val="009A0A28"/>
    <w:rsid w:val="009A1C1A"/>
    <w:rsid w:val="009A4F25"/>
    <w:rsid w:val="009A6586"/>
    <w:rsid w:val="009B42D5"/>
    <w:rsid w:val="009B4D9B"/>
    <w:rsid w:val="009C0C98"/>
    <w:rsid w:val="009C5195"/>
    <w:rsid w:val="009C6235"/>
    <w:rsid w:val="009C7EE8"/>
    <w:rsid w:val="009D7F8C"/>
    <w:rsid w:val="009E143F"/>
    <w:rsid w:val="009E3B0C"/>
    <w:rsid w:val="009E6C65"/>
    <w:rsid w:val="009F0F23"/>
    <w:rsid w:val="009F3E98"/>
    <w:rsid w:val="00A00F75"/>
    <w:rsid w:val="00A010BF"/>
    <w:rsid w:val="00A06E3C"/>
    <w:rsid w:val="00A0744F"/>
    <w:rsid w:val="00A07B5F"/>
    <w:rsid w:val="00A07FF8"/>
    <w:rsid w:val="00A10A3F"/>
    <w:rsid w:val="00A12A8B"/>
    <w:rsid w:val="00A136C0"/>
    <w:rsid w:val="00A14928"/>
    <w:rsid w:val="00A16050"/>
    <w:rsid w:val="00A25C05"/>
    <w:rsid w:val="00A27B62"/>
    <w:rsid w:val="00A31AD5"/>
    <w:rsid w:val="00A323FE"/>
    <w:rsid w:val="00A34F70"/>
    <w:rsid w:val="00A35925"/>
    <w:rsid w:val="00A43A62"/>
    <w:rsid w:val="00A46F44"/>
    <w:rsid w:val="00A5029F"/>
    <w:rsid w:val="00A52A04"/>
    <w:rsid w:val="00A54EF8"/>
    <w:rsid w:val="00A57027"/>
    <w:rsid w:val="00A61D12"/>
    <w:rsid w:val="00A646B5"/>
    <w:rsid w:val="00A67E5B"/>
    <w:rsid w:val="00A7238B"/>
    <w:rsid w:val="00A73B3E"/>
    <w:rsid w:val="00A766D7"/>
    <w:rsid w:val="00A8782F"/>
    <w:rsid w:val="00A87BBD"/>
    <w:rsid w:val="00A905E4"/>
    <w:rsid w:val="00A930BD"/>
    <w:rsid w:val="00A95F3F"/>
    <w:rsid w:val="00AA5E58"/>
    <w:rsid w:val="00AB1101"/>
    <w:rsid w:val="00AB3629"/>
    <w:rsid w:val="00AB3AAA"/>
    <w:rsid w:val="00AB4E36"/>
    <w:rsid w:val="00AB5F92"/>
    <w:rsid w:val="00AB6752"/>
    <w:rsid w:val="00AC0E9C"/>
    <w:rsid w:val="00AC0F28"/>
    <w:rsid w:val="00AC2D5B"/>
    <w:rsid w:val="00AD006A"/>
    <w:rsid w:val="00AD18DD"/>
    <w:rsid w:val="00AD2896"/>
    <w:rsid w:val="00AD531C"/>
    <w:rsid w:val="00AD6098"/>
    <w:rsid w:val="00AD695E"/>
    <w:rsid w:val="00AD6D3B"/>
    <w:rsid w:val="00AE5030"/>
    <w:rsid w:val="00AE76D4"/>
    <w:rsid w:val="00AE77E6"/>
    <w:rsid w:val="00AF0920"/>
    <w:rsid w:val="00AF190B"/>
    <w:rsid w:val="00AF1C85"/>
    <w:rsid w:val="00AF3DA4"/>
    <w:rsid w:val="00AF4E45"/>
    <w:rsid w:val="00AF652D"/>
    <w:rsid w:val="00B00F2D"/>
    <w:rsid w:val="00B016ED"/>
    <w:rsid w:val="00B01825"/>
    <w:rsid w:val="00B02F7C"/>
    <w:rsid w:val="00B0527B"/>
    <w:rsid w:val="00B05BF6"/>
    <w:rsid w:val="00B129B3"/>
    <w:rsid w:val="00B168DE"/>
    <w:rsid w:val="00B17B52"/>
    <w:rsid w:val="00B17D9A"/>
    <w:rsid w:val="00B211BD"/>
    <w:rsid w:val="00B231BC"/>
    <w:rsid w:val="00B27F88"/>
    <w:rsid w:val="00B3126B"/>
    <w:rsid w:val="00B319E9"/>
    <w:rsid w:val="00B401F1"/>
    <w:rsid w:val="00B40D5F"/>
    <w:rsid w:val="00B43DE2"/>
    <w:rsid w:val="00B47542"/>
    <w:rsid w:val="00B475A8"/>
    <w:rsid w:val="00B47D63"/>
    <w:rsid w:val="00B50FF2"/>
    <w:rsid w:val="00B51B29"/>
    <w:rsid w:val="00B52DDC"/>
    <w:rsid w:val="00B532EE"/>
    <w:rsid w:val="00B55A9E"/>
    <w:rsid w:val="00B624F6"/>
    <w:rsid w:val="00B62C10"/>
    <w:rsid w:val="00B64060"/>
    <w:rsid w:val="00B644CD"/>
    <w:rsid w:val="00B66293"/>
    <w:rsid w:val="00B67354"/>
    <w:rsid w:val="00B725DD"/>
    <w:rsid w:val="00B74A0A"/>
    <w:rsid w:val="00B74ACB"/>
    <w:rsid w:val="00B74CC2"/>
    <w:rsid w:val="00B776F1"/>
    <w:rsid w:val="00B77F9D"/>
    <w:rsid w:val="00B81213"/>
    <w:rsid w:val="00B8262E"/>
    <w:rsid w:val="00B84276"/>
    <w:rsid w:val="00B86B50"/>
    <w:rsid w:val="00B91F28"/>
    <w:rsid w:val="00B93B7E"/>
    <w:rsid w:val="00B9533E"/>
    <w:rsid w:val="00B95954"/>
    <w:rsid w:val="00BA24E3"/>
    <w:rsid w:val="00BA3A36"/>
    <w:rsid w:val="00BA6B98"/>
    <w:rsid w:val="00BB0285"/>
    <w:rsid w:val="00BB7D58"/>
    <w:rsid w:val="00BC0695"/>
    <w:rsid w:val="00BC3BB9"/>
    <w:rsid w:val="00BC3F2C"/>
    <w:rsid w:val="00BC6347"/>
    <w:rsid w:val="00BC794E"/>
    <w:rsid w:val="00BD31C8"/>
    <w:rsid w:val="00BD4D7D"/>
    <w:rsid w:val="00BD7EC8"/>
    <w:rsid w:val="00BE21D5"/>
    <w:rsid w:val="00BE2DC1"/>
    <w:rsid w:val="00BE31ED"/>
    <w:rsid w:val="00BE4027"/>
    <w:rsid w:val="00BF3400"/>
    <w:rsid w:val="00BF47AC"/>
    <w:rsid w:val="00BF5695"/>
    <w:rsid w:val="00C01D06"/>
    <w:rsid w:val="00C04F21"/>
    <w:rsid w:val="00C0741D"/>
    <w:rsid w:val="00C07846"/>
    <w:rsid w:val="00C07FED"/>
    <w:rsid w:val="00C10F54"/>
    <w:rsid w:val="00C21E48"/>
    <w:rsid w:val="00C2452E"/>
    <w:rsid w:val="00C26F68"/>
    <w:rsid w:val="00C27DE0"/>
    <w:rsid w:val="00C30509"/>
    <w:rsid w:val="00C31303"/>
    <w:rsid w:val="00C31DC1"/>
    <w:rsid w:val="00C32462"/>
    <w:rsid w:val="00C332EE"/>
    <w:rsid w:val="00C338D3"/>
    <w:rsid w:val="00C3560A"/>
    <w:rsid w:val="00C36C6D"/>
    <w:rsid w:val="00C4023D"/>
    <w:rsid w:val="00C41D7B"/>
    <w:rsid w:val="00C4424F"/>
    <w:rsid w:val="00C53868"/>
    <w:rsid w:val="00C54CDD"/>
    <w:rsid w:val="00C5676F"/>
    <w:rsid w:val="00C569B1"/>
    <w:rsid w:val="00C57236"/>
    <w:rsid w:val="00C613E0"/>
    <w:rsid w:val="00C6469A"/>
    <w:rsid w:val="00C64A1E"/>
    <w:rsid w:val="00C6534A"/>
    <w:rsid w:val="00C66FD4"/>
    <w:rsid w:val="00C73A1D"/>
    <w:rsid w:val="00C75372"/>
    <w:rsid w:val="00C77DE6"/>
    <w:rsid w:val="00C90EAB"/>
    <w:rsid w:val="00C91C0C"/>
    <w:rsid w:val="00C927FE"/>
    <w:rsid w:val="00C92F92"/>
    <w:rsid w:val="00C964CD"/>
    <w:rsid w:val="00CA111A"/>
    <w:rsid w:val="00CA2D14"/>
    <w:rsid w:val="00CA4157"/>
    <w:rsid w:val="00CA45DB"/>
    <w:rsid w:val="00CA5170"/>
    <w:rsid w:val="00CB1037"/>
    <w:rsid w:val="00CB1A85"/>
    <w:rsid w:val="00CB3250"/>
    <w:rsid w:val="00CB58DA"/>
    <w:rsid w:val="00CC238B"/>
    <w:rsid w:val="00CC2422"/>
    <w:rsid w:val="00CC31BB"/>
    <w:rsid w:val="00CC51CC"/>
    <w:rsid w:val="00CD164F"/>
    <w:rsid w:val="00CD6191"/>
    <w:rsid w:val="00CE3C09"/>
    <w:rsid w:val="00CE4FF2"/>
    <w:rsid w:val="00CE5AB7"/>
    <w:rsid w:val="00CE7057"/>
    <w:rsid w:val="00CE74CC"/>
    <w:rsid w:val="00CF1AF5"/>
    <w:rsid w:val="00CF2B3C"/>
    <w:rsid w:val="00CF2C66"/>
    <w:rsid w:val="00CF3283"/>
    <w:rsid w:val="00CF508D"/>
    <w:rsid w:val="00CF5E77"/>
    <w:rsid w:val="00D01053"/>
    <w:rsid w:val="00D01728"/>
    <w:rsid w:val="00D14F36"/>
    <w:rsid w:val="00D16499"/>
    <w:rsid w:val="00D16908"/>
    <w:rsid w:val="00D22DC7"/>
    <w:rsid w:val="00D25B8D"/>
    <w:rsid w:val="00D3114A"/>
    <w:rsid w:val="00D32F1F"/>
    <w:rsid w:val="00D3579B"/>
    <w:rsid w:val="00D35829"/>
    <w:rsid w:val="00D36B0D"/>
    <w:rsid w:val="00D370A3"/>
    <w:rsid w:val="00D372D2"/>
    <w:rsid w:val="00D37971"/>
    <w:rsid w:val="00D411D2"/>
    <w:rsid w:val="00D47DC7"/>
    <w:rsid w:val="00D5123E"/>
    <w:rsid w:val="00D54710"/>
    <w:rsid w:val="00D565B0"/>
    <w:rsid w:val="00D5733F"/>
    <w:rsid w:val="00D577D4"/>
    <w:rsid w:val="00D63547"/>
    <w:rsid w:val="00D636F9"/>
    <w:rsid w:val="00D64305"/>
    <w:rsid w:val="00D65235"/>
    <w:rsid w:val="00D67AB9"/>
    <w:rsid w:val="00D72372"/>
    <w:rsid w:val="00D75901"/>
    <w:rsid w:val="00D761EC"/>
    <w:rsid w:val="00D77C61"/>
    <w:rsid w:val="00D77E61"/>
    <w:rsid w:val="00D811FA"/>
    <w:rsid w:val="00D83D8C"/>
    <w:rsid w:val="00D85F11"/>
    <w:rsid w:val="00D868E5"/>
    <w:rsid w:val="00D878A0"/>
    <w:rsid w:val="00D90686"/>
    <w:rsid w:val="00D915AB"/>
    <w:rsid w:val="00D92AB0"/>
    <w:rsid w:val="00D93011"/>
    <w:rsid w:val="00D93BBF"/>
    <w:rsid w:val="00D95374"/>
    <w:rsid w:val="00D975AA"/>
    <w:rsid w:val="00D976DC"/>
    <w:rsid w:val="00DA0107"/>
    <w:rsid w:val="00DA07ED"/>
    <w:rsid w:val="00DA1E20"/>
    <w:rsid w:val="00DA2880"/>
    <w:rsid w:val="00DA2E77"/>
    <w:rsid w:val="00DA51A8"/>
    <w:rsid w:val="00DA6146"/>
    <w:rsid w:val="00DB0C6F"/>
    <w:rsid w:val="00DB1A0D"/>
    <w:rsid w:val="00DB2E1F"/>
    <w:rsid w:val="00DB5F49"/>
    <w:rsid w:val="00DB627C"/>
    <w:rsid w:val="00DB738E"/>
    <w:rsid w:val="00DC5573"/>
    <w:rsid w:val="00DC5C2D"/>
    <w:rsid w:val="00DC7064"/>
    <w:rsid w:val="00DD2BAB"/>
    <w:rsid w:val="00DD3BFC"/>
    <w:rsid w:val="00DD49CC"/>
    <w:rsid w:val="00DD577A"/>
    <w:rsid w:val="00DD6156"/>
    <w:rsid w:val="00DE0D8C"/>
    <w:rsid w:val="00DE1741"/>
    <w:rsid w:val="00DE5D4F"/>
    <w:rsid w:val="00DF0A19"/>
    <w:rsid w:val="00DF1CCC"/>
    <w:rsid w:val="00DF2C41"/>
    <w:rsid w:val="00DF538C"/>
    <w:rsid w:val="00DF5F7C"/>
    <w:rsid w:val="00DF699E"/>
    <w:rsid w:val="00DF73DC"/>
    <w:rsid w:val="00DF79B6"/>
    <w:rsid w:val="00E0147E"/>
    <w:rsid w:val="00E05008"/>
    <w:rsid w:val="00E07B30"/>
    <w:rsid w:val="00E11C5E"/>
    <w:rsid w:val="00E13945"/>
    <w:rsid w:val="00E16492"/>
    <w:rsid w:val="00E1664C"/>
    <w:rsid w:val="00E20C80"/>
    <w:rsid w:val="00E230EB"/>
    <w:rsid w:val="00E23D2E"/>
    <w:rsid w:val="00E24803"/>
    <w:rsid w:val="00E24E02"/>
    <w:rsid w:val="00E2542E"/>
    <w:rsid w:val="00E27206"/>
    <w:rsid w:val="00E32882"/>
    <w:rsid w:val="00E35B96"/>
    <w:rsid w:val="00E40102"/>
    <w:rsid w:val="00E41AD8"/>
    <w:rsid w:val="00E44700"/>
    <w:rsid w:val="00E447D3"/>
    <w:rsid w:val="00E50AED"/>
    <w:rsid w:val="00E511D1"/>
    <w:rsid w:val="00E5206B"/>
    <w:rsid w:val="00E54F9B"/>
    <w:rsid w:val="00E555A7"/>
    <w:rsid w:val="00E61237"/>
    <w:rsid w:val="00E61517"/>
    <w:rsid w:val="00E64029"/>
    <w:rsid w:val="00E6404C"/>
    <w:rsid w:val="00E668DD"/>
    <w:rsid w:val="00E66998"/>
    <w:rsid w:val="00E7096F"/>
    <w:rsid w:val="00E71C2C"/>
    <w:rsid w:val="00E773B1"/>
    <w:rsid w:val="00E77F09"/>
    <w:rsid w:val="00E81E46"/>
    <w:rsid w:val="00E868FA"/>
    <w:rsid w:val="00E87868"/>
    <w:rsid w:val="00E941EE"/>
    <w:rsid w:val="00E94485"/>
    <w:rsid w:val="00EA0A9C"/>
    <w:rsid w:val="00EA1706"/>
    <w:rsid w:val="00EA2493"/>
    <w:rsid w:val="00EB0099"/>
    <w:rsid w:val="00EB03C8"/>
    <w:rsid w:val="00EB138D"/>
    <w:rsid w:val="00EB1B12"/>
    <w:rsid w:val="00EB26E1"/>
    <w:rsid w:val="00EB3045"/>
    <w:rsid w:val="00EB3813"/>
    <w:rsid w:val="00EB5316"/>
    <w:rsid w:val="00EC2DAB"/>
    <w:rsid w:val="00EC421B"/>
    <w:rsid w:val="00EC555D"/>
    <w:rsid w:val="00EC7457"/>
    <w:rsid w:val="00ED0A41"/>
    <w:rsid w:val="00ED52C1"/>
    <w:rsid w:val="00EE049A"/>
    <w:rsid w:val="00EE1CCC"/>
    <w:rsid w:val="00EE2980"/>
    <w:rsid w:val="00EE471C"/>
    <w:rsid w:val="00EE5F26"/>
    <w:rsid w:val="00EF1B73"/>
    <w:rsid w:val="00EF2ACB"/>
    <w:rsid w:val="00EF3A48"/>
    <w:rsid w:val="00EF61A1"/>
    <w:rsid w:val="00EF685D"/>
    <w:rsid w:val="00F01A0D"/>
    <w:rsid w:val="00F01EBD"/>
    <w:rsid w:val="00F04C31"/>
    <w:rsid w:val="00F12FF1"/>
    <w:rsid w:val="00F15181"/>
    <w:rsid w:val="00F15EE3"/>
    <w:rsid w:val="00F16C63"/>
    <w:rsid w:val="00F238DE"/>
    <w:rsid w:val="00F24FFC"/>
    <w:rsid w:val="00F261C5"/>
    <w:rsid w:val="00F27A0E"/>
    <w:rsid w:val="00F32BA0"/>
    <w:rsid w:val="00F335D3"/>
    <w:rsid w:val="00F449F0"/>
    <w:rsid w:val="00F5242C"/>
    <w:rsid w:val="00F53194"/>
    <w:rsid w:val="00F531C9"/>
    <w:rsid w:val="00F53F7E"/>
    <w:rsid w:val="00F548DB"/>
    <w:rsid w:val="00F54C74"/>
    <w:rsid w:val="00F61960"/>
    <w:rsid w:val="00F71BD2"/>
    <w:rsid w:val="00F843EA"/>
    <w:rsid w:val="00F913AE"/>
    <w:rsid w:val="00F92FF7"/>
    <w:rsid w:val="00F94AD7"/>
    <w:rsid w:val="00FA3638"/>
    <w:rsid w:val="00FA49F0"/>
    <w:rsid w:val="00FA6E5E"/>
    <w:rsid w:val="00FB21E7"/>
    <w:rsid w:val="00FB22A9"/>
    <w:rsid w:val="00FB4833"/>
    <w:rsid w:val="00FB582F"/>
    <w:rsid w:val="00FB6729"/>
    <w:rsid w:val="00FC0637"/>
    <w:rsid w:val="00FC08DC"/>
    <w:rsid w:val="00FC13F8"/>
    <w:rsid w:val="00FC1AD8"/>
    <w:rsid w:val="00FC29EC"/>
    <w:rsid w:val="00FC6564"/>
    <w:rsid w:val="00FD0C3D"/>
    <w:rsid w:val="00FD3950"/>
    <w:rsid w:val="00FD6499"/>
    <w:rsid w:val="00FD6A7C"/>
    <w:rsid w:val="00FE2A31"/>
    <w:rsid w:val="00FE453F"/>
    <w:rsid w:val="00FE4D27"/>
    <w:rsid w:val="00FE7900"/>
    <w:rsid w:val="00FF02F2"/>
    <w:rsid w:val="00FF7188"/>
    <w:rsid w:val="011F1591"/>
    <w:rsid w:val="01245DAF"/>
    <w:rsid w:val="0137239B"/>
    <w:rsid w:val="016B7714"/>
    <w:rsid w:val="01995B98"/>
    <w:rsid w:val="01A6288B"/>
    <w:rsid w:val="01B73985"/>
    <w:rsid w:val="020D4EC8"/>
    <w:rsid w:val="020E5E57"/>
    <w:rsid w:val="0214436E"/>
    <w:rsid w:val="02145195"/>
    <w:rsid w:val="02155BE8"/>
    <w:rsid w:val="02403ABA"/>
    <w:rsid w:val="0243519A"/>
    <w:rsid w:val="02793941"/>
    <w:rsid w:val="027B0504"/>
    <w:rsid w:val="02DF5536"/>
    <w:rsid w:val="02FB386D"/>
    <w:rsid w:val="03C20F1E"/>
    <w:rsid w:val="03D76EAA"/>
    <w:rsid w:val="03E76EA9"/>
    <w:rsid w:val="03EB453F"/>
    <w:rsid w:val="044E2A92"/>
    <w:rsid w:val="04695C6C"/>
    <w:rsid w:val="04B073F7"/>
    <w:rsid w:val="04E21E4F"/>
    <w:rsid w:val="04E614AD"/>
    <w:rsid w:val="0517670B"/>
    <w:rsid w:val="051E1CCE"/>
    <w:rsid w:val="052D2BA1"/>
    <w:rsid w:val="05625029"/>
    <w:rsid w:val="05904E78"/>
    <w:rsid w:val="059E5D2B"/>
    <w:rsid w:val="05BB0A78"/>
    <w:rsid w:val="05D95BEF"/>
    <w:rsid w:val="05E360D9"/>
    <w:rsid w:val="05E90C5E"/>
    <w:rsid w:val="060C0075"/>
    <w:rsid w:val="06514DB0"/>
    <w:rsid w:val="065325E4"/>
    <w:rsid w:val="06577685"/>
    <w:rsid w:val="06642884"/>
    <w:rsid w:val="06917541"/>
    <w:rsid w:val="06A030C2"/>
    <w:rsid w:val="06BD0D95"/>
    <w:rsid w:val="06E759F5"/>
    <w:rsid w:val="06FA2C15"/>
    <w:rsid w:val="0711124A"/>
    <w:rsid w:val="073B50B9"/>
    <w:rsid w:val="07645290"/>
    <w:rsid w:val="07BA2687"/>
    <w:rsid w:val="07BE3313"/>
    <w:rsid w:val="07C86001"/>
    <w:rsid w:val="07E11329"/>
    <w:rsid w:val="080D558F"/>
    <w:rsid w:val="085B3B1D"/>
    <w:rsid w:val="086C3AEE"/>
    <w:rsid w:val="087A24B9"/>
    <w:rsid w:val="0892554F"/>
    <w:rsid w:val="0897471D"/>
    <w:rsid w:val="08C60D50"/>
    <w:rsid w:val="08FA52D5"/>
    <w:rsid w:val="08FD7339"/>
    <w:rsid w:val="090A1C81"/>
    <w:rsid w:val="09173EE8"/>
    <w:rsid w:val="094E0DB2"/>
    <w:rsid w:val="09715D33"/>
    <w:rsid w:val="09D13FA2"/>
    <w:rsid w:val="09E35FC7"/>
    <w:rsid w:val="0A200B76"/>
    <w:rsid w:val="0A263642"/>
    <w:rsid w:val="0A461A56"/>
    <w:rsid w:val="0A466107"/>
    <w:rsid w:val="0A7D5FCD"/>
    <w:rsid w:val="0AA209EA"/>
    <w:rsid w:val="0AB201C0"/>
    <w:rsid w:val="0AC51951"/>
    <w:rsid w:val="0AC53596"/>
    <w:rsid w:val="0AC55E1C"/>
    <w:rsid w:val="0AEF4552"/>
    <w:rsid w:val="0AF3260D"/>
    <w:rsid w:val="0B047B4A"/>
    <w:rsid w:val="0B1C137E"/>
    <w:rsid w:val="0B3A3500"/>
    <w:rsid w:val="0B4270CC"/>
    <w:rsid w:val="0BA14F97"/>
    <w:rsid w:val="0BD55837"/>
    <w:rsid w:val="0BD67144"/>
    <w:rsid w:val="0C040028"/>
    <w:rsid w:val="0C2B25DC"/>
    <w:rsid w:val="0C301E91"/>
    <w:rsid w:val="0C3A4603"/>
    <w:rsid w:val="0C403CBC"/>
    <w:rsid w:val="0C47725B"/>
    <w:rsid w:val="0C6C04F0"/>
    <w:rsid w:val="0C8F6F5D"/>
    <w:rsid w:val="0CAC6157"/>
    <w:rsid w:val="0CB903AE"/>
    <w:rsid w:val="0CD14E0B"/>
    <w:rsid w:val="0CEB7612"/>
    <w:rsid w:val="0D0434DE"/>
    <w:rsid w:val="0D1652E5"/>
    <w:rsid w:val="0D416D63"/>
    <w:rsid w:val="0D6C3A14"/>
    <w:rsid w:val="0D751469"/>
    <w:rsid w:val="0D865843"/>
    <w:rsid w:val="0D886AD9"/>
    <w:rsid w:val="0DA6583B"/>
    <w:rsid w:val="0DDC7ABB"/>
    <w:rsid w:val="0DEC2713"/>
    <w:rsid w:val="0DEE6506"/>
    <w:rsid w:val="0DFB64F3"/>
    <w:rsid w:val="0E0544F1"/>
    <w:rsid w:val="0E1D04F3"/>
    <w:rsid w:val="0E275D0D"/>
    <w:rsid w:val="0E295015"/>
    <w:rsid w:val="0E496E6D"/>
    <w:rsid w:val="0E4A47B4"/>
    <w:rsid w:val="0E651CDB"/>
    <w:rsid w:val="0E740F24"/>
    <w:rsid w:val="0E817655"/>
    <w:rsid w:val="0EAA135B"/>
    <w:rsid w:val="0EBC699E"/>
    <w:rsid w:val="0EC4025E"/>
    <w:rsid w:val="0ECC3EF5"/>
    <w:rsid w:val="0EDE31FD"/>
    <w:rsid w:val="0EE15174"/>
    <w:rsid w:val="0EF3204A"/>
    <w:rsid w:val="0F890789"/>
    <w:rsid w:val="0FA07CC0"/>
    <w:rsid w:val="0FF2305D"/>
    <w:rsid w:val="1002565A"/>
    <w:rsid w:val="100D21F1"/>
    <w:rsid w:val="101A68BC"/>
    <w:rsid w:val="103E7FAD"/>
    <w:rsid w:val="10480E2B"/>
    <w:rsid w:val="10A41E19"/>
    <w:rsid w:val="10B426F7"/>
    <w:rsid w:val="10C13168"/>
    <w:rsid w:val="10C930B7"/>
    <w:rsid w:val="10CB7003"/>
    <w:rsid w:val="10E83570"/>
    <w:rsid w:val="10EF4E1E"/>
    <w:rsid w:val="1106215D"/>
    <w:rsid w:val="11162132"/>
    <w:rsid w:val="11286567"/>
    <w:rsid w:val="113D17A7"/>
    <w:rsid w:val="116E089C"/>
    <w:rsid w:val="1178165D"/>
    <w:rsid w:val="11A71503"/>
    <w:rsid w:val="11C73EBB"/>
    <w:rsid w:val="11F65F25"/>
    <w:rsid w:val="121163AA"/>
    <w:rsid w:val="12227CC7"/>
    <w:rsid w:val="122730A2"/>
    <w:rsid w:val="1235740C"/>
    <w:rsid w:val="124B4110"/>
    <w:rsid w:val="124F67AA"/>
    <w:rsid w:val="126A0226"/>
    <w:rsid w:val="127121BD"/>
    <w:rsid w:val="127A507C"/>
    <w:rsid w:val="13105CB2"/>
    <w:rsid w:val="13296FA6"/>
    <w:rsid w:val="13440E4E"/>
    <w:rsid w:val="134A210F"/>
    <w:rsid w:val="134E22CB"/>
    <w:rsid w:val="137F4B64"/>
    <w:rsid w:val="13D401D2"/>
    <w:rsid w:val="13E5500F"/>
    <w:rsid w:val="140A6EC9"/>
    <w:rsid w:val="141E3106"/>
    <w:rsid w:val="142C3C1B"/>
    <w:rsid w:val="14344428"/>
    <w:rsid w:val="144758AD"/>
    <w:rsid w:val="145F4995"/>
    <w:rsid w:val="14774CD9"/>
    <w:rsid w:val="14EA114E"/>
    <w:rsid w:val="152028F8"/>
    <w:rsid w:val="15380B00"/>
    <w:rsid w:val="154169F7"/>
    <w:rsid w:val="154C38CA"/>
    <w:rsid w:val="15A77148"/>
    <w:rsid w:val="16542172"/>
    <w:rsid w:val="168252EF"/>
    <w:rsid w:val="16AE710B"/>
    <w:rsid w:val="16C927E8"/>
    <w:rsid w:val="16E5786E"/>
    <w:rsid w:val="170F149C"/>
    <w:rsid w:val="17127A0A"/>
    <w:rsid w:val="174379DE"/>
    <w:rsid w:val="17950977"/>
    <w:rsid w:val="17C94C24"/>
    <w:rsid w:val="17EA079C"/>
    <w:rsid w:val="18316FA0"/>
    <w:rsid w:val="18360148"/>
    <w:rsid w:val="184507B7"/>
    <w:rsid w:val="18592266"/>
    <w:rsid w:val="18642CA3"/>
    <w:rsid w:val="1879792B"/>
    <w:rsid w:val="187D76FE"/>
    <w:rsid w:val="187F6DC6"/>
    <w:rsid w:val="18C86036"/>
    <w:rsid w:val="18EF2158"/>
    <w:rsid w:val="18F57676"/>
    <w:rsid w:val="18FE18FF"/>
    <w:rsid w:val="192A1233"/>
    <w:rsid w:val="193D29A0"/>
    <w:rsid w:val="194B11D8"/>
    <w:rsid w:val="19A8679E"/>
    <w:rsid w:val="19D06CA7"/>
    <w:rsid w:val="19D637BF"/>
    <w:rsid w:val="19DA14CF"/>
    <w:rsid w:val="1A1B097E"/>
    <w:rsid w:val="1A1D2697"/>
    <w:rsid w:val="1A2245D3"/>
    <w:rsid w:val="1A3E135B"/>
    <w:rsid w:val="1A7A2DDE"/>
    <w:rsid w:val="1A8176FC"/>
    <w:rsid w:val="1A9B35F8"/>
    <w:rsid w:val="1AF54BFB"/>
    <w:rsid w:val="1B10573C"/>
    <w:rsid w:val="1B261F11"/>
    <w:rsid w:val="1B2749A4"/>
    <w:rsid w:val="1B393CAF"/>
    <w:rsid w:val="1B3B0BBD"/>
    <w:rsid w:val="1B9D51C7"/>
    <w:rsid w:val="1BCD687E"/>
    <w:rsid w:val="1BEB7950"/>
    <w:rsid w:val="1BF90277"/>
    <w:rsid w:val="1BFD080F"/>
    <w:rsid w:val="1C0A2BC2"/>
    <w:rsid w:val="1C166921"/>
    <w:rsid w:val="1C2D7B08"/>
    <w:rsid w:val="1C7D324E"/>
    <w:rsid w:val="1C844F99"/>
    <w:rsid w:val="1C9708A8"/>
    <w:rsid w:val="1CB24CAE"/>
    <w:rsid w:val="1CBC7C71"/>
    <w:rsid w:val="1CDA1EF1"/>
    <w:rsid w:val="1CDB5090"/>
    <w:rsid w:val="1CFA5804"/>
    <w:rsid w:val="1CFB0BAB"/>
    <w:rsid w:val="1D0D63D5"/>
    <w:rsid w:val="1D374FCD"/>
    <w:rsid w:val="1D567A76"/>
    <w:rsid w:val="1D5D6FC0"/>
    <w:rsid w:val="1D7C2114"/>
    <w:rsid w:val="1D7D050B"/>
    <w:rsid w:val="1DA51E10"/>
    <w:rsid w:val="1DA95E80"/>
    <w:rsid w:val="1DEA2207"/>
    <w:rsid w:val="1DEA701A"/>
    <w:rsid w:val="1E004E4D"/>
    <w:rsid w:val="1E006E84"/>
    <w:rsid w:val="1E1B07AC"/>
    <w:rsid w:val="1E3B3BDF"/>
    <w:rsid w:val="1E4076BF"/>
    <w:rsid w:val="1E4D585F"/>
    <w:rsid w:val="1E73604A"/>
    <w:rsid w:val="1E7C6811"/>
    <w:rsid w:val="1EA0654E"/>
    <w:rsid w:val="1EB37B7F"/>
    <w:rsid w:val="1EDC35F4"/>
    <w:rsid w:val="1EFF6237"/>
    <w:rsid w:val="1F091B82"/>
    <w:rsid w:val="1F4F4EAB"/>
    <w:rsid w:val="1F647E79"/>
    <w:rsid w:val="1F8D0609"/>
    <w:rsid w:val="1F9636B5"/>
    <w:rsid w:val="1FA0765E"/>
    <w:rsid w:val="1FA54268"/>
    <w:rsid w:val="1FC77F2B"/>
    <w:rsid w:val="20107F9E"/>
    <w:rsid w:val="20195EA6"/>
    <w:rsid w:val="20250841"/>
    <w:rsid w:val="202F1969"/>
    <w:rsid w:val="202F6FBB"/>
    <w:rsid w:val="208D3F08"/>
    <w:rsid w:val="20AC773C"/>
    <w:rsid w:val="20C653B1"/>
    <w:rsid w:val="20F042F7"/>
    <w:rsid w:val="21001530"/>
    <w:rsid w:val="211C7FF3"/>
    <w:rsid w:val="21233D21"/>
    <w:rsid w:val="21350E20"/>
    <w:rsid w:val="213A0D23"/>
    <w:rsid w:val="217A3A95"/>
    <w:rsid w:val="21A93684"/>
    <w:rsid w:val="21BB48C5"/>
    <w:rsid w:val="21D31BF1"/>
    <w:rsid w:val="21DA43C3"/>
    <w:rsid w:val="22962E0B"/>
    <w:rsid w:val="229F685F"/>
    <w:rsid w:val="22B72484"/>
    <w:rsid w:val="230A1B8F"/>
    <w:rsid w:val="238E6465"/>
    <w:rsid w:val="239650FC"/>
    <w:rsid w:val="23AD0167"/>
    <w:rsid w:val="23F273CB"/>
    <w:rsid w:val="241C2BD3"/>
    <w:rsid w:val="24241924"/>
    <w:rsid w:val="24267A6A"/>
    <w:rsid w:val="24742DD9"/>
    <w:rsid w:val="24976D54"/>
    <w:rsid w:val="24AB5C28"/>
    <w:rsid w:val="24B42D7A"/>
    <w:rsid w:val="24B63D95"/>
    <w:rsid w:val="24B95FE5"/>
    <w:rsid w:val="24CD4A29"/>
    <w:rsid w:val="24DE7B66"/>
    <w:rsid w:val="252346D1"/>
    <w:rsid w:val="25396C04"/>
    <w:rsid w:val="25706B13"/>
    <w:rsid w:val="25812A5A"/>
    <w:rsid w:val="25916A2A"/>
    <w:rsid w:val="259644AC"/>
    <w:rsid w:val="25C67BF0"/>
    <w:rsid w:val="25E313CB"/>
    <w:rsid w:val="25E65910"/>
    <w:rsid w:val="25F72C1A"/>
    <w:rsid w:val="261721C7"/>
    <w:rsid w:val="262B3CD1"/>
    <w:rsid w:val="263E5808"/>
    <w:rsid w:val="266A6628"/>
    <w:rsid w:val="266C40F2"/>
    <w:rsid w:val="26BA0EE5"/>
    <w:rsid w:val="26CE2A1A"/>
    <w:rsid w:val="271442B3"/>
    <w:rsid w:val="27191E30"/>
    <w:rsid w:val="272A7A9D"/>
    <w:rsid w:val="273F5DB5"/>
    <w:rsid w:val="27422682"/>
    <w:rsid w:val="275865E2"/>
    <w:rsid w:val="275E2986"/>
    <w:rsid w:val="27674353"/>
    <w:rsid w:val="279D513A"/>
    <w:rsid w:val="27B72C33"/>
    <w:rsid w:val="27C66F0F"/>
    <w:rsid w:val="27CA2743"/>
    <w:rsid w:val="27CC44C6"/>
    <w:rsid w:val="27E8434F"/>
    <w:rsid w:val="28025741"/>
    <w:rsid w:val="282F49C2"/>
    <w:rsid w:val="283857E0"/>
    <w:rsid w:val="28500FD7"/>
    <w:rsid w:val="288162F1"/>
    <w:rsid w:val="28990570"/>
    <w:rsid w:val="28995E5D"/>
    <w:rsid w:val="28B9264B"/>
    <w:rsid w:val="29744435"/>
    <w:rsid w:val="2990262B"/>
    <w:rsid w:val="29A85CC5"/>
    <w:rsid w:val="29BA1967"/>
    <w:rsid w:val="29C53E47"/>
    <w:rsid w:val="2A1E0B28"/>
    <w:rsid w:val="2A2E2988"/>
    <w:rsid w:val="2A3525B0"/>
    <w:rsid w:val="2AF53506"/>
    <w:rsid w:val="2B553176"/>
    <w:rsid w:val="2B5A1A0F"/>
    <w:rsid w:val="2B803ED4"/>
    <w:rsid w:val="2B9639F8"/>
    <w:rsid w:val="2BA41F0E"/>
    <w:rsid w:val="2BB2275D"/>
    <w:rsid w:val="2BC74161"/>
    <w:rsid w:val="2BE11BE1"/>
    <w:rsid w:val="2BFC4748"/>
    <w:rsid w:val="2C3B1B1B"/>
    <w:rsid w:val="2C4C690C"/>
    <w:rsid w:val="2CAC51A2"/>
    <w:rsid w:val="2CD47877"/>
    <w:rsid w:val="2CF85CC4"/>
    <w:rsid w:val="2D2D4FF7"/>
    <w:rsid w:val="2D332631"/>
    <w:rsid w:val="2D540E2D"/>
    <w:rsid w:val="2D8D6927"/>
    <w:rsid w:val="2D983644"/>
    <w:rsid w:val="2DBA54A3"/>
    <w:rsid w:val="2DBC6578"/>
    <w:rsid w:val="2E152CFE"/>
    <w:rsid w:val="2E2453C5"/>
    <w:rsid w:val="2E2C1567"/>
    <w:rsid w:val="2E451853"/>
    <w:rsid w:val="2E6F4EA7"/>
    <w:rsid w:val="2E886BE7"/>
    <w:rsid w:val="2E8E22B2"/>
    <w:rsid w:val="2EA71F07"/>
    <w:rsid w:val="2EC903BC"/>
    <w:rsid w:val="2EE53913"/>
    <w:rsid w:val="2EF04710"/>
    <w:rsid w:val="2F12690C"/>
    <w:rsid w:val="2F173148"/>
    <w:rsid w:val="2F353270"/>
    <w:rsid w:val="2F3B6575"/>
    <w:rsid w:val="2F6259D1"/>
    <w:rsid w:val="2F635AE0"/>
    <w:rsid w:val="2F9B76CE"/>
    <w:rsid w:val="2FBE3603"/>
    <w:rsid w:val="2FD123E4"/>
    <w:rsid w:val="30282FCE"/>
    <w:rsid w:val="30634948"/>
    <w:rsid w:val="30B01FC5"/>
    <w:rsid w:val="30D50DD5"/>
    <w:rsid w:val="31125C4D"/>
    <w:rsid w:val="312546A9"/>
    <w:rsid w:val="31261C73"/>
    <w:rsid w:val="313004B2"/>
    <w:rsid w:val="31444303"/>
    <w:rsid w:val="32012789"/>
    <w:rsid w:val="320C21EC"/>
    <w:rsid w:val="325C1B37"/>
    <w:rsid w:val="326A4ABA"/>
    <w:rsid w:val="328213B1"/>
    <w:rsid w:val="328726A4"/>
    <w:rsid w:val="32923217"/>
    <w:rsid w:val="32C629AF"/>
    <w:rsid w:val="32CD7D3C"/>
    <w:rsid w:val="32E41193"/>
    <w:rsid w:val="33756B01"/>
    <w:rsid w:val="337B66DE"/>
    <w:rsid w:val="33E56C27"/>
    <w:rsid w:val="33E60297"/>
    <w:rsid w:val="33EE6076"/>
    <w:rsid w:val="340821B6"/>
    <w:rsid w:val="34635A60"/>
    <w:rsid w:val="34DF76C6"/>
    <w:rsid w:val="34E1085D"/>
    <w:rsid w:val="34EC099B"/>
    <w:rsid w:val="35186F89"/>
    <w:rsid w:val="35234902"/>
    <w:rsid w:val="3555351F"/>
    <w:rsid w:val="357310BA"/>
    <w:rsid w:val="35874D93"/>
    <w:rsid w:val="35DB46B0"/>
    <w:rsid w:val="36520B34"/>
    <w:rsid w:val="368A70BF"/>
    <w:rsid w:val="36AE1502"/>
    <w:rsid w:val="36BC59AD"/>
    <w:rsid w:val="36FD501A"/>
    <w:rsid w:val="37140FC6"/>
    <w:rsid w:val="3715213D"/>
    <w:rsid w:val="373B5FB5"/>
    <w:rsid w:val="37AB797B"/>
    <w:rsid w:val="37C21CDB"/>
    <w:rsid w:val="37E17218"/>
    <w:rsid w:val="38115279"/>
    <w:rsid w:val="3814351B"/>
    <w:rsid w:val="383B4749"/>
    <w:rsid w:val="38527678"/>
    <w:rsid w:val="388F2B1E"/>
    <w:rsid w:val="389F46B1"/>
    <w:rsid w:val="38C56C0D"/>
    <w:rsid w:val="38CE0773"/>
    <w:rsid w:val="38F80EC9"/>
    <w:rsid w:val="39194F99"/>
    <w:rsid w:val="39232013"/>
    <w:rsid w:val="39553FD0"/>
    <w:rsid w:val="39731E6B"/>
    <w:rsid w:val="39A0349A"/>
    <w:rsid w:val="39A549E8"/>
    <w:rsid w:val="39BD091F"/>
    <w:rsid w:val="39C246D7"/>
    <w:rsid w:val="39DA7FC9"/>
    <w:rsid w:val="39E95632"/>
    <w:rsid w:val="3A074F40"/>
    <w:rsid w:val="3A0A54CD"/>
    <w:rsid w:val="3A55076D"/>
    <w:rsid w:val="3A5D1A4E"/>
    <w:rsid w:val="3A684284"/>
    <w:rsid w:val="3A9A44BE"/>
    <w:rsid w:val="3AD44662"/>
    <w:rsid w:val="3AED0B01"/>
    <w:rsid w:val="3B223D18"/>
    <w:rsid w:val="3B243D61"/>
    <w:rsid w:val="3B385BA2"/>
    <w:rsid w:val="3B4D50F6"/>
    <w:rsid w:val="3BCC7624"/>
    <w:rsid w:val="3C020DEC"/>
    <w:rsid w:val="3C405754"/>
    <w:rsid w:val="3C5230E9"/>
    <w:rsid w:val="3C5E0CE6"/>
    <w:rsid w:val="3C862460"/>
    <w:rsid w:val="3C8C2E7C"/>
    <w:rsid w:val="3CA818D8"/>
    <w:rsid w:val="3CB44FCF"/>
    <w:rsid w:val="3CEC4B3A"/>
    <w:rsid w:val="3D0B599D"/>
    <w:rsid w:val="3D404D9F"/>
    <w:rsid w:val="3D67197A"/>
    <w:rsid w:val="3D6F39BA"/>
    <w:rsid w:val="3D84459D"/>
    <w:rsid w:val="3D99408E"/>
    <w:rsid w:val="3D9C5A6F"/>
    <w:rsid w:val="3DA0337F"/>
    <w:rsid w:val="3DB246B4"/>
    <w:rsid w:val="3E155B81"/>
    <w:rsid w:val="3E821474"/>
    <w:rsid w:val="3E905CC0"/>
    <w:rsid w:val="3E986301"/>
    <w:rsid w:val="3EF1563D"/>
    <w:rsid w:val="3EFF097E"/>
    <w:rsid w:val="3F0F1224"/>
    <w:rsid w:val="3F195FAB"/>
    <w:rsid w:val="3F32479F"/>
    <w:rsid w:val="3F3A15F9"/>
    <w:rsid w:val="3F497FFD"/>
    <w:rsid w:val="3F693DEA"/>
    <w:rsid w:val="3FBB0E12"/>
    <w:rsid w:val="3FE826D9"/>
    <w:rsid w:val="401101F5"/>
    <w:rsid w:val="401B42D0"/>
    <w:rsid w:val="40291A7A"/>
    <w:rsid w:val="40530AE8"/>
    <w:rsid w:val="40A168EF"/>
    <w:rsid w:val="40C73569"/>
    <w:rsid w:val="40EC6A2E"/>
    <w:rsid w:val="40EE1AC9"/>
    <w:rsid w:val="412A4961"/>
    <w:rsid w:val="41382C71"/>
    <w:rsid w:val="41460080"/>
    <w:rsid w:val="41516DCC"/>
    <w:rsid w:val="416D0BC5"/>
    <w:rsid w:val="418758D3"/>
    <w:rsid w:val="419C0D05"/>
    <w:rsid w:val="41CA6393"/>
    <w:rsid w:val="424977FE"/>
    <w:rsid w:val="425E0991"/>
    <w:rsid w:val="427A65BC"/>
    <w:rsid w:val="42892A5A"/>
    <w:rsid w:val="43486C97"/>
    <w:rsid w:val="434C3368"/>
    <w:rsid w:val="43515B81"/>
    <w:rsid w:val="43613625"/>
    <w:rsid w:val="43734BC7"/>
    <w:rsid w:val="43A470CD"/>
    <w:rsid w:val="43B42EF5"/>
    <w:rsid w:val="43C174C5"/>
    <w:rsid w:val="43CA0BFA"/>
    <w:rsid w:val="43CD729D"/>
    <w:rsid w:val="43CF2C39"/>
    <w:rsid w:val="43E27D1D"/>
    <w:rsid w:val="4413240A"/>
    <w:rsid w:val="4440738F"/>
    <w:rsid w:val="445C5B8A"/>
    <w:rsid w:val="44A03E7E"/>
    <w:rsid w:val="44B02977"/>
    <w:rsid w:val="4523021F"/>
    <w:rsid w:val="457B07E0"/>
    <w:rsid w:val="45D30EAA"/>
    <w:rsid w:val="45D80B9B"/>
    <w:rsid w:val="461E270D"/>
    <w:rsid w:val="464862A3"/>
    <w:rsid w:val="46605352"/>
    <w:rsid w:val="46D06EA9"/>
    <w:rsid w:val="46EF2884"/>
    <w:rsid w:val="46F17442"/>
    <w:rsid w:val="470022E4"/>
    <w:rsid w:val="470617A0"/>
    <w:rsid w:val="472C61ED"/>
    <w:rsid w:val="472E5A4A"/>
    <w:rsid w:val="47374FD9"/>
    <w:rsid w:val="474A6C5C"/>
    <w:rsid w:val="47C926D0"/>
    <w:rsid w:val="47EB2D3B"/>
    <w:rsid w:val="47FD49E3"/>
    <w:rsid w:val="480D48DB"/>
    <w:rsid w:val="48174852"/>
    <w:rsid w:val="481C6FC7"/>
    <w:rsid w:val="485E5D83"/>
    <w:rsid w:val="48854C6D"/>
    <w:rsid w:val="48923F8C"/>
    <w:rsid w:val="489C788A"/>
    <w:rsid w:val="48AD2A5A"/>
    <w:rsid w:val="48C04CC4"/>
    <w:rsid w:val="48C0727B"/>
    <w:rsid w:val="48E01705"/>
    <w:rsid w:val="48E37D22"/>
    <w:rsid w:val="48E84985"/>
    <w:rsid w:val="490706C9"/>
    <w:rsid w:val="49082DF8"/>
    <w:rsid w:val="490E6A91"/>
    <w:rsid w:val="492A05F3"/>
    <w:rsid w:val="49386B2F"/>
    <w:rsid w:val="4973327C"/>
    <w:rsid w:val="49897837"/>
    <w:rsid w:val="499A1DBF"/>
    <w:rsid w:val="49C16B89"/>
    <w:rsid w:val="49C42D63"/>
    <w:rsid w:val="49DF20CF"/>
    <w:rsid w:val="4A4A0D21"/>
    <w:rsid w:val="4A7B594C"/>
    <w:rsid w:val="4A880909"/>
    <w:rsid w:val="4A89414C"/>
    <w:rsid w:val="4ABA355E"/>
    <w:rsid w:val="4ACC47D4"/>
    <w:rsid w:val="4AE64165"/>
    <w:rsid w:val="4AF25718"/>
    <w:rsid w:val="4B155F95"/>
    <w:rsid w:val="4B245646"/>
    <w:rsid w:val="4B3F61B4"/>
    <w:rsid w:val="4B4059FE"/>
    <w:rsid w:val="4B44348D"/>
    <w:rsid w:val="4B711299"/>
    <w:rsid w:val="4C001FAC"/>
    <w:rsid w:val="4C0B44E0"/>
    <w:rsid w:val="4C1D353E"/>
    <w:rsid w:val="4C582A89"/>
    <w:rsid w:val="4C6B4F7E"/>
    <w:rsid w:val="4C85006E"/>
    <w:rsid w:val="4CA935A9"/>
    <w:rsid w:val="4CE41A95"/>
    <w:rsid w:val="4D14373D"/>
    <w:rsid w:val="4D203242"/>
    <w:rsid w:val="4D247C15"/>
    <w:rsid w:val="4D3B2BA3"/>
    <w:rsid w:val="4D4F2E49"/>
    <w:rsid w:val="4D7178DC"/>
    <w:rsid w:val="4D990DDC"/>
    <w:rsid w:val="4DB43081"/>
    <w:rsid w:val="4DC06E52"/>
    <w:rsid w:val="4DCC02C1"/>
    <w:rsid w:val="4DDD5875"/>
    <w:rsid w:val="4E647EE8"/>
    <w:rsid w:val="4EB32815"/>
    <w:rsid w:val="4EBB3CB2"/>
    <w:rsid w:val="4EC5136B"/>
    <w:rsid w:val="4ED447AB"/>
    <w:rsid w:val="4ED54871"/>
    <w:rsid w:val="4EFB2973"/>
    <w:rsid w:val="4F155E20"/>
    <w:rsid w:val="4F15714C"/>
    <w:rsid w:val="4F1E452A"/>
    <w:rsid w:val="4F2E6A39"/>
    <w:rsid w:val="4F565B72"/>
    <w:rsid w:val="4F7D5605"/>
    <w:rsid w:val="4FB13C02"/>
    <w:rsid w:val="4FB3742D"/>
    <w:rsid w:val="4FF74934"/>
    <w:rsid w:val="50673D34"/>
    <w:rsid w:val="506F0F9A"/>
    <w:rsid w:val="50834BAB"/>
    <w:rsid w:val="50D8288D"/>
    <w:rsid w:val="50EF2622"/>
    <w:rsid w:val="50F85145"/>
    <w:rsid w:val="510A589C"/>
    <w:rsid w:val="51144B6F"/>
    <w:rsid w:val="51425D1D"/>
    <w:rsid w:val="515C14A9"/>
    <w:rsid w:val="5161166C"/>
    <w:rsid w:val="518A397C"/>
    <w:rsid w:val="51A20563"/>
    <w:rsid w:val="51EB6D37"/>
    <w:rsid w:val="5203577F"/>
    <w:rsid w:val="52084650"/>
    <w:rsid w:val="524456FC"/>
    <w:rsid w:val="524F78C9"/>
    <w:rsid w:val="52A87C92"/>
    <w:rsid w:val="52AC0A8D"/>
    <w:rsid w:val="52BE1BBB"/>
    <w:rsid w:val="531F7CA4"/>
    <w:rsid w:val="5334119C"/>
    <w:rsid w:val="53531291"/>
    <w:rsid w:val="536319BB"/>
    <w:rsid w:val="536E4222"/>
    <w:rsid w:val="537D6D3C"/>
    <w:rsid w:val="5387697A"/>
    <w:rsid w:val="53B05482"/>
    <w:rsid w:val="544B4042"/>
    <w:rsid w:val="546604FD"/>
    <w:rsid w:val="54873A79"/>
    <w:rsid w:val="54907E6E"/>
    <w:rsid w:val="549C2122"/>
    <w:rsid w:val="54AB5E45"/>
    <w:rsid w:val="54C70B66"/>
    <w:rsid w:val="552157C8"/>
    <w:rsid w:val="55371A48"/>
    <w:rsid w:val="55C56988"/>
    <w:rsid w:val="55DE228B"/>
    <w:rsid w:val="5608557D"/>
    <w:rsid w:val="56161F5E"/>
    <w:rsid w:val="56310139"/>
    <w:rsid w:val="565B0BDC"/>
    <w:rsid w:val="56AD4414"/>
    <w:rsid w:val="56B27573"/>
    <w:rsid w:val="56BE33A0"/>
    <w:rsid w:val="56C362B7"/>
    <w:rsid w:val="56EC4B3A"/>
    <w:rsid w:val="571C57F3"/>
    <w:rsid w:val="572D2A2E"/>
    <w:rsid w:val="57454026"/>
    <w:rsid w:val="57C204C6"/>
    <w:rsid w:val="57D116B5"/>
    <w:rsid w:val="580B7A9A"/>
    <w:rsid w:val="587B58CA"/>
    <w:rsid w:val="588136C3"/>
    <w:rsid w:val="58931629"/>
    <w:rsid w:val="58CD418F"/>
    <w:rsid w:val="58E95B50"/>
    <w:rsid w:val="59300F78"/>
    <w:rsid w:val="597436C4"/>
    <w:rsid w:val="59A41ADB"/>
    <w:rsid w:val="5A020A81"/>
    <w:rsid w:val="5A13456F"/>
    <w:rsid w:val="5A24685E"/>
    <w:rsid w:val="5A361F01"/>
    <w:rsid w:val="5A4867BF"/>
    <w:rsid w:val="5A6F73D7"/>
    <w:rsid w:val="5AEC3820"/>
    <w:rsid w:val="5AEC7D0C"/>
    <w:rsid w:val="5AF83B56"/>
    <w:rsid w:val="5B154C16"/>
    <w:rsid w:val="5B2B3D3A"/>
    <w:rsid w:val="5B4E5FB3"/>
    <w:rsid w:val="5B5E0EA2"/>
    <w:rsid w:val="5B7420A1"/>
    <w:rsid w:val="5BD344D0"/>
    <w:rsid w:val="5BF404D6"/>
    <w:rsid w:val="5BFE1A54"/>
    <w:rsid w:val="5C11536F"/>
    <w:rsid w:val="5C434EF1"/>
    <w:rsid w:val="5C5B6030"/>
    <w:rsid w:val="5CBD333B"/>
    <w:rsid w:val="5CDA3FE3"/>
    <w:rsid w:val="5CE4498E"/>
    <w:rsid w:val="5D21300B"/>
    <w:rsid w:val="5D75193B"/>
    <w:rsid w:val="5D8132F0"/>
    <w:rsid w:val="5DC479C1"/>
    <w:rsid w:val="5DC9146E"/>
    <w:rsid w:val="5DED520A"/>
    <w:rsid w:val="5DFA3047"/>
    <w:rsid w:val="5E0B5CFA"/>
    <w:rsid w:val="5E652AF0"/>
    <w:rsid w:val="5E7E66CC"/>
    <w:rsid w:val="5EAD1B65"/>
    <w:rsid w:val="5EAE1749"/>
    <w:rsid w:val="5EC40FB0"/>
    <w:rsid w:val="5ED77F0C"/>
    <w:rsid w:val="5F100ECB"/>
    <w:rsid w:val="5F1D2364"/>
    <w:rsid w:val="5F3E4661"/>
    <w:rsid w:val="5F4B592A"/>
    <w:rsid w:val="5F6C2AEC"/>
    <w:rsid w:val="5F7F48DA"/>
    <w:rsid w:val="5F8178DC"/>
    <w:rsid w:val="5F9E51D4"/>
    <w:rsid w:val="5FB57ED6"/>
    <w:rsid w:val="5FE72220"/>
    <w:rsid w:val="5FEB16DA"/>
    <w:rsid w:val="601B31A8"/>
    <w:rsid w:val="60335C04"/>
    <w:rsid w:val="60546503"/>
    <w:rsid w:val="60622CAB"/>
    <w:rsid w:val="60770A05"/>
    <w:rsid w:val="60962F5C"/>
    <w:rsid w:val="60BF7696"/>
    <w:rsid w:val="60E16DA4"/>
    <w:rsid w:val="60F56E6B"/>
    <w:rsid w:val="60FA2143"/>
    <w:rsid w:val="610276C4"/>
    <w:rsid w:val="612775D5"/>
    <w:rsid w:val="61426BE6"/>
    <w:rsid w:val="614537E2"/>
    <w:rsid w:val="615E4B85"/>
    <w:rsid w:val="61663592"/>
    <w:rsid w:val="61BF2627"/>
    <w:rsid w:val="61C63AA3"/>
    <w:rsid w:val="61D36783"/>
    <w:rsid w:val="61F51F86"/>
    <w:rsid w:val="61FC1234"/>
    <w:rsid w:val="621B29F0"/>
    <w:rsid w:val="631D301E"/>
    <w:rsid w:val="631E0D74"/>
    <w:rsid w:val="63290353"/>
    <w:rsid w:val="632F68AE"/>
    <w:rsid w:val="63605A68"/>
    <w:rsid w:val="638E5312"/>
    <w:rsid w:val="63AF59E7"/>
    <w:rsid w:val="63E0267B"/>
    <w:rsid w:val="63FF4AD6"/>
    <w:rsid w:val="64037861"/>
    <w:rsid w:val="642B56D4"/>
    <w:rsid w:val="64BB7E9B"/>
    <w:rsid w:val="64FE0E23"/>
    <w:rsid w:val="65616A00"/>
    <w:rsid w:val="656769E4"/>
    <w:rsid w:val="65A80E7C"/>
    <w:rsid w:val="65AA1001"/>
    <w:rsid w:val="65F356DB"/>
    <w:rsid w:val="665E3717"/>
    <w:rsid w:val="665F1D29"/>
    <w:rsid w:val="66C60727"/>
    <w:rsid w:val="66D27127"/>
    <w:rsid w:val="66D32F32"/>
    <w:rsid w:val="66FA049F"/>
    <w:rsid w:val="67594C42"/>
    <w:rsid w:val="676C1023"/>
    <w:rsid w:val="67844276"/>
    <w:rsid w:val="67CE24A0"/>
    <w:rsid w:val="67D6167F"/>
    <w:rsid w:val="681807F1"/>
    <w:rsid w:val="68460921"/>
    <w:rsid w:val="689A7D7C"/>
    <w:rsid w:val="68AE0286"/>
    <w:rsid w:val="68CD291B"/>
    <w:rsid w:val="68E964C0"/>
    <w:rsid w:val="68FE724D"/>
    <w:rsid w:val="6911655B"/>
    <w:rsid w:val="69141D26"/>
    <w:rsid w:val="696C5B9A"/>
    <w:rsid w:val="698523C2"/>
    <w:rsid w:val="69896926"/>
    <w:rsid w:val="698B4286"/>
    <w:rsid w:val="699A273E"/>
    <w:rsid w:val="699F1DE6"/>
    <w:rsid w:val="69C35E42"/>
    <w:rsid w:val="69DF1BBD"/>
    <w:rsid w:val="6A1302B4"/>
    <w:rsid w:val="6A4529C4"/>
    <w:rsid w:val="6A5252CB"/>
    <w:rsid w:val="6A525859"/>
    <w:rsid w:val="6A780AF1"/>
    <w:rsid w:val="6A790462"/>
    <w:rsid w:val="6A843F80"/>
    <w:rsid w:val="6B43383E"/>
    <w:rsid w:val="6B782617"/>
    <w:rsid w:val="6B9C55A4"/>
    <w:rsid w:val="6BB23942"/>
    <w:rsid w:val="6BEC692F"/>
    <w:rsid w:val="6C0F4C50"/>
    <w:rsid w:val="6C3A3373"/>
    <w:rsid w:val="6C787FA2"/>
    <w:rsid w:val="6C802816"/>
    <w:rsid w:val="6CA86B77"/>
    <w:rsid w:val="6CB36A49"/>
    <w:rsid w:val="6CE12366"/>
    <w:rsid w:val="6D0B321A"/>
    <w:rsid w:val="6D0D1A0E"/>
    <w:rsid w:val="6D172DF6"/>
    <w:rsid w:val="6D3C2A59"/>
    <w:rsid w:val="6D4B22D4"/>
    <w:rsid w:val="6D7C7E63"/>
    <w:rsid w:val="6D8454EA"/>
    <w:rsid w:val="6D995401"/>
    <w:rsid w:val="6DAC3F2F"/>
    <w:rsid w:val="6DD65818"/>
    <w:rsid w:val="6DF24FCE"/>
    <w:rsid w:val="6DF528C1"/>
    <w:rsid w:val="6E050498"/>
    <w:rsid w:val="6E1143CB"/>
    <w:rsid w:val="6E766C27"/>
    <w:rsid w:val="6E841C8C"/>
    <w:rsid w:val="6EB07CA0"/>
    <w:rsid w:val="6EB21AC0"/>
    <w:rsid w:val="6EB90EBE"/>
    <w:rsid w:val="6F53766F"/>
    <w:rsid w:val="6F5E7A6C"/>
    <w:rsid w:val="6FA03202"/>
    <w:rsid w:val="6FB16FC8"/>
    <w:rsid w:val="6FE73CFF"/>
    <w:rsid w:val="701E7138"/>
    <w:rsid w:val="703A7C59"/>
    <w:rsid w:val="705E05FE"/>
    <w:rsid w:val="70605849"/>
    <w:rsid w:val="706C10A3"/>
    <w:rsid w:val="70D57F4F"/>
    <w:rsid w:val="70E2218B"/>
    <w:rsid w:val="70ED5F8A"/>
    <w:rsid w:val="71110BDE"/>
    <w:rsid w:val="71373EC6"/>
    <w:rsid w:val="71662034"/>
    <w:rsid w:val="716E1336"/>
    <w:rsid w:val="71AD04EE"/>
    <w:rsid w:val="71C475C4"/>
    <w:rsid w:val="71EF231D"/>
    <w:rsid w:val="72395053"/>
    <w:rsid w:val="727C25B4"/>
    <w:rsid w:val="72A65014"/>
    <w:rsid w:val="72A827A3"/>
    <w:rsid w:val="72B22828"/>
    <w:rsid w:val="72C61AD5"/>
    <w:rsid w:val="72E55BBB"/>
    <w:rsid w:val="72F316A6"/>
    <w:rsid w:val="731E7330"/>
    <w:rsid w:val="732E5CD0"/>
    <w:rsid w:val="73367486"/>
    <w:rsid w:val="733D73B5"/>
    <w:rsid w:val="737156D9"/>
    <w:rsid w:val="73DA2598"/>
    <w:rsid w:val="74000587"/>
    <w:rsid w:val="741113F0"/>
    <w:rsid w:val="74236FBB"/>
    <w:rsid w:val="745C357F"/>
    <w:rsid w:val="747700C8"/>
    <w:rsid w:val="747966FB"/>
    <w:rsid w:val="74920C07"/>
    <w:rsid w:val="74A2452F"/>
    <w:rsid w:val="74E31494"/>
    <w:rsid w:val="752F21C4"/>
    <w:rsid w:val="754E5832"/>
    <w:rsid w:val="75660855"/>
    <w:rsid w:val="75A0561E"/>
    <w:rsid w:val="75AF23F2"/>
    <w:rsid w:val="75BF7387"/>
    <w:rsid w:val="75CD61DE"/>
    <w:rsid w:val="75F266DC"/>
    <w:rsid w:val="76134D68"/>
    <w:rsid w:val="7620228D"/>
    <w:rsid w:val="762F11BB"/>
    <w:rsid w:val="764C6B3A"/>
    <w:rsid w:val="76CE0AF0"/>
    <w:rsid w:val="76F6100C"/>
    <w:rsid w:val="77075213"/>
    <w:rsid w:val="770A68C3"/>
    <w:rsid w:val="77175831"/>
    <w:rsid w:val="77537B2F"/>
    <w:rsid w:val="776F1F8F"/>
    <w:rsid w:val="778755F9"/>
    <w:rsid w:val="77B37DC4"/>
    <w:rsid w:val="77C67359"/>
    <w:rsid w:val="77E975A9"/>
    <w:rsid w:val="780D1C07"/>
    <w:rsid w:val="787D6BE3"/>
    <w:rsid w:val="78A54F1A"/>
    <w:rsid w:val="78E24DA4"/>
    <w:rsid w:val="79056C6B"/>
    <w:rsid w:val="79214D76"/>
    <w:rsid w:val="79330721"/>
    <w:rsid w:val="798537FF"/>
    <w:rsid w:val="79D73A45"/>
    <w:rsid w:val="79EF058D"/>
    <w:rsid w:val="79F90B32"/>
    <w:rsid w:val="7A710FA7"/>
    <w:rsid w:val="7A8606B8"/>
    <w:rsid w:val="7A930A2D"/>
    <w:rsid w:val="7AC555EF"/>
    <w:rsid w:val="7B095F0A"/>
    <w:rsid w:val="7B1D0C09"/>
    <w:rsid w:val="7B2745E3"/>
    <w:rsid w:val="7B2C32A9"/>
    <w:rsid w:val="7B2F1CD1"/>
    <w:rsid w:val="7B3F72ED"/>
    <w:rsid w:val="7B7F64CF"/>
    <w:rsid w:val="7B9D1157"/>
    <w:rsid w:val="7B9D4BCD"/>
    <w:rsid w:val="7BA14A51"/>
    <w:rsid w:val="7C0C3E62"/>
    <w:rsid w:val="7C355F5D"/>
    <w:rsid w:val="7C3D1CA1"/>
    <w:rsid w:val="7C6E0630"/>
    <w:rsid w:val="7CA11211"/>
    <w:rsid w:val="7CDD1E81"/>
    <w:rsid w:val="7D152A5C"/>
    <w:rsid w:val="7D426438"/>
    <w:rsid w:val="7D454AC9"/>
    <w:rsid w:val="7DB326AF"/>
    <w:rsid w:val="7DBE1C4F"/>
    <w:rsid w:val="7E463E17"/>
    <w:rsid w:val="7E6C47F4"/>
    <w:rsid w:val="7E6D03E0"/>
    <w:rsid w:val="7E7027A3"/>
    <w:rsid w:val="7E7A00F0"/>
    <w:rsid w:val="7E8248C8"/>
    <w:rsid w:val="7E925392"/>
    <w:rsid w:val="7E9F17B3"/>
    <w:rsid w:val="7EA2041B"/>
    <w:rsid w:val="7EA353F8"/>
    <w:rsid w:val="7EB75B40"/>
    <w:rsid w:val="7F013162"/>
    <w:rsid w:val="7F0D7F93"/>
    <w:rsid w:val="7F137166"/>
    <w:rsid w:val="7F1F4BC0"/>
    <w:rsid w:val="7F33644D"/>
    <w:rsid w:val="7F750A6C"/>
    <w:rsid w:val="7FEA488D"/>
    <w:rsid w:val="7FEA6E96"/>
    <w:rsid w:val="C7CDF387"/>
    <w:rsid w:val="F9BF07F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40" w:lineRule="exact"/>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6"/>
    <w:qFormat/>
    <w:uiPriority w:val="0"/>
    <w:pPr>
      <w:keepNext/>
      <w:spacing w:line="340" w:lineRule="exact"/>
      <w:outlineLvl w:val="0"/>
    </w:pPr>
    <w:rPr>
      <w:b/>
      <w:bCs/>
    </w:rPr>
  </w:style>
  <w:style w:type="paragraph" w:styleId="3">
    <w:name w:val="heading 2"/>
    <w:basedOn w:val="1"/>
    <w:next w:val="1"/>
    <w:link w:val="63"/>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2"/>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71"/>
    <w:autoRedefine/>
    <w:qFormat/>
    <w:uiPriority w:val="0"/>
    <w:pPr>
      <w:keepNext/>
      <w:keepLines/>
      <w:numPr>
        <w:ilvl w:val="3"/>
        <w:numId w:val="1"/>
      </w:numPr>
      <w:spacing w:before="280" w:after="290" w:line="376" w:lineRule="auto"/>
      <w:outlineLvl w:val="3"/>
    </w:pPr>
    <w:rPr>
      <w:rFonts w:ascii="宋体" w:hAnsi="Arial" w:eastAsia="黑体"/>
      <w:b/>
      <w:sz w:val="24"/>
      <w:szCs w:val="20"/>
    </w:rPr>
  </w:style>
  <w:style w:type="paragraph" w:styleId="6">
    <w:name w:val="heading 5"/>
    <w:basedOn w:val="1"/>
    <w:next w:val="7"/>
    <w:link w:val="103"/>
    <w:autoRedefine/>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7"/>
    <w:link w:val="94"/>
    <w:autoRedefine/>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7"/>
    <w:link w:val="78"/>
    <w:autoRedefine/>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7"/>
    <w:link w:val="89"/>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7"/>
    <w:link w:val="101"/>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7">
    <w:name w:val="Default Paragraph Font"/>
    <w:semiHidden/>
    <w:unhideWhenUsed/>
    <w:qFormat/>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7">
    <w:name w:val="Normal Indent"/>
    <w:basedOn w:val="1"/>
    <w:link w:val="58"/>
    <w:qFormat/>
    <w:uiPriority w:val="0"/>
    <w:pPr>
      <w:ind w:firstLine="420"/>
    </w:pPr>
    <w:rPr>
      <w:szCs w:val="20"/>
    </w:rPr>
  </w:style>
  <w:style w:type="paragraph" w:styleId="12">
    <w:name w:val="caption"/>
    <w:basedOn w:val="1"/>
    <w:next w:val="1"/>
    <w:autoRedefine/>
    <w:qFormat/>
    <w:uiPriority w:val="0"/>
    <w:pPr>
      <w:spacing w:before="152" w:after="160"/>
    </w:pPr>
    <w:rPr>
      <w:rFonts w:ascii="Arial" w:hAnsi="Arial" w:eastAsia="黑体" w:cs="Arial"/>
      <w:sz w:val="20"/>
      <w:szCs w:val="20"/>
    </w:rPr>
  </w:style>
  <w:style w:type="paragraph" w:styleId="13">
    <w:name w:val="Document Map"/>
    <w:basedOn w:val="1"/>
    <w:link w:val="73"/>
    <w:autoRedefine/>
    <w:qFormat/>
    <w:uiPriority w:val="0"/>
    <w:pPr>
      <w:shd w:val="clear" w:color="auto" w:fill="000080"/>
    </w:pPr>
  </w:style>
  <w:style w:type="paragraph" w:styleId="14">
    <w:name w:val="annotation text"/>
    <w:basedOn w:val="1"/>
    <w:link w:val="76"/>
    <w:autoRedefine/>
    <w:qFormat/>
    <w:uiPriority w:val="99"/>
    <w:pPr>
      <w:jc w:val="left"/>
    </w:pPr>
  </w:style>
  <w:style w:type="paragraph" w:styleId="15">
    <w:name w:val="Body Text 3"/>
    <w:basedOn w:val="1"/>
    <w:link w:val="80"/>
    <w:autoRedefine/>
    <w:qFormat/>
    <w:uiPriority w:val="0"/>
    <w:pPr>
      <w:spacing w:line="500" w:lineRule="exact"/>
    </w:pPr>
    <w:rPr>
      <w:b/>
      <w:bCs/>
      <w:kern w:val="0"/>
      <w:sz w:val="24"/>
    </w:rPr>
  </w:style>
  <w:style w:type="paragraph" w:styleId="16">
    <w:name w:val="Body Text"/>
    <w:basedOn w:val="1"/>
    <w:next w:val="1"/>
    <w:link w:val="81"/>
    <w:autoRedefine/>
    <w:qFormat/>
    <w:uiPriority w:val="0"/>
    <w:pPr>
      <w:autoSpaceDE w:val="0"/>
      <w:autoSpaceDN w:val="0"/>
      <w:adjustRightInd w:val="0"/>
      <w:spacing w:after="120"/>
      <w:jc w:val="left"/>
    </w:pPr>
    <w:rPr>
      <w:rFonts w:ascii="宋体"/>
      <w:kern w:val="0"/>
      <w:sz w:val="34"/>
      <w:szCs w:val="20"/>
    </w:rPr>
  </w:style>
  <w:style w:type="paragraph" w:styleId="17">
    <w:name w:val="Body Text Indent"/>
    <w:basedOn w:val="1"/>
    <w:link w:val="74"/>
    <w:autoRedefine/>
    <w:qFormat/>
    <w:uiPriority w:val="0"/>
    <w:pPr>
      <w:spacing w:line="200" w:lineRule="exact"/>
      <w:ind w:firstLine="301"/>
    </w:pPr>
    <w:rPr>
      <w:rFonts w:ascii="宋体" w:hAnsi="Courier New"/>
      <w:spacing w:val="-4"/>
      <w:sz w:val="18"/>
      <w:szCs w:val="20"/>
    </w:rPr>
  </w:style>
  <w:style w:type="paragraph" w:styleId="18">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9">
    <w:name w:val="Plain Text"/>
    <w:basedOn w:val="1"/>
    <w:link w:val="60"/>
    <w:autoRedefine/>
    <w:qFormat/>
    <w:uiPriority w:val="0"/>
    <w:rPr>
      <w:rFonts w:ascii="宋体" w:hAnsi="Courier New"/>
      <w:szCs w:val="20"/>
    </w:rPr>
  </w:style>
  <w:style w:type="paragraph" w:styleId="20">
    <w:name w:val="Date"/>
    <w:basedOn w:val="1"/>
    <w:next w:val="1"/>
    <w:link w:val="67"/>
    <w:autoRedefine/>
    <w:qFormat/>
    <w:uiPriority w:val="0"/>
    <w:pPr>
      <w:ind w:left="100" w:leftChars="2500"/>
    </w:pPr>
    <w:rPr>
      <w:spacing w:val="30"/>
      <w:sz w:val="28"/>
    </w:rPr>
  </w:style>
  <w:style w:type="paragraph" w:styleId="21">
    <w:name w:val="Body Text Indent 2"/>
    <w:basedOn w:val="1"/>
    <w:link w:val="65"/>
    <w:autoRedefine/>
    <w:qFormat/>
    <w:uiPriority w:val="0"/>
    <w:pPr>
      <w:spacing w:line="400" w:lineRule="exact"/>
      <w:ind w:firstLine="480"/>
    </w:pPr>
  </w:style>
  <w:style w:type="paragraph" w:styleId="22">
    <w:name w:val="Balloon Text"/>
    <w:basedOn w:val="1"/>
    <w:link w:val="57"/>
    <w:autoRedefine/>
    <w:qFormat/>
    <w:uiPriority w:val="0"/>
    <w:rPr>
      <w:sz w:val="18"/>
      <w:szCs w:val="18"/>
    </w:rPr>
  </w:style>
  <w:style w:type="paragraph" w:styleId="23">
    <w:name w:val="footer"/>
    <w:basedOn w:val="1"/>
    <w:link w:val="68"/>
    <w:autoRedefine/>
    <w:qFormat/>
    <w:uiPriority w:val="0"/>
    <w:pPr>
      <w:tabs>
        <w:tab w:val="center" w:pos="4153"/>
        <w:tab w:val="right" w:pos="8306"/>
      </w:tabs>
      <w:snapToGrid w:val="0"/>
      <w:jc w:val="left"/>
    </w:pPr>
    <w:rPr>
      <w:rFonts w:ascii="宋体" w:hAnsi="Courier New"/>
      <w:sz w:val="18"/>
      <w:szCs w:val="20"/>
    </w:rPr>
  </w:style>
  <w:style w:type="paragraph" w:styleId="24">
    <w:name w:val="header"/>
    <w:basedOn w:val="1"/>
    <w:link w:val="75"/>
    <w:autoRedefine/>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25">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6">
    <w:name w:val="Body Text Indent 3"/>
    <w:basedOn w:val="1"/>
    <w:link w:val="99"/>
    <w:autoRedefine/>
    <w:qFormat/>
    <w:uiPriority w:val="0"/>
    <w:pPr>
      <w:spacing w:line="360" w:lineRule="auto"/>
      <w:ind w:firstLine="359" w:firstLineChars="171"/>
    </w:pPr>
  </w:style>
  <w:style w:type="paragraph" w:styleId="27">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8">
    <w:name w:val="Body Text 2"/>
    <w:basedOn w:val="1"/>
    <w:link w:val="87"/>
    <w:autoRedefine/>
    <w:qFormat/>
    <w:uiPriority w:val="0"/>
    <w:pPr>
      <w:spacing w:after="120" w:line="480" w:lineRule="auto"/>
    </w:pPr>
    <w:rPr>
      <w:kern w:val="0"/>
      <w:sz w:val="20"/>
    </w:rPr>
  </w:style>
  <w:style w:type="paragraph" w:styleId="29">
    <w:name w:val="HTML Preformatted"/>
    <w:basedOn w:val="1"/>
    <w:link w:val="7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0">
    <w:name w:val="Normal (Web)"/>
    <w:basedOn w:val="1"/>
    <w:autoRedefine/>
    <w:qFormat/>
    <w:uiPriority w:val="0"/>
    <w:pPr>
      <w:spacing w:before="100" w:beforeAutospacing="1" w:after="100" w:afterAutospacing="1"/>
      <w:jc w:val="left"/>
    </w:pPr>
    <w:rPr>
      <w:kern w:val="0"/>
      <w:sz w:val="24"/>
    </w:rPr>
  </w:style>
  <w:style w:type="paragraph" w:styleId="31">
    <w:name w:val="index 1"/>
    <w:basedOn w:val="1"/>
    <w:next w:val="1"/>
    <w:autoRedefine/>
    <w:qFormat/>
    <w:uiPriority w:val="0"/>
    <w:pPr>
      <w:spacing w:line="360" w:lineRule="exact"/>
      <w:ind w:firstLine="432" w:firstLineChars="240"/>
    </w:pPr>
    <w:rPr>
      <w:rFonts w:ascii="宋体" w:hAnsi="宋体"/>
      <w:bCs/>
      <w:sz w:val="18"/>
      <w:szCs w:val="18"/>
    </w:rPr>
  </w:style>
  <w:style w:type="paragraph" w:styleId="32">
    <w:name w:val="Title"/>
    <w:basedOn w:val="1"/>
    <w:link w:val="86"/>
    <w:autoRedefine/>
    <w:qFormat/>
    <w:uiPriority w:val="0"/>
    <w:pPr>
      <w:spacing w:before="240" w:after="60"/>
      <w:jc w:val="center"/>
      <w:outlineLvl w:val="0"/>
    </w:pPr>
    <w:rPr>
      <w:rFonts w:ascii="Arial" w:hAnsi="Arial" w:cs="Arial"/>
      <w:b/>
      <w:bCs/>
      <w:sz w:val="32"/>
      <w:szCs w:val="32"/>
    </w:rPr>
  </w:style>
  <w:style w:type="paragraph" w:styleId="33">
    <w:name w:val="annotation subject"/>
    <w:basedOn w:val="14"/>
    <w:next w:val="14"/>
    <w:link w:val="84"/>
    <w:autoRedefine/>
    <w:qFormat/>
    <w:uiPriority w:val="0"/>
    <w:rPr>
      <w:rFonts w:ascii="Calibri" w:hAnsi="Calibri"/>
      <w:b/>
      <w:bCs/>
    </w:rPr>
  </w:style>
  <w:style w:type="paragraph" w:styleId="34">
    <w:name w:val="Body Text First Indent 2"/>
    <w:basedOn w:val="17"/>
    <w:link w:val="93"/>
    <w:autoRedefine/>
    <w:qFormat/>
    <w:uiPriority w:val="0"/>
    <w:pPr>
      <w:spacing w:after="120" w:line="240" w:lineRule="auto"/>
      <w:ind w:left="420" w:leftChars="200" w:firstLine="420" w:firstLineChars="200"/>
    </w:pPr>
    <w:rPr>
      <w:szCs w:val="24"/>
    </w:rPr>
  </w:style>
  <w:style w:type="table" w:styleId="36">
    <w:name w:val="Table Grid"/>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autoRedefine/>
    <w:qFormat/>
    <w:uiPriority w:val="0"/>
    <w:rPr>
      <w:b/>
      <w:bCs/>
    </w:rPr>
  </w:style>
  <w:style w:type="character" w:styleId="39">
    <w:name w:val="page number"/>
    <w:basedOn w:val="37"/>
    <w:autoRedefine/>
    <w:qFormat/>
    <w:uiPriority w:val="0"/>
  </w:style>
  <w:style w:type="character" w:styleId="40">
    <w:name w:val="FollowedHyperlink"/>
    <w:basedOn w:val="37"/>
    <w:autoRedefine/>
    <w:qFormat/>
    <w:uiPriority w:val="0"/>
    <w:rPr>
      <w:color w:val="800080"/>
      <w:u w:val="none"/>
    </w:rPr>
  </w:style>
  <w:style w:type="character" w:styleId="41">
    <w:name w:val="Emphasis"/>
    <w:autoRedefine/>
    <w:qFormat/>
    <w:uiPriority w:val="0"/>
  </w:style>
  <w:style w:type="character" w:styleId="42">
    <w:name w:val="HTML Definition"/>
    <w:basedOn w:val="37"/>
    <w:autoRedefine/>
    <w:semiHidden/>
    <w:unhideWhenUsed/>
    <w:qFormat/>
    <w:uiPriority w:val="99"/>
  </w:style>
  <w:style w:type="character" w:styleId="43">
    <w:name w:val="HTML Typewriter"/>
    <w:basedOn w:val="37"/>
    <w:autoRedefine/>
    <w:semiHidden/>
    <w:unhideWhenUsed/>
    <w:qFormat/>
    <w:uiPriority w:val="99"/>
    <w:rPr>
      <w:rFonts w:ascii="monospace" w:hAnsi="monospace" w:eastAsia="monospace" w:cs="monospace"/>
      <w:sz w:val="20"/>
    </w:rPr>
  </w:style>
  <w:style w:type="character" w:styleId="44">
    <w:name w:val="HTML Acronym"/>
    <w:basedOn w:val="37"/>
    <w:autoRedefine/>
    <w:semiHidden/>
    <w:unhideWhenUsed/>
    <w:qFormat/>
    <w:uiPriority w:val="99"/>
  </w:style>
  <w:style w:type="character" w:styleId="45">
    <w:name w:val="HTML Variable"/>
    <w:basedOn w:val="37"/>
    <w:autoRedefine/>
    <w:semiHidden/>
    <w:unhideWhenUsed/>
    <w:qFormat/>
    <w:uiPriority w:val="99"/>
  </w:style>
  <w:style w:type="character" w:styleId="46">
    <w:name w:val="Hyperlink"/>
    <w:basedOn w:val="37"/>
    <w:autoRedefine/>
    <w:qFormat/>
    <w:uiPriority w:val="99"/>
    <w:rPr>
      <w:color w:val="0000FF"/>
      <w:u w:val="none"/>
    </w:rPr>
  </w:style>
  <w:style w:type="character" w:styleId="47">
    <w:name w:val="HTML Code"/>
    <w:basedOn w:val="37"/>
    <w:autoRedefine/>
    <w:semiHidden/>
    <w:unhideWhenUsed/>
    <w:qFormat/>
    <w:uiPriority w:val="99"/>
    <w:rPr>
      <w:rFonts w:hint="default" w:ascii="monospace" w:hAnsi="monospace" w:eastAsia="monospace" w:cs="monospace"/>
      <w:sz w:val="20"/>
    </w:rPr>
  </w:style>
  <w:style w:type="character" w:styleId="48">
    <w:name w:val="annotation reference"/>
    <w:autoRedefine/>
    <w:qFormat/>
    <w:uiPriority w:val="99"/>
    <w:rPr>
      <w:sz w:val="21"/>
    </w:rPr>
  </w:style>
  <w:style w:type="character" w:styleId="49">
    <w:name w:val="HTML Cite"/>
    <w:basedOn w:val="37"/>
    <w:autoRedefine/>
    <w:semiHidden/>
    <w:unhideWhenUsed/>
    <w:qFormat/>
    <w:uiPriority w:val="99"/>
  </w:style>
  <w:style w:type="character" w:styleId="50">
    <w:name w:val="HTML Keyboard"/>
    <w:basedOn w:val="37"/>
    <w:autoRedefine/>
    <w:semiHidden/>
    <w:unhideWhenUsed/>
    <w:qFormat/>
    <w:uiPriority w:val="99"/>
    <w:rPr>
      <w:rFonts w:hint="default" w:ascii="monospace" w:hAnsi="monospace" w:eastAsia="monospace" w:cs="monospace"/>
      <w:sz w:val="20"/>
    </w:rPr>
  </w:style>
  <w:style w:type="character" w:styleId="51">
    <w:name w:val="HTML Sample"/>
    <w:basedOn w:val="37"/>
    <w:autoRedefine/>
    <w:semiHidden/>
    <w:unhideWhenUsed/>
    <w:qFormat/>
    <w:uiPriority w:val="99"/>
    <w:rPr>
      <w:rFonts w:hint="default" w:ascii="monospace" w:hAnsi="monospace" w:eastAsia="monospace" w:cs="monospace"/>
    </w:rPr>
  </w:style>
  <w:style w:type="character" w:customStyle="1" w:styleId="52">
    <w:name w:val="标题 3 Char"/>
    <w:link w:val="4"/>
    <w:autoRedefine/>
    <w:qFormat/>
    <w:uiPriority w:val="0"/>
    <w:rPr>
      <w:rFonts w:eastAsia="宋体"/>
      <w:b/>
      <w:bCs/>
      <w:kern w:val="2"/>
      <w:sz w:val="32"/>
      <w:szCs w:val="32"/>
      <w:lang w:val="en-US" w:eastAsia="zh-CN" w:bidi="ar-SA"/>
    </w:rPr>
  </w:style>
  <w:style w:type="paragraph" w:customStyle="1" w:styleId="5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4">
    <w:name w:val="正文1"/>
    <w:basedOn w:val="1"/>
    <w:autoRedefine/>
    <w:qFormat/>
    <w:uiPriority w:val="99"/>
    <w:pPr>
      <w:adjustRightInd w:val="0"/>
      <w:spacing w:line="318" w:lineRule="atLeast"/>
      <w:ind w:left="369" w:firstLine="369"/>
      <w:textAlignment w:val="baseline"/>
    </w:pPr>
    <w:rPr>
      <w:szCs w:val="20"/>
    </w:rPr>
  </w:style>
  <w:style w:type="paragraph" w:customStyle="1" w:styleId="55">
    <w:name w:val="Heading4"/>
    <w:basedOn w:val="1"/>
    <w:next w:val="1"/>
    <w:autoRedefine/>
    <w:qFormat/>
    <w:uiPriority w:val="0"/>
    <w:pPr>
      <w:ind w:left="1232"/>
      <w:textAlignment w:val="baseline"/>
    </w:pPr>
    <w:rPr>
      <w:rFonts w:ascii="宋体" w:hAnsi="宋体" w:cs="宋体"/>
      <w:b/>
      <w:bCs/>
      <w:sz w:val="24"/>
      <w:lang w:val="zh-CN" w:bidi="zh-CN"/>
    </w:rPr>
  </w:style>
  <w:style w:type="character" w:customStyle="1" w:styleId="56">
    <w:name w:val="纯文本 Char"/>
    <w:autoRedefine/>
    <w:qFormat/>
    <w:uiPriority w:val="0"/>
    <w:rPr>
      <w:rFonts w:ascii="宋体" w:hAnsi="Courier New" w:eastAsia="宋体"/>
      <w:kern w:val="2"/>
      <w:sz w:val="21"/>
      <w:lang w:val="en-US" w:eastAsia="zh-CN" w:bidi="ar-SA"/>
    </w:rPr>
  </w:style>
  <w:style w:type="character" w:customStyle="1" w:styleId="57">
    <w:name w:val="批注框文本 Char"/>
    <w:link w:val="22"/>
    <w:autoRedefine/>
    <w:qFormat/>
    <w:uiPriority w:val="0"/>
    <w:rPr>
      <w:rFonts w:eastAsia="宋体"/>
      <w:kern w:val="2"/>
      <w:sz w:val="18"/>
      <w:szCs w:val="18"/>
      <w:lang w:val="en-US" w:eastAsia="zh-CN" w:bidi="ar-SA"/>
    </w:rPr>
  </w:style>
  <w:style w:type="character" w:customStyle="1" w:styleId="58">
    <w:name w:val="正文缩进 Char"/>
    <w:link w:val="7"/>
    <w:autoRedefine/>
    <w:qFormat/>
    <w:uiPriority w:val="0"/>
    <w:rPr>
      <w:rFonts w:eastAsia="宋体"/>
      <w:kern w:val="2"/>
      <w:sz w:val="21"/>
      <w:lang w:val="en-US" w:eastAsia="zh-CN" w:bidi="ar-SA"/>
    </w:rPr>
  </w:style>
  <w:style w:type="character" w:customStyle="1" w:styleId="59">
    <w:name w:val="apple-style-span"/>
    <w:basedOn w:val="37"/>
    <w:autoRedefine/>
    <w:qFormat/>
    <w:uiPriority w:val="0"/>
  </w:style>
  <w:style w:type="character" w:customStyle="1" w:styleId="60">
    <w:name w:val="纯文本 Char1"/>
    <w:link w:val="19"/>
    <w:autoRedefine/>
    <w:qFormat/>
    <w:uiPriority w:val="0"/>
    <w:rPr>
      <w:rFonts w:ascii="宋体" w:hAnsi="Courier New" w:eastAsia="宋体"/>
      <w:kern w:val="2"/>
      <w:sz w:val="21"/>
      <w:lang w:val="en-US" w:eastAsia="zh-CN" w:bidi="ar-SA"/>
    </w:rPr>
  </w:style>
  <w:style w:type="character" w:customStyle="1" w:styleId="61">
    <w:name w:val="普通文字 Char Char1"/>
    <w:autoRedefine/>
    <w:qFormat/>
    <w:uiPriority w:val="0"/>
    <w:rPr>
      <w:rFonts w:ascii="宋体" w:hAnsi="Courier New" w:eastAsia="宋体"/>
      <w:kern w:val="2"/>
      <w:sz w:val="21"/>
      <w:lang w:val="en-US" w:eastAsia="zh-CN" w:bidi="ar-SA"/>
    </w:rPr>
  </w:style>
  <w:style w:type="character" w:customStyle="1" w:styleId="62">
    <w:name w:val="Char Char2"/>
    <w:autoRedefine/>
    <w:qFormat/>
    <w:uiPriority w:val="0"/>
    <w:rPr>
      <w:rFonts w:ascii="宋体" w:hAnsi="Courier New" w:eastAsia="宋体"/>
      <w:spacing w:val="-4"/>
      <w:kern w:val="2"/>
      <w:sz w:val="18"/>
      <w:lang w:val="en-US" w:eastAsia="zh-CN" w:bidi="ar-SA"/>
    </w:rPr>
  </w:style>
  <w:style w:type="character" w:customStyle="1" w:styleId="63">
    <w:name w:val="标题 2 Char"/>
    <w:link w:val="3"/>
    <w:autoRedefine/>
    <w:qFormat/>
    <w:uiPriority w:val="0"/>
    <w:rPr>
      <w:rFonts w:ascii="Arial" w:hAnsi="Arial" w:eastAsia="黑体"/>
      <w:b/>
      <w:bCs/>
      <w:kern w:val="2"/>
      <w:sz w:val="32"/>
      <w:szCs w:val="32"/>
      <w:lang w:val="en-US" w:eastAsia="zh-CN" w:bidi="ar-SA"/>
    </w:rPr>
  </w:style>
  <w:style w:type="character" w:customStyle="1" w:styleId="64">
    <w:name w:val="style51"/>
    <w:basedOn w:val="37"/>
    <w:autoRedefine/>
    <w:qFormat/>
    <w:uiPriority w:val="0"/>
  </w:style>
  <w:style w:type="character" w:customStyle="1" w:styleId="65">
    <w:name w:val="正文文本缩进 2 Char"/>
    <w:link w:val="21"/>
    <w:autoRedefine/>
    <w:qFormat/>
    <w:uiPriority w:val="0"/>
    <w:rPr>
      <w:rFonts w:eastAsia="宋体"/>
      <w:kern w:val="2"/>
      <w:sz w:val="21"/>
      <w:szCs w:val="24"/>
      <w:lang w:val="en-US" w:eastAsia="zh-CN" w:bidi="ar-SA"/>
    </w:rPr>
  </w:style>
  <w:style w:type="character" w:customStyle="1" w:styleId="66">
    <w:name w:val="标题 1 Char"/>
    <w:link w:val="2"/>
    <w:autoRedefine/>
    <w:qFormat/>
    <w:uiPriority w:val="0"/>
    <w:rPr>
      <w:rFonts w:eastAsia="宋体"/>
      <w:b/>
      <w:bCs/>
      <w:kern w:val="2"/>
      <w:sz w:val="21"/>
      <w:szCs w:val="24"/>
      <w:lang w:val="en-US" w:eastAsia="zh-CN" w:bidi="ar-SA"/>
    </w:rPr>
  </w:style>
  <w:style w:type="character" w:customStyle="1" w:styleId="67">
    <w:name w:val="日期 Char"/>
    <w:link w:val="20"/>
    <w:autoRedefine/>
    <w:qFormat/>
    <w:uiPriority w:val="0"/>
    <w:rPr>
      <w:rFonts w:eastAsia="宋体"/>
      <w:spacing w:val="30"/>
      <w:kern w:val="2"/>
      <w:sz w:val="28"/>
      <w:szCs w:val="24"/>
      <w:lang w:val="en-US" w:eastAsia="zh-CN" w:bidi="ar-SA"/>
    </w:rPr>
  </w:style>
  <w:style w:type="character" w:customStyle="1" w:styleId="68">
    <w:name w:val="页脚 Char"/>
    <w:link w:val="23"/>
    <w:autoRedefine/>
    <w:qFormat/>
    <w:uiPriority w:val="0"/>
    <w:rPr>
      <w:rFonts w:ascii="宋体" w:hAnsi="Courier New" w:eastAsia="宋体"/>
      <w:kern w:val="2"/>
      <w:sz w:val="18"/>
      <w:lang w:val="en-US" w:eastAsia="zh-CN" w:bidi="ar-SA"/>
    </w:rPr>
  </w:style>
  <w:style w:type="character" w:customStyle="1" w:styleId="69">
    <w:name w:val="列出段落 Char"/>
    <w:link w:val="70"/>
    <w:autoRedefine/>
    <w:qFormat/>
    <w:uiPriority w:val="0"/>
    <w:rPr>
      <w:rFonts w:eastAsia="宋体"/>
      <w:kern w:val="2"/>
      <w:sz w:val="21"/>
      <w:szCs w:val="24"/>
      <w:lang w:val="en-US" w:eastAsia="zh-CN" w:bidi="ar-SA"/>
    </w:rPr>
  </w:style>
  <w:style w:type="paragraph" w:styleId="70">
    <w:name w:val="List Paragraph"/>
    <w:basedOn w:val="1"/>
    <w:link w:val="69"/>
    <w:autoRedefine/>
    <w:qFormat/>
    <w:uiPriority w:val="99"/>
    <w:pPr>
      <w:ind w:firstLine="420" w:firstLineChars="200"/>
    </w:pPr>
  </w:style>
  <w:style w:type="character" w:customStyle="1" w:styleId="71">
    <w:name w:val="标题 4 Char"/>
    <w:link w:val="5"/>
    <w:autoRedefine/>
    <w:qFormat/>
    <w:uiPriority w:val="0"/>
    <w:rPr>
      <w:rFonts w:ascii="宋体" w:hAnsi="Arial" w:eastAsia="黑体"/>
      <w:b/>
      <w:kern w:val="2"/>
      <w:sz w:val="24"/>
      <w:lang w:val="en-US" w:eastAsia="zh-CN" w:bidi="ar-SA"/>
    </w:rPr>
  </w:style>
  <w:style w:type="character" w:customStyle="1" w:styleId="72">
    <w:name w:val="style31"/>
    <w:autoRedefine/>
    <w:qFormat/>
    <w:uiPriority w:val="0"/>
    <w:rPr>
      <w:sz w:val="18"/>
      <w:szCs w:val="18"/>
    </w:rPr>
  </w:style>
  <w:style w:type="character" w:customStyle="1" w:styleId="73">
    <w:name w:val="文档结构图 Char"/>
    <w:link w:val="13"/>
    <w:autoRedefine/>
    <w:qFormat/>
    <w:uiPriority w:val="0"/>
    <w:rPr>
      <w:rFonts w:eastAsia="宋体"/>
      <w:kern w:val="2"/>
      <w:sz w:val="21"/>
      <w:szCs w:val="24"/>
      <w:lang w:val="en-US" w:eastAsia="zh-CN" w:bidi="ar-SA"/>
    </w:rPr>
  </w:style>
  <w:style w:type="character" w:customStyle="1" w:styleId="74">
    <w:name w:val="正文文本缩进 Char"/>
    <w:link w:val="17"/>
    <w:autoRedefine/>
    <w:qFormat/>
    <w:uiPriority w:val="0"/>
    <w:rPr>
      <w:rFonts w:ascii="宋体" w:hAnsi="Courier New" w:eastAsia="宋体"/>
      <w:spacing w:val="-4"/>
      <w:kern w:val="2"/>
      <w:sz w:val="18"/>
      <w:lang w:val="en-US" w:eastAsia="zh-CN" w:bidi="ar-SA"/>
    </w:rPr>
  </w:style>
  <w:style w:type="character" w:customStyle="1" w:styleId="75">
    <w:name w:val="页眉 Char"/>
    <w:link w:val="24"/>
    <w:autoRedefine/>
    <w:qFormat/>
    <w:uiPriority w:val="99"/>
    <w:rPr>
      <w:rFonts w:ascii="宋体" w:hAnsi="Courier New" w:eastAsia="宋体"/>
      <w:kern w:val="2"/>
      <w:sz w:val="18"/>
      <w:lang w:val="en-US" w:eastAsia="zh-CN" w:bidi="ar-SA"/>
    </w:rPr>
  </w:style>
  <w:style w:type="character" w:customStyle="1" w:styleId="76">
    <w:name w:val="批注文字 Char"/>
    <w:link w:val="14"/>
    <w:autoRedefine/>
    <w:qFormat/>
    <w:uiPriority w:val="99"/>
    <w:rPr>
      <w:rFonts w:eastAsia="宋体"/>
      <w:kern w:val="2"/>
      <w:sz w:val="21"/>
      <w:szCs w:val="24"/>
      <w:lang w:val="en-US" w:eastAsia="zh-CN" w:bidi="ar-SA"/>
    </w:rPr>
  </w:style>
  <w:style w:type="character" w:customStyle="1" w:styleId="77">
    <w:name w:val="textcontents"/>
    <w:basedOn w:val="37"/>
    <w:autoRedefine/>
    <w:qFormat/>
    <w:uiPriority w:val="0"/>
  </w:style>
  <w:style w:type="character" w:customStyle="1" w:styleId="78">
    <w:name w:val="标题 7 Char"/>
    <w:link w:val="9"/>
    <w:autoRedefine/>
    <w:qFormat/>
    <w:uiPriority w:val="0"/>
    <w:rPr>
      <w:rFonts w:eastAsia="宋体"/>
      <w:b/>
      <w:kern w:val="2"/>
      <w:sz w:val="24"/>
      <w:lang w:val="en-US" w:eastAsia="zh-CN" w:bidi="ar-SA"/>
    </w:rPr>
  </w:style>
  <w:style w:type="character" w:customStyle="1" w:styleId="79">
    <w:name w:val="HTML 预设格式 Char"/>
    <w:link w:val="29"/>
    <w:autoRedefine/>
    <w:qFormat/>
    <w:uiPriority w:val="0"/>
    <w:rPr>
      <w:rFonts w:ascii="黑体" w:hAnsi="Courier New" w:eastAsia="黑体" w:cs="Courier New"/>
      <w:lang w:val="en-US" w:eastAsia="zh-CN" w:bidi="ar-SA"/>
    </w:rPr>
  </w:style>
  <w:style w:type="character" w:customStyle="1" w:styleId="80">
    <w:name w:val="正文文本 3 Char"/>
    <w:link w:val="15"/>
    <w:autoRedefine/>
    <w:qFormat/>
    <w:uiPriority w:val="0"/>
    <w:rPr>
      <w:b/>
      <w:bCs/>
      <w:sz w:val="24"/>
      <w:szCs w:val="24"/>
      <w:lang w:bidi="ar-SA"/>
    </w:rPr>
  </w:style>
  <w:style w:type="character" w:customStyle="1" w:styleId="81">
    <w:name w:val="正文文本 Char"/>
    <w:link w:val="16"/>
    <w:autoRedefine/>
    <w:qFormat/>
    <w:uiPriority w:val="0"/>
    <w:rPr>
      <w:rFonts w:ascii="宋体" w:eastAsia="宋体"/>
      <w:sz w:val="34"/>
      <w:lang w:val="en-US" w:eastAsia="zh-CN" w:bidi="ar-SA"/>
    </w:rPr>
  </w:style>
  <w:style w:type="character" w:customStyle="1" w:styleId="82">
    <w:name w:val="1051"/>
    <w:autoRedefine/>
    <w:qFormat/>
    <w:uiPriority w:val="0"/>
    <w:rPr>
      <w:sz w:val="21"/>
      <w:szCs w:val="21"/>
    </w:rPr>
  </w:style>
  <w:style w:type="character" w:customStyle="1" w:styleId="83">
    <w:name w:val="mark"/>
    <w:basedOn w:val="37"/>
    <w:autoRedefine/>
    <w:qFormat/>
    <w:uiPriority w:val="0"/>
  </w:style>
  <w:style w:type="character" w:customStyle="1" w:styleId="84">
    <w:name w:val="批注主题 Char"/>
    <w:link w:val="33"/>
    <w:autoRedefine/>
    <w:qFormat/>
    <w:uiPriority w:val="0"/>
    <w:rPr>
      <w:rFonts w:ascii="Calibri" w:hAnsi="Calibri" w:eastAsia="宋体"/>
      <w:b/>
      <w:bCs/>
      <w:kern w:val="2"/>
      <w:sz w:val="21"/>
      <w:szCs w:val="24"/>
      <w:lang w:val="en-US" w:eastAsia="zh-CN" w:bidi="ar-SA"/>
    </w:rPr>
  </w:style>
  <w:style w:type="character" w:customStyle="1" w:styleId="85">
    <w:name w:val="f141"/>
    <w:autoRedefine/>
    <w:qFormat/>
    <w:uiPriority w:val="0"/>
    <w:rPr>
      <w:sz w:val="21"/>
      <w:szCs w:val="21"/>
    </w:rPr>
  </w:style>
  <w:style w:type="character" w:customStyle="1" w:styleId="86">
    <w:name w:val="标题 Char"/>
    <w:link w:val="32"/>
    <w:autoRedefine/>
    <w:qFormat/>
    <w:uiPriority w:val="0"/>
    <w:rPr>
      <w:rFonts w:ascii="Arial" w:hAnsi="Arial" w:eastAsia="宋体" w:cs="Arial"/>
      <w:b/>
      <w:bCs/>
      <w:kern w:val="2"/>
      <w:sz w:val="32"/>
      <w:szCs w:val="32"/>
      <w:lang w:val="en-US" w:eastAsia="zh-CN" w:bidi="ar-SA"/>
    </w:rPr>
  </w:style>
  <w:style w:type="character" w:customStyle="1" w:styleId="87">
    <w:name w:val="正文文本 2 Char"/>
    <w:link w:val="28"/>
    <w:autoRedefine/>
    <w:qFormat/>
    <w:uiPriority w:val="0"/>
    <w:rPr>
      <w:szCs w:val="24"/>
      <w:lang w:bidi="ar-SA"/>
    </w:rPr>
  </w:style>
  <w:style w:type="character" w:customStyle="1" w:styleId="88">
    <w:name w:val="纯文本 字符"/>
    <w:autoRedefine/>
    <w:qFormat/>
    <w:uiPriority w:val="0"/>
    <w:rPr>
      <w:rFonts w:ascii="宋体" w:hAnsi="Courier New" w:eastAsia="宋体"/>
      <w:kern w:val="2"/>
      <w:sz w:val="21"/>
      <w:lang w:val="en-US" w:eastAsia="zh-CN" w:bidi="ar-SA"/>
    </w:rPr>
  </w:style>
  <w:style w:type="character" w:customStyle="1" w:styleId="89">
    <w:name w:val="标题 8 Char"/>
    <w:link w:val="10"/>
    <w:autoRedefine/>
    <w:qFormat/>
    <w:uiPriority w:val="0"/>
    <w:rPr>
      <w:rFonts w:ascii="Arial" w:hAnsi="Arial" w:eastAsia="黑体"/>
      <w:kern w:val="2"/>
      <w:sz w:val="24"/>
      <w:lang w:val="en-US" w:eastAsia="zh-CN" w:bidi="ar-SA"/>
    </w:rPr>
  </w:style>
  <w:style w:type="character" w:customStyle="1" w:styleId="90">
    <w:name w:val="Report Text Char Char"/>
    <w:link w:val="91"/>
    <w:autoRedefine/>
    <w:qFormat/>
    <w:uiPriority w:val="0"/>
    <w:rPr>
      <w:rFonts w:ascii="Arial" w:hAnsi="Arial" w:eastAsia="宋体" w:cs="Tahoma"/>
      <w:kern w:val="28"/>
      <w:sz w:val="22"/>
      <w:lang w:val="en-US" w:eastAsia="zh-CN" w:bidi="ar-SA"/>
    </w:rPr>
  </w:style>
  <w:style w:type="paragraph" w:customStyle="1" w:styleId="91">
    <w:name w:val="Report Text"/>
    <w:basedOn w:val="1"/>
    <w:link w:val="90"/>
    <w:autoRedefine/>
    <w:qFormat/>
    <w:uiPriority w:val="0"/>
    <w:pPr>
      <w:widowControl/>
      <w:spacing w:before="240" w:after="120"/>
      <w:ind w:left="1080"/>
    </w:pPr>
    <w:rPr>
      <w:rFonts w:ascii="Arial" w:hAnsi="Arial" w:cs="Tahoma"/>
      <w:kern w:val="28"/>
      <w:sz w:val="22"/>
      <w:szCs w:val="20"/>
    </w:rPr>
  </w:style>
  <w:style w:type="character" w:customStyle="1" w:styleId="92">
    <w:name w:val="unnamed21"/>
    <w:basedOn w:val="37"/>
    <w:autoRedefine/>
    <w:qFormat/>
    <w:uiPriority w:val="0"/>
  </w:style>
  <w:style w:type="character" w:customStyle="1" w:styleId="93">
    <w:name w:val="正文首行缩进 2 Char"/>
    <w:link w:val="34"/>
    <w:autoRedefine/>
    <w:qFormat/>
    <w:uiPriority w:val="0"/>
    <w:rPr>
      <w:rFonts w:ascii="宋体" w:hAnsi="Courier New" w:eastAsia="宋体"/>
      <w:spacing w:val="-4"/>
      <w:kern w:val="2"/>
      <w:sz w:val="18"/>
      <w:szCs w:val="24"/>
      <w:lang w:val="en-US" w:eastAsia="zh-CN" w:bidi="ar-SA"/>
    </w:rPr>
  </w:style>
  <w:style w:type="character" w:customStyle="1" w:styleId="94">
    <w:name w:val="标题 6 Char"/>
    <w:link w:val="8"/>
    <w:autoRedefine/>
    <w:qFormat/>
    <w:uiPriority w:val="0"/>
    <w:rPr>
      <w:rFonts w:ascii="Arial" w:hAnsi="Arial" w:eastAsia="黑体"/>
      <w:b/>
      <w:kern w:val="2"/>
      <w:sz w:val="24"/>
      <w:lang w:val="en-US" w:eastAsia="zh-CN" w:bidi="ar-SA"/>
    </w:rPr>
  </w:style>
  <w:style w:type="character" w:customStyle="1" w:styleId="95">
    <w:name w:val="1ji Char Char"/>
    <w:link w:val="96"/>
    <w:autoRedefine/>
    <w:qFormat/>
    <w:uiPriority w:val="0"/>
    <w:rPr>
      <w:rFonts w:ascii="宋体" w:hAnsi="宋体" w:eastAsia="宋体" w:cs="Times New Roman"/>
      <w:b/>
      <w:bCs/>
      <w:kern w:val="44"/>
      <w:sz w:val="36"/>
      <w:szCs w:val="44"/>
      <w:lang w:val="en-US" w:eastAsia="zh-CN" w:bidi="ar-SA"/>
    </w:rPr>
  </w:style>
  <w:style w:type="paragraph" w:customStyle="1" w:styleId="96">
    <w:name w:val="1ji"/>
    <w:basedOn w:val="2"/>
    <w:link w:val="95"/>
    <w:autoRedefine/>
    <w:qFormat/>
    <w:uiPriority w:val="0"/>
    <w:pPr>
      <w:widowControl/>
      <w:spacing w:line="240" w:lineRule="auto"/>
      <w:jc w:val="center"/>
    </w:pPr>
    <w:rPr>
      <w:rFonts w:ascii="宋体" w:hAnsi="宋体"/>
      <w:kern w:val="44"/>
      <w:sz w:val="36"/>
      <w:szCs w:val="44"/>
    </w:rPr>
  </w:style>
  <w:style w:type="character" w:customStyle="1" w:styleId="97">
    <w:name w:val="H2 Char"/>
    <w:qFormat/>
    <w:uiPriority w:val="0"/>
    <w:rPr>
      <w:rFonts w:ascii="Arial" w:hAnsi="Arial" w:eastAsia="黑体" w:cs="Times New Roman"/>
      <w:b/>
      <w:bCs/>
      <w:sz w:val="32"/>
      <w:szCs w:val="32"/>
    </w:rPr>
  </w:style>
  <w:style w:type="character" w:customStyle="1" w:styleId="98">
    <w:name w:val="纯文本 Char Char2"/>
    <w:autoRedefine/>
    <w:qFormat/>
    <w:uiPriority w:val="0"/>
    <w:rPr>
      <w:rFonts w:ascii="宋体" w:hAnsi="Courier New" w:eastAsia="宋体"/>
      <w:kern w:val="2"/>
      <w:sz w:val="21"/>
      <w:lang w:val="en-US" w:eastAsia="zh-CN" w:bidi="ar-SA"/>
    </w:rPr>
  </w:style>
  <w:style w:type="character" w:customStyle="1" w:styleId="99">
    <w:name w:val="正文文本缩进 3 Char"/>
    <w:link w:val="26"/>
    <w:autoRedefine/>
    <w:qFormat/>
    <w:uiPriority w:val="0"/>
    <w:rPr>
      <w:rFonts w:eastAsia="宋体"/>
      <w:kern w:val="2"/>
      <w:sz w:val="21"/>
      <w:szCs w:val="24"/>
      <w:lang w:val="en-US" w:eastAsia="zh-CN" w:bidi="ar-SA"/>
    </w:rPr>
  </w:style>
  <w:style w:type="character" w:customStyle="1" w:styleId="100">
    <w:name w:val="Title3 Char"/>
    <w:qFormat/>
    <w:uiPriority w:val="0"/>
    <w:rPr>
      <w:rFonts w:ascii="宋体" w:hAnsi="Courier New" w:eastAsia="宋体" w:cs="Times New Roman"/>
      <w:b/>
      <w:bCs/>
      <w:sz w:val="32"/>
      <w:szCs w:val="32"/>
    </w:rPr>
  </w:style>
  <w:style w:type="character" w:customStyle="1" w:styleId="101">
    <w:name w:val="标题 9 Char"/>
    <w:link w:val="11"/>
    <w:autoRedefine/>
    <w:qFormat/>
    <w:uiPriority w:val="0"/>
    <w:rPr>
      <w:rFonts w:ascii="Arial" w:hAnsi="Arial" w:eastAsia="黑体"/>
      <w:kern w:val="2"/>
      <w:sz w:val="21"/>
      <w:lang w:val="en-US" w:eastAsia="zh-CN" w:bidi="ar-SA"/>
    </w:rPr>
  </w:style>
  <w:style w:type="character" w:customStyle="1" w:styleId="102">
    <w:name w:val="H1 Char"/>
    <w:qFormat/>
    <w:uiPriority w:val="0"/>
    <w:rPr>
      <w:rFonts w:ascii="Times New Roman" w:hAnsi="Times New Roman" w:eastAsia="宋体" w:cs="Times New Roman"/>
      <w:b/>
      <w:bCs/>
      <w:kern w:val="44"/>
      <w:sz w:val="44"/>
      <w:szCs w:val="44"/>
    </w:rPr>
  </w:style>
  <w:style w:type="character" w:customStyle="1" w:styleId="103">
    <w:name w:val="标题 5 Char"/>
    <w:link w:val="6"/>
    <w:qFormat/>
    <w:uiPriority w:val="0"/>
    <w:rPr>
      <w:rFonts w:eastAsia="宋体"/>
      <w:b/>
      <w:kern w:val="2"/>
      <w:sz w:val="28"/>
      <w:lang w:val="en-US" w:eastAsia="zh-CN" w:bidi="ar-SA"/>
    </w:rPr>
  </w:style>
  <w:style w:type="character" w:customStyle="1" w:styleId="104">
    <w:name w:val="style54"/>
    <w:basedOn w:val="37"/>
    <w:autoRedefine/>
    <w:qFormat/>
    <w:uiPriority w:val="0"/>
  </w:style>
  <w:style w:type="paragraph" w:customStyle="1" w:styleId="105">
    <w:name w:val="样式1"/>
    <w:basedOn w:val="1"/>
    <w:autoRedefine/>
    <w:qFormat/>
    <w:uiPriority w:val="0"/>
  </w:style>
  <w:style w:type="paragraph" w:customStyle="1" w:styleId="106">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107">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08">
    <w:name w:val="Char Char1 Char Char1"/>
    <w:basedOn w:val="1"/>
    <w:autoRedefine/>
    <w:qFormat/>
    <w:uiPriority w:val="0"/>
    <w:rPr>
      <w:rFonts w:ascii="Tahoma" w:hAnsi="Tahoma"/>
      <w:sz w:val="24"/>
      <w:szCs w:val="20"/>
    </w:rPr>
  </w:style>
  <w:style w:type="paragraph" w:customStyle="1" w:styleId="109">
    <w:name w:val="默认段落字体 Para Char Char Char Char Char Char Char Char Char Char"/>
    <w:basedOn w:val="1"/>
    <w:autoRedefine/>
    <w:qFormat/>
    <w:uiPriority w:val="0"/>
    <w:rPr>
      <w:kern w:val="0"/>
      <w:szCs w:val="20"/>
    </w:rPr>
  </w:style>
  <w:style w:type="paragraph" w:customStyle="1" w:styleId="110">
    <w:name w:val="Char"/>
    <w:basedOn w:val="13"/>
    <w:qFormat/>
    <w:uiPriority w:val="0"/>
    <w:rPr>
      <w:rFonts w:ascii="Tahoma" w:hAnsi="Tahoma"/>
      <w:sz w:val="24"/>
    </w:rPr>
  </w:style>
  <w:style w:type="paragraph" w:customStyle="1" w:styleId="111">
    <w:name w:val="Char Char Char Char Char Char Char"/>
    <w:basedOn w:val="1"/>
    <w:autoRedefine/>
    <w:qFormat/>
    <w:uiPriority w:val="0"/>
  </w:style>
  <w:style w:type="paragraph" w:customStyle="1" w:styleId="112">
    <w:name w:val="列出段落1"/>
    <w:qFormat/>
    <w:uiPriority w:val="0"/>
    <w:pPr>
      <w:ind w:firstLine="420" w:firstLineChars="200"/>
    </w:pPr>
    <w:rPr>
      <w:rFonts w:ascii="Times New Roman" w:hAnsi="Times New Roman" w:eastAsia="宋体" w:cs="Times New Roman"/>
      <w:lang w:val="en-US" w:eastAsia="zh-CN" w:bidi="ar-SA"/>
    </w:rPr>
  </w:style>
  <w:style w:type="paragraph" w:customStyle="1" w:styleId="113">
    <w:name w:val="Char Char Char Char Char Char Char Char Char Char Char Char Char Char Char Char1"/>
    <w:basedOn w:val="1"/>
    <w:qFormat/>
    <w:uiPriority w:val="0"/>
    <w:pPr>
      <w:tabs>
        <w:tab w:val="left" w:pos="360"/>
      </w:tabs>
      <w:spacing w:line="360" w:lineRule="auto"/>
      <w:ind w:left="482" w:firstLine="200" w:firstLineChars="200"/>
    </w:pPr>
  </w:style>
  <w:style w:type="paragraph" w:customStyle="1" w:styleId="114">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16">
    <w:name w:val="Char Char Char"/>
    <w:basedOn w:val="13"/>
    <w:autoRedefine/>
    <w:qFormat/>
    <w:uiPriority w:val="0"/>
    <w:pPr>
      <w:shd w:val="clear" w:color="auto" w:fill="auto"/>
    </w:pPr>
    <w:rPr>
      <w:rFonts w:ascii="宋体" w:hAnsi="Calibri"/>
      <w:sz w:val="18"/>
      <w:szCs w:val="18"/>
    </w:rPr>
  </w:style>
  <w:style w:type="paragraph" w:customStyle="1" w:styleId="117">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Char Char Char Char Char Char1 Char1"/>
    <w:basedOn w:val="1"/>
    <w:autoRedefine/>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19">
    <w:name w:val="Char1 Char Char Char"/>
    <w:basedOn w:val="1"/>
    <w:autoRedefine/>
    <w:qFormat/>
    <w:uiPriority w:val="0"/>
    <w:rPr>
      <w:rFonts w:ascii="Tahoma" w:hAnsi="Tahoma"/>
      <w:sz w:val="24"/>
      <w:szCs w:val="20"/>
    </w:rPr>
  </w:style>
  <w:style w:type="paragraph" w:customStyle="1" w:styleId="120">
    <w:name w:val="样式 正文缩进 + 首行缩进:  2 字符 段前: 0.5 行"/>
    <w:basedOn w:val="1"/>
    <w:qFormat/>
    <w:uiPriority w:val="0"/>
    <w:pPr>
      <w:spacing w:beforeLines="50" w:line="300" w:lineRule="auto"/>
      <w:ind w:firstLine="480" w:firstLineChars="200"/>
    </w:pPr>
    <w:rPr>
      <w:rFonts w:cs="宋体"/>
      <w:szCs w:val="20"/>
    </w:rPr>
  </w:style>
  <w:style w:type="paragraph" w:customStyle="1" w:styleId="121">
    <w:name w:val="xl31"/>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22">
    <w:name w:val="Char1 Char Char Char Char Char Char"/>
    <w:basedOn w:val="1"/>
    <w:autoRedefine/>
    <w:qFormat/>
    <w:uiPriority w:val="0"/>
    <w:rPr>
      <w:rFonts w:ascii="Tahoma" w:hAnsi="Tahoma"/>
      <w:sz w:val="24"/>
      <w:szCs w:val="20"/>
    </w:rPr>
  </w:style>
  <w:style w:type="paragraph" w:customStyle="1" w:styleId="123">
    <w:name w:val="正文段"/>
    <w:basedOn w:val="1"/>
    <w:autoRedefine/>
    <w:qFormat/>
    <w:uiPriority w:val="0"/>
    <w:pPr>
      <w:widowControl/>
      <w:snapToGrid w:val="0"/>
      <w:spacing w:afterLines="50"/>
      <w:ind w:firstLine="200" w:firstLineChars="200"/>
    </w:pPr>
    <w:rPr>
      <w:kern w:val="0"/>
      <w:sz w:val="24"/>
      <w:szCs w:val="20"/>
    </w:rPr>
  </w:style>
  <w:style w:type="paragraph" w:customStyle="1" w:styleId="12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2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26">
    <w:name w:val="1"/>
    <w:basedOn w:val="1"/>
    <w:next w:val="19"/>
    <w:autoRedefine/>
    <w:qFormat/>
    <w:uiPriority w:val="0"/>
    <w:rPr>
      <w:rFonts w:ascii="宋体" w:hAnsi="Courier New"/>
      <w:szCs w:val="20"/>
    </w:rPr>
  </w:style>
  <w:style w:type="paragraph" w:customStyle="1" w:styleId="127">
    <w:name w:val="Char Char Char Char"/>
    <w:basedOn w:val="13"/>
    <w:autoRedefine/>
    <w:qFormat/>
    <w:uiPriority w:val="0"/>
    <w:rPr>
      <w:rFonts w:ascii="Tahoma" w:hAnsi="Tahoma"/>
      <w:sz w:val="24"/>
    </w:rPr>
  </w:style>
  <w:style w:type="paragraph" w:customStyle="1" w:styleId="12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9">
    <w:name w:val="Char1"/>
    <w:basedOn w:val="13"/>
    <w:autoRedefine/>
    <w:qFormat/>
    <w:uiPriority w:val="0"/>
    <w:rPr>
      <w:rFonts w:ascii="Tahoma" w:hAnsi="Tahoma"/>
      <w:sz w:val="24"/>
    </w:rPr>
  </w:style>
  <w:style w:type="paragraph" w:customStyle="1" w:styleId="130">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2">
    <w:name w:val="修订1"/>
    <w:link w:val="155"/>
    <w:qFormat/>
    <w:uiPriority w:val="0"/>
    <w:rPr>
      <w:rFonts w:ascii="Times New Roman" w:hAnsi="Times New Roman" w:eastAsia="宋体" w:cs="Times New Roman"/>
      <w:kern w:val="2"/>
      <w:sz w:val="21"/>
      <w:szCs w:val="24"/>
      <w:lang w:val="en-US" w:eastAsia="zh-CN" w:bidi="ar-SA"/>
    </w:rPr>
  </w:style>
  <w:style w:type="paragraph" w:customStyle="1" w:styleId="133">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34">
    <w:name w:val="Char Char Char Char Char Char"/>
    <w:basedOn w:val="1"/>
    <w:qFormat/>
    <w:uiPriority w:val="0"/>
    <w:rPr>
      <w:szCs w:val="20"/>
    </w:rPr>
  </w:style>
  <w:style w:type="paragraph" w:customStyle="1" w:styleId="135">
    <w:name w:val="缺省文本"/>
    <w:basedOn w:val="1"/>
    <w:qFormat/>
    <w:uiPriority w:val="0"/>
    <w:pPr>
      <w:autoSpaceDE w:val="0"/>
      <w:autoSpaceDN w:val="0"/>
      <w:adjustRightInd w:val="0"/>
      <w:jc w:val="left"/>
    </w:pPr>
    <w:rPr>
      <w:rFonts w:ascii="仿宋_GB2312" w:eastAsia="仿宋_GB2312"/>
      <w:kern w:val="0"/>
      <w:sz w:val="24"/>
      <w:szCs w:val="20"/>
    </w:rPr>
  </w:style>
  <w:style w:type="paragraph" w:customStyle="1" w:styleId="136">
    <w:name w:val="Report List"/>
    <w:basedOn w:val="1"/>
    <w:qFormat/>
    <w:uiPriority w:val="0"/>
    <w:pPr>
      <w:widowControl/>
      <w:numPr>
        <w:ilvl w:val="0"/>
        <w:numId w:val="2"/>
      </w:numPr>
      <w:spacing w:before="120" w:after="120"/>
    </w:pPr>
    <w:rPr>
      <w:rFonts w:ascii="Arial" w:hAnsi="Arial" w:cs="Tahoma"/>
      <w:kern w:val="28"/>
      <w:sz w:val="22"/>
      <w:szCs w:val="20"/>
    </w:rPr>
  </w:style>
  <w:style w:type="paragraph" w:customStyle="1" w:styleId="137">
    <w:name w:val="默认段落字体 Para Char"/>
    <w:basedOn w:val="1"/>
    <w:qFormat/>
    <w:uiPriority w:val="0"/>
    <w:pPr>
      <w:adjustRightInd w:val="0"/>
      <w:spacing w:line="360" w:lineRule="auto"/>
    </w:pPr>
    <w:rPr>
      <w:kern w:val="0"/>
      <w:sz w:val="24"/>
      <w:szCs w:val="20"/>
    </w:rPr>
  </w:style>
  <w:style w:type="paragraph" w:customStyle="1" w:styleId="13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39">
    <w:name w:val="样式3"/>
    <w:basedOn w:val="16"/>
    <w:qFormat/>
    <w:uiPriority w:val="0"/>
    <w:pPr>
      <w:autoSpaceDE/>
      <w:autoSpaceDN/>
      <w:adjustRightInd/>
      <w:spacing w:line="360" w:lineRule="auto"/>
      <w:jc w:val="both"/>
    </w:pPr>
    <w:rPr>
      <w:kern w:val="2"/>
      <w:sz w:val="21"/>
      <w:szCs w:val="24"/>
    </w:rPr>
  </w:style>
  <w:style w:type="paragraph" w:customStyle="1" w:styleId="140">
    <w:name w:val="F2"/>
    <w:basedOn w:val="1"/>
    <w:qFormat/>
    <w:uiPriority w:val="0"/>
    <w:pPr>
      <w:autoSpaceDE w:val="0"/>
      <w:autoSpaceDN w:val="0"/>
      <w:adjustRightInd w:val="0"/>
      <w:ind w:firstLine="601"/>
      <w:textAlignment w:val="baseline"/>
    </w:pPr>
    <w:rPr>
      <w:kern w:val="0"/>
      <w:sz w:val="24"/>
      <w:szCs w:val="20"/>
    </w:rPr>
  </w:style>
  <w:style w:type="paragraph" w:customStyle="1" w:styleId="141">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TOC 标题1"/>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43">
    <w:name w:val="font01"/>
    <w:basedOn w:val="37"/>
    <w:qFormat/>
    <w:uiPriority w:val="0"/>
    <w:rPr>
      <w:rFonts w:ascii="Calibri" w:hAnsi="Calibri" w:cs="Calibri"/>
      <w:color w:val="000000"/>
      <w:sz w:val="20"/>
      <w:szCs w:val="20"/>
      <w:u w:val="none"/>
    </w:rPr>
  </w:style>
  <w:style w:type="character" w:customStyle="1" w:styleId="144">
    <w:name w:val="A13"/>
    <w:qFormat/>
    <w:uiPriority w:val="0"/>
    <w:rPr>
      <w:rFonts w:ascii="Univers LT Std 45 Light" w:eastAsia="Univers LT Std 45 Light" w:cs="Univers LT Std 45 Light"/>
      <w:color w:val="221E1F"/>
      <w:sz w:val="10"/>
      <w:szCs w:val="10"/>
    </w:rPr>
  </w:style>
  <w:style w:type="character" w:customStyle="1" w:styleId="145">
    <w:name w:val="font31"/>
    <w:basedOn w:val="37"/>
    <w:qFormat/>
    <w:uiPriority w:val="0"/>
    <w:rPr>
      <w:rFonts w:hint="eastAsia" w:ascii="宋体" w:hAnsi="宋体" w:eastAsia="宋体" w:cs="宋体"/>
      <w:color w:val="FF0000"/>
      <w:sz w:val="22"/>
      <w:szCs w:val="22"/>
      <w:u w:val="none"/>
    </w:rPr>
  </w:style>
  <w:style w:type="paragraph" w:customStyle="1" w:styleId="146">
    <w:name w:val="样式 标题 2 + 宋体"/>
    <w:basedOn w:val="3"/>
    <w:qFormat/>
    <w:uiPriority w:val="99"/>
    <w:rPr>
      <w:rFonts w:ascii="宋体" w:hAnsi="宋体"/>
      <w:sz w:val="30"/>
    </w:rPr>
  </w:style>
  <w:style w:type="character" w:customStyle="1" w:styleId="147">
    <w:name w:val="font51"/>
    <w:basedOn w:val="37"/>
    <w:qFormat/>
    <w:uiPriority w:val="0"/>
    <w:rPr>
      <w:rFonts w:hint="default" w:ascii="Helvetica" w:hAnsi="Helvetica" w:eastAsia="Helvetica" w:cs="Helvetica"/>
      <w:color w:val="000000"/>
      <w:sz w:val="18"/>
      <w:szCs w:val="18"/>
      <w:u w:val="none"/>
    </w:rPr>
  </w:style>
  <w:style w:type="character" w:customStyle="1" w:styleId="148">
    <w:name w:val="font41"/>
    <w:basedOn w:val="37"/>
    <w:qFormat/>
    <w:uiPriority w:val="0"/>
    <w:rPr>
      <w:rFonts w:hint="eastAsia" w:ascii="宋体" w:hAnsi="宋体" w:eastAsia="宋体" w:cs="宋体"/>
      <w:color w:val="000000"/>
      <w:sz w:val="17"/>
      <w:szCs w:val="17"/>
      <w:u w:val="none"/>
    </w:rPr>
  </w:style>
  <w:style w:type="character" w:customStyle="1" w:styleId="149">
    <w:name w:val="font11"/>
    <w:basedOn w:val="37"/>
    <w:qFormat/>
    <w:uiPriority w:val="0"/>
    <w:rPr>
      <w:rFonts w:hint="eastAsia" w:ascii="宋体" w:hAnsi="宋体" w:eastAsia="宋体" w:cs="宋体"/>
      <w:color w:val="000000"/>
      <w:sz w:val="18"/>
      <w:szCs w:val="18"/>
      <w:u w:val="none"/>
    </w:rPr>
  </w:style>
  <w:style w:type="character" w:customStyle="1" w:styleId="150">
    <w:name w:val="font71"/>
    <w:basedOn w:val="37"/>
    <w:qFormat/>
    <w:uiPriority w:val="0"/>
    <w:rPr>
      <w:rFonts w:hint="default" w:ascii="Helvetica" w:hAnsi="Helvetica" w:eastAsia="Helvetica" w:cs="Helvetica"/>
      <w:color w:val="000000"/>
      <w:sz w:val="18"/>
      <w:szCs w:val="18"/>
      <w:u w:val="none"/>
    </w:rPr>
  </w:style>
  <w:style w:type="character" w:customStyle="1" w:styleId="151">
    <w:name w:val="font61"/>
    <w:basedOn w:val="37"/>
    <w:qFormat/>
    <w:uiPriority w:val="0"/>
    <w:rPr>
      <w:rFonts w:hint="eastAsia" w:ascii="宋体" w:hAnsi="宋体" w:eastAsia="宋体" w:cs="宋体"/>
      <w:color w:val="000000"/>
      <w:sz w:val="17"/>
      <w:szCs w:val="17"/>
      <w:u w:val="none"/>
    </w:rPr>
  </w:style>
  <w:style w:type="character" w:customStyle="1" w:styleId="152">
    <w:name w:val="font101"/>
    <w:basedOn w:val="37"/>
    <w:qFormat/>
    <w:uiPriority w:val="0"/>
    <w:rPr>
      <w:rFonts w:hint="eastAsia" w:ascii="宋体" w:hAnsi="宋体" w:eastAsia="宋体" w:cs="宋体"/>
      <w:color w:val="000000"/>
      <w:sz w:val="18"/>
      <w:szCs w:val="18"/>
      <w:u w:val="none"/>
    </w:rPr>
  </w:style>
  <w:style w:type="character" w:customStyle="1" w:styleId="153">
    <w:name w:val="font112"/>
    <w:basedOn w:val="37"/>
    <w:qFormat/>
    <w:uiPriority w:val="0"/>
    <w:rPr>
      <w:rFonts w:hint="default" w:ascii="Times New Roman" w:hAnsi="Times New Roman" w:cs="Times New Roman"/>
      <w:color w:val="000000"/>
      <w:sz w:val="20"/>
      <w:szCs w:val="20"/>
      <w:u w:val="none"/>
    </w:rPr>
  </w:style>
  <w:style w:type="character" w:customStyle="1" w:styleId="154">
    <w:name w:val="font21"/>
    <w:basedOn w:val="37"/>
    <w:qFormat/>
    <w:uiPriority w:val="0"/>
    <w:rPr>
      <w:rFonts w:hint="eastAsia" w:ascii="宋体" w:hAnsi="宋体" w:eastAsia="宋体" w:cs="宋体"/>
      <w:color w:val="000000"/>
      <w:sz w:val="24"/>
      <w:szCs w:val="24"/>
      <w:u w:val="none"/>
    </w:rPr>
  </w:style>
  <w:style w:type="character" w:customStyle="1" w:styleId="155">
    <w:name w:val="修订1 Char"/>
    <w:link w:val="132"/>
    <w:qFormat/>
    <w:uiPriority w:val="0"/>
    <w:rPr>
      <w:rFonts w:ascii="Times New Roman" w:hAnsi="Times New Roman" w:eastAsia="宋体" w:cs="Times New Roman"/>
      <w:kern w:val="2"/>
      <w:sz w:val="21"/>
      <w:szCs w:val="24"/>
      <w:lang w:val="en-US" w:eastAsia="zh-CN" w:bidi="ar-SA"/>
    </w:rPr>
  </w:style>
  <w:style w:type="character" w:customStyle="1" w:styleId="156">
    <w:name w:val="font81"/>
    <w:basedOn w:val="37"/>
    <w:qFormat/>
    <w:uiPriority w:val="0"/>
    <w:rPr>
      <w:rFonts w:hint="eastAsia" w:ascii="宋体" w:hAnsi="宋体" w:eastAsia="宋体" w:cs="宋体"/>
      <w:color w:val="FF0000"/>
      <w:sz w:val="20"/>
      <w:szCs w:val="20"/>
      <w:u w:val="none"/>
    </w:rPr>
  </w:style>
  <w:style w:type="character" w:customStyle="1" w:styleId="157">
    <w:name w:val="NormalCharacter"/>
    <w:qFormat/>
    <w:uiPriority w:val="0"/>
    <w:rPr>
      <w:rFonts w:hint="eastAsia" w:ascii="黑体" w:hAnsi="Verdana" w:eastAsia="黑体"/>
      <w:sz w:val="32"/>
      <w:lang w:eastAsia="en-US"/>
    </w:rPr>
  </w:style>
  <w:style w:type="paragraph" w:customStyle="1" w:styleId="158">
    <w:name w:val="BodyText"/>
    <w:basedOn w:val="1"/>
    <w:next w:val="1"/>
    <w:qFormat/>
    <w:uiPriority w:val="0"/>
    <w:pPr>
      <w:spacing w:line="360" w:lineRule="exact"/>
    </w:pPr>
    <w:rPr>
      <w:rFonts w:ascii="方正仿宋简体" w:eastAsia="方正仿宋简体"/>
      <w:color w:val="000000"/>
      <w:kern w:val="0"/>
      <w:sz w:val="28"/>
    </w:rPr>
  </w:style>
  <w:style w:type="paragraph" w:customStyle="1" w:styleId="159">
    <w:name w:val="UserStyle_56"/>
    <w:basedOn w:val="1"/>
    <w:qFormat/>
    <w:uiPriority w:val="0"/>
    <w:rPr>
      <w:rFonts w:ascii="宋体" w:hAnsi="宋体"/>
    </w:rPr>
  </w:style>
  <w:style w:type="paragraph" w:customStyle="1" w:styleId="160">
    <w:name w:val="UserStyle_34"/>
    <w:qFormat/>
    <w:uiPriority w:val="0"/>
    <w:pPr>
      <w:textAlignment w:val="baseline"/>
    </w:pPr>
    <w:rPr>
      <w:rFonts w:ascii="Arial" w:hAnsi="Arial" w:cs="Times New Roman" w:eastAsiaTheme="minorEastAsia"/>
      <w:color w:val="000000"/>
      <w:sz w:val="24"/>
      <w:szCs w:val="24"/>
      <w:lang w:val="en-US" w:eastAsia="zh-CN" w:bidi="ar-SA"/>
    </w:rPr>
  </w:style>
  <w:style w:type="paragraph" w:customStyle="1" w:styleId="161">
    <w:name w:val="PlainText"/>
    <w:basedOn w:val="1"/>
    <w:next w:val="1"/>
    <w:link w:val="164"/>
    <w:qFormat/>
    <w:uiPriority w:val="0"/>
    <w:pPr>
      <w:spacing w:line="312" w:lineRule="atLeast"/>
      <w:textAlignment w:val="baseline"/>
    </w:pPr>
    <w:rPr>
      <w:rFonts w:ascii="宋体" w:hAnsi="Courier New"/>
      <w:kern w:val="0"/>
    </w:rPr>
  </w:style>
  <w:style w:type="character" w:customStyle="1" w:styleId="162">
    <w:name w:val="UserStyle_12"/>
    <w:link w:val="163"/>
    <w:autoRedefine/>
    <w:qFormat/>
    <w:locked/>
    <w:uiPriority w:val="0"/>
    <w:rPr>
      <w:rFonts w:ascii="宋体" w:hAnsi="宋体"/>
      <w:b/>
    </w:rPr>
  </w:style>
  <w:style w:type="paragraph" w:customStyle="1" w:styleId="163">
    <w:name w:val="Heading3"/>
    <w:basedOn w:val="1"/>
    <w:next w:val="1"/>
    <w:link w:val="162"/>
    <w:autoRedefine/>
    <w:qFormat/>
    <w:uiPriority w:val="0"/>
    <w:pPr>
      <w:keepNext/>
      <w:keepLines/>
      <w:widowControl/>
      <w:spacing w:line="360" w:lineRule="auto"/>
    </w:pPr>
    <w:rPr>
      <w:rFonts w:ascii="宋体" w:hAnsi="宋体"/>
      <w:b/>
      <w:kern w:val="0"/>
      <w:sz w:val="20"/>
      <w:szCs w:val="20"/>
    </w:rPr>
  </w:style>
  <w:style w:type="character" w:customStyle="1" w:styleId="164">
    <w:name w:val="UserStyle_18"/>
    <w:link w:val="161"/>
    <w:autoRedefine/>
    <w:qFormat/>
    <w:locked/>
    <w:uiPriority w:val="0"/>
    <w:rPr>
      <w:rFonts w:ascii="宋体" w:hAnsi="Courier New"/>
      <w:sz w:val="21"/>
      <w:szCs w:val="24"/>
    </w:rPr>
  </w:style>
  <w:style w:type="character" w:customStyle="1" w:styleId="165">
    <w:name w:val="font91"/>
    <w:basedOn w:val="37"/>
    <w:qFormat/>
    <w:uiPriority w:val="0"/>
    <w:rPr>
      <w:rFonts w:hint="eastAsia" w:ascii="宋体" w:hAnsi="宋体" w:eastAsia="宋体" w:cs="宋体"/>
      <w:color w:val="000000"/>
      <w:sz w:val="28"/>
      <w:szCs w:val="28"/>
      <w:u w:val="none"/>
    </w:rPr>
  </w:style>
  <w:style w:type="paragraph" w:customStyle="1" w:styleId="166">
    <w:name w:val="Table Paragraph"/>
    <w:basedOn w:val="1"/>
    <w:qFormat/>
    <w:uiPriority w:val="1"/>
    <w:rPr>
      <w:rFonts w:ascii="宋体" w:hAnsi="宋体" w:cs="宋体"/>
      <w:lang w:val="zh-CN" w:bidi="zh-CN"/>
    </w:rPr>
  </w:style>
  <w:style w:type="paragraph" w:customStyle="1" w:styleId="167">
    <w:name w:val="Table Text"/>
    <w:basedOn w:val="1"/>
    <w:autoRedefine/>
    <w:semiHidden/>
    <w:qFormat/>
    <w:uiPriority w:val="0"/>
    <w:rPr>
      <w:rFonts w:ascii="宋体" w:hAnsi="宋体" w:cs="宋体"/>
      <w:sz w:val="20"/>
      <w:szCs w:val="20"/>
      <w:lang w:eastAsia="en-US"/>
    </w:rPr>
  </w:style>
  <w:style w:type="table" w:customStyle="1" w:styleId="1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B0913-A692-474B-BCAC-48E567857D4E}">
  <ds:schemaRefs/>
</ds:datastoreItem>
</file>

<file path=docProps/app.xml><?xml version="1.0" encoding="utf-8"?>
<Properties xmlns="http://schemas.openxmlformats.org/officeDocument/2006/extended-properties" xmlns:vt="http://schemas.openxmlformats.org/officeDocument/2006/docPropsVTypes">
  <Template>Normal</Template>
  <Pages>76</Pages>
  <Words>21966</Words>
  <Characters>24151</Characters>
  <Lines>335</Lines>
  <Paragraphs>94</Paragraphs>
  <TotalTime>1</TotalTime>
  <ScaleCrop>false</ScaleCrop>
  <LinksUpToDate>false</LinksUpToDate>
  <CharactersWithSpaces>24322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2022-01-25T03:00:00Z</dcterms:created>
  <dc:creator>zeked</dc:creator>
  <cp:lastModifiedBy>窗边的小豆豆</cp:lastModifiedBy>
  <cp:lastPrinted>2020-04-09T14:10:00Z</cp:lastPrinted>
  <dcterms:modified xsi:type="dcterms:W3CDTF">2025-06-16T03:49:30Z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BC1D4879D42340E9A139C025029C3283_13</vt:lpwstr>
  </property>
  <property fmtid="{D5CDD505-2E9C-101B-9397-08002B2CF9AE}" pid="4" name="KSOTemplateDocerSaveRecord">
    <vt:lpwstr>eyJoZGlkIjoiNWNkNTVkOGNkODU1NTRiMmM5NDM5MTEzOTU3OWRmYmYiLCJ1c2VySWQiOiIzMzYwNzMwNzYifQ==</vt:lpwstr>
  </property>
</Properties>
</file>