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7639C5">
      <w:pPr>
        <w:rPr>
          <w:rStyle w:val="33"/>
          <w:rFonts w:hint="eastAsia" w:ascii="宋体" w:hAnsi="宋体" w:eastAsia="宋体" w:cs="宋体"/>
          <w:color w:val="auto"/>
          <w:highlight w:val="none"/>
        </w:rPr>
      </w:pPr>
    </w:p>
    <w:p w14:paraId="6AE2C0D6">
      <w:pPr>
        <w:jc w:val="center"/>
        <w:rPr>
          <w:rStyle w:val="33"/>
          <w:rFonts w:hint="eastAsia" w:ascii="宋体" w:hAnsi="宋体" w:eastAsia="宋体" w:cs="宋体"/>
          <w:color w:val="auto"/>
          <w:highlight w:val="none"/>
        </w:rPr>
      </w:pPr>
    </w:p>
    <w:p w14:paraId="71335CD6">
      <w:pPr>
        <w:jc w:val="center"/>
        <w:rPr>
          <w:rStyle w:val="33"/>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N4yQROABAADhAwAADgAAAGRycy9lMm9Eb2MueG1srVNLbhQxEN0jcQfL&#10;e6Y7g4hQa3oipFHYRBBp4ACOXZ628E+2Z7pnz549S8QlUASnIYhjUO3+aJJssmDTKlfZr+q9V726&#10;6IwmBwhROVvTs0VJCVjuhLK7mn78cPniNSUxMSuYdhZqeoRIL9bPn61aX8HSNU4LCARBbKxaX9Mm&#10;JV8VReQNGBYXzoPFonTBsITHsCtEYC2iG10sy/K8aF0QPjgOMWJ2MxTpiBieAuikVBw2ju8N2DSg&#10;BtAsIaXYKB/pOk8rJfD0XsoIieiaItOUv9gE45v+W6xXrNoF5hvFxxHYU0Z4wMkwZbHpDLVhiZF9&#10;UI+gjOLBRSfTgjtTDESyIsjirHygzbZhHjIXlDr6WfT4/2D5u8N1IErgJlBimUHDf9/e/vn85e77&#10;17+/ftz9/Eaw0CghoN+WXq/Wxwqfbf116BlHf+X4p0is24JGvcdbxb1r/SGODzoZTP8QyZMuO3Gc&#10;nYAuEY7J85evyhI94lgaY+xcsGp6zPcxvQWXgdjhKqbBSIFRtkGMZN7g9NJo9PTANJn8nqvLR1Xs&#10;sZtQWDMB885OoWdpTOPV0zGsu1Ra5zm07YeYE3hxyEDeyAEpCzRo0qtz48QRndj7oHbNPRHR+Ux9&#10;3NJ+tU7PGJ/+m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916c8AAAAFAQAADwAAAAAAAAAB&#10;ACAAAAAiAAAAZHJzL2Rvd25yZXYueG1sUEsBAhQAFAAAAAgAh07iQDeMkETgAQAA4QMAAA4AAAAA&#10;AAAAAQAgAAAAHgEAAGRycy9lMm9Eb2MueG1sUEsFBgAAAAAGAAYAWQEAAHAFAAAAAA==&#10;">
                <v:fill on="f" focussize="0,0"/>
                <v:stroke on="f"/>
                <v:imagedata o:title=""/>
                <o:lock v:ext="edit" selection="t" aspectratio="f"/>
              </v:shape>
            </w:pict>
          </mc:Fallback>
        </mc:AlternateContent>
      </w:r>
    </w:p>
    <w:p w14:paraId="20577641">
      <w:pPr>
        <w:jc w:val="center"/>
        <w:rPr>
          <w:rStyle w:val="33"/>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358140</wp:posOffset>
            </wp:positionH>
            <wp:positionV relativeFrom="paragraph">
              <wp:posOffset>-189230</wp:posOffset>
            </wp:positionV>
            <wp:extent cx="5644515" cy="1443355"/>
            <wp:effectExtent l="0" t="0" r="13335" b="4445"/>
            <wp:wrapNone/>
            <wp:docPr id="2" name="图片 2" descr="ba8b8434a1eccf8278aef83974b4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8b8434a1eccf8278aef83974b46cd"/>
                    <pic:cNvPicPr>
                      <a:picLocks noChangeAspect="1"/>
                    </pic:cNvPicPr>
                  </pic:nvPicPr>
                  <pic:blipFill>
                    <a:blip r:embed="rId12"/>
                    <a:stretch>
                      <a:fillRect/>
                    </a:stretch>
                  </pic:blipFill>
                  <pic:spPr>
                    <a:xfrm>
                      <a:off x="0" y="0"/>
                      <a:ext cx="5644515" cy="1443355"/>
                    </a:xfrm>
                    <a:prstGeom prst="rect">
                      <a:avLst/>
                    </a:prstGeom>
                    <a:noFill/>
                    <a:ln>
                      <a:noFill/>
                    </a:ln>
                  </pic:spPr>
                </pic:pic>
              </a:graphicData>
            </a:graphic>
          </wp:anchor>
        </w:drawing>
      </w:r>
    </w:p>
    <w:p w14:paraId="6EBEA345">
      <w:pPr>
        <w:jc w:val="center"/>
        <w:rPr>
          <w:rStyle w:val="33"/>
          <w:rFonts w:hint="eastAsia" w:ascii="宋体" w:hAnsi="宋体" w:eastAsia="宋体" w:cs="宋体"/>
          <w:color w:val="auto"/>
          <w:highlight w:val="none"/>
        </w:rPr>
      </w:pPr>
    </w:p>
    <w:p w14:paraId="4D8E1721">
      <w:pPr>
        <w:jc w:val="center"/>
        <w:rPr>
          <w:rStyle w:val="33"/>
          <w:rFonts w:hint="eastAsia" w:ascii="宋体" w:hAnsi="宋体" w:eastAsia="宋体" w:cs="宋体"/>
          <w:color w:val="auto"/>
          <w:highlight w:val="none"/>
        </w:rPr>
      </w:pPr>
    </w:p>
    <w:p w14:paraId="233D016A">
      <w:pPr>
        <w:jc w:val="center"/>
        <w:rPr>
          <w:rStyle w:val="33"/>
          <w:rFonts w:hint="eastAsia" w:ascii="宋体" w:hAnsi="宋体" w:eastAsia="宋体" w:cs="宋体"/>
          <w:color w:val="auto"/>
          <w:highlight w:val="none"/>
        </w:rPr>
      </w:pPr>
    </w:p>
    <w:p w14:paraId="2A7D4CC5">
      <w:pPr>
        <w:jc w:val="center"/>
        <w:rPr>
          <w:rStyle w:val="33"/>
          <w:rFonts w:hint="eastAsia" w:ascii="宋体" w:hAnsi="宋体" w:eastAsia="宋体" w:cs="宋体"/>
          <w:color w:val="auto"/>
          <w:highlight w:val="none"/>
        </w:rPr>
      </w:pPr>
    </w:p>
    <w:p w14:paraId="0146CEDA">
      <w:pPr>
        <w:jc w:val="center"/>
        <w:rPr>
          <w:rStyle w:val="33"/>
          <w:rFonts w:hint="eastAsia" w:ascii="宋体" w:hAnsi="宋体" w:eastAsia="宋体" w:cs="宋体"/>
          <w:color w:val="auto"/>
          <w:highlight w:val="none"/>
        </w:rPr>
      </w:pPr>
    </w:p>
    <w:p w14:paraId="5957DE85">
      <w:pPr>
        <w:jc w:val="center"/>
        <w:rPr>
          <w:rStyle w:val="33"/>
          <w:rFonts w:hint="eastAsia" w:ascii="宋体" w:hAnsi="宋体" w:eastAsia="宋体" w:cs="宋体"/>
          <w:color w:val="auto"/>
          <w:highlight w:val="none"/>
        </w:rPr>
      </w:pPr>
    </w:p>
    <w:p w14:paraId="1419229C">
      <w:pPr>
        <w:jc w:val="center"/>
        <w:rPr>
          <w:rStyle w:val="33"/>
          <w:rFonts w:hint="eastAsia" w:ascii="宋体" w:hAnsi="宋体" w:eastAsia="宋体" w:cs="宋体"/>
          <w:color w:val="auto"/>
          <w:highlight w:val="none"/>
        </w:rPr>
      </w:pPr>
    </w:p>
    <w:p w14:paraId="474C8422">
      <w:pPr>
        <w:pStyle w:val="11"/>
        <w:jc w:val="center"/>
        <w:rPr>
          <w:rFonts w:hAnsi="宋体"/>
          <w:b/>
          <w:color w:val="auto"/>
          <w:spacing w:val="-18"/>
          <w:sz w:val="96"/>
          <w:highlight w:val="none"/>
        </w:rPr>
      </w:pPr>
      <w:r>
        <w:rPr>
          <w:rFonts w:hint="eastAsia" w:hAnsi="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462915</wp:posOffset>
                </wp:positionV>
                <wp:extent cx="6105525" cy="28575"/>
                <wp:effectExtent l="0" t="31750" r="9525" b="34925"/>
                <wp:wrapNone/>
                <wp:docPr id="6" name="直接箭头连接符 6"/>
                <wp:cNvGraphicFramePr/>
                <a:graphic xmlns:a="http://schemas.openxmlformats.org/drawingml/2006/main">
                  <a:graphicData uri="http://schemas.microsoft.com/office/word/2010/wordprocessingShape">
                    <wps:wsp>
                      <wps:cNvCnPr/>
                      <wps:spPr>
                        <a:xfrm>
                          <a:off x="0" y="0"/>
                          <a:ext cx="6105525" cy="28575"/>
                        </a:xfrm>
                        <a:prstGeom prst="straightConnector1">
                          <a:avLst/>
                        </a:prstGeom>
                        <a:ln w="63500" cap="flat" cmpd="tri">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pt;margin-top:36.45pt;height:2.25pt;width:480.75pt;z-index:251661312;mso-width-relative:page;mso-height-relative:page;" filled="f" stroked="t" coordsize="21600,21600" o:gfxdata="UEsDBAoAAAAAAIdO4kAAAAAAAAAAAAAAAAAEAAAAZHJzL1BLAwQUAAAACACHTuJA586c3NoAAAAJ&#10;AQAADwAAAGRycy9kb3ducmV2LnhtbE2PS0/DMBCE70j8B2uRuLW2q4a2IU4PIB5C6oFA1asbL7Eh&#10;tqPYffDvWU5wnJ3R7DfV+ux7dsQxuRgUyKkAhqGNxoVOwfvbw2QJLGUdjO5jQAXfmGBdX15UujTx&#10;FF7x2OSOUUlIpVZgcx5KzlNr0es0jQMG8j7i6HUmOXbcjPpE5b7nMyFuuNcu0AerB7yz2H41B6+g&#10;bZuXp+Xuef5opd12xeaTO3ev1PWVFLfAMp7zXxh+8QkdamLax0MwifUKJlLQlqxgMVsBo8CqkAWw&#10;PR0Wc+B1xf8vqH8AUEsDBBQAAAAIAIdO4kDIWS3SBQIAAP8DAAAOAAAAZHJzL2Uyb0RvYy54bWyt&#10;U82O0zAQviPxDpbvNGlRyipquoeW5YKgEvAAru00lvwnj7dpX4IXQOIEnIDT3nkaWB6DsRPKslx6&#10;IAdnxp75Zr7P48XlwWiylwGUsw2dTkpKpOVOKLtr6JvXV48uKIHIrGDaWdnQowR6uXz4YNH7Ws5c&#10;57SQgSCIhbr3De1i9HVRAO+kYTBxXlo8bF0wLKIbdoUIrEd0o4tZWc6L3gXhg+MSAHfXwyEdEcM5&#10;gK5tFZdrx6+NtHFADVKziJSgUx7oMnfbtpLHl20LMhLdUGQa84pF0N6mtVguWL0LzHeKjy2wc1q4&#10;x8kwZbHoCWrNIiPXQf0DZRQPDlwbJ9yZYiCSFUEW0/KeNq865mXmglKDP4kO/w+Wv9hvAlGioXNK&#10;LDN44bfvbn68/Xj79cv3Dzc/v71P9udPZJ6k6j3UmLGymzB64Dch8T60waQ/MiKHLO/xJK88RMJx&#10;cz4tq2pWUcLxbHZRPakSZvEn2QeIz6QzJBkNhRiY2nVx5azFi3RhmiVm++cQh8TfCamytqTHGo+r&#10;Eu+WM5zMFicCTeORXQwqJ4PTSlwprVMKhN12pQPZszQd+Rs7+issVVkz6Ia4fJTCWN1JJp5aQeLR&#10;o24WnwtNPRgpKNESX1eycmRkSp8TiWJom6Blnt2RaJJ9EDpZWyeOWf8ieTgXWcNxhtPg3fXRvvtu&#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6c3NoAAAAJAQAADwAAAAAAAAABACAAAAAiAAAA&#10;ZHJzL2Rvd25yZXYueG1sUEsBAhQAFAAAAAgAh07iQMhZLdIFAgAA/wMAAA4AAAAAAAAAAQAgAAAA&#10;KQEAAGRycy9lMm9Eb2MueG1sUEsFBgAAAAAGAAYAWQEAAKAFAAAAAA==&#10;">
                <v:fill on="f" focussize="0,0"/>
                <v:stroke weight="5pt" color="#000000" linestyle="thickBetweenThin" joinstyle="round"/>
                <v:imagedata o:title=""/>
                <o:lock v:ext="edit" aspectratio="f"/>
              </v:shape>
            </w:pict>
          </mc:Fallback>
        </mc:AlternateContent>
      </w:r>
    </w:p>
    <w:p w14:paraId="520179BC">
      <w:pPr>
        <w:pStyle w:val="11"/>
        <w:jc w:val="center"/>
        <w:rPr>
          <w:rFonts w:hAnsi="宋体"/>
          <w:b/>
          <w:color w:val="auto"/>
          <w:spacing w:val="-18"/>
          <w:sz w:val="84"/>
          <w:szCs w:val="84"/>
          <w:highlight w:val="none"/>
        </w:rPr>
      </w:pPr>
      <w:r>
        <w:rPr>
          <w:rFonts w:hint="eastAsia" w:hAnsi="宋体"/>
          <w:b/>
          <w:color w:val="auto"/>
          <w:sz w:val="84"/>
          <w:szCs w:val="84"/>
          <w:highlight w:val="none"/>
        </w:rPr>
        <w:t>竞争性</w:t>
      </w:r>
      <w:r>
        <w:rPr>
          <w:rFonts w:hint="eastAsia" w:hAnsi="宋体"/>
          <w:b/>
          <w:color w:val="auto"/>
          <w:sz w:val="84"/>
          <w:szCs w:val="84"/>
          <w:highlight w:val="none"/>
          <w:lang w:eastAsia="zh-CN"/>
        </w:rPr>
        <w:t>磋商</w:t>
      </w:r>
      <w:r>
        <w:rPr>
          <w:rFonts w:hint="eastAsia" w:hAnsi="宋体"/>
          <w:b/>
          <w:color w:val="auto"/>
          <w:sz w:val="84"/>
          <w:szCs w:val="84"/>
          <w:highlight w:val="none"/>
        </w:rPr>
        <w:t>采购文件</w:t>
      </w:r>
    </w:p>
    <w:p w14:paraId="3E15F63F">
      <w:pPr>
        <w:snapToGrid w:val="0"/>
        <w:spacing w:before="156" w:line="500" w:lineRule="exact"/>
        <w:jc w:val="center"/>
        <w:rPr>
          <w:rStyle w:val="33"/>
          <w:rFonts w:hint="eastAsia" w:ascii="宋体" w:hAnsi="宋体" w:eastAsia="宋体" w:cs="宋体"/>
          <w:b/>
          <w:bCs/>
          <w:color w:val="auto"/>
          <w:sz w:val="30"/>
          <w:szCs w:val="30"/>
          <w:highlight w:val="none"/>
        </w:rPr>
      </w:pPr>
    </w:p>
    <w:p w14:paraId="729E5483">
      <w:pPr>
        <w:snapToGrid w:val="0"/>
        <w:spacing w:before="156" w:line="500" w:lineRule="exact"/>
        <w:ind w:left="3295" w:leftChars="852" w:hanging="1506" w:hangingChars="500"/>
        <w:rPr>
          <w:rStyle w:val="33"/>
          <w:rFonts w:hint="eastAsia" w:ascii="宋体" w:hAnsi="宋体" w:eastAsia="宋体" w:cs="宋体"/>
          <w:b/>
          <w:bCs/>
          <w:color w:val="auto"/>
          <w:sz w:val="30"/>
          <w:szCs w:val="30"/>
          <w:highlight w:val="none"/>
          <w:lang w:eastAsia="zh-CN"/>
        </w:rPr>
      </w:pPr>
      <w:r>
        <w:rPr>
          <w:rStyle w:val="33"/>
          <w:rFonts w:hint="eastAsia" w:ascii="宋体" w:hAnsi="宋体" w:eastAsia="宋体" w:cs="宋体"/>
          <w:b/>
          <w:bCs/>
          <w:color w:val="auto"/>
          <w:sz w:val="30"/>
          <w:szCs w:val="30"/>
          <w:highlight w:val="none"/>
        </w:rPr>
        <w:t>项目名称：</w:t>
      </w:r>
      <w:r>
        <w:rPr>
          <w:rStyle w:val="33"/>
          <w:rFonts w:hint="eastAsia" w:ascii="宋体" w:hAnsi="宋体" w:cs="宋体"/>
          <w:b/>
          <w:bCs/>
          <w:color w:val="auto"/>
          <w:sz w:val="30"/>
          <w:szCs w:val="30"/>
          <w:highlight w:val="none"/>
        </w:rPr>
        <w:t>物业管理服务</w:t>
      </w:r>
    </w:p>
    <w:p w14:paraId="66CB0232">
      <w:pPr>
        <w:snapToGrid w:val="0"/>
        <w:spacing w:before="156" w:line="500" w:lineRule="exact"/>
        <w:ind w:firstLine="1807" w:firstLineChars="600"/>
        <w:rPr>
          <w:rStyle w:val="33"/>
          <w:rFonts w:hint="eastAsia" w:ascii="宋体" w:hAnsi="宋体" w:eastAsia="宋体" w:cs="宋体"/>
          <w:b/>
          <w:bCs/>
          <w:color w:val="auto"/>
          <w:sz w:val="30"/>
          <w:szCs w:val="30"/>
          <w:highlight w:val="none"/>
          <w:lang w:eastAsia="zh-CN"/>
        </w:rPr>
      </w:pPr>
      <w:r>
        <w:rPr>
          <w:rStyle w:val="33"/>
          <w:rFonts w:hint="eastAsia" w:ascii="宋体" w:hAnsi="宋体" w:eastAsia="宋体" w:cs="宋体"/>
          <w:b/>
          <w:bCs/>
          <w:color w:val="auto"/>
          <w:sz w:val="30"/>
          <w:szCs w:val="30"/>
          <w:highlight w:val="none"/>
        </w:rPr>
        <w:t>项目编号：</w:t>
      </w:r>
      <w:r>
        <w:rPr>
          <w:rStyle w:val="33"/>
          <w:rFonts w:hint="eastAsia" w:ascii="宋体" w:hAnsi="宋体" w:cs="宋体"/>
          <w:b/>
          <w:bCs/>
          <w:color w:val="auto"/>
          <w:sz w:val="30"/>
          <w:szCs w:val="30"/>
          <w:highlight w:val="none"/>
        </w:rPr>
        <w:t>GGZC2025-C3-990259-BSGC</w:t>
      </w:r>
    </w:p>
    <w:p w14:paraId="657A6A15">
      <w:pPr>
        <w:snapToGrid w:val="0"/>
        <w:spacing w:before="156" w:line="500" w:lineRule="exact"/>
        <w:rPr>
          <w:rStyle w:val="33"/>
          <w:rFonts w:hint="eastAsia" w:ascii="宋体" w:hAnsi="宋体" w:eastAsia="宋体" w:cs="宋体"/>
          <w:bCs/>
          <w:color w:val="auto"/>
          <w:szCs w:val="21"/>
          <w:highlight w:val="none"/>
        </w:rPr>
      </w:pPr>
    </w:p>
    <w:p w14:paraId="04DA4442">
      <w:pPr>
        <w:snapToGrid w:val="0"/>
        <w:spacing w:before="156" w:line="500" w:lineRule="exact"/>
        <w:rPr>
          <w:rStyle w:val="33"/>
          <w:rFonts w:hint="eastAsia" w:ascii="宋体" w:hAnsi="宋体" w:eastAsia="宋体" w:cs="宋体"/>
          <w:bCs/>
          <w:color w:val="auto"/>
          <w:szCs w:val="21"/>
          <w:highlight w:val="none"/>
        </w:rPr>
      </w:pPr>
    </w:p>
    <w:p w14:paraId="24897F00">
      <w:pPr>
        <w:snapToGrid w:val="0"/>
        <w:spacing w:before="156" w:line="500" w:lineRule="exact"/>
        <w:rPr>
          <w:rStyle w:val="33"/>
          <w:rFonts w:hint="eastAsia" w:ascii="宋体" w:hAnsi="宋体" w:eastAsia="宋体" w:cs="宋体"/>
          <w:bCs/>
          <w:color w:val="auto"/>
          <w:szCs w:val="21"/>
          <w:highlight w:val="none"/>
          <w:u w:val="single"/>
        </w:rPr>
      </w:pPr>
    </w:p>
    <w:p w14:paraId="5FCB075A">
      <w:pPr>
        <w:snapToGrid w:val="0"/>
        <w:spacing w:before="156" w:line="500" w:lineRule="exact"/>
        <w:ind w:left="2084" w:leftChars="855" w:hanging="289"/>
        <w:jc w:val="left"/>
        <w:rPr>
          <w:rStyle w:val="33"/>
          <w:rFonts w:hint="eastAsia" w:ascii="宋体" w:hAnsi="宋体" w:eastAsia="宋体" w:cs="宋体"/>
          <w:b/>
          <w:bCs/>
          <w:color w:val="auto"/>
          <w:sz w:val="30"/>
          <w:szCs w:val="30"/>
          <w:highlight w:val="none"/>
          <w:lang w:eastAsia="zh-CN"/>
        </w:rPr>
      </w:pPr>
      <w:r>
        <w:rPr>
          <w:rStyle w:val="33"/>
          <w:rFonts w:hint="eastAsia" w:ascii="宋体" w:hAnsi="宋体" w:eastAsia="宋体" w:cs="宋体"/>
          <w:b/>
          <w:bCs/>
          <w:color w:val="auto"/>
          <w:sz w:val="30"/>
          <w:szCs w:val="30"/>
          <w:highlight w:val="none"/>
        </w:rPr>
        <w:t>采购单位：</w:t>
      </w:r>
      <w:r>
        <w:rPr>
          <w:rStyle w:val="33"/>
          <w:rFonts w:hint="eastAsia" w:ascii="宋体" w:hAnsi="宋体" w:cs="宋体"/>
          <w:b/>
          <w:bCs/>
          <w:color w:val="auto"/>
          <w:sz w:val="30"/>
          <w:szCs w:val="30"/>
          <w:highlight w:val="none"/>
        </w:rPr>
        <w:t>贵港市司法局</w:t>
      </w:r>
    </w:p>
    <w:p w14:paraId="7159F743">
      <w:pPr>
        <w:snapToGrid w:val="0"/>
        <w:spacing w:before="156" w:line="500" w:lineRule="exact"/>
        <w:ind w:left="2084" w:leftChars="855" w:hanging="289"/>
        <w:jc w:val="left"/>
        <w:rPr>
          <w:rStyle w:val="33"/>
          <w:rFonts w:hint="eastAsia" w:ascii="宋体" w:hAnsi="宋体" w:eastAsia="宋体" w:cs="宋体"/>
          <w:b/>
          <w:bCs/>
          <w:color w:val="auto"/>
          <w:sz w:val="30"/>
          <w:szCs w:val="30"/>
          <w:highlight w:val="none"/>
        </w:rPr>
      </w:pPr>
      <w:r>
        <w:rPr>
          <w:rStyle w:val="33"/>
          <w:rFonts w:hint="eastAsia" w:ascii="宋体" w:hAnsi="宋体" w:eastAsia="宋体" w:cs="宋体"/>
          <w:b/>
          <w:bCs/>
          <w:color w:val="auto"/>
          <w:sz w:val="30"/>
          <w:szCs w:val="30"/>
          <w:highlight w:val="none"/>
        </w:rPr>
        <w:t>采购代理机构：广西宝盛工程咨询有限公司</w:t>
      </w:r>
    </w:p>
    <w:p w14:paraId="1AC61A11">
      <w:pPr>
        <w:jc w:val="center"/>
        <w:rPr>
          <w:rStyle w:val="33"/>
          <w:rFonts w:hint="eastAsia" w:ascii="宋体" w:hAnsi="宋体" w:eastAsia="宋体" w:cs="宋体"/>
          <w:b/>
          <w:bCs/>
          <w:color w:val="auto"/>
          <w:sz w:val="30"/>
          <w:szCs w:val="30"/>
          <w:highlight w:val="none"/>
        </w:rPr>
      </w:pPr>
      <w:r>
        <w:rPr>
          <w:rStyle w:val="33"/>
          <w:rFonts w:hint="eastAsia" w:ascii="宋体" w:hAnsi="宋体" w:eastAsia="宋体" w:cs="宋体"/>
          <w:b/>
          <w:bCs/>
          <w:color w:val="auto"/>
          <w:sz w:val="30"/>
          <w:szCs w:val="30"/>
          <w:highlight w:val="none"/>
        </w:rPr>
        <w:t>202</w:t>
      </w:r>
      <w:r>
        <w:rPr>
          <w:rStyle w:val="33"/>
          <w:rFonts w:hint="eastAsia" w:ascii="宋体" w:hAnsi="宋体" w:cs="宋体"/>
          <w:b/>
          <w:bCs/>
          <w:color w:val="auto"/>
          <w:sz w:val="30"/>
          <w:szCs w:val="30"/>
          <w:highlight w:val="none"/>
          <w:lang w:val="en-US" w:eastAsia="zh-CN"/>
        </w:rPr>
        <w:t>5</w:t>
      </w:r>
      <w:r>
        <w:rPr>
          <w:rStyle w:val="33"/>
          <w:rFonts w:hint="eastAsia" w:ascii="宋体" w:hAnsi="宋体" w:eastAsia="宋体" w:cs="宋体"/>
          <w:b/>
          <w:bCs/>
          <w:color w:val="auto"/>
          <w:sz w:val="30"/>
          <w:szCs w:val="30"/>
          <w:highlight w:val="none"/>
        </w:rPr>
        <w:t>年</w:t>
      </w:r>
      <w:r>
        <w:rPr>
          <w:rStyle w:val="33"/>
          <w:rFonts w:hint="eastAsia" w:ascii="宋体" w:hAnsi="宋体" w:cs="宋体"/>
          <w:b/>
          <w:bCs/>
          <w:color w:val="auto"/>
          <w:sz w:val="30"/>
          <w:szCs w:val="30"/>
          <w:highlight w:val="none"/>
          <w:lang w:val="en-US" w:eastAsia="zh-CN"/>
        </w:rPr>
        <w:t>10</w:t>
      </w:r>
      <w:r>
        <w:rPr>
          <w:rStyle w:val="33"/>
          <w:rFonts w:hint="eastAsia" w:ascii="宋体" w:hAnsi="宋体" w:eastAsia="宋体" w:cs="宋体"/>
          <w:b/>
          <w:bCs/>
          <w:color w:val="auto"/>
          <w:sz w:val="30"/>
          <w:szCs w:val="30"/>
          <w:highlight w:val="none"/>
        </w:rPr>
        <w:t>月</w:t>
      </w:r>
    </w:p>
    <w:p w14:paraId="59F24BBE">
      <w:pPr>
        <w:jc w:val="center"/>
        <w:rPr>
          <w:rStyle w:val="33"/>
          <w:rFonts w:hint="eastAsia" w:ascii="宋体" w:hAnsi="宋体" w:eastAsia="宋体" w:cs="宋体"/>
          <w:b/>
          <w:bCs/>
          <w:color w:val="auto"/>
          <w:sz w:val="30"/>
          <w:szCs w:val="30"/>
          <w:highlight w:val="none"/>
        </w:rPr>
      </w:pPr>
    </w:p>
    <w:p w14:paraId="0DD892BB">
      <w:pPr>
        <w:jc w:val="center"/>
        <w:rPr>
          <w:rStyle w:val="33"/>
          <w:rFonts w:hint="eastAsia" w:ascii="宋体" w:hAnsi="宋体" w:eastAsia="宋体" w:cs="宋体"/>
          <w:b/>
          <w:bCs/>
          <w:color w:val="auto"/>
          <w:sz w:val="30"/>
          <w:szCs w:val="30"/>
          <w:highlight w:val="none"/>
        </w:rPr>
      </w:pPr>
    </w:p>
    <w:p w14:paraId="1B46EF70">
      <w:pPr>
        <w:jc w:val="center"/>
        <w:rPr>
          <w:rStyle w:val="33"/>
          <w:rFonts w:hint="eastAsia" w:ascii="宋体" w:hAnsi="宋体" w:eastAsia="宋体" w:cs="宋体"/>
          <w:color w:val="auto"/>
          <w:sz w:val="30"/>
          <w:szCs w:val="30"/>
          <w:highlight w:val="none"/>
        </w:rPr>
      </w:pPr>
    </w:p>
    <w:p w14:paraId="193FCC37">
      <w:pPr>
        <w:pStyle w:val="28"/>
        <w:jc w:val="center"/>
        <w:rPr>
          <w:rStyle w:val="33"/>
          <w:rFonts w:hint="eastAsia" w:ascii="宋体" w:hAnsi="宋体" w:eastAsia="宋体" w:cs="宋体"/>
          <w:b/>
          <w:bCs/>
          <w:color w:val="auto"/>
          <w:sz w:val="52"/>
          <w:szCs w:val="52"/>
          <w:highlight w:val="none"/>
        </w:rPr>
        <w:sectPr>
          <w:pgSz w:w="11906" w:h="16838"/>
          <w:pgMar w:top="1417" w:right="1417" w:bottom="1417" w:left="1417" w:header="851" w:footer="992" w:gutter="0"/>
          <w:cols w:space="720" w:num="1"/>
          <w:docGrid w:type="lines" w:linePitch="312" w:charSpace="0"/>
        </w:sectPr>
      </w:pPr>
    </w:p>
    <w:p w14:paraId="1E75346C">
      <w:pPr>
        <w:pStyle w:val="28"/>
        <w:jc w:val="center"/>
        <w:rPr>
          <w:rStyle w:val="33"/>
          <w:rFonts w:hint="eastAsia" w:ascii="宋体" w:hAnsi="宋体" w:eastAsia="宋体" w:cs="宋体"/>
          <w:b/>
          <w:bCs/>
          <w:color w:val="auto"/>
          <w:sz w:val="52"/>
          <w:szCs w:val="52"/>
          <w:highlight w:val="none"/>
        </w:rPr>
      </w:pPr>
      <w:r>
        <w:rPr>
          <w:rStyle w:val="33"/>
          <w:rFonts w:hint="eastAsia" w:ascii="宋体" w:hAnsi="宋体" w:eastAsia="宋体" w:cs="宋体"/>
          <w:b/>
          <w:bCs/>
          <w:color w:val="auto"/>
          <w:sz w:val="52"/>
          <w:szCs w:val="52"/>
          <w:highlight w:val="none"/>
        </w:rPr>
        <w:t>目    录</w:t>
      </w:r>
    </w:p>
    <w:sdt>
      <w:sdtPr>
        <w:rPr>
          <w:rFonts w:ascii="宋体" w:hAnsi="宋体" w:eastAsia="宋体" w:cs="Times New Roman"/>
          <w:kern w:val="2"/>
          <w:sz w:val="21"/>
          <w:szCs w:val="22"/>
          <w:lang w:val="en-US" w:eastAsia="zh-CN" w:bidi="ar-SA"/>
        </w:rPr>
        <w:id w:val="147470191"/>
        <w15:color w:val="DBDBDB"/>
        <w:docPartObj>
          <w:docPartGallery w:val="Table of Contents"/>
          <w:docPartUnique/>
        </w:docPartObj>
      </w:sdtPr>
      <w:sdtEndPr>
        <w:rPr>
          <w:rFonts w:hint="default" w:ascii="宋体" w:hAnsi="宋体" w:eastAsia="宋体" w:cs="宋体"/>
          <w:color w:val="auto"/>
          <w:kern w:val="2"/>
          <w:sz w:val="21"/>
          <w:szCs w:val="22"/>
          <w:highlight w:val="none"/>
          <w:lang w:val="en-US" w:eastAsia="zh-CN" w:bidi="ar-SA"/>
        </w:rPr>
      </w:sdtEndPr>
      <w:sdtContent>
        <w:p w14:paraId="71B54BC8">
          <w:pPr>
            <w:spacing w:before="0" w:beforeLines="0" w:after="0" w:afterLines="0" w:line="240" w:lineRule="auto"/>
            <w:ind w:left="0" w:leftChars="0" w:right="0" w:rightChars="0" w:firstLine="0" w:firstLineChars="0"/>
            <w:jc w:val="center"/>
          </w:pPr>
        </w:p>
        <w:p w14:paraId="2216E633">
          <w:pPr>
            <w:pStyle w:val="16"/>
            <w:tabs>
              <w:tab w:val="right" w:leader="dot" w:pos="9072"/>
            </w:tabs>
            <w:rPr>
              <w:sz w:val="32"/>
              <w:szCs w:val="36"/>
            </w:rPr>
          </w:pPr>
          <w:r>
            <w:rPr>
              <w:rFonts w:hint="default" w:ascii="宋体" w:hAnsi="宋体" w:cs="宋体"/>
              <w:color w:val="auto"/>
              <w:sz w:val="44"/>
              <w:szCs w:val="36"/>
              <w:highlight w:val="none"/>
              <w:lang w:val="en-US" w:eastAsia="zh-CN"/>
            </w:rPr>
            <w:fldChar w:fldCharType="begin"/>
          </w:r>
          <w:r>
            <w:rPr>
              <w:rFonts w:hint="default" w:ascii="宋体" w:hAnsi="宋体" w:cs="宋体"/>
              <w:color w:val="auto"/>
              <w:sz w:val="44"/>
              <w:szCs w:val="36"/>
              <w:highlight w:val="none"/>
              <w:lang w:val="en-US" w:eastAsia="zh-CN"/>
            </w:rPr>
            <w:instrText xml:space="preserve">TOC \o "1-9" \h \u </w:instrText>
          </w:r>
          <w:r>
            <w:rPr>
              <w:rFonts w:hint="default" w:ascii="宋体" w:hAnsi="宋体" w:cs="宋体"/>
              <w:color w:val="auto"/>
              <w:sz w:val="44"/>
              <w:szCs w:val="36"/>
              <w:highlight w:val="none"/>
              <w:lang w:val="en-US" w:eastAsia="zh-CN"/>
            </w:rPr>
            <w:fldChar w:fldCharType="separate"/>
          </w: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_Toc25006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48"/>
              <w:highlight w:val="none"/>
            </w:rPr>
            <w:t>第一章    竞争性磋商公告</w:t>
          </w:r>
          <w:r>
            <w:rPr>
              <w:sz w:val="32"/>
              <w:szCs w:val="36"/>
            </w:rPr>
            <w:tab/>
          </w:r>
          <w:r>
            <w:rPr>
              <w:sz w:val="32"/>
              <w:szCs w:val="36"/>
            </w:rPr>
            <w:fldChar w:fldCharType="begin"/>
          </w:r>
          <w:r>
            <w:rPr>
              <w:sz w:val="32"/>
              <w:szCs w:val="36"/>
            </w:rPr>
            <w:instrText xml:space="preserve"> PAGEREF _Toc25006 \h </w:instrText>
          </w:r>
          <w:r>
            <w:rPr>
              <w:sz w:val="32"/>
              <w:szCs w:val="36"/>
            </w:rPr>
            <w:fldChar w:fldCharType="separate"/>
          </w:r>
          <w:r>
            <w:rPr>
              <w:sz w:val="32"/>
              <w:szCs w:val="36"/>
            </w:rPr>
            <w:t>2</w:t>
          </w:r>
          <w:r>
            <w:rPr>
              <w:sz w:val="32"/>
              <w:szCs w:val="36"/>
            </w:rPr>
            <w:fldChar w:fldCharType="end"/>
          </w:r>
          <w:r>
            <w:rPr>
              <w:rFonts w:hint="default" w:ascii="宋体" w:hAnsi="宋体" w:cs="宋体"/>
              <w:color w:val="auto"/>
              <w:sz w:val="32"/>
              <w:szCs w:val="36"/>
              <w:highlight w:val="none"/>
              <w:lang w:val="en-US" w:eastAsia="zh-CN"/>
            </w:rPr>
            <w:fldChar w:fldCharType="end"/>
          </w:r>
        </w:p>
        <w:p w14:paraId="6B7E3C9D">
          <w:pPr>
            <w:pStyle w:val="16"/>
            <w:tabs>
              <w:tab w:val="right" w:leader="dot" w:pos="9072"/>
            </w:tabs>
            <w:rPr>
              <w:sz w:val="32"/>
              <w:szCs w:val="36"/>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_Toc16529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第二章    磋商供应商须知及前附表</w:t>
          </w:r>
          <w:r>
            <w:rPr>
              <w:sz w:val="32"/>
              <w:szCs w:val="36"/>
            </w:rPr>
            <w:tab/>
          </w:r>
          <w:r>
            <w:rPr>
              <w:sz w:val="32"/>
              <w:szCs w:val="36"/>
            </w:rPr>
            <w:fldChar w:fldCharType="begin"/>
          </w:r>
          <w:r>
            <w:rPr>
              <w:sz w:val="32"/>
              <w:szCs w:val="36"/>
            </w:rPr>
            <w:instrText xml:space="preserve"> PAGEREF _Toc16529 \h </w:instrText>
          </w:r>
          <w:r>
            <w:rPr>
              <w:sz w:val="32"/>
              <w:szCs w:val="36"/>
            </w:rPr>
            <w:fldChar w:fldCharType="separate"/>
          </w:r>
          <w:r>
            <w:rPr>
              <w:sz w:val="32"/>
              <w:szCs w:val="36"/>
            </w:rPr>
            <w:t>6</w:t>
          </w:r>
          <w:r>
            <w:rPr>
              <w:sz w:val="32"/>
              <w:szCs w:val="36"/>
            </w:rPr>
            <w:fldChar w:fldCharType="end"/>
          </w:r>
          <w:r>
            <w:rPr>
              <w:rFonts w:hint="default" w:ascii="宋体" w:hAnsi="宋体" w:cs="宋体"/>
              <w:color w:val="auto"/>
              <w:sz w:val="32"/>
              <w:szCs w:val="36"/>
              <w:highlight w:val="none"/>
              <w:lang w:val="en-US" w:eastAsia="zh-CN"/>
            </w:rPr>
            <w:fldChar w:fldCharType="end"/>
          </w:r>
        </w:p>
        <w:p w14:paraId="60BEBAB2">
          <w:pPr>
            <w:pStyle w:val="16"/>
            <w:tabs>
              <w:tab w:val="right" w:leader="dot" w:pos="9072"/>
            </w:tabs>
            <w:rPr>
              <w:sz w:val="32"/>
              <w:szCs w:val="36"/>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_Toc11484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第三章   项目采购服务需求</w:t>
          </w:r>
          <w:r>
            <w:rPr>
              <w:sz w:val="32"/>
              <w:szCs w:val="36"/>
            </w:rPr>
            <w:tab/>
          </w:r>
          <w:r>
            <w:rPr>
              <w:sz w:val="32"/>
              <w:szCs w:val="36"/>
            </w:rPr>
            <w:fldChar w:fldCharType="begin"/>
          </w:r>
          <w:r>
            <w:rPr>
              <w:sz w:val="32"/>
              <w:szCs w:val="36"/>
            </w:rPr>
            <w:instrText xml:space="preserve"> PAGEREF _Toc11484 \h </w:instrText>
          </w:r>
          <w:r>
            <w:rPr>
              <w:sz w:val="32"/>
              <w:szCs w:val="36"/>
            </w:rPr>
            <w:fldChar w:fldCharType="separate"/>
          </w:r>
          <w:r>
            <w:rPr>
              <w:sz w:val="32"/>
              <w:szCs w:val="36"/>
            </w:rPr>
            <w:t>18</w:t>
          </w:r>
          <w:r>
            <w:rPr>
              <w:sz w:val="32"/>
              <w:szCs w:val="36"/>
            </w:rPr>
            <w:fldChar w:fldCharType="end"/>
          </w:r>
          <w:r>
            <w:rPr>
              <w:rFonts w:hint="default" w:ascii="宋体" w:hAnsi="宋体" w:cs="宋体"/>
              <w:color w:val="auto"/>
              <w:sz w:val="32"/>
              <w:szCs w:val="36"/>
              <w:highlight w:val="none"/>
              <w:lang w:val="en-US" w:eastAsia="zh-CN"/>
            </w:rPr>
            <w:fldChar w:fldCharType="end"/>
          </w:r>
        </w:p>
        <w:p w14:paraId="6A201568">
          <w:pPr>
            <w:pStyle w:val="16"/>
            <w:tabs>
              <w:tab w:val="right" w:leader="dot" w:pos="9072"/>
            </w:tabs>
            <w:rPr>
              <w:sz w:val="32"/>
              <w:szCs w:val="36"/>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_Toc8468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第四章   合同协议书（参考格式）</w:t>
          </w:r>
          <w:r>
            <w:rPr>
              <w:sz w:val="32"/>
              <w:szCs w:val="36"/>
            </w:rPr>
            <w:tab/>
          </w:r>
          <w:r>
            <w:rPr>
              <w:sz w:val="32"/>
              <w:szCs w:val="36"/>
            </w:rPr>
            <w:fldChar w:fldCharType="begin"/>
          </w:r>
          <w:r>
            <w:rPr>
              <w:sz w:val="32"/>
              <w:szCs w:val="36"/>
            </w:rPr>
            <w:instrText xml:space="preserve"> PAGEREF _Toc8468 \h </w:instrText>
          </w:r>
          <w:r>
            <w:rPr>
              <w:sz w:val="32"/>
              <w:szCs w:val="36"/>
            </w:rPr>
            <w:fldChar w:fldCharType="separate"/>
          </w:r>
          <w:r>
            <w:rPr>
              <w:sz w:val="32"/>
              <w:szCs w:val="36"/>
            </w:rPr>
            <w:t>22</w:t>
          </w:r>
          <w:r>
            <w:rPr>
              <w:sz w:val="32"/>
              <w:szCs w:val="36"/>
            </w:rPr>
            <w:fldChar w:fldCharType="end"/>
          </w:r>
          <w:r>
            <w:rPr>
              <w:rFonts w:hint="default" w:ascii="宋体" w:hAnsi="宋体" w:cs="宋体"/>
              <w:color w:val="auto"/>
              <w:sz w:val="32"/>
              <w:szCs w:val="36"/>
              <w:highlight w:val="none"/>
              <w:lang w:val="en-US" w:eastAsia="zh-CN"/>
            </w:rPr>
            <w:fldChar w:fldCharType="end"/>
          </w:r>
        </w:p>
        <w:p w14:paraId="51EDBF8A">
          <w:pPr>
            <w:pStyle w:val="16"/>
            <w:tabs>
              <w:tab w:val="right" w:leader="dot" w:pos="9072"/>
            </w:tabs>
            <w:rPr>
              <w:sz w:val="32"/>
              <w:szCs w:val="36"/>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_Toc6265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第五章  评标办法及评审标准</w:t>
          </w:r>
          <w:r>
            <w:rPr>
              <w:sz w:val="32"/>
              <w:szCs w:val="36"/>
            </w:rPr>
            <w:tab/>
          </w:r>
          <w:r>
            <w:rPr>
              <w:sz w:val="32"/>
              <w:szCs w:val="36"/>
            </w:rPr>
            <w:fldChar w:fldCharType="begin"/>
          </w:r>
          <w:r>
            <w:rPr>
              <w:sz w:val="32"/>
              <w:szCs w:val="36"/>
            </w:rPr>
            <w:instrText xml:space="preserve"> PAGEREF _Toc6265 \h </w:instrText>
          </w:r>
          <w:r>
            <w:rPr>
              <w:sz w:val="32"/>
              <w:szCs w:val="36"/>
            </w:rPr>
            <w:fldChar w:fldCharType="separate"/>
          </w:r>
          <w:r>
            <w:rPr>
              <w:sz w:val="32"/>
              <w:szCs w:val="36"/>
            </w:rPr>
            <w:t>27</w:t>
          </w:r>
          <w:r>
            <w:rPr>
              <w:sz w:val="32"/>
              <w:szCs w:val="36"/>
            </w:rPr>
            <w:fldChar w:fldCharType="end"/>
          </w:r>
          <w:r>
            <w:rPr>
              <w:rFonts w:hint="default" w:ascii="宋体" w:hAnsi="宋体" w:cs="宋体"/>
              <w:color w:val="auto"/>
              <w:sz w:val="32"/>
              <w:szCs w:val="36"/>
              <w:highlight w:val="none"/>
              <w:lang w:val="en-US" w:eastAsia="zh-CN"/>
            </w:rPr>
            <w:fldChar w:fldCharType="end"/>
          </w:r>
        </w:p>
        <w:p w14:paraId="1D5544E1">
          <w:pPr>
            <w:pStyle w:val="16"/>
            <w:tabs>
              <w:tab w:val="right" w:leader="dot" w:pos="9072"/>
            </w:tabs>
            <w:rPr>
              <w:sz w:val="32"/>
              <w:szCs w:val="36"/>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_Toc31481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第六章  竞争性磋商响应文件（格式）</w:t>
          </w:r>
          <w:r>
            <w:rPr>
              <w:sz w:val="32"/>
              <w:szCs w:val="36"/>
            </w:rPr>
            <w:tab/>
          </w:r>
          <w:r>
            <w:rPr>
              <w:sz w:val="32"/>
              <w:szCs w:val="36"/>
            </w:rPr>
            <w:fldChar w:fldCharType="begin"/>
          </w:r>
          <w:r>
            <w:rPr>
              <w:sz w:val="32"/>
              <w:szCs w:val="36"/>
            </w:rPr>
            <w:instrText xml:space="preserve"> PAGEREF _Toc31481 \h </w:instrText>
          </w:r>
          <w:r>
            <w:rPr>
              <w:sz w:val="32"/>
              <w:szCs w:val="36"/>
            </w:rPr>
            <w:fldChar w:fldCharType="separate"/>
          </w:r>
          <w:r>
            <w:rPr>
              <w:sz w:val="32"/>
              <w:szCs w:val="36"/>
            </w:rPr>
            <w:t>31</w:t>
          </w:r>
          <w:r>
            <w:rPr>
              <w:sz w:val="32"/>
              <w:szCs w:val="36"/>
            </w:rPr>
            <w:fldChar w:fldCharType="end"/>
          </w:r>
          <w:r>
            <w:rPr>
              <w:rFonts w:hint="default" w:ascii="宋体" w:hAnsi="宋体" w:cs="宋体"/>
              <w:color w:val="auto"/>
              <w:sz w:val="32"/>
              <w:szCs w:val="36"/>
              <w:highlight w:val="none"/>
              <w:lang w:val="en-US" w:eastAsia="zh-CN"/>
            </w:rPr>
            <w:fldChar w:fldCharType="end"/>
          </w:r>
        </w:p>
        <w:p w14:paraId="0440EC24">
          <w:pPr>
            <w:pStyle w:val="16"/>
            <w:tabs>
              <w:tab w:val="right" w:leader="dot" w:pos="9072"/>
            </w:tabs>
            <w:rPr>
              <w:sz w:val="32"/>
              <w:szCs w:val="36"/>
            </w:rPr>
          </w:pPr>
        </w:p>
        <w:p w14:paraId="56B72BD5">
          <w:pPr>
            <w:pStyle w:val="96"/>
            <w:tabs>
              <w:tab w:val="right" w:leader="dot" w:pos="9638"/>
            </w:tabs>
            <w:jc w:val="both"/>
            <w:rPr>
              <w:rFonts w:hint="default" w:ascii="宋体" w:hAnsi="宋体" w:eastAsia="宋体" w:cs="宋体"/>
              <w:color w:val="auto"/>
              <w:highlight w:val="none"/>
              <w:lang w:val="en-US" w:eastAsia="zh-CN" w:bidi="ar-SA"/>
            </w:rPr>
          </w:pPr>
          <w:r>
            <w:rPr>
              <w:rFonts w:hint="default" w:ascii="宋体" w:hAnsi="宋体" w:cs="宋体"/>
              <w:color w:val="auto"/>
              <w:sz w:val="28"/>
              <w:szCs w:val="28"/>
              <w:highlight w:val="none"/>
              <w:lang w:val="en-US" w:eastAsia="zh-CN"/>
            </w:rPr>
            <w:fldChar w:fldCharType="end"/>
          </w:r>
        </w:p>
      </w:sdtContent>
    </w:sdt>
    <w:p w14:paraId="4335A430">
      <w:pPr>
        <w:pStyle w:val="96"/>
        <w:tabs>
          <w:tab w:val="right" w:leader="dot" w:pos="9638"/>
        </w:tabs>
        <w:jc w:val="both"/>
        <w:rPr>
          <w:rFonts w:hint="default" w:ascii="宋体" w:hAnsi="宋体" w:eastAsia="宋体" w:cs="宋体"/>
          <w:color w:val="auto"/>
          <w:highlight w:val="none"/>
          <w:lang w:val="en-US" w:eastAsia="zh-CN" w:bidi="ar-SA"/>
        </w:rPr>
      </w:pPr>
    </w:p>
    <w:p w14:paraId="1D77A34A">
      <w:pPr>
        <w:rPr>
          <w:rStyle w:val="33"/>
          <w:rFonts w:hint="eastAsia" w:ascii="宋体" w:hAnsi="宋体" w:eastAsia="宋体" w:cs="宋体"/>
          <w:color w:val="auto"/>
          <w:kern w:val="0"/>
          <w:sz w:val="24"/>
          <w:szCs w:val="24"/>
          <w:highlight w:val="none"/>
        </w:rPr>
      </w:pPr>
    </w:p>
    <w:p w14:paraId="3030CD72">
      <w:pPr>
        <w:rPr>
          <w:rStyle w:val="33"/>
          <w:rFonts w:hint="eastAsia" w:ascii="宋体" w:hAnsi="宋体" w:eastAsia="宋体" w:cs="宋体"/>
          <w:color w:val="auto"/>
          <w:kern w:val="0"/>
          <w:sz w:val="24"/>
          <w:szCs w:val="24"/>
          <w:highlight w:val="none"/>
        </w:rPr>
      </w:pPr>
    </w:p>
    <w:p w14:paraId="32164606">
      <w:pPr>
        <w:rPr>
          <w:rStyle w:val="33"/>
          <w:rFonts w:hint="eastAsia" w:ascii="宋体" w:hAnsi="宋体" w:eastAsia="宋体" w:cs="宋体"/>
          <w:color w:val="auto"/>
          <w:highlight w:val="none"/>
          <w:lang w:eastAsia="zh-CN"/>
        </w:rPr>
      </w:pPr>
    </w:p>
    <w:p w14:paraId="117BD497">
      <w:pPr>
        <w:pStyle w:val="8"/>
        <w:rPr>
          <w:rFonts w:hint="eastAsia"/>
          <w:color w:val="auto"/>
          <w:highlight w:val="none"/>
          <w:lang w:eastAsia="zh-CN"/>
        </w:rPr>
      </w:pPr>
    </w:p>
    <w:p w14:paraId="7484D1FC">
      <w:pPr>
        <w:rPr>
          <w:rStyle w:val="33"/>
          <w:rFonts w:hint="eastAsia" w:ascii="宋体" w:hAnsi="宋体" w:eastAsia="宋体" w:cs="宋体"/>
          <w:color w:val="auto"/>
          <w:highlight w:val="none"/>
        </w:rPr>
      </w:pPr>
    </w:p>
    <w:p w14:paraId="0F3A76FB">
      <w:pPr>
        <w:rPr>
          <w:rStyle w:val="33"/>
          <w:rFonts w:hint="eastAsia" w:ascii="宋体" w:hAnsi="宋体" w:eastAsia="宋体" w:cs="宋体"/>
          <w:color w:val="auto"/>
          <w:highlight w:val="none"/>
        </w:rPr>
      </w:pPr>
    </w:p>
    <w:p w14:paraId="53ABBBE6">
      <w:pPr>
        <w:rPr>
          <w:rStyle w:val="33"/>
          <w:rFonts w:hint="eastAsia" w:ascii="宋体" w:hAnsi="宋体" w:eastAsia="宋体" w:cs="宋体"/>
          <w:color w:val="auto"/>
          <w:highlight w:val="none"/>
        </w:rPr>
      </w:pPr>
    </w:p>
    <w:p w14:paraId="039B58CB">
      <w:pPr>
        <w:rPr>
          <w:rStyle w:val="33"/>
          <w:rFonts w:hint="eastAsia" w:ascii="宋体" w:hAnsi="宋体" w:eastAsia="宋体" w:cs="宋体"/>
          <w:color w:val="auto"/>
          <w:highlight w:val="none"/>
        </w:rPr>
      </w:pPr>
    </w:p>
    <w:p w14:paraId="65BA72C9">
      <w:pPr>
        <w:rPr>
          <w:rStyle w:val="33"/>
          <w:rFonts w:hint="eastAsia" w:ascii="宋体" w:hAnsi="宋体" w:eastAsia="宋体" w:cs="宋体"/>
          <w:color w:val="auto"/>
          <w:highlight w:val="none"/>
        </w:rPr>
      </w:pPr>
    </w:p>
    <w:p w14:paraId="56B98C42">
      <w:pPr>
        <w:rPr>
          <w:rStyle w:val="33"/>
          <w:rFonts w:hint="eastAsia" w:ascii="宋体" w:hAnsi="宋体" w:eastAsia="宋体" w:cs="宋体"/>
          <w:color w:val="auto"/>
          <w:highlight w:val="none"/>
        </w:rPr>
      </w:pPr>
    </w:p>
    <w:p w14:paraId="781B5415">
      <w:pPr>
        <w:rPr>
          <w:rStyle w:val="33"/>
          <w:rFonts w:hint="eastAsia" w:ascii="宋体" w:hAnsi="宋体" w:eastAsia="宋体" w:cs="宋体"/>
          <w:color w:val="auto"/>
          <w:highlight w:val="none"/>
        </w:rPr>
      </w:pPr>
    </w:p>
    <w:p w14:paraId="28BB6062">
      <w:pPr>
        <w:rPr>
          <w:rStyle w:val="33"/>
          <w:rFonts w:hint="eastAsia" w:ascii="宋体" w:hAnsi="宋体" w:eastAsia="宋体" w:cs="宋体"/>
          <w:color w:val="auto"/>
          <w:highlight w:val="none"/>
        </w:rPr>
      </w:pPr>
      <w:bookmarkStart w:id="54" w:name="_GoBack"/>
      <w:bookmarkEnd w:id="54"/>
    </w:p>
    <w:p w14:paraId="5106A0A6">
      <w:pPr>
        <w:rPr>
          <w:rStyle w:val="33"/>
          <w:rFonts w:hint="eastAsia" w:ascii="宋体" w:hAnsi="宋体" w:eastAsia="宋体" w:cs="宋体"/>
          <w:color w:val="auto"/>
          <w:highlight w:val="none"/>
        </w:rPr>
      </w:pPr>
    </w:p>
    <w:p w14:paraId="4FC0B76C">
      <w:pPr>
        <w:rPr>
          <w:rStyle w:val="33"/>
          <w:rFonts w:hint="eastAsia" w:ascii="宋体" w:hAnsi="宋体" w:eastAsia="宋体" w:cs="宋体"/>
          <w:color w:val="auto"/>
          <w:highlight w:val="none"/>
        </w:rPr>
      </w:pPr>
    </w:p>
    <w:p w14:paraId="6C3CAC0F">
      <w:pPr>
        <w:rPr>
          <w:rStyle w:val="33"/>
          <w:rFonts w:hint="eastAsia" w:ascii="宋体" w:hAnsi="宋体" w:eastAsia="宋体" w:cs="宋体"/>
          <w:color w:val="auto"/>
          <w:highlight w:val="none"/>
        </w:rPr>
      </w:pPr>
    </w:p>
    <w:p w14:paraId="7FB3456D">
      <w:pPr>
        <w:rPr>
          <w:rStyle w:val="33"/>
          <w:rFonts w:hint="eastAsia" w:ascii="宋体" w:hAnsi="宋体" w:eastAsia="宋体" w:cs="宋体"/>
          <w:color w:val="auto"/>
          <w:highlight w:val="none"/>
        </w:rPr>
      </w:pPr>
    </w:p>
    <w:p w14:paraId="6B9A0333">
      <w:pPr>
        <w:rPr>
          <w:rStyle w:val="33"/>
          <w:rFonts w:hint="eastAsia" w:ascii="宋体" w:hAnsi="宋体" w:eastAsia="宋体" w:cs="宋体"/>
          <w:color w:val="auto"/>
          <w:highlight w:val="none"/>
        </w:rPr>
      </w:pPr>
    </w:p>
    <w:p w14:paraId="1E8B6232">
      <w:pPr>
        <w:rPr>
          <w:rStyle w:val="33"/>
          <w:rFonts w:hint="eastAsia" w:ascii="宋体" w:hAnsi="宋体" w:eastAsia="宋体" w:cs="宋体"/>
          <w:color w:val="auto"/>
          <w:highlight w:val="none"/>
        </w:rPr>
      </w:pPr>
    </w:p>
    <w:p w14:paraId="19F5F6F3">
      <w:pPr>
        <w:rPr>
          <w:rStyle w:val="33"/>
          <w:rFonts w:hint="eastAsia" w:ascii="宋体" w:hAnsi="宋体" w:eastAsia="宋体" w:cs="宋体"/>
          <w:color w:val="auto"/>
          <w:highlight w:val="none"/>
        </w:rPr>
      </w:pPr>
    </w:p>
    <w:p w14:paraId="64D1796A">
      <w:pPr>
        <w:rPr>
          <w:rStyle w:val="33"/>
          <w:rFonts w:hint="eastAsia" w:ascii="宋体" w:hAnsi="宋体" w:eastAsia="宋体" w:cs="宋体"/>
          <w:color w:val="auto"/>
          <w:highlight w:val="none"/>
        </w:rPr>
      </w:pPr>
    </w:p>
    <w:p w14:paraId="3E1800D0">
      <w:pPr>
        <w:rPr>
          <w:rStyle w:val="33"/>
          <w:rFonts w:hint="eastAsia" w:ascii="宋体" w:hAnsi="宋体" w:eastAsia="宋体" w:cs="宋体"/>
          <w:color w:val="auto"/>
          <w:highlight w:val="none"/>
        </w:rPr>
      </w:pPr>
    </w:p>
    <w:p w14:paraId="3F596785">
      <w:pPr>
        <w:rPr>
          <w:rStyle w:val="33"/>
          <w:rFonts w:hint="eastAsia" w:ascii="宋体" w:hAnsi="宋体" w:eastAsia="宋体" w:cs="宋体"/>
          <w:color w:val="auto"/>
          <w:highlight w:val="none"/>
        </w:rPr>
      </w:pPr>
    </w:p>
    <w:p w14:paraId="41D80DE6">
      <w:pPr>
        <w:rPr>
          <w:rStyle w:val="33"/>
          <w:rFonts w:hint="eastAsia" w:ascii="宋体" w:hAnsi="宋体" w:eastAsia="宋体" w:cs="宋体"/>
          <w:color w:val="auto"/>
          <w:highlight w:val="none"/>
        </w:rPr>
      </w:pPr>
    </w:p>
    <w:p w14:paraId="4074664B">
      <w:pPr>
        <w:rPr>
          <w:rStyle w:val="33"/>
          <w:rFonts w:hint="eastAsia" w:ascii="宋体" w:hAnsi="宋体" w:eastAsia="宋体" w:cs="宋体"/>
          <w:color w:val="auto"/>
          <w:highlight w:val="none"/>
        </w:rPr>
      </w:pPr>
    </w:p>
    <w:p w14:paraId="44039628">
      <w:pPr>
        <w:pStyle w:val="20"/>
        <w:outlineLvl w:val="0"/>
        <w:rPr>
          <w:rStyle w:val="33"/>
          <w:rFonts w:hint="eastAsia" w:ascii="宋体" w:hAnsi="宋体" w:eastAsia="宋体" w:cs="宋体"/>
          <w:b/>
          <w:bCs/>
          <w:color w:val="auto"/>
          <w:sz w:val="28"/>
          <w:szCs w:val="32"/>
          <w:highlight w:val="none"/>
        </w:rPr>
      </w:pPr>
      <w:bookmarkStart w:id="0" w:name="_Toc25006"/>
      <w:r>
        <w:rPr>
          <w:rStyle w:val="33"/>
          <w:rFonts w:hint="eastAsia" w:ascii="宋体" w:hAnsi="宋体" w:eastAsia="宋体" w:cs="宋体"/>
          <w:b/>
          <w:bCs/>
          <w:color w:val="auto"/>
          <w:sz w:val="28"/>
          <w:szCs w:val="32"/>
          <w:highlight w:val="none"/>
        </w:rPr>
        <w:t>第一章    竞争性磋商公告</w:t>
      </w:r>
      <w:bookmarkEnd w:id="0"/>
    </w:p>
    <w:p w14:paraId="0F739419">
      <w:pPr>
        <w:spacing w:after="240"/>
        <w:jc w:val="center"/>
        <w:rPr>
          <w:rStyle w:val="33"/>
          <w:rFonts w:hint="eastAsia" w:ascii="宋体" w:hAnsi="宋体" w:eastAsia="宋体" w:cs="宋体"/>
          <w:b/>
          <w:color w:val="auto"/>
          <w:sz w:val="28"/>
          <w:szCs w:val="28"/>
          <w:highlight w:val="none"/>
        </w:rPr>
      </w:pPr>
      <w:r>
        <w:rPr>
          <w:rStyle w:val="33"/>
          <w:rFonts w:hint="eastAsia" w:ascii="宋体" w:hAnsi="宋体" w:cs="宋体"/>
          <w:b/>
          <w:bCs/>
          <w:color w:val="auto"/>
          <w:sz w:val="28"/>
          <w:szCs w:val="28"/>
          <w:highlight w:val="none"/>
          <w:lang w:eastAsia="zh-CN"/>
        </w:rPr>
        <w:t>广西宝盛工程咨询有限公司</w:t>
      </w:r>
      <w:r>
        <w:rPr>
          <w:rStyle w:val="33"/>
          <w:rFonts w:hint="eastAsia" w:ascii="宋体" w:hAnsi="宋体" w:eastAsia="宋体" w:cs="宋体"/>
          <w:b/>
          <w:bCs/>
          <w:color w:val="auto"/>
          <w:sz w:val="28"/>
          <w:szCs w:val="28"/>
          <w:highlight w:val="none"/>
        </w:rPr>
        <w:t>关于</w:t>
      </w:r>
      <w:r>
        <w:rPr>
          <w:rStyle w:val="33"/>
          <w:rFonts w:hint="eastAsia" w:ascii="宋体" w:hAnsi="宋体" w:cs="宋体"/>
          <w:b/>
          <w:bCs/>
          <w:color w:val="auto"/>
          <w:sz w:val="28"/>
          <w:szCs w:val="28"/>
          <w:highlight w:val="none"/>
          <w:lang w:eastAsia="zh-CN"/>
        </w:rPr>
        <w:t>物业管理服务</w:t>
      </w:r>
      <w:r>
        <w:rPr>
          <w:rStyle w:val="33"/>
          <w:rFonts w:hint="eastAsia" w:ascii="宋体" w:hAnsi="宋体" w:eastAsia="宋体" w:cs="宋体"/>
          <w:b/>
          <w:bCs/>
          <w:color w:val="auto"/>
          <w:sz w:val="28"/>
          <w:szCs w:val="28"/>
          <w:highlight w:val="none"/>
        </w:rPr>
        <w:t>（项目编号：</w:t>
      </w:r>
      <w:r>
        <w:rPr>
          <w:rStyle w:val="33"/>
          <w:rFonts w:hint="eastAsia" w:ascii="宋体" w:hAnsi="宋体" w:cs="宋体"/>
          <w:b/>
          <w:bCs/>
          <w:color w:val="auto"/>
          <w:sz w:val="28"/>
          <w:szCs w:val="28"/>
          <w:highlight w:val="none"/>
          <w:lang w:eastAsia="zh-CN"/>
        </w:rPr>
        <w:t>GGZC2025-C3-990259-BSGC</w:t>
      </w:r>
      <w:r>
        <w:rPr>
          <w:rStyle w:val="33"/>
          <w:rFonts w:hint="eastAsia" w:ascii="宋体" w:hAnsi="宋体" w:eastAsia="宋体" w:cs="宋体"/>
          <w:b/>
          <w:bCs/>
          <w:color w:val="auto"/>
          <w:sz w:val="28"/>
          <w:szCs w:val="28"/>
          <w:highlight w:val="none"/>
        </w:rPr>
        <w:t>）</w:t>
      </w:r>
      <w:r>
        <w:rPr>
          <w:rStyle w:val="33"/>
          <w:rFonts w:hint="eastAsia" w:ascii="宋体" w:hAnsi="宋体" w:eastAsia="宋体" w:cs="宋体"/>
          <w:b/>
          <w:color w:val="auto"/>
          <w:sz w:val="28"/>
          <w:szCs w:val="28"/>
          <w:highlight w:val="none"/>
        </w:rPr>
        <w:t>竞争性磋商公告</w:t>
      </w:r>
    </w:p>
    <w:tbl>
      <w:tblPr>
        <w:tblStyle w:val="22"/>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21AD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single" w:color="000000" w:sz="4" w:space="0"/>
              <w:left w:val="single" w:color="000000" w:sz="4" w:space="0"/>
              <w:bottom w:val="single" w:color="000000" w:sz="4" w:space="0"/>
              <w:right w:val="single" w:color="000000" w:sz="4" w:space="0"/>
            </w:tcBorders>
          </w:tcPr>
          <w:p w14:paraId="0F9876AD">
            <w:pPr>
              <w:keepNext w:val="0"/>
              <w:keepLines w:val="0"/>
              <w:widowControl/>
              <w:suppressLineNumbers w:val="0"/>
              <w:spacing w:before="0" w:beforeAutospacing="0" w:after="0" w:afterAutospacing="0" w:line="360" w:lineRule="auto"/>
              <w:ind w:left="0" w:right="0"/>
              <w:rPr>
                <w:rStyle w:val="33"/>
                <w:rFonts w:hint="eastAsia" w:ascii="宋体" w:hAnsi="宋体" w:eastAsia="宋体" w:cs="宋体"/>
                <w:b/>
                <w:color w:val="auto"/>
                <w:spacing w:val="-2"/>
                <w:szCs w:val="21"/>
                <w:highlight w:val="none"/>
              </w:rPr>
            </w:pPr>
            <w:r>
              <w:rPr>
                <w:rStyle w:val="33"/>
                <w:rFonts w:hint="eastAsia" w:ascii="宋体" w:hAnsi="宋体" w:eastAsia="宋体" w:cs="宋体"/>
                <w:b/>
                <w:color w:val="auto"/>
                <w:spacing w:val="-2"/>
                <w:szCs w:val="21"/>
                <w:highlight w:val="none"/>
              </w:rPr>
              <w:t>项目概况</w:t>
            </w:r>
          </w:p>
          <w:p w14:paraId="3858D801">
            <w:pPr>
              <w:keepNext w:val="0"/>
              <w:keepLines w:val="0"/>
              <w:widowControl/>
              <w:suppressLineNumbers w:val="0"/>
              <w:spacing w:before="0" w:beforeAutospacing="0" w:after="0" w:afterAutospacing="0" w:line="360" w:lineRule="auto"/>
              <w:ind w:left="0" w:right="0" w:firstLine="412" w:firstLineChars="200"/>
              <w:jc w:val="left"/>
              <w:rPr>
                <w:rStyle w:val="33"/>
                <w:rFonts w:hint="eastAsia" w:ascii="宋体" w:hAnsi="宋体" w:eastAsia="宋体" w:cs="宋体"/>
                <w:color w:val="auto"/>
                <w:highlight w:val="none"/>
              </w:rPr>
            </w:pPr>
            <w:r>
              <w:rPr>
                <w:rStyle w:val="33"/>
                <w:rFonts w:hint="eastAsia" w:ascii="宋体" w:hAnsi="宋体" w:cs="宋体"/>
                <w:color w:val="auto"/>
                <w:spacing w:val="-2"/>
                <w:szCs w:val="21"/>
                <w:highlight w:val="none"/>
                <w:lang w:eastAsia="zh-CN"/>
              </w:rPr>
              <w:t>物业管理服务</w:t>
            </w:r>
            <w:r>
              <w:rPr>
                <w:rStyle w:val="33"/>
                <w:rFonts w:hint="eastAsia" w:ascii="宋体" w:hAnsi="宋体" w:eastAsia="宋体" w:cs="宋体"/>
                <w:color w:val="auto"/>
                <w:spacing w:val="-2"/>
                <w:szCs w:val="21"/>
                <w:highlight w:val="none"/>
              </w:rPr>
              <w:t>项目的潜在供应商应在</w:t>
            </w:r>
            <w:r>
              <w:rPr>
                <w:rFonts w:hint="default"/>
                <w:color w:val="auto"/>
                <w:spacing w:val="6"/>
                <w:highlight w:val="none"/>
                <w:u w:val="single" w:color="auto"/>
              </w:rPr>
              <w:t>广西政府采购云</w:t>
            </w:r>
            <w:r>
              <w:rPr>
                <w:rFonts w:hint="default"/>
                <w:color w:val="auto"/>
                <w:spacing w:val="13"/>
                <w:highlight w:val="none"/>
                <w:u w:val="single" w:color="auto"/>
              </w:rPr>
              <w:t>平台（</w:t>
            </w:r>
            <w:r>
              <w:rPr>
                <w:rFonts w:hint="default"/>
                <w:color w:val="auto"/>
                <w:highlight w:val="none"/>
              </w:rPr>
              <w:fldChar w:fldCharType="begin"/>
            </w:r>
            <w:r>
              <w:rPr>
                <w:rFonts w:hint="default"/>
                <w:color w:val="auto"/>
                <w:highlight w:val="none"/>
              </w:rPr>
              <w:instrText xml:space="preserve"> HYPERLINK "https://www.gcy.zfcg.gxzf.gov.cn/" </w:instrText>
            </w:r>
            <w:r>
              <w:rPr>
                <w:rFonts w:hint="default"/>
                <w:color w:val="auto"/>
                <w:highlight w:val="none"/>
              </w:rPr>
              <w:fldChar w:fldCharType="separate"/>
            </w:r>
            <w:r>
              <w:rPr>
                <w:rFonts w:hint="default"/>
                <w:color w:val="auto"/>
                <w:highlight w:val="none"/>
                <w:u w:val="single" w:color="auto"/>
              </w:rPr>
              <w:t>https</w:t>
            </w:r>
            <w:r>
              <w:rPr>
                <w:rFonts w:hint="default"/>
                <w:color w:val="auto"/>
                <w:spacing w:val="13"/>
                <w:highlight w:val="none"/>
                <w:u w:val="single" w:color="auto"/>
              </w:rPr>
              <w:t>://</w:t>
            </w:r>
            <w:r>
              <w:rPr>
                <w:rFonts w:hint="default"/>
                <w:color w:val="auto"/>
                <w:highlight w:val="none"/>
                <w:u w:val="single" w:color="auto"/>
              </w:rPr>
              <w:t>www</w:t>
            </w:r>
            <w:r>
              <w:rPr>
                <w:rFonts w:hint="default"/>
                <w:color w:val="auto"/>
                <w:spacing w:val="13"/>
                <w:highlight w:val="none"/>
                <w:u w:val="single" w:color="auto"/>
              </w:rPr>
              <w:t>.</w:t>
            </w:r>
            <w:r>
              <w:rPr>
                <w:rFonts w:hint="default"/>
                <w:color w:val="auto"/>
                <w:highlight w:val="none"/>
                <w:u w:val="single" w:color="auto"/>
              </w:rPr>
              <w:t>gcy</w:t>
            </w:r>
            <w:r>
              <w:rPr>
                <w:rFonts w:hint="default"/>
                <w:color w:val="auto"/>
                <w:spacing w:val="13"/>
                <w:highlight w:val="none"/>
                <w:u w:val="single" w:color="auto"/>
              </w:rPr>
              <w:t>.</w:t>
            </w:r>
            <w:r>
              <w:rPr>
                <w:rFonts w:hint="default"/>
                <w:color w:val="auto"/>
                <w:highlight w:val="none"/>
                <w:u w:val="single" w:color="auto"/>
              </w:rPr>
              <w:t>zfcg</w:t>
            </w:r>
            <w:r>
              <w:rPr>
                <w:rFonts w:hint="default"/>
                <w:color w:val="auto"/>
                <w:spacing w:val="13"/>
                <w:highlight w:val="none"/>
                <w:u w:val="single" w:color="auto"/>
              </w:rPr>
              <w:t>.</w:t>
            </w:r>
            <w:r>
              <w:rPr>
                <w:rFonts w:hint="default"/>
                <w:color w:val="auto"/>
                <w:highlight w:val="none"/>
                <w:u w:val="single" w:color="auto"/>
              </w:rPr>
              <w:t>gxzf</w:t>
            </w:r>
            <w:r>
              <w:rPr>
                <w:rFonts w:hint="default"/>
                <w:color w:val="auto"/>
                <w:spacing w:val="13"/>
                <w:highlight w:val="none"/>
                <w:u w:val="single" w:color="auto"/>
              </w:rPr>
              <w:t>.</w:t>
            </w:r>
            <w:r>
              <w:rPr>
                <w:rFonts w:hint="default"/>
                <w:color w:val="auto"/>
                <w:highlight w:val="none"/>
                <w:u w:val="single" w:color="auto"/>
              </w:rPr>
              <w:t>gov</w:t>
            </w:r>
            <w:r>
              <w:rPr>
                <w:rFonts w:hint="default"/>
                <w:color w:val="auto"/>
                <w:spacing w:val="13"/>
                <w:highlight w:val="none"/>
                <w:u w:val="single" w:color="auto"/>
              </w:rPr>
              <w:t>.</w:t>
            </w:r>
            <w:r>
              <w:rPr>
                <w:rFonts w:hint="default"/>
                <w:color w:val="auto"/>
                <w:highlight w:val="none"/>
                <w:u w:val="single" w:color="auto"/>
              </w:rPr>
              <w:t>cn</w:t>
            </w:r>
            <w:r>
              <w:rPr>
                <w:rFonts w:hint="default"/>
                <w:color w:val="auto"/>
                <w:spacing w:val="13"/>
                <w:highlight w:val="none"/>
                <w:u w:val="single" w:color="auto"/>
              </w:rPr>
              <w:t>/</w:t>
            </w:r>
            <w:r>
              <w:rPr>
                <w:rFonts w:hint="default"/>
                <w:color w:val="auto"/>
                <w:spacing w:val="13"/>
                <w:highlight w:val="none"/>
                <w:u w:val="single" w:color="auto"/>
              </w:rPr>
              <w:fldChar w:fldCharType="end"/>
            </w:r>
            <w:r>
              <w:rPr>
                <w:rFonts w:hint="default"/>
                <w:color w:val="auto"/>
                <w:spacing w:val="13"/>
                <w:highlight w:val="none"/>
                <w:u w:val="single" w:color="auto"/>
              </w:rPr>
              <w:t>）</w:t>
            </w:r>
            <w:r>
              <w:rPr>
                <w:rFonts w:hint="default"/>
                <w:color w:val="auto"/>
                <w:spacing w:val="-76"/>
                <w:highlight w:val="none"/>
                <w:u w:val="single" w:color="auto"/>
              </w:rPr>
              <w:t xml:space="preserve"> </w:t>
            </w:r>
            <w:r>
              <w:rPr>
                <w:rFonts w:hint="default"/>
                <w:color w:val="auto"/>
                <w:spacing w:val="13"/>
                <w:highlight w:val="none"/>
                <w:u w:val="single" w:color="auto"/>
              </w:rPr>
              <w:t>“供应商注册入口</w:t>
            </w:r>
            <w:r>
              <w:rPr>
                <w:rFonts w:hint="default"/>
                <w:color w:val="auto"/>
                <w:spacing w:val="-70"/>
                <w:highlight w:val="none"/>
                <w:u w:val="single" w:color="auto"/>
              </w:rPr>
              <w:t xml:space="preserve"> </w:t>
            </w:r>
            <w:r>
              <w:rPr>
                <w:rFonts w:hint="default"/>
                <w:color w:val="auto"/>
                <w:spacing w:val="13"/>
                <w:highlight w:val="none"/>
                <w:u w:val="single" w:color="auto"/>
              </w:rPr>
              <w:t>”完成账</w:t>
            </w:r>
            <w:r>
              <w:rPr>
                <w:rFonts w:hint="default"/>
                <w:color w:val="auto"/>
                <w:spacing w:val="12"/>
                <w:highlight w:val="none"/>
                <w:u w:val="single" w:color="auto"/>
              </w:rPr>
              <w:t>号注册后，登录广西政府采购</w:t>
            </w:r>
            <w:r>
              <w:rPr>
                <w:rFonts w:hint="default"/>
                <w:color w:val="auto"/>
                <w:spacing w:val="4"/>
                <w:highlight w:val="none"/>
                <w:u w:val="single" w:color="auto"/>
              </w:rPr>
              <w:t>云平台“项目采购—获取采购文件</w:t>
            </w:r>
            <w:r>
              <w:rPr>
                <w:rFonts w:hint="default"/>
                <w:color w:val="auto"/>
                <w:spacing w:val="-70"/>
                <w:highlight w:val="none"/>
                <w:u w:val="single" w:color="auto"/>
              </w:rPr>
              <w:t xml:space="preserve"> </w:t>
            </w:r>
            <w:r>
              <w:rPr>
                <w:rFonts w:hint="default"/>
                <w:color w:val="auto"/>
                <w:spacing w:val="4"/>
                <w:highlight w:val="none"/>
                <w:u w:val="single" w:color="auto"/>
              </w:rPr>
              <w:t>”模块自行下载获取采购文件</w:t>
            </w:r>
            <w:r>
              <w:rPr>
                <w:rStyle w:val="33"/>
                <w:rFonts w:hint="eastAsia" w:ascii="宋体" w:hAnsi="宋体" w:eastAsia="宋体" w:cs="宋体"/>
                <w:color w:val="auto"/>
                <w:spacing w:val="-2"/>
                <w:szCs w:val="21"/>
                <w:highlight w:val="none"/>
              </w:rPr>
              <w:t>，并于</w:t>
            </w:r>
            <w:r>
              <w:rPr>
                <w:rStyle w:val="33"/>
                <w:rFonts w:hint="eastAsia" w:ascii="宋体" w:hAnsi="宋体" w:cs="宋体"/>
                <w:color w:val="auto"/>
                <w:spacing w:val="-2"/>
                <w:szCs w:val="21"/>
                <w:highlight w:val="none"/>
                <w:u w:val="single"/>
                <w:lang w:eastAsia="zh-CN"/>
              </w:rPr>
              <w:t>2025年10月24日09时00分</w:t>
            </w:r>
            <w:r>
              <w:rPr>
                <w:rStyle w:val="33"/>
                <w:rFonts w:hint="eastAsia" w:ascii="宋体" w:hAnsi="宋体" w:eastAsia="宋体" w:cs="宋体"/>
                <w:color w:val="auto"/>
                <w:spacing w:val="-2"/>
                <w:szCs w:val="21"/>
                <w:highlight w:val="none"/>
                <w:u w:val="single"/>
              </w:rPr>
              <w:t>（</w:t>
            </w:r>
            <w:r>
              <w:rPr>
                <w:rStyle w:val="33"/>
                <w:rFonts w:hint="eastAsia" w:ascii="宋体" w:hAnsi="宋体" w:eastAsia="宋体" w:cs="宋体"/>
                <w:color w:val="auto"/>
                <w:spacing w:val="-2"/>
                <w:szCs w:val="21"/>
                <w:highlight w:val="none"/>
              </w:rPr>
              <w:t>北京时间）前递交响应文件。</w:t>
            </w:r>
          </w:p>
        </w:tc>
      </w:tr>
    </w:tbl>
    <w:p w14:paraId="4250EE05">
      <w:pPr>
        <w:spacing w:line="450" w:lineRule="atLeast"/>
        <w:textAlignment w:val="auto"/>
        <w:outlineLvl w:val="0"/>
        <w:rPr>
          <w:rFonts w:hint="eastAsia" w:ascii="宋体" w:hAnsi="宋体" w:eastAsia="宋体" w:cs="宋体"/>
          <w:b/>
          <w:bCs/>
          <w:color w:val="auto"/>
          <w:kern w:val="0"/>
          <w:szCs w:val="21"/>
          <w:highlight w:val="none"/>
        </w:rPr>
      </w:pPr>
      <w:bookmarkStart w:id="1" w:name="_Toc20180"/>
      <w:r>
        <w:rPr>
          <w:rFonts w:hint="eastAsia" w:ascii="宋体" w:hAnsi="宋体" w:eastAsia="宋体" w:cs="宋体"/>
          <w:b/>
          <w:bCs/>
          <w:color w:val="auto"/>
          <w:kern w:val="0"/>
          <w:szCs w:val="21"/>
          <w:highlight w:val="none"/>
        </w:rPr>
        <w:t>一、项目基本情况</w:t>
      </w:r>
      <w:bookmarkEnd w:id="1"/>
    </w:p>
    <w:p w14:paraId="1D638F75">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GGZC2025-C3-990259-BSGC</w:t>
      </w:r>
    </w:p>
    <w:p w14:paraId="1DC962E7">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eastAsia="zh-CN"/>
        </w:rPr>
        <w:t>物业管理服务</w:t>
      </w:r>
    </w:p>
    <w:p w14:paraId="74DDECBB">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采购方式：竞争性磋商</w:t>
      </w:r>
    </w:p>
    <w:p w14:paraId="6B6CD6B0">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预算金额：</w:t>
      </w:r>
      <w:r>
        <w:rPr>
          <w:rFonts w:hint="eastAsia" w:ascii="宋体" w:hAnsi="宋体" w:cs="宋体"/>
          <w:bCs/>
          <w:color w:val="auto"/>
          <w:kern w:val="0"/>
          <w:szCs w:val="21"/>
          <w:highlight w:val="none"/>
          <w:lang w:eastAsia="zh-CN"/>
        </w:rPr>
        <w:t>人民币壹佰零捌万元整（￥1080000.00元）</w:t>
      </w:r>
    </w:p>
    <w:p w14:paraId="5B033E3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采购需求：</w:t>
      </w:r>
    </w:p>
    <w:p w14:paraId="6A0179E2">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标项名称:</w:t>
      </w:r>
      <w:r>
        <w:rPr>
          <w:rFonts w:hint="eastAsia" w:ascii="仿宋" w:hAnsi="仿宋" w:eastAsia="仿宋" w:cs="仿宋"/>
          <w:i w:val="0"/>
          <w:iCs w:val="0"/>
          <w:caps w:val="0"/>
          <w:color w:val="auto"/>
          <w:spacing w:val="0"/>
          <w:sz w:val="24"/>
          <w:szCs w:val="24"/>
          <w:highlight w:val="none"/>
          <w:lang w:eastAsia="zh-CN"/>
        </w:rPr>
        <w:t>物业管理服务</w:t>
      </w:r>
    </w:p>
    <w:p w14:paraId="7C4F487C">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数量:不限</w:t>
      </w:r>
    </w:p>
    <w:p w14:paraId="7A27E786">
      <w:pPr>
        <w:pStyle w:val="19"/>
        <w:keepNext w:val="0"/>
        <w:keepLines w:val="0"/>
        <w:widowControl/>
        <w:suppressLineNumbers w:val="0"/>
        <w:spacing w:before="75" w:beforeAutospacing="0" w:after="75" w:afterAutospacing="0" w:line="240" w:lineRule="auto"/>
        <w:ind w:left="0" w:right="0" w:firstLine="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1080000</w:t>
      </w:r>
    </w:p>
    <w:p w14:paraId="6868AF1A">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简要规格描述或项目基本概况介绍、用途：</w:t>
      </w:r>
      <w:r>
        <w:rPr>
          <w:rFonts w:hint="eastAsia" w:ascii="仿宋" w:hAnsi="仿宋" w:eastAsia="仿宋" w:cs="仿宋"/>
          <w:i w:val="0"/>
          <w:iCs w:val="0"/>
          <w:caps w:val="0"/>
          <w:color w:val="auto"/>
          <w:spacing w:val="0"/>
          <w:sz w:val="24"/>
          <w:szCs w:val="24"/>
          <w:highlight w:val="none"/>
          <w:lang w:eastAsia="zh-CN"/>
        </w:rPr>
        <w:t>物业管理服务一项</w:t>
      </w:r>
      <w:r>
        <w:rPr>
          <w:rFonts w:hint="eastAsia" w:ascii="仿宋" w:hAnsi="仿宋" w:eastAsia="仿宋" w:cs="仿宋"/>
          <w:i w:val="0"/>
          <w:iCs w:val="0"/>
          <w:caps w:val="0"/>
          <w:color w:val="auto"/>
          <w:spacing w:val="0"/>
          <w:sz w:val="24"/>
          <w:szCs w:val="24"/>
          <w:highlight w:val="none"/>
          <w:lang w:val="en-US" w:eastAsia="zh-CN"/>
        </w:rPr>
        <w:t>,具体详见竞争性磋商文件。</w:t>
      </w:r>
    </w:p>
    <w:p w14:paraId="55E89F31">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最高限价（如有）：</w:t>
      </w:r>
      <w:r>
        <w:rPr>
          <w:rFonts w:hint="eastAsia" w:ascii="仿宋" w:hAnsi="仿宋" w:eastAsia="仿宋" w:cs="仿宋"/>
          <w:i w:val="0"/>
          <w:iCs w:val="0"/>
          <w:caps w:val="0"/>
          <w:color w:val="auto"/>
          <w:spacing w:val="0"/>
          <w:sz w:val="24"/>
          <w:szCs w:val="24"/>
          <w:highlight w:val="none"/>
          <w:lang w:val="en-US" w:eastAsia="zh-CN"/>
        </w:rPr>
        <w:t>/</w:t>
      </w:r>
    </w:p>
    <w:p w14:paraId="013F3AE4">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sz w:val="24"/>
          <w:szCs w:val="24"/>
          <w:highlight w:val="none"/>
          <w:lang w:eastAsia="zh-CN"/>
        </w:rPr>
        <w:t>自合同签订之日起叁年。</w:t>
      </w:r>
    </w:p>
    <w:p w14:paraId="2CD657D6">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本标项（</w:t>
      </w:r>
      <w:r>
        <w:rPr>
          <w:rStyle w:val="26"/>
          <w:rFonts w:hint="eastAsia" w:ascii="仿宋" w:hAnsi="仿宋" w:eastAsia="仿宋" w:cs="仿宋"/>
          <w:i w:val="0"/>
          <w:iCs w:val="0"/>
          <w:caps w:val="0"/>
          <w:color w:val="auto"/>
          <w:spacing w:val="0"/>
          <w:sz w:val="24"/>
          <w:szCs w:val="24"/>
          <w:highlight w:val="none"/>
          <w:lang w:val="en-US" w:eastAsia="zh-CN"/>
        </w:rPr>
        <w:t>否</w:t>
      </w:r>
      <w:r>
        <w:rPr>
          <w:rFonts w:hint="eastAsia" w:ascii="仿宋" w:hAnsi="仿宋" w:eastAsia="仿宋" w:cs="仿宋"/>
          <w:i w:val="0"/>
          <w:iCs w:val="0"/>
          <w:caps w:val="0"/>
          <w:color w:val="auto"/>
          <w:spacing w:val="0"/>
          <w:sz w:val="24"/>
          <w:szCs w:val="24"/>
          <w:highlight w:val="none"/>
        </w:rPr>
        <w:t>）接受联合体投标</w:t>
      </w:r>
    </w:p>
    <w:p w14:paraId="531D603B">
      <w:pPr>
        <w:pStyle w:val="19"/>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备注：</w:t>
      </w:r>
    </w:p>
    <w:p w14:paraId="62885051">
      <w:pPr>
        <w:spacing w:line="450" w:lineRule="atLeast"/>
        <w:ind w:firstLine="210" w:firstLineChars="100"/>
        <w:textAlignment w:val="auto"/>
        <w:rPr>
          <w:rFonts w:hint="eastAsia" w:ascii="宋体" w:hAnsi="宋体" w:eastAsia="宋体" w:cs="宋体"/>
          <w:bCs/>
          <w:color w:val="auto"/>
          <w:kern w:val="0"/>
          <w:szCs w:val="21"/>
          <w:highlight w:val="none"/>
        </w:rPr>
      </w:pPr>
    </w:p>
    <w:p w14:paraId="39294451">
      <w:pPr>
        <w:spacing w:line="450" w:lineRule="atLeast"/>
        <w:textAlignment w:val="auto"/>
        <w:outlineLvl w:val="0"/>
        <w:rPr>
          <w:rFonts w:hint="eastAsia" w:ascii="宋体" w:hAnsi="宋体" w:eastAsia="宋体" w:cs="宋体"/>
          <w:b/>
          <w:bCs/>
          <w:color w:val="auto"/>
          <w:kern w:val="0"/>
          <w:szCs w:val="21"/>
          <w:highlight w:val="none"/>
        </w:rPr>
      </w:pPr>
      <w:bookmarkStart w:id="2" w:name="_Toc18097"/>
      <w:r>
        <w:rPr>
          <w:rFonts w:hint="eastAsia" w:ascii="宋体" w:hAnsi="宋体" w:eastAsia="宋体" w:cs="宋体"/>
          <w:b/>
          <w:bCs/>
          <w:color w:val="auto"/>
          <w:kern w:val="0"/>
          <w:szCs w:val="21"/>
          <w:highlight w:val="none"/>
        </w:rPr>
        <w:t>二、申请人的资格要求：</w:t>
      </w:r>
      <w:bookmarkEnd w:id="2"/>
    </w:p>
    <w:p w14:paraId="722B3EF7">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1.满足《中华人民共和国政府采购法》第二十二条规定；</w:t>
      </w:r>
    </w:p>
    <w:p w14:paraId="1E670E44">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2.落实政府采购政策需满足的资格要求：分标1：</w:t>
      </w:r>
      <w:r>
        <w:rPr>
          <w:rFonts w:hint="eastAsia" w:ascii="宋体" w:hAnsi="宋体" w:cs="宋体"/>
          <w:bCs/>
          <w:color w:val="auto"/>
          <w:kern w:val="0"/>
          <w:szCs w:val="21"/>
          <w:highlight w:val="none"/>
          <w:lang w:eastAsia="zh-CN"/>
        </w:rPr>
        <w:t>本项目</w:t>
      </w:r>
      <w:r>
        <w:rPr>
          <w:rFonts w:hint="eastAsia" w:ascii="宋体" w:hAnsi="宋体" w:eastAsia="宋体" w:cs="宋体"/>
          <w:bCs/>
          <w:color w:val="auto"/>
          <w:kern w:val="0"/>
          <w:szCs w:val="21"/>
          <w:highlight w:val="none"/>
        </w:rPr>
        <w:t>专门面向中小企业实施采购</w:t>
      </w:r>
      <w:r>
        <w:rPr>
          <w:rFonts w:hint="eastAsia" w:ascii="宋体" w:hAnsi="宋体" w:cs="宋体"/>
          <w:bCs/>
          <w:color w:val="auto"/>
          <w:kern w:val="0"/>
          <w:szCs w:val="21"/>
          <w:highlight w:val="none"/>
          <w:lang w:eastAsia="zh-CN"/>
        </w:rPr>
        <w:t>；</w:t>
      </w:r>
    </w:p>
    <w:p w14:paraId="66BD8F49">
      <w:pPr>
        <w:keepNext w:val="0"/>
        <w:keepLines w:val="0"/>
        <w:pageBreakBefore w:val="0"/>
        <w:widowControl/>
        <w:suppressLineNumbers w:val="0"/>
        <w:kinsoku/>
        <w:overflowPunct/>
        <w:topLinePunct w:val="0"/>
        <w:bidi w:val="0"/>
        <w:adjustRightInd w:val="0"/>
        <w:snapToGrid w:val="0"/>
        <w:spacing w:before="0" w:beforeAutospacing="0" w:after="0" w:afterAutospacing="0" w:line="560" w:lineRule="exact"/>
        <w:ind w:left="0" w:right="0" w:firstLine="210" w:firstLineChars="100"/>
        <w:rPr>
          <w:rFonts w:hint="eastAsia" w:ascii="宋体" w:hAnsi="宋体" w:eastAsia="宋体"/>
          <w:color w:val="auto"/>
          <w:szCs w:val="21"/>
          <w:highlight w:val="none"/>
          <w:lang w:val="en-US" w:eastAsia="zh-CN"/>
        </w:rPr>
      </w:pPr>
      <w:r>
        <w:rPr>
          <w:rFonts w:hint="eastAsia" w:ascii="宋体" w:hAnsi="宋体" w:eastAsia="宋体" w:cs="宋体"/>
          <w:bCs/>
          <w:color w:val="auto"/>
          <w:kern w:val="0"/>
          <w:szCs w:val="21"/>
          <w:highlight w:val="none"/>
        </w:rPr>
        <w:t>3.本项目的特定资格要求：</w:t>
      </w:r>
      <w:r>
        <w:rPr>
          <w:rFonts w:hint="eastAsia" w:ascii="宋体" w:hAnsi="宋体" w:cs="宋体"/>
          <w:bCs/>
          <w:color w:val="auto"/>
          <w:kern w:val="0"/>
          <w:szCs w:val="21"/>
          <w:highlight w:val="none"/>
          <w:lang w:val="en-US" w:eastAsia="zh-CN"/>
        </w:rPr>
        <w:t>/</w:t>
      </w:r>
    </w:p>
    <w:p w14:paraId="7E5F7DFD">
      <w:pPr>
        <w:spacing w:line="450" w:lineRule="atLeast"/>
        <w:textAlignment w:val="auto"/>
        <w:outlineLvl w:val="0"/>
        <w:rPr>
          <w:rFonts w:hint="eastAsia" w:ascii="宋体" w:hAnsi="宋体" w:eastAsia="宋体" w:cs="宋体"/>
          <w:b/>
          <w:bCs/>
          <w:color w:val="auto"/>
          <w:kern w:val="0"/>
          <w:szCs w:val="21"/>
          <w:highlight w:val="none"/>
        </w:rPr>
      </w:pPr>
      <w:bookmarkStart w:id="3" w:name="_Toc19543"/>
      <w:r>
        <w:rPr>
          <w:rFonts w:hint="eastAsia" w:ascii="宋体" w:hAnsi="宋体" w:eastAsia="宋体" w:cs="宋体"/>
          <w:b/>
          <w:bCs/>
          <w:color w:val="auto"/>
          <w:kern w:val="0"/>
          <w:szCs w:val="21"/>
          <w:highlight w:val="none"/>
        </w:rPr>
        <w:t>三、获取采购文件</w:t>
      </w:r>
      <w:bookmarkEnd w:id="3"/>
    </w:p>
    <w:p w14:paraId="61C2142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时间：自竞争性磋商公告发出之时起至截标时间前，</w:t>
      </w:r>
      <w:r>
        <w:rPr>
          <w:rFonts w:hint="eastAsia" w:ascii="宋体" w:hAnsi="宋体" w:cs="宋体"/>
          <w:bCs/>
          <w:color w:val="auto"/>
          <w:kern w:val="0"/>
          <w:szCs w:val="21"/>
          <w:highlight w:val="none"/>
          <w:lang w:eastAsia="zh-CN"/>
        </w:rPr>
        <w:t>登录</w:t>
      </w:r>
      <w:r>
        <w:rPr>
          <w:rFonts w:hint="eastAsia" w:ascii="宋体" w:hAnsi="宋体" w:eastAsia="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自行下载竞争性磋商采购文件。</w:t>
      </w:r>
    </w:p>
    <w:p w14:paraId="030EAA76">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4FD5046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方式：由潜在供应商在广西政府采购云平台（https://www.gcy.zfcg.gxzf.gov.cn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供应商注册入口”完成账号注册后，登录广西政府采购云平台“项目采购—获取采购文件”模块自行下载竞争性磋商文件，未在政采云注册的供应商可在获取竞争性磋商文件前登录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进行注册。如在操作过程中遇到问题或需技术支持，请致电政采云客服热线：</w:t>
      </w:r>
      <w:r>
        <w:rPr>
          <w:rFonts w:hint="eastAsia" w:ascii="宋体" w:hAnsi="宋体" w:cs="宋体"/>
          <w:bCs/>
          <w:color w:val="auto"/>
          <w:kern w:val="0"/>
          <w:szCs w:val="21"/>
          <w:highlight w:val="none"/>
          <w:lang w:eastAsia="zh-CN"/>
        </w:rPr>
        <w:t>95763</w:t>
      </w:r>
      <w:r>
        <w:rPr>
          <w:rFonts w:hint="eastAsia" w:ascii="宋体" w:hAnsi="宋体" w:eastAsia="宋体" w:cs="宋体"/>
          <w:bCs/>
          <w:color w:val="auto"/>
          <w:kern w:val="0"/>
          <w:szCs w:val="21"/>
          <w:highlight w:val="none"/>
        </w:rPr>
        <w:t>。</w:t>
      </w:r>
    </w:p>
    <w:p w14:paraId="2E148C9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p>
    <w:p w14:paraId="7551DC21">
      <w:pPr>
        <w:spacing w:line="450" w:lineRule="atLeast"/>
        <w:textAlignment w:val="auto"/>
        <w:outlineLvl w:val="0"/>
        <w:rPr>
          <w:rFonts w:hint="eastAsia" w:ascii="宋体" w:hAnsi="宋体" w:eastAsia="宋体" w:cs="宋体"/>
          <w:b/>
          <w:bCs/>
          <w:color w:val="auto"/>
          <w:kern w:val="0"/>
          <w:szCs w:val="21"/>
          <w:highlight w:val="none"/>
        </w:rPr>
      </w:pPr>
      <w:bookmarkStart w:id="4" w:name="_Toc12832"/>
      <w:r>
        <w:rPr>
          <w:rFonts w:hint="eastAsia" w:ascii="宋体" w:hAnsi="宋体" w:eastAsia="宋体" w:cs="宋体"/>
          <w:b/>
          <w:bCs/>
          <w:color w:val="auto"/>
          <w:kern w:val="0"/>
          <w:szCs w:val="21"/>
          <w:highlight w:val="none"/>
        </w:rPr>
        <w:t>四、响应文件提交</w:t>
      </w:r>
      <w:bookmarkEnd w:id="4"/>
    </w:p>
    <w:p w14:paraId="0B75F97D">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截止时间：</w:t>
      </w:r>
      <w:r>
        <w:rPr>
          <w:rFonts w:hint="eastAsia" w:ascii="宋体" w:hAnsi="宋体" w:cs="宋体"/>
          <w:bCs/>
          <w:color w:val="auto"/>
          <w:kern w:val="0"/>
          <w:szCs w:val="21"/>
          <w:highlight w:val="none"/>
          <w:lang w:eastAsia="zh-CN"/>
        </w:rPr>
        <w:t>2025年10月24日09时00分</w:t>
      </w:r>
      <w:r>
        <w:rPr>
          <w:rFonts w:hint="eastAsia" w:ascii="宋体" w:hAnsi="宋体" w:eastAsia="宋体" w:cs="宋体"/>
          <w:bCs/>
          <w:color w:val="auto"/>
          <w:kern w:val="0"/>
          <w:szCs w:val="21"/>
          <w:highlight w:val="none"/>
        </w:rPr>
        <w:t>（北京时间）</w:t>
      </w:r>
    </w:p>
    <w:p w14:paraId="0C07AE60">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61FE8E22">
      <w:pPr>
        <w:spacing w:line="450" w:lineRule="atLeast"/>
        <w:textAlignment w:val="auto"/>
        <w:outlineLvl w:val="0"/>
        <w:rPr>
          <w:rFonts w:hint="eastAsia" w:ascii="宋体" w:hAnsi="宋体" w:eastAsia="宋体" w:cs="宋体"/>
          <w:b/>
          <w:bCs/>
          <w:color w:val="auto"/>
          <w:kern w:val="0"/>
          <w:szCs w:val="21"/>
          <w:highlight w:val="none"/>
        </w:rPr>
      </w:pPr>
      <w:bookmarkStart w:id="5" w:name="_Toc8522"/>
      <w:r>
        <w:rPr>
          <w:rFonts w:hint="eastAsia" w:ascii="宋体" w:hAnsi="宋体" w:eastAsia="宋体" w:cs="宋体"/>
          <w:b/>
          <w:bCs/>
          <w:color w:val="auto"/>
          <w:kern w:val="0"/>
          <w:szCs w:val="21"/>
          <w:highlight w:val="none"/>
        </w:rPr>
        <w:t>五、开启</w:t>
      </w:r>
      <w:bookmarkEnd w:id="5"/>
    </w:p>
    <w:p w14:paraId="70D5D9C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cs="宋体"/>
          <w:bCs/>
          <w:color w:val="auto"/>
          <w:kern w:val="0"/>
          <w:szCs w:val="21"/>
          <w:highlight w:val="none"/>
          <w:lang w:eastAsia="zh-CN"/>
        </w:rPr>
        <w:t>2025年10月24日09时00分</w:t>
      </w:r>
      <w:r>
        <w:rPr>
          <w:rFonts w:hint="eastAsia" w:ascii="宋体" w:hAnsi="宋体" w:eastAsia="宋体" w:cs="宋体"/>
          <w:bCs/>
          <w:color w:val="auto"/>
          <w:kern w:val="0"/>
          <w:szCs w:val="21"/>
          <w:highlight w:val="none"/>
        </w:rPr>
        <w:t>（北京时间）截标后为磋商小组与磋商供应商磋商时间</w:t>
      </w:r>
    </w:p>
    <w:p w14:paraId="553A0BE9">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地点：通过广西政府采购云平台电子开标大厅实行在线解密开启。</w:t>
      </w:r>
    </w:p>
    <w:p w14:paraId="3902BB77">
      <w:pPr>
        <w:spacing w:line="450" w:lineRule="atLeast"/>
        <w:textAlignment w:val="auto"/>
        <w:outlineLvl w:val="0"/>
        <w:rPr>
          <w:rFonts w:hint="eastAsia" w:ascii="宋体" w:hAnsi="宋体" w:eastAsia="宋体" w:cs="宋体"/>
          <w:b/>
          <w:bCs/>
          <w:color w:val="auto"/>
          <w:kern w:val="0"/>
          <w:szCs w:val="21"/>
          <w:highlight w:val="none"/>
        </w:rPr>
      </w:pPr>
      <w:bookmarkStart w:id="6" w:name="_Toc9264"/>
      <w:r>
        <w:rPr>
          <w:rFonts w:hint="eastAsia" w:ascii="宋体" w:hAnsi="宋体" w:eastAsia="宋体" w:cs="宋体"/>
          <w:b/>
          <w:bCs/>
          <w:color w:val="auto"/>
          <w:kern w:val="0"/>
          <w:szCs w:val="21"/>
          <w:highlight w:val="none"/>
        </w:rPr>
        <w:t>六、公告期限</w:t>
      </w:r>
      <w:bookmarkEnd w:id="6"/>
    </w:p>
    <w:p w14:paraId="716A8FCC">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自本公告发布之日起5个工作日。</w:t>
      </w:r>
    </w:p>
    <w:p w14:paraId="0AA66263">
      <w:pPr>
        <w:spacing w:line="450" w:lineRule="atLeast"/>
        <w:textAlignment w:val="auto"/>
        <w:outlineLvl w:val="0"/>
        <w:rPr>
          <w:rFonts w:hint="eastAsia" w:ascii="宋体" w:hAnsi="宋体" w:eastAsia="宋体" w:cs="宋体"/>
          <w:b/>
          <w:bCs/>
          <w:color w:val="auto"/>
          <w:kern w:val="0"/>
          <w:szCs w:val="21"/>
          <w:highlight w:val="none"/>
        </w:rPr>
      </w:pPr>
      <w:bookmarkStart w:id="7" w:name="_Toc21632"/>
      <w:r>
        <w:rPr>
          <w:rFonts w:hint="eastAsia" w:ascii="宋体" w:hAnsi="宋体" w:eastAsia="宋体" w:cs="宋体"/>
          <w:b/>
          <w:bCs/>
          <w:color w:val="auto"/>
          <w:kern w:val="0"/>
          <w:szCs w:val="21"/>
          <w:highlight w:val="none"/>
        </w:rPr>
        <w:t>七、其他补充事宜：</w:t>
      </w:r>
      <w:bookmarkEnd w:id="7"/>
    </w:p>
    <w:p w14:paraId="6985241E">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需要落实的政府采购政策：《政府采购促进中小企业发展管理办法》（财库〔2020〕46号）、《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贵港市财政局关于进一步优化政府采购营商环境有关事项的通知》（贵财采〔2020〕20号）等政府采购相关政策。</w:t>
      </w:r>
    </w:p>
    <w:p w14:paraId="5D842A55">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要求：（1）单位负责人为同一人或直接控股、管理关系的不同供应商，不得参加同一合同项下的政府采购活动。（2）未被列入信用中国网（www.creditchina.gov.cn）及中国政府采购网（www.ccgp.gov.cn）失信被执行人名单、重大税收违法案件当事人名单、政府采购严重违法失信行为记录名单。</w:t>
      </w:r>
    </w:p>
    <w:p w14:paraId="24093A8E">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注意事项</w:t>
      </w:r>
    </w:p>
    <w:p w14:paraId="5B514C8C">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（1）本项目为全流程电子化采购项目，通过广西政府采购云平台（https://www.gcy.zfcg.gxzf.gov.cn</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09BDAB9">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392CBB7A">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8C92A0">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92B3C7">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供应商需要在具备有摄像头及语音功能且互联网网络状况良好的电脑登录广西政府采购云平台远程开标大厅参与本次磋商，否则后果自负。</w:t>
      </w:r>
    </w:p>
    <w:p w14:paraId="0CE9CCE2">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4.网上查询地址：http://www.ccgp.gov.cn（中国政府采购网）、http://zfcg.gxzf.gov.cn/（广西政府采购网） 、http://zfcg.czj.gxgg.gov.cn（贵港市政府采购网）、http://ggzy.jgswj.gxzf.gov.cn/ggggzy/ [全国公共资源交易平台（广西•贵港）]。</w:t>
      </w:r>
    </w:p>
    <w:p w14:paraId="044FE6B5">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5.监督部门及联系电话：贵港市财政局政府采购监督管理科      </w:t>
      </w:r>
    </w:p>
    <w:p w14:paraId="3097A4B2">
      <w:pPr>
        <w:pStyle w:val="112"/>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联系电话：0775-4555290、0775-4564649</w:t>
      </w:r>
    </w:p>
    <w:p w14:paraId="3F1646A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6.相关业务联系单位及联系电话</w:t>
      </w:r>
    </w:p>
    <w:p w14:paraId="66B07F9D">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CA咨询(汇信公司)客服热线：</w:t>
      </w:r>
      <w:r>
        <w:rPr>
          <w:rFonts w:hint="eastAsia" w:ascii="宋体" w:hAnsi="宋体" w:eastAsia="宋体" w:cs="宋体"/>
          <w:color w:val="auto"/>
          <w:sz w:val="22"/>
          <w:szCs w:val="22"/>
          <w:highlight w:val="none"/>
          <w:u w:val="single"/>
        </w:rPr>
        <w:t>400-888-4636</w:t>
      </w:r>
    </w:p>
    <w:p w14:paraId="10FF0675">
      <w:pPr>
        <w:pStyle w:val="19"/>
        <w:spacing w:before="120" w:beforeLines="50" w:beforeAutospacing="0" w:after="120" w:afterLines="50" w:afterAutospacing="0" w:line="360" w:lineRule="atLeast"/>
        <w:ind w:firstLine="405"/>
        <w:rPr>
          <w:rFonts w:hint="eastAsia" w:ascii="宋体" w:hAnsi="宋体" w:eastAsia="宋体" w:cs="宋体"/>
          <w:bCs/>
          <w:color w:val="auto"/>
          <w:szCs w:val="21"/>
          <w:highlight w:val="none"/>
          <w:lang w:eastAsia="zh-CN"/>
        </w:rPr>
      </w:pPr>
      <w:r>
        <w:rPr>
          <w:rFonts w:hint="eastAsia" w:ascii="宋体" w:hAnsi="宋体" w:eastAsia="宋体" w:cs="宋体"/>
          <w:color w:val="auto"/>
          <w:kern w:val="2"/>
          <w:sz w:val="22"/>
          <w:szCs w:val="22"/>
          <w:highlight w:val="none"/>
        </w:rPr>
        <w:t>“政采云”平台客服电话：</w:t>
      </w:r>
      <w:r>
        <w:rPr>
          <w:rFonts w:hint="eastAsia" w:ascii="宋体" w:hAnsi="宋体" w:eastAsia="宋体" w:cs="宋体"/>
          <w:color w:val="auto"/>
          <w:kern w:val="2"/>
          <w:sz w:val="22"/>
          <w:szCs w:val="22"/>
          <w:highlight w:val="none"/>
          <w:u w:val="single"/>
        </w:rPr>
        <w:t>95763</w:t>
      </w:r>
    </w:p>
    <w:p w14:paraId="4A42B2E5">
      <w:pPr>
        <w:spacing w:line="450" w:lineRule="atLeast"/>
        <w:textAlignment w:val="auto"/>
        <w:outlineLvl w:val="0"/>
        <w:rPr>
          <w:rFonts w:hint="eastAsia" w:ascii="宋体" w:hAnsi="宋体" w:eastAsia="宋体" w:cs="宋体"/>
          <w:b/>
          <w:bCs/>
          <w:color w:val="auto"/>
          <w:kern w:val="0"/>
          <w:szCs w:val="21"/>
          <w:highlight w:val="none"/>
        </w:rPr>
      </w:pPr>
      <w:bookmarkStart w:id="8" w:name="_Toc23034"/>
      <w:r>
        <w:rPr>
          <w:rFonts w:hint="eastAsia" w:ascii="宋体" w:hAnsi="宋体" w:eastAsia="宋体" w:cs="宋体"/>
          <w:b/>
          <w:bCs/>
          <w:color w:val="auto"/>
          <w:kern w:val="0"/>
          <w:szCs w:val="21"/>
          <w:highlight w:val="none"/>
        </w:rPr>
        <w:t>八、凡对本次采购提出询问，请按以下方式联系</w:t>
      </w:r>
      <w:bookmarkEnd w:id="8"/>
    </w:p>
    <w:p w14:paraId="0FD75687">
      <w:pPr>
        <w:spacing w:line="450" w:lineRule="atLeast"/>
        <w:ind w:firstLine="210" w:firstLineChars="100"/>
        <w:textAlignment w:val="auto"/>
        <w:outlineLvl w:val="1"/>
        <w:rPr>
          <w:rFonts w:hint="eastAsia" w:ascii="宋体" w:hAnsi="宋体" w:eastAsia="宋体" w:cs="宋体"/>
          <w:bCs/>
          <w:color w:val="auto"/>
          <w:kern w:val="0"/>
          <w:szCs w:val="21"/>
          <w:highlight w:val="none"/>
        </w:rPr>
      </w:pPr>
      <w:bookmarkStart w:id="9" w:name="_Toc507"/>
      <w:r>
        <w:rPr>
          <w:rFonts w:hint="eastAsia" w:ascii="宋体" w:hAnsi="宋体" w:eastAsia="宋体" w:cs="宋体"/>
          <w:bCs/>
          <w:color w:val="auto"/>
          <w:kern w:val="0"/>
          <w:szCs w:val="21"/>
          <w:highlight w:val="none"/>
        </w:rPr>
        <w:t>1.采购人信息</w:t>
      </w:r>
      <w:bookmarkEnd w:id="9"/>
    </w:p>
    <w:p w14:paraId="3E256D3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贵港市司法局</w:t>
      </w:r>
      <w:r>
        <w:rPr>
          <w:rFonts w:hint="eastAsia" w:ascii="宋体" w:hAnsi="宋体" w:eastAsia="宋体" w:cs="宋体"/>
          <w:bCs/>
          <w:color w:val="auto"/>
          <w:kern w:val="0"/>
          <w:szCs w:val="21"/>
          <w:highlight w:val="none"/>
        </w:rPr>
        <w:t>　</w:t>
      </w:r>
    </w:p>
    <w:p w14:paraId="627DBE9B">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地址：贵港市港北区建设西路 568 号</w:t>
      </w:r>
    </w:p>
    <w:p w14:paraId="58D5CFD7">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项目联系人：梁工 </w:t>
      </w:r>
    </w:p>
    <w:p w14:paraId="1082C20A">
      <w:pPr>
        <w:spacing w:line="450" w:lineRule="atLeast"/>
        <w:ind w:firstLine="630" w:firstLineChars="3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联系方式：0775-4599693</w:t>
      </w:r>
    </w:p>
    <w:p w14:paraId="733688E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10" w:name="_Toc11677"/>
      <w:r>
        <w:rPr>
          <w:rFonts w:hint="eastAsia" w:ascii="宋体" w:hAnsi="宋体" w:eastAsia="宋体" w:cs="宋体"/>
          <w:bCs/>
          <w:color w:val="auto"/>
          <w:kern w:val="0"/>
          <w:szCs w:val="21"/>
          <w:highlight w:val="none"/>
        </w:rPr>
        <w:t>2.采购代理机构信息</w:t>
      </w:r>
      <w:bookmarkEnd w:id="10"/>
    </w:p>
    <w:p w14:paraId="74461B3E">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广西宝盛工程咨询有限公司</w:t>
      </w:r>
      <w:r>
        <w:rPr>
          <w:rFonts w:hint="eastAsia" w:ascii="宋体" w:hAnsi="宋体" w:eastAsia="宋体" w:cs="宋体"/>
          <w:bCs/>
          <w:color w:val="auto"/>
          <w:kern w:val="0"/>
          <w:szCs w:val="21"/>
          <w:highlight w:val="none"/>
        </w:rPr>
        <w:t>　</w:t>
      </w:r>
    </w:p>
    <w:p w14:paraId="10092D3A">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地址：贵港市港北区中央花园2楼201　</w:t>
      </w:r>
    </w:p>
    <w:p w14:paraId="5B92FE38">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联系方式：</w:t>
      </w:r>
      <w:r>
        <w:rPr>
          <w:rFonts w:hint="eastAsia" w:ascii="宋体" w:hAnsi="宋体" w:cs="宋体"/>
          <w:bCs/>
          <w:color w:val="auto"/>
          <w:kern w:val="0"/>
          <w:szCs w:val="21"/>
          <w:highlight w:val="none"/>
          <w:lang w:eastAsia="zh-CN"/>
        </w:rPr>
        <w:t>0775-4863888</w:t>
      </w:r>
      <w:r>
        <w:rPr>
          <w:rFonts w:hint="eastAsia" w:ascii="宋体" w:hAnsi="宋体" w:eastAsia="宋体" w:cs="宋体"/>
          <w:bCs/>
          <w:color w:val="auto"/>
          <w:kern w:val="0"/>
          <w:szCs w:val="21"/>
          <w:highlight w:val="none"/>
        </w:rPr>
        <w:t>　　</w:t>
      </w:r>
    </w:p>
    <w:p w14:paraId="53D7B7A2">
      <w:pPr>
        <w:spacing w:line="450" w:lineRule="atLeast"/>
        <w:ind w:firstLine="210" w:firstLineChars="100"/>
        <w:textAlignment w:val="auto"/>
        <w:outlineLvl w:val="1"/>
        <w:rPr>
          <w:rFonts w:hint="eastAsia" w:ascii="宋体" w:hAnsi="宋体" w:eastAsia="宋体" w:cs="宋体"/>
          <w:bCs/>
          <w:color w:val="auto"/>
          <w:kern w:val="0"/>
          <w:szCs w:val="21"/>
          <w:highlight w:val="none"/>
        </w:rPr>
      </w:pPr>
      <w:bookmarkStart w:id="11" w:name="_Toc6392"/>
      <w:r>
        <w:rPr>
          <w:rFonts w:hint="eastAsia" w:ascii="宋体" w:hAnsi="宋体" w:eastAsia="宋体" w:cs="宋体"/>
          <w:bCs/>
          <w:color w:val="auto"/>
          <w:kern w:val="0"/>
          <w:szCs w:val="21"/>
          <w:highlight w:val="none"/>
        </w:rPr>
        <w:t>3.项目联系方式</w:t>
      </w:r>
      <w:bookmarkEnd w:id="11"/>
    </w:p>
    <w:p w14:paraId="69B6689E">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w:t>
      </w:r>
      <w:r>
        <w:rPr>
          <w:rFonts w:hint="eastAsia" w:ascii="宋体" w:hAnsi="宋体" w:cs="宋体"/>
          <w:bCs/>
          <w:color w:val="auto"/>
          <w:kern w:val="0"/>
          <w:szCs w:val="21"/>
          <w:highlight w:val="none"/>
          <w:lang w:eastAsia="zh-CN"/>
        </w:rPr>
        <w:t>宋工</w:t>
      </w:r>
    </w:p>
    <w:p w14:paraId="728562F9">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　话：0775-4</w:t>
      </w:r>
      <w:r>
        <w:rPr>
          <w:rFonts w:hint="eastAsia" w:ascii="宋体" w:hAnsi="宋体" w:cs="宋体"/>
          <w:bCs/>
          <w:color w:val="auto"/>
          <w:kern w:val="0"/>
          <w:szCs w:val="21"/>
          <w:highlight w:val="none"/>
          <w:lang w:val="en-US" w:eastAsia="zh-CN"/>
        </w:rPr>
        <w:t>863888</w:t>
      </w:r>
      <w:r>
        <w:rPr>
          <w:rFonts w:hint="eastAsia" w:ascii="宋体" w:hAnsi="宋体" w:eastAsia="宋体" w:cs="宋体"/>
          <w:bCs/>
          <w:color w:val="auto"/>
          <w:kern w:val="0"/>
          <w:szCs w:val="21"/>
          <w:highlight w:val="none"/>
        </w:rPr>
        <w:t>　　</w:t>
      </w:r>
    </w:p>
    <w:p w14:paraId="30BB9C6E">
      <w:pPr>
        <w:spacing w:line="450" w:lineRule="atLeast"/>
        <w:ind w:firstLine="630" w:firstLineChars="300"/>
        <w:textAlignment w:val="auto"/>
        <w:rPr>
          <w:rFonts w:hint="eastAsia" w:ascii="宋体" w:hAnsi="宋体" w:eastAsia="宋体" w:cs="宋体"/>
          <w:bCs/>
          <w:color w:val="auto"/>
          <w:kern w:val="0"/>
          <w:szCs w:val="21"/>
          <w:highlight w:val="none"/>
        </w:rPr>
      </w:pPr>
    </w:p>
    <w:p w14:paraId="26D3E818">
      <w:pPr>
        <w:spacing w:line="360" w:lineRule="exact"/>
        <w:rPr>
          <w:rStyle w:val="33"/>
          <w:rFonts w:hint="eastAsia" w:ascii="宋体" w:hAnsi="宋体" w:eastAsia="宋体" w:cs="宋体"/>
          <w:color w:val="auto"/>
          <w:highlight w:val="none"/>
        </w:rPr>
      </w:pPr>
    </w:p>
    <w:p w14:paraId="745C6A8B">
      <w:pPr>
        <w:spacing w:line="360" w:lineRule="exact"/>
        <w:rPr>
          <w:rStyle w:val="33"/>
          <w:rFonts w:hint="eastAsia" w:ascii="宋体" w:hAnsi="宋体" w:eastAsia="宋体" w:cs="宋体"/>
          <w:color w:val="auto"/>
          <w:highlight w:val="none"/>
        </w:rPr>
      </w:pPr>
    </w:p>
    <w:p w14:paraId="34E58834">
      <w:pPr>
        <w:spacing w:line="360" w:lineRule="exact"/>
        <w:rPr>
          <w:rStyle w:val="33"/>
          <w:rFonts w:hint="eastAsia" w:ascii="宋体" w:hAnsi="宋体" w:eastAsia="宋体" w:cs="宋体"/>
          <w:color w:val="auto"/>
          <w:highlight w:val="none"/>
        </w:rPr>
      </w:pPr>
    </w:p>
    <w:p w14:paraId="3D28FB81">
      <w:pPr>
        <w:ind w:firstLine="5880" w:firstLineChars="2800"/>
        <w:rPr>
          <w:rStyle w:val="33"/>
          <w:rFonts w:hint="eastAsia" w:ascii="宋体" w:hAnsi="宋体" w:eastAsia="宋体" w:cs="宋体"/>
          <w:color w:val="auto"/>
          <w:highlight w:val="none"/>
          <w:lang w:eastAsia="zh-CN"/>
        </w:rPr>
      </w:pPr>
      <w:r>
        <w:rPr>
          <w:rStyle w:val="33"/>
          <w:rFonts w:hint="eastAsia" w:ascii="宋体" w:hAnsi="宋体" w:cs="宋体"/>
          <w:color w:val="auto"/>
          <w:highlight w:val="none"/>
          <w:lang w:eastAsia="zh-CN"/>
        </w:rPr>
        <w:t>广西宝盛工程咨询有限公司</w:t>
      </w:r>
    </w:p>
    <w:p w14:paraId="40DECC79">
      <w:pPr>
        <w:rPr>
          <w:rStyle w:val="33"/>
          <w:rFonts w:hint="eastAsia" w:ascii="宋体" w:hAnsi="宋体" w:eastAsia="宋体" w:cs="宋体"/>
          <w:color w:val="auto"/>
          <w:highlight w:val="none"/>
        </w:rPr>
      </w:pPr>
    </w:p>
    <w:p w14:paraId="380265BF">
      <w:pPr>
        <w:rPr>
          <w:rStyle w:val="33"/>
          <w:rFonts w:hint="eastAsia" w:ascii="宋体" w:hAnsi="宋体" w:eastAsia="宋体" w:cs="宋体"/>
          <w:color w:val="auto"/>
          <w:highlight w:val="none"/>
          <w:lang w:eastAsia="zh-CN"/>
        </w:rPr>
      </w:pPr>
      <w:r>
        <w:rPr>
          <w:rStyle w:val="33"/>
          <w:rFonts w:hint="eastAsia" w:ascii="宋体" w:hAnsi="宋体" w:eastAsia="宋体" w:cs="宋体"/>
          <w:color w:val="auto"/>
          <w:highlight w:val="none"/>
        </w:rPr>
        <w:t xml:space="preserve">                                                            </w:t>
      </w:r>
      <w:r>
        <w:rPr>
          <w:rStyle w:val="33"/>
          <w:rFonts w:hint="eastAsia" w:ascii="宋体" w:hAnsi="宋体" w:cs="宋体"/>
          <w:color w:val="auto"/>
          <w:highlight w:val="none"/>
          <w:lang w:eastAsia="zh-CN"/>
        </w:rPr>
        <w:t>202</w:t>
      </w:r>
      <w:r>
        <w:rPr>
          <w:rStyle w:val="33"/>
          <w:rFonts w:hint="eastAsia" w:ascii="宋体" w:hAnsi="宋体" w:cs="宋体"/>
          <w:color w:val="auto"/>
          <w:highlight w:val="none"/>
          <w:lang w:val="en-US" w:eastAsia="zh-CN"/>
        </w:rPr>
        <w:t>5</w:t>
      </w:r>
      <w:r>
        <w:rPr>
          <w:rStyle w:val="33"/>
          <w:rFonts w:hint="eastAsia" w:ascii="宋体" w:hAnsi="宋体" w:cs="宋体"/>
          <w:color w:val="auto"/>
          <w:highlight w:val="none"/>
          <w:lang w:eastAsia="zh-CN"/>
        </w:rPr>
        <w:t>年</w:t>
      </w:r>
      <w:r>
        <w:rPr>
          <w:rStyle w:val="33"/>
          <w:rFonts w:hint="eastAsia" w:ascii="宋体" w:hAnsi="宋体" w:cs="宋体"/>
          <w:color w:val="auto"/>
          <w:highlight w:val="none"/>
          <w:lang w:val="en-US" w:eastAsia="zh-CN"/>
        </w:rPr>
        <w:t>10</w:t>
      </w:r>
      <w:r>
        <w:rPr>
          <w:rStyle w:val="33"/>
          <w:rFonts w:hint="eastAsia" w:ascii="宋体" w:hAnsi="宋体" w:cs="宋体"/>
          <w:color w:val="auto"/>
          <w:highlight w:val="none"/>
          <w:lang w:eastAsia="zh-CN"/>
        </w:rPr>
        <w:t>月</w:t>
      </w:r>
      <w:r>
        <w:rPr>
          <w:rStyle w:val="33"/>
          <w:rFonts w:hint="eastAsia" w:ascii="宋体" w:hAnsi="宋体" w:cs="宋体"/>
          <w:color w:val="auto"/>
          <w:highlight w:val="none"/>
          <w:lang w:val="en-US" w:eastAsia="zh-CN"/>
        </w:rPr>
        <w:t>13</w:t>
      </w:r>
      <w:r>
        <w:rPr>
          <w:rStyle w:val="33"/>
          <w:rFonts w:hint="eastAsia" w:ascii="宋体" w:hAnsi="宋体" w:cs="宋体"/>
          <w:color w:val="auto"/>
          <w:highlight w:val="none"/>
          <w:lang w:eastAsia="zh-CN"/>
        </w:rPr>
        <w:t>日</w:t>
      </w:r>
    </w:p>
    <w:p w14:paraId="610D12A5">
      <w:pPr>
        <w:spacing w:line="360" w:lineRule="exact"/>
        <w:rPr>
          <w:rStyle w:val="33"/>
          <w:rFonts w:hint="eastAsia" w:ascii="宋体" w:hAnsi="宋体" w:eastAsia="宋体" w:cs="宋体"/>
          <w:color w:val="auto"/>
          <w:highlight w:val="none"/>
        </w:rPr>
      </w:pPr>
    </w:p>
    <w:p w14:paraId="09DFEC2E">
      <w:pPr>
        <w:spacing w:line="360" w:lineRule="exact"/>
        <w:rPr>
          <w:rStyle w:val="33"/>
          <w:rFonts w:hint="eastAsia" w:ascii="宋体" w:hAnsi="宋体" w:eastAsia="宋体" w:cs="宋体"/>
          <w:color w:val="auto"/>
          <w:highlight w:val="none"/>
        </w:rPr>
      </w:pPr>
    </w:p>
    <w:p w14:paraId="68C46F4E">
      <w:pPr>
        <w:pStyle w:val="20"/>
        <w:rPr>
          <w:rStyle w:val="33"/>
          <w:rFonts w:hint="eastAsia" w:ascii="宋体" w:hAnsi="宋体" w:eastAsia="宋体" w:cs="宋体"/>
          <w:b/>
          <w:bCs/>
          <w:color w:val="auto"/>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7659ABA5">
      <w:pPr>
        <w:pStyle w:val="20"/>
        <w:outlineLvl w:val="0"/>
        <w:rPr>
          <w:rStyle w:val="33"/>
          <w:rFonts w:hint="eastAsia" w:ascii="宋体" w:hAnsi="宋体" w:eastAsia="宋体" w:cs="宋体"/>
          <w:b/>
          <w:bCs/>
          <w:color w:val="auto"/>
          <w:highlight w:val="none"/>
        </w:rPr>
      </w:pPr>
      <w:bookmarkStart w:id="12" w:name="_Toc16529"/>
      <w:r>
        <w:rPr>
          <w:rStyle w:val="33"/>
          <w:rFonts w:hint="eastAsia" w:ascii="宋体" w:hAnsi="宋体" w:eastAsia="宋体" w:cs="宋体"/>
          <w:b/>
          <w:bCs/>
          <w:color w:val="auto"/>
          <w:highlight w:val="none"/>
        </w:rPr>
        <w:t>第二章    磋商供应商须知及前附表</w:t>
      </w:r>
      <w:bookmarkEnd w:id="12"/>
    </w:p>
    <w:p w14:paraId="25BC247E">
      <w:pPr>
        <w:jc w:val="center"/>
        <w:rPr>
          <w:rStyle w:val="33"/>
          <w:rFonts w:hint="eastAsia" w:ascii="宋体" w:hAnsi="宋体" w:eastAsia="宋体" w:cs="宋体"/>
          <w:b/>
          <w:color w:val="auto"/>
          <w:sz w:val="32"/>
          <w:szCs w:val="32"/>
          <w:highlight w:val="none"/>
        </w:rPr>
      </w:pPr>
      <w:r>
        <w:rPr>
          <w:rStyle w:val="33"/>
          <w:rFonts w:hint="eastAsia" w:ascii="宋体" w:hAnsi="宋体" w:eastAsia="宋体" w:cs="宋体"/>
          <w:b/>
          <w:color w:val="auto"/>
          <w:sz w:val="32"/>
          <w:szCs w:val="32"/>
          <w:highlight w:val="none"/>
        </w:rPr>
        <w:t>磋商供应商须知前附表</w:t>
      </w:r>
    </w:p>
    <w:tbl>
      <w:tblPr>
        <w:tblStyle w:val="22"/>
        <w:tblW w:w="9759"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8919"/>
      </w:tblGrid>
      <w:tr w14:paraId="0C10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F7F4BB1">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序号</w:t>
            </w:r>
          </w:p>
        </w:tc>
        <w:tc>
          <w:tcPr>
            <w:tcW w:w="8919" w:type="dxa"/>
            <w:tcBorders>
              <w:top w:val="single" w:color="000000" w:sz="4" w:space="0"/>
              <w:left w:val="single" w:color="000000" w:sz="4" w:space="0"/>
              <w:bottom w:val="single" w:color="000000" w:sz="4" w:space="0"/>
              <w:right w:val="single" w:color="000000" w:sz="4" w:space="0"/>
            </w:tcBorders>
            <w:vAlign w:val="center"/>
          </w:tcPr>
          <w:p w14:paraId="3106ADE4">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内      容</w:t>
            </w:r>
          </w:p>
        </w:tc>
      </w:tr>
      <w:tr w14:paraId="0749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2244E19">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w:t>
            </w:r>
          </w:p>
        </w:tc>
        <w:tc>
          <w:tcPr>
            <w:tcW w:w="8919" w:type="dxa"/>
            <w:tcBorders>
              <w:top w:val="single" w:color="000000" w:sz="4" w:space="0"/>
              <w:left w:val="single" w:color="000000" w:sz="4" w:space="0"/>
              <w:bottom w:val="single" w:color="000000" w:sz="4" w:space="0"/>
              <w:right w:val="single" w:color="000000" w:sz="4" w:space="0"/>
            </w:tcBorders>
            <w:vAlign w:val="center"/>
          </w:tcPr>
          <w:p w14:paraId="7039D193">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项目名称：</w:t>
            </w:r>
            <w:r>
              <w:rPr>
                <w:rStyle w:val="33"/>
                <w:rFonts w:hint="eastAsia" w:ascii="宋体" w:hAnsi="宋体" w:cs="宋体"/>
                <w:color w:val="auto"/>
                <w:szCs w:val="21"/>
                <w:highlight w:val="none"/>
                <w:lang w:eastAsia="zh-CN"/>
              </w:rPr>
              <w:t>物业管理服务</w:t>
            </w:r>
          </w:p>
          <w:p w14:paraId="0D286964">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项目编号：</w:t>
            </w:r>
            <w:r>
              <w:rPr>
                <w:rStyle w:val="33"/>
                <w:rFonts w:hint="eastAsia" w:ascii="宋体" w:hAnsi="宋体" w:cs="宋体"/>
                <w:color w:val="auto"/>
                <w:szCs w:val="21"/>
                <w:highlight w:val="none"/>
                <w:lang w:eastAsia="zh-CN"/>
              </w:rPr>
              <w:t>GGZC2025-C3-990259-BSGC</w:t>
            </w:r>
          </w:p>
        </w:tc>
      </w:tr>
      <w:tr w14:paraId="136B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0507A10">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w:t>
            </w:r>
          </w:p>
        </w:tc>
        <w:tc>
          <w:tcPr>
            <w:tcW w:w="8919" w:type="dxa"/>
            <w:tcBorders>
              <w:top w:val="single" w:color="000000" w:sz="4" w:space="0"/>
              <w:left w:val="single" w:color="000000" w:sz="4" w:space="0"/>
              <w:bottom w:val="single" w:color="000000" w:sz="4" w:space="0"/>
              <w:right w:val="single" w:color="000000" w:sz="4" w:space="0"/>
            </w:tcBorders>
            <w:vAlign w:val="center"/>
          </w:tcPr>
          <w:p w14:paraId="51860430">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磋商供应商资格：</w:t>
            </w:r>
          </w:p>
          <w:p w14:paraId="5B1DB620">
            <w:pPr>
              <w:keepNext w:val="0"/>
              <w:keepLines w:val="0"/>
              <w:widowControl/>
              <w:suppressLineNumbers w:val="0"/>
              <w:spacing w:before="0" w:beforeAutospacing="0" w:after="0" w:afterAutospacing="0" w:line="380" w:lineRule="exact"/>
              <w:ind w:left="0" w:right="0" w:firstLine="411" w:firstLineChars="196"/>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1、符合《中华人民共和国政府采购法》第二十二条规定；</w:t>
            </w:r>
          </w:p>
          <w:p w14:paraId="2362CBEC">
            <w:pPr>
              <w:keepNext w:val="0"/>
              <w:keepLines w:val="0"/>
              <w:widowControl/>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2.落实政府采购政策需满足的资格要求：分标1：本项目专门面向中小企业实施采购</w:t>
            </w:r>
            <w:r>
              <w:rPr>
                <w:rFonts w:hint="eastAsia" w:ascii="宋体" w:hAnsi="宋体" w:cs="宋体"/>
                <w:color w:val="auto"/>
                <w:szCs w:val="21"/>
                <w:highlight w:val="none"/>
                <w:lang w:eastAsia="zh-CN"/>
              </w:rPr>
              <w:t>；</w:t>
            </w:r>
          </w:p>
          <w:p w14:paraId="063ACB8F">
            <w:pPr>
              <w:keepNext w:val="0"/>
              <w:keepLines w:val="0"/>
              <w:widowControl/>
              <w:suppressLineNumbers w:val="0"/>
              <w:spacing w:before="0" w:beforeAutospacing="0" w:after="0" w:afterAutospacing="0" w:line="380" w:lineRule="exact"/>
              <w:ind w:left="0" w:right="0" w:firstLine="411" w:firstLineChars="196"/>
              <w:rPr>
                <w:rStyle w:val="33"/>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w:t>
            </w:r>
          </w:p>
        </w:tc>
      </w:tr>
      <w:tr w14:paraId="77B0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87400D1">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w:t>
            </w:r>
          </w:p>
        </w:tc>
        <w:tc>
          <w:tcPr>
            <w:tcW w:w="8919" w:type="dxa"/>
            <w:tcBorders>
              <w:top w:val="single" w:color="000000" w:sz="4" w:space="0"/>
              <w:left w:val="single" w:color="000000" w:sz="4" w:space="0"/>
              <w:bottom w:val="single" w:color="000000" w:sz="4" w:space="0"/>
              <w:right w:val="single" w:color="000000" w:sz="4" w:space="0"/>
            </w:tcBorders>
            <w:vAlign w:val="center"/>
          </w:tcPr>
          <w:p w14:paraId="47C5CA99">
            <w:pPr>
              <w:keepNext w:val="0"/>
              <w:keepLines w:val="0"/>
              <w:widowControl/>
              <w:suppressLineNumbers w:val="0"/>
              <w:spacing w:before="75" w:beforeAutospacing="0" w:after="75" w:afterAutospacing="0" w:line="276" w:lineRule="auto"/>
              <w:ind w:left="0" w:right="0"/>
              <w:jc w:val="left"/>
              <w:rPr>
                <w:rStyle w:val="33"/>
                <w:rFonts w:hint="eastAsia" w:ascii="宋体" w:hAnsi="宋体" w:eastAsia="宋体" w:cs="宋体"/>
                <w:b/>
                <w:color w:val="auto"/>
                <w:szCs w:val="21"/>
                <w:highlight w:val="none"/>
              </w:rPr>
            </w:pPr>
            <w:r>
              <w:rPr>
                <w:rStyle w:val="33"/>
                <w:rFonts w:hint="eastAsia" w:ascii="宋体" w:hAnsi="宋体" w:eastAsia="宋体" w:cs="宋体"/>
                <w:color w:val="auto"/>
                <w:kern w:val="0"/>
                <w:szCs w:val="21"/>
                <w:highlight w:val="none"/>
              </w:rPr>
              <w:t>磋商保证金：本项目免收保证金。</w:t>
            </w:r>
          </w:p>
        </w:tc>
      </w:tr>
      <w:tr w14:paraId="609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998CA75">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w:t>
            </w:r>
          </w:p>
        </w:tc>
        <w:tc>
          <w:tcPr>
            <w:tcW w:w="8919" w:type="dxa"/>
            <w:tcBorders>
              <w:top w:val="single" w:color="000000" w:sz="4" w:space="0"/>
              <w:left w:val="single" w:color="000000" w:sz="4" w:space="0"/>
              <w:bottom w:val="single" w:color="000000" w:sz="4" w:space="0"/>
              <w:right w:val="single" w:color="000000" w:sz="4" w:space="0"/>
            </w:tcBorders>
            <w:vAlign w:val="center"/>
          </w:tcPr>
          <w:p w14:paraId="39E5D29E">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竞标报价及费用：</w:t>
            </w:r>
          </w:p>
          <w:p w14:paraId="1438DE6E">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szCs w:val="21"/>
                <w:highlight w:val="none"/>
              </w:rPr>
            </w:pPr>
            <w:r>
              <w:rPr>
                <w:rStyle w:val="33"/>
                <w:rFonts w:hint="eastAsia" w:ascii="宋体" w:hAnsi="宋体" w:eastAsia="宋体" w:cs="宋体"/>
                <w:szCs w:val="21"/>
                <w:highlight w:val="none"/>
              </w:rPr>
              <w:t>1、本项目磋商应以人民币报价；</w:t>
            </w:r>
          </w:p>
          <w:p w14:paraId="4F8795AB">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szCs w:val="21"/>
                <w:highlight w:val="none"/>
              </w:rPr>
            </w:pPr>
            <w:r>
              <w:rPr>
                <w:rStyle w:val="33"/>
                <w:rFonts w:hint="eastAsia" w:ascii="宋体" w:hAnsi="宋体" w:eastAsia="宋体" w:cs="宋体"/>
                <w:szCs w:val="21"/>
                <w:highlight w:val="none"/>
              </w:rPr>
              <w:t>2、不论磋商结果如何，磋商供应商均应自行承担所有与磋商有关的全部费用；</w:t>
            </w:r>
          </w:p>
          <w:p w14:paraId="214D201F">
            <w:pPr>
              <w:keepNext w:val="0"/>
              <w:keepLines w:val="0"/>
              <w:widowControl/>
              <w:suppressLineNumbers w:val="0"/>
              <w:tabs>
                <w:tab w:val="left" w:pos="8820"/>
              </w:tabs>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3、本项目采购代理服务费按发改价格〔2015〕299号文件“</w:t>
            </w:r>
            <w:r>
              <w:rPr>
                <w:rStyle w:val="33"/>
                <w:rFonts w:hint="eastAsia" w:ascii="宋体" w:hAnsi="宋体" w:eastAsia="宋体" w:cs="宋体"/>
                <w:color w:val="auto"/>
                <w:szCs w:val="21"/>
                <w:highlight w:val="none"/>
                <w:lang w:eastAsia="zh-CN"/>
              </w:rPr>
              <w:t>服务</w:t>
            </w:r>
            <w:r>
              <w:rPr>
                <w:rStyle w:val="33"/>
                <w:rFonts w:hint="eastAsia" w:ascii="宋体" w:hAnsi="宋体" w:eastAsia="宋体" w:cs="宋体"/>
                <w:color w:val="auto"/>
                <w:szCs w:val="21"/>
                <w:highlight w:val="none"/>
              </w:rPr>
              <w:t>类”规定向成交人收取代理服务费：</w:t>
            </w:r>
            <w:r>
              <w:rPr>
                <w:rStyle w:val="33"/>
                <w:rFonts w:hint="eastAsia" w:ascii="宋体" w:hAnsi="宋体" w:cs="宋体"/>
                <w:color w:val="auto"/>
                <w:szCs w:val="21"/>
                <w:highlight w:val="none"/>
                <w:lang w:eastAsia="zh-CN"/>
              </w:rPr>
              <w:t>人民币壹万伍仟陆佰肆拾元整（￥15640.00）</w:t>
            </w:r>
            <w:r>
              <w:rPr>
                <w:rStyle w:val="33"/>
                <w:rFonts w:hint="eastAsia" w:ascii="宋体" w:hAnsi="宋体" w:eastAsia="宋体" w:cs="宋体"/>
                <w:color w:val="auto"/>
                <w:szCs w:val="21"/>
                <w:highlight w:val="none"/>
              </w:rPr>
              <w:t>，代理服务费请转到以下账户：</w:t>
            </w:r>
          </w:p>
          <w:p w14:paraId="274345BC">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开户名称：广西宝盛工程咨询有限公司 </w:t>
            </w:r>
          </w:p>
          <w:p w14:paraId="655FFBFC">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开户银行：中国工商银行股份有限公司贵港市荷城支行</w:t>
            </w:r>
          </w:p>
          <w:p w14:paraId="38BC7346">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银行账号：  2116710809100102991</w:t>
            </w:r>
          </w:p>
        </w:tc>
      </w:tr>
      <w:tr w14:paraId="644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AFA3866">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5</w:t>
            </w:r>
          </w:p>
        </w:tc>
        <w:tc>
          <w:tcPr>
            <w:tcW w:w="8919" w:type="dxa"/>
            <w:tcBorders>
              <w:top w:val="single" w:color="000000" w:sz="4" w:space="0"/>
              <w:left w:val="single" w:color="000000" w:sz="4" w:space="0"/>
              <w:bottom w:val="single" w:color="000000" w:sz="4" w:space="0"/>
              <w:right w:val="single" w:color="000000" w:sz="4" w:space="0"/>
            </w:tcBorders>
            <w:vAlign w:val="center"/>
          </w:tcPr>
          <w:p w14:paraId="4EF115CD">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响应文件：电</w:t>
            </w:r>
            <w:r>
              <w:rPr>
                <w:rFonts w:hint="eastAsia" w:ascii="宋体" w:hAnsi="宋体" w:eastAsia="宋体" w:cs="宋体"/>
                <w:color w:val="auto"/>
                <w:kern w:val="0"/>
                <w:highlight w:val="none"/>
              </w:rPr>
              <w:t>子版一份</w:t>
            </w:r>
            <w:r>
              <w:rPr>
                <w:rStyle w:val="33"/>
                <w:rFonts w:hint="eastAsia" w:ascii="宋体" w:hAnsi="宋体" w:eastAsia="宋体" w:cs="宋体"/>
                <w:color w:val="auto"/>
                <w:szCs w:val="21"/>
                <w:highlight w:val="none"/>
              </w:rPr>
              <w:t>。</w:t>
            </w:r>
          </w:p>
        </w:tc>
      </w:tr>
      <w:tr w14:paraId="4DAB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C7883AD">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6</w:t>
            </w:r>
          </w:p>
        </w:tc>
        <w:tc>
          <w:tcPr>
            <w:tcW w:w="8919" w:type="dxa"/>
            <w:tcBorders>
              <w:top w:val="single" w:color="000000" w:sz="4" w:space="0"/>
              <w:left w:val="single" w:color="000000" w:sz="4" w:space="0"/>
              <w:bottom w:val="single" w:color="000000" w:sz="4" w:space="0"/>
              <w:right w:val="single" w:color="000000" w:sz="4" w:space="0"/>
            </w:tcBorders>
            <w:vAlign w:val="center"/>
          </w:tcPr>
          <w:p w14:paraId="117836EA">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响应文件递交截止时间：</w:t>
            </w:r>
            <w:r>
              <w:rPr>
                <w:rStyle w:val="33"/>
                <w:rFonts w:hint="eastAsia" w:ascii="宋体" w:hAnsi="宋体" w:cs="宋体"/>
                <w:color w:val="auto"/>
                <w:szCs w:val="21"/>
                <w:highlight w:val="none"/>
                <w:lang w:eastAsia="zh-CN"/>
              </w:rPr>
              <w:t>2025年10月24日09时00分</w:t>
            </w:r>
          </w:p>
          <w:p w14:paraId="330C4155">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Fonts w:hint="eastAsia" w:ascii="宋体" w:hAnsi="宋体" w:eastAsia="宋体" w:cs="宋体"/>
                <w:color w:val="auto"/>
                <w:szCs w:val="21"/>
                <w:highlight w:val="none"/>
              </w:rPr>
              <w:t>文件上传到</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平台。应按照本项目竞争性磋商文件和</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平台的要求编制、加密传输磋商响应文件。供应商在使用系统进行投标的过程中遇到涉及平台使用的任何问题，可致电</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6D7D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6D9C8C">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w:t>
            </w:r>
          </w:p>
        </w:tc>
        <w:tc>
          <w:tcPr>
            <w:tcW w:w="8919" w:type="dxa"/>
            <w:tcBorders>
              <w:top w:val="single" w:color="000000" w:sz="4" w:space="0"/>
              <w:left w:val="single" w:color="000000" w:sz="4" w:space="0"/>
              <w:bottom w:val="single" w:color="000000" w:sz="4" w:space="0"/>
              <w:right w:val="single" w:color="000000" w:sz="4" w:space="0"/>
            </w:tcBorders>
            <w:vAlign w:val="center"/>
          </w:tcPr>
          <w:p w14:paraId="7B51D1CA">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响应文件有效期 ：响应文件递交截止日期后60天。</w:t>
            </w:r>
          </w:p>
        </w:tc>
      </w:tr>
      <w:tr w14:paraId="3BD1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037F215">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8</w:t>
            </w:r>
          </w:p>
        </w:tc>
        <w:tc>
          <w:tcPr>
            <w:tcW w:w="8919" w:type="dxa"/>
            <w:tcBorders>
              <w:top w:val="single" w:color="000000" w:sz="4" w:space="0"/>
              <w:left w:val="single" w:color="000000" w:sz="4" w:space="0"/>
              <w:bottom w:val="single" w:color="000000" w:sz="4" w:space="0"/>
              <w:right w:val="single" w:color="000000" w:sz="4" w:space="0"/>
            </w:tcBorders>
            <w:vAlign w:val="center"/>
          </w:tcPr>
          <w:p w14:paraId="1ECFB9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磋商时间：</w:t>
            </w:r>
            <w:r>
              <w:rPr>
                <w:rFonts w:hint="eastAsia" w:ascii="宋体" w:hAnsi="宋体" w:cs="宋体"/>
                <w:color w:val="auto"/>
                <w:highlight w:val="none"/>
                <w:lang w:eastAsia="zh-CN"/>
              </w:rPr>
              <w:t>2025年10月24日09时00分</w:t>
            </w:r>
            <w:r>
              <w:rPr>
                <w:rFonts w:hint="eastAsia" w:ascii="宋体" w:hAnsi="宋体" w:eastAsia="宋体" w:cs="宋体"/>
                <w:color w:val="auto"/>
                <w:highlight w:val="none"/>
              </w:rPr>
              <w:t>截标后</w:t>
            </w:r>
          </w:p>
          <w:p w14:paraId="5B6CC4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磋商地点：通过</w:t>
            </w:r>
            <w:r>
              <w:rPr>
                <w:rFonts w:hint="eastAsia" w:ascii="宋体" w:hAnsi="宋体" w:cs="宋体"/>
                <w:color w:val="auto"/>
                <w:highlight w:val="none"/>
              </w:rPr>
              <w:t>广西政府采购云</w:t>
            </w:r>
            <w:r>
              <w:rPr>
                <w:rFonts w:hint="eastAsia" w:ascii="宋体" w:hAnsi="宋体" w:eastAsia="宋体" w:cs="宋体"/>
                <w:color w:val="auto"/>
                <w:highlight w:val="none"/>
              </w:rPr>
              <w:t>平台实行在线解密开启。</w:t>
            </w:r>
          </w:p>
          <w:p w14:paraId="540DA903">
            <w:pPr>
              <w:pStyle w:val="107"/>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磋商前准备：</w:t>
            </w:r>
          </w:p>
          <w:p w14:paraId="734662AE">
            <w:pPr>
              <w:pStyle w:val="10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1、本项目实行网上磋商，采用电子磋商响应文件。若供应商参与磋商，自行承担磋商一切费用。</w:t>
            </w:r>
          </w:p>
          <w:p w14:paraId="4317885D">
            <w:pPr>
              <w:pStyle w:val="10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2、各供应商应在截标前应确保成为</w:t>
            </w:r>
            <w:r>
              <w:rPr>
                <w:rFonts w:hint="eastAsia" w:hAnsi="宋体" w:cs="宋体"/>
                <w:color w:val="auto"/>
                <w:highlight w:val="none"/>
              </w:rPr>
              <w:t>广西政府采购云</w:t>
            </w:r>
            <w:r>
              <w:rPr>
                <w:rFonts w:hint="eastAsia" w:ascii="宋体" w:hAnsi="宋体" w:eastAsia="宋体" w:cs="宋体"/>
                <w:color w:val="auto"/>
                <w:highlight w:val="none"/>
              </w:rPr>
              <w:t>平台正式注册入库供应商，并完成CA数字证书申领。因未注册入库、未办理CA数字证书等原因造成无法磋商或磋商失败等后果由供应商自行承担。</w:t>
            </w:r>
          </w:p>
          <w:p w14:paraId="6DCDA1B7">
            <w:pPr>
              <w:pStyle w:val="10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3、供应商将</w:t>
            </w:r>
            <w:r>
              <w:rPr>
                <w:rFonts w:hint="eastAsia" w:hAnsi="宋体" w:cs="宋体"/>
                <w:color w:val="auto"/>
                <w:highlight w:val="none"/>
              </w:rPr>
              <w:t>广西政府采购云</w:t>
            </w:r>
            <w:r>
              <w:rPr>
                <w:rFonts w:hint="eastAsia" w:ascii="宋体" w:hAnsi="宋体" w:eastAsia="宋体" w:cs="宋体"/>
                <w:color w:val="auto"/>
                <w:highlight w:val="none"/>
              </w:rPr>
              <w:t>电子交易客户端下载、安装完成后，可通过账号密码或CA登录客户端进行响应文件制作。客户端请至网站下载专区查看，如有问题可拨打</w:t>
            </w:r>
            <w:r>
              <w:rPr>
                <w:rFonts w:hint="eastAsia" w:hAnsi="宋体" w:cs="宋体"/>
                <w:color w:val="auto"/>
                <w:highlight w:val="none"/>
              </w:rPr>
              <w:t>广西政府采购云</w:t>
            </w:r>
            <w:r>
              <w:rPr>
                <w:rFonts w:hint="eastAsia" w:ascii="宋体" w:hAnsi="宋体" w:eastAsia="宋体" w:cs="宋体"/>
                <w:color w:val="auto"/>
                <w:highlight w:val="none"/>
              </w:rPr>
              <w:t>客户服务热线</w:t>
            </w:r>
            <w:r>
              <w:rPr>
                <w:rFonts w:hint="eastAsia" w:hAnsi="宋体" w:cs="宋体"/>
                <w:color w:val="auto"/>
                <w:highlight w:val="none"/>
                <w:lang w:eastAsia="zh-CN"/>
              </w:rPr>
              <w:t>95763</w:t>
            </w:r>
            <w:r>
              <w:rPr>
                <w:rFonts w:hint="eastAsia" w:ascii="宋体" w:hAnsi="宋体" w:eastAsia="宋体" w:cs="宋体"/>
                <w:color w:val="auto"/>
                <w:highlight w:val="none"/>
              </w:rPr>
              <w:t>进行咨询。</w:t>
            </w:r>
          </w:p>
          <w:p w14:paraId="3C318D61">
            <w:pPr>
              <w:pStyle w:val="107"/>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磋商响应文件解密时间：</w:t>
            </w:r>
          </w:p>
          <w:p w14:paraId="3398BC80">
            <w:pPr>
              <w:pStyle w:val="2"/>
              <w:keepLines w:val="0"/>
              <w:widowControl/>
              <w:suppressLineNumbers w:val="0"/>
              <w:spacing w:before="0" w:beforeAutospacing="0" w:after="0" w:afterAutospacing="0"/>
              <w:ind w:left="0" w:leftChars="0" w:right="0" w:rightChars="0" w:firstLine="0" w:firstLineChars="0"/>
              <w:outlineLvl w:val="9"/>
              <w:rPr>
                <w:rStyle w:val="33"/>
                <w:rFonts w:hint="eastAsia" w:ascii="宋体" w:hAnsi="宋体" w:eastAsia="宋体" w:cs="宋体"/>
                <w:color w:val="auto"/>
                <w:szCs w:val="21"/>
                <w:highlight w:val="none"/>
              </w:rPr>
            </w:pPr>
            <w:r>
              <w:rPr>
                <w:rFonts w:hint="eastAsia" w:ascii="宋体" w:hAnsi="宋体" w:eastAsia="宋体" w:cs="宋体"/>
                <w:b w:val="0"/>
                <w:color w:val="auto"/>
                <w:kern w:val="2"/>
                <w:sz w:val="21"/>
                <w:highlight w:val="none"/>
              </w:rPr>
              <w:t>截标时间后30分钟内磋商供应商可以登录</w:t>
            </w:r>
            <w:r>
              <w:rPr>
                <w:rFonts w:hint="eastAsia" w:hAnsi="宋体" w:cs="宋体"/>
                <w:b w:val="0"/>
                <w:color w:val="auto"/>
                <w:kern w:val="2"/>
                <w:sz w:val="21"/>
                <w:highlight w:val="none"/>
              </w:rPr>
              <w:t>广西政府采购云</w:t>
            </w:r>
            <w:r>
              <w:rPr>
                <w:rFonts w:hint="eastAsia" w:ascii="宋体" w:hAnsi="宋体" w:eastAsia="宋体" w:cs="宋体"/>
                <w:b w:val="0"/>
                <w:color w:val="auto"/>
                <w:kern w:val="2"/>
                <w:sz w:val="21"/>
                <w:highlight w:val="none"/>
              </w:rPr>
              <w:t>平台，用“项目采购-开标评标”功能进行解密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3A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4175FB7">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9</w:t>
            </w:r>
          </w:p>
        </w:tc>
        <w:tc>
          <w:tcPr>
            <w:tcW w:w="8919" w:type="dxa"/>
            <w:tcBorders>
              <w:top w:val="single" w:color="000000" w:sz="4" w:space="0"/>
              <w:left w:val="single" w:color="000000" w:sz="4" w:space="0"/>
              <w:bottom w:val="single" w:color="000000" w:sz="4" w:space="0"/>
              <w:right w:val="single" w:color="000000" w:sz="4" w:space="0"/>
            </w:tcBorders>
            <w:vAlign w:val="center"/>
          </w:tcPr>
          <w:p w14:paraId="297DF9EC">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highlight w:val="none"/>
              </w:rPr>
            </w:pPr>
            <w:r>
              <w:rPr>
                <w:rStyle w:val="33"/>
                <w:rFonts w:hint="eastAsia" w:ascii="宋体" w:hAnsi="宋体" w:eastAsia="宋体" w:cs="宋体"/>
                <w:color w:val="auto"/>
                <w:szCs w:val="21"/>
                <w:highlight w:val="none"/>
              </w:rPr>
              <w:t>评标办法 ： 综合评分法 （详细见第五章 ）</w:t>
            </w:r>
          </w:p>
        </w:tc>
      </w:tr>
      <w:tr w14:paraId="52C0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69D8B6">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10</w:t>
            </w:r>
          </w:p>
        </w:tc>
        <w:tc>
          <w:tcPr>
            <w:tcW w:w="8919" w:type="dxa"/>
            <w:tcBorders>
              <w:top w:val="single" w:color="000000" w:sz="4" w:space="0"/>
              <w:left w:val="single" w:color="000000" w:sz="4" w:space="0"/>
              <w:bottom w:val="single" w:color="000000" w:sz="4" w:space="0"/>
              <w:right w:val="single" w:color="000000" w:sz="4" w:space="0"/>
            </w:tcBorders>
            <w:vAlign w:val="center"/>
          </w:tcPr>
          <w:p w14:paraId="5B7197CA">
            <w:pPr>
              <w:keepNext w:val="0"/>
              <w:keepLines w:val="0"/>
              <w:widowControl/>
              <w:suppressLineNumbers w:val="0"/>
              <w:spacing w:before="0" w:beforeAutospacing="0" w:after="0" w:afterAutospacing="0" w:line="380" w:lineRule="exact"/>
              <w:ind w:left="0" w:right="0"/>
              <w:jc w:val="left"/>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履约质保金：无</w:t>
            </w:r>
          </w:p>
        </w:tc>
      </w:tr>
      <w:tr w14:paraId="02D5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5E512D3">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11</w:t>
            </w:r>
          </w:p>
        </w:tc>
        <w:tc>
          <w:tcPr>
            <w:tcW w:w="8919" w:type="dxa"/>
            <w:tcBorders>
              <w:top w:val="single" w:color="000000" w:sz="4" w:space="0"/>
              <w:left w:val="single" w:color="000000" w:sz="4" w:space="0"/>
              <w:bottom w:val="single" w:color="000000" w:sz="4" w:space="0"/>
              <w:right w:val="single" w:color="000000" w:sz="4" w:space="0"/>
            </w:tcBorders>
            <w:vAlign w:val="center"/>
          </w:tcPr>
          <w:p w14:paraId="4325E757">
            <w:pPr>
              <w:keepNext w:val="0"/>
              <w:keepLines w:val="0"/>
              <w:widowControl/>
              <w:suppressLineNumbers w:val="0"/>
              <w:snapToGrid w:val="0"/>
              <w:spacing w:before="0" w:beforeAutospacing="0" w:after="0" w:afterAutospacing="0" w:line="380" w:lineRule="exact"/>
              <w:ind w:left="0" w:right="0"/>
              <w:textAlignment w:val="bottom"/>
              <w:rPr>
                <w:rStyle w:val="33"/>
                <w:rFonts w:hint="eastAsia" w:ascii="宋体" w:hAnsi="宋体" w:eastAsia="宋体" w:cs="宋体"/>
                <w:color w:val="auto"/>
                <w:spacing w:val="2"/>
                <w:szCs w:val="21"/>
                <w:highlight w:val="none"/>
              </w:rPr>
            </w:pPr>
            <w:r>
              <w:rPr>
                <w:rStyle w:val="33"/>
                <w:rFonts w:hint="eastAsia" w:ascii="宋体" w:hAnsi="宋体" w:eastAsia="宋体" w:cs="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w:t>
            </w:r>
            <w:r>
              <w:rPr>
                <w:rStyle w:val="33"/>
                <w:rFonts w:hint="eastAsia" w:ascii="宋体" w:hAnsi="宋体" w:cs="宋体"/>
                <w:color w:val="auto"/>
                <w:spacing w:val="2"/>
                <w:szCs w:val="21"/>
                <w:highlight w:val="none"/>
              </w:rPr>
              <w:t>其他</w:t>
            </w:r>
            <w:r>
              <w:rPr>
                <w:rStyle w:val="33"/>
                <w:rFonts w:hint="eastAsia" w:ascii="宋体" w:hAnsi="宋体" w:eastAsia="宋体" w:cs="宋体"/>
                <w:color w:val="auto"/>
                <w:spacing w:val="2"/>
                <w:szCs w:val="21"/>
                <w:highlight w:val="none"/>
              </w:rPr>
              <w:t>形式印章均不能代替公章。</w:t>
            </w:r>
          </w:p>
          <w:p w14:paraId="7644CE8B">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r w14:paraId="1448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A805FE5">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12</w:t>
            </w:r>
          </w:p>
        </w:tc>
        <w:tc>
          <w:tcPr>
            <w:tcW w:w="8919" w:type="dxa"/>
            <w:tcBorders>
              <w:top w:val="single" w:color="000000" w:sz="4" w:space="0"/>
              <w:left w:val="single" w:color="000000" w:sz="4" w:space="0"/>
              <w:bottom w:val="single" w:color="000000" w:sz="4" w:space="0"/>
              <w:right w:val="single" w:color="000000" w:sz="4" w:space="0"/>
            </w:tcBorders>
            <w:vAlign w:val="center"/>
          </w:tcPr>
          <w:p w14:paraId="7C5A1EF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磋商主要内容及程序：</w:t>
            </w:r>
          </w:p>
          <w:p w14:paraId="4C781DC4">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1.本项目采购服务报价；</w:t>
            </w:r>
          </w:p>
          <w:p w14:paraId="7735AFDE">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2.本项目服务要求；</w:t>
            </w:r>
          </w:p>
          <w:p w14:paraId="351E730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3.针对本项目的实施方案；</w:t>
            </w:r>
          </w:p>
          <w:p w14:paraId="444C2D29">
            <w:pPr>
              <w:keepNext w:val="0"/>
              <w:keepLines w:val="0"/>
              <w:widowControl/>
              <w:suppressLineNumbers w:val="0"/>
              <w:spacing w:before="0" w:beforeAutospacing="0" w:after="0" w:afterAutospacing="0" w:line="380" w:lineRule="exact"/>
              <w:ind w:left="0" w:right="0"/>
              <w:rPr>
                <w:rStyle w:val="33"/>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4.针对本项目的服务承诺。</w:t>
            </w:r>
          </w:p>
        </w:tc>
      </w:tr>
      <w:tr w14:paraId="1CB1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931B4C2">
            <w:pPr>
              <w:keepNext w:val="0"/>
              <w:keepLines w:val="0"/>
              <w:widowControl/>
              <w:suppressLineNumbers w:val="0"/>
              <w:spacing w:before="0" w:beforeAutospacing="0" w:after="0" w:afterAutospacing="0" w:line="380" w:lineRule="exact"/>
              <w:ind w:left="0" w:right="0"/>
              <w:jc w:val="center"/>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13</w:t>
            </w:r>
          </w:p>
        </w:tc>
        <w:tc>
          <w:tcPr>
            <w:tcW w:w="8919" w:type="dxa"/>
            <w:tcBorders>
              <w:top w:val="single" w:color="000000" w:sz="4" w:space="0"/>
              <w:left w:val="single" w:color="000000" w:sz="4" w:space="0"/>
              <w:bottom w:val="single" w:color="000000" w:sz="4" w:space="0"/>
              <w:right w:val="single" w:color="000000" w:sz="4" w:space="0"/>
            </w:tcBorders>
            <w:vAlign w:val="center"/>
          </w:tcPr>
          <w:p w14:paraId="695FA8DE">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p w14:paraId="49F05B2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default" w:ascii="宋体" w:hAnsi="宋体" w:eastAsia="宋体" w:cs="宋体"/>
                <w:sz w:val="21"/>
                <w:szCs w:val="21"/>
              </w:rPr>
              <w:t>签订合同后十五日内，采购人向成交供应</w:t>
            </w:r>
            <w:r>
              <w:rPr>
                <w:rFonts w:hint="default" w:ascii="宋体" w:hAnsi="宋体" w:eastAsia="宋体" w:cs="宋体"/>
                <w:spacing w:val="-1"/>
                <w:sz w:val="21"/>
                <w:szCs w:val="21"/>
              </w:rPr>
              <w:t>商付合同价款的</w:t>
            </w:r>
            <w:r>
              <w:rPr>
                <w:rFonts w:hint="default" w:ascii="宋体" w:hAnsi="宋体" w:eastAsia="宋体" w:cs="宋体"/>
                <w:spacing w:val="-22"/>
                <w:sz w:val="21"/>
                <w:szCs w:val="21"/>
              </w:rPr>
              <w:t xml:space="preserve"> </w:t>
            </w:r>
            <w:r>
              <w:rPr>
                <w:rFonts w:hint="default" w:ascii="Times New Roman" w:hAnsi="Times New Roman" w:eastAsia="Times New Roman" w:cs="Times New Roman"/>
                <w:spacing w:val="-1"/>
                <w:sz w:val="21"/>
                <w:szCs w:val="21"/>
              </w:rPr>
              <w:t>33%</w:t>
            </w:r>
            <w:r>
              <w:rPr>
                <w:rFonts w:hint="default" w:ascii="宋体" w:hAnsi="宋体" w:eastAsia="宋体" w:cs="宋体"/>
                <w:spacing w:val="-1"/>
                <w:sz w:val="21"/>
                <w:szCs w:val="21"/>
              </w:rPr>
              <w:t>（第一年的物业管理服</w:t>
            </w:r>
            <w:r>
              <w:rPr>
                <w:rFonts w:hint="default" w:ascii="宋体" w:hAnsi="宋体" w:eastAsia="宋体" w:cs="宋体"/>
                <w:spacing w:val="-2"/>
                <w:sz w:val="21"/>
                <w:szCs w:val="21"/>
              </w:rPr>
              <w:t>务费</w:t>
            </w:r>
            <w:r>
              <w:rPr>
                <w:rFonts w:hint="default" w:ascii="宋体" w:hAnsi="宋体" w:eastAsia="宋体" w:cs="宋体"/>
                <w:spacing w:val="-29"/>
                <w:sz w:val="21"/>
                <w:szCs w:val="21"/>
              </w:rPr>
              <w:t>），</w:t>
            </w:r>
            <w:r>
              <w:rPr>
                <w:rFonts w:hint="default" w:ascii="Times New Roman" w:hAnsi="Times New Roman" w:eastAsia="Times New Roman" w:cs="Times New Roman"/>
                <w:spacing w:val="-2"/>
                <w:sz w:val="21"/>
                <w:szCs w:val="21"/>
              </w:rPr>
              <w:t>202</w:t>
            </w:r>
            <w:r>
              <w:rPr>
                <w:rFonts w:hint="eastAsia" w:eastAsia="宋体" w:cs="Times New Roman"/>
                <w:spacing w:val="-2"/>
                <w:sz w:val="21"/>
                <w:szCs w:val="21"/>
                <w:lang w:val="en-US" w:eastAsia="zh-CN"/>
              </w:rPr>
              <w:t>6</w:t>
            </w:r>
            <w:r>
              <w:rPr>
                <w:rFonts w:hint="default" w:ascii="Times New Roman" w:hAnsi="Times New Roman" w:eastAsia="Times New Roman" w:cs="Times New Roman"/>
                <w:spacing w:val="-2"/>
                <w:sz w:val="21"/>
                <w:szCs w:val="21"/>
              </w:rPr>
              <w:t xml:space="preserve"> </w:t>
            </w:r>
            <w:r>
              <w:rPr>
                <w:rFonts w:hint="default" w:ascii="宋体" w:hAnsi="宋体" w:eastAsia="宋体" w:cs="宋体"/>
                <w:spacing w:val="-2"/>
                <w:sz w:val="21"/>
                <w:szCs w:val="21"/>
              </w:rPr>
              <w:t>年</w:t>
            </w:r>
            <w:r>
              <w:rPr>
                <w:rFonts w:hint="default" w:ascii="宋体" w:hAnsi="宋体" w:eastAsia="宋体" w:cs="宋体"/>
                <w:spacing w:val="-27"/>
                <w:sz w:val="21"/>
                <w:szCs w:val="21"/>
              </w:rPr>
              <w:t xml:space="preserve"> </w:t>
            </w:r>
            <w:r>
              <w:rPr>
                <w:rFonts w:hint="default" w:ascii="Times New Roman" w:hAnsi="Times New Roman" w:eastAsia="Times New Roman" w:cs="Times New Roman"/>
                <w:spacing w:val="-2"/>
                <w:sz w:val="21"/>
                <w:szCs w:val="21"/>
              </w:rPr>
              <w:t>11</w:t>
            </w:r>
            <w:r>
              <w:rPr>
                <w:rFonts w:hint="default" w:ascii="宋体" w:hAnsi="宋体" w:eastAsia="宋体" w:cs="宋体"/>
                <w:spacing w:val="-2"/>
                <w:sz w:val="21"/>
                <w:szCs w:val="21"/>
              </w:rPr>
              <w:t>月底前付至合同价款的</w:t>
            </w:r>
            <w:r>
              <w:rPr>
                <w:rFonts w:hint="default" w:ascii="宋体" w:hAnsi="宋体" w:eastAsia="宋体" w:cs="宋体"/>
                <w:spacing w:val="-43"/>
                <w:sz w:val="21"/>
                <w:szCs w:val="21"/>
              </w:rPr>
              <w:t xml:space="preserve"> </w:t>
            </w:r>
            <w:r>
              <w:rPr>
                <w:rFonts w:hint="default" w:ascii="Times New Roman" w:hAnsi="Times New Roman" w:eastAsia="Times New Roman" w:cs="Times New Roman"/>
                <w:spacing w:val="-2"/>
                <w:sz w:val="21"/>
                <w:szCs w:val="21"/>
              </w:rPr>
              <w:t>66% (</w:t>
            </w:r>
            <w:r>
              <w:rPr>
                <w:rFonts w:hint="default" w:ascii="宋体" w:hAnsi="宋体" w:eastAsia="宋体" w:cs="宋体"/>
                <w:spacing w:val="-2"/>
                <w:sz w:val="21"/>
                <w:szCs w:val="21"/>
              </w:rPr>
              <w:t>第二年的物业管理服务费</w:t>
            </w:r>
            <w:r>
              <w:rPr>
                <w:rFonts w:hint="default" w:ascii="Times New Roman" w:hAnsi="Times New Roman" w:eastAsia="Times New Roman" w:cs="Times New Roman"/>
                <w:spacing w:val="-2"/>
                <w:sz w:val="21"/>
                <w:szCs w:val="21"/>
              </w:rPr>
              <w:t xml:space="preserve">)  </w:t>
            </w:r>
            <w:r>
              <w:rPr>
                <w:rFonts w:hint="default" w:ascii="宋体" w:hAnsi="宋体" w:eastAsia="宋体" w:cs="宋体"/>
                <w:spacing w:val="-2"/>
                <w:sz w:val="21"/>
                <w:szCs w:val="21"/>
              </w:rPr>
              <w:t>，</w:t>
            </w:r>
            <w:r>
              <w:rPr>
                <w:rFonts w:hint="default" w:ascii="Times New Roman" w:hAnsi="Times New Roman" w:eastAsia="Times New Roman" w:cs="Times New Roman"/>
                <w:spacing w:val="-3"/>
                <w:sz w:val="21"/>
                <w:szCs w:val="21"/>
              </w:rPr>
              <w:t>202</w:t>
            </w:r>
            <w:r>
              <w:rPr>
                <w:rFonts w:hint="eastAsia" w:eastAsia="宋体" w:cs="Times New Roman"/>
                <w:spacing w:val="-3"/>
                <w:sz w:val="21"/>
                <w:szCs w:val="21"/>
                <w:lang w:val="en-US" w:eastAsia="zh-CN"/>
              </w:rPr>
              <w:t>7</w:t>
            </w:r>
            <w:r>
              <w:rPr>
                <w:rFonts w:hint="default" w:ascii="宋体" w:hAnsi="宋体" w:eastAsia="宋体" w:cs="宋体"/>
                <w:spacing w:val="-3"/>
                <w:sz w:val="21"/>
                <w:szCs w:val="21"/>
              </w:rPr>
              <w:t>年</w:t>
            </w:r>
            <w:r>
              <w:rPr>
                <w:rFonts w:hint="default" w:ascii="宋体" w:hAnsi="宋体" w:eastAsia="宋体" w:cs="宋体"/>
                <w:spacing w:val="-30"/>
                <w:sz w:val="21"/>
                <w:szCs w:val="21"/>
              </w:rPr>
              <w:t xml:space="preserve"> </w:t>
            </w:r>
            <w:r>
              <w:rPr>
                <w:rFonts w:hint="default" w:ascii="Times New Roman" w:hAnsi="Times New Roman" w:eastAsia="Times New Roman" w:cs="Times New Roman"/>
                <w:spacing w:val="-3"/>
                <w:sz w:val="21"/>
                <w:szCs w:val="21"/>
              </w:rPr>
              <w:t xml:space="preserve">11 </w:t>
            </w:r>
            <w:r>
              <w:rPr>
                <w:rFonts w:hint="default" w:ascii="宋体" w:hAnsi="宋体" w:eastAsia="宋体" w:cs="宋体"/>
                <w:spacing w:val="-3"/>
                <w:sz w:val="21"/>
                <w:szCs w:val="21"/>
              </w:rPr>
              <w:t>月底前付至合同价款的</w:t>
            </w:r>
            <w:r>
              <w:rPr>
                <w:rFonts w:hint="default" w:ascii="宋体" w:hAnsi="宋体" w:eastAsia="宋体" w:cs="宋体"/>
                <w:spacing w:val="-32"/>
                <w:sz w:val="21"/>
                <w:szCs w:val="21"/>
              </w:rPr>
              <w:t xml:space="preserve"> </w:t>
            </w:r>
            <w:r>
              <w:rPr>
                <w:rFonts w:hint="default" w:ascii="Times New Roman" w:hAnsi="Times New Roman" w:eastAsia="Times New Roman" w:cs="Times New Roman"/>
                <w:spacing w:val="-3"/>
                <w:sz w:val="21"/>
                <w:szCs w:val="21"/>
              </w:rPr>
              <w:t>100% (</w:t>
            </w:r>
            <w:r>
              <w:rPr>
                <w:rFonts w:hint="default" w:ascii="宋体" w:hAnsi="宋体" w:eastAsia="宋体" w:cs="宋体"/>
                <w:spacing w:val="-3"/>
                <w:sz w:val="21"/>
                <w:szCs w:val="21"/>
              </w:rPr>
              <w:t>第三年的物业管理服务费</w:t>
            </w:r>
            <w:r>
              <w:rPr>
                <w:rFonts w:hint="default" w:ascii="Times New Roman" w:hAnsi="Times New Roman" w:eastAsia="Times New Roman" w:cs="Times New Roman"/>
                <w:spacing w:val="-3"/>
                <w:sz w:val="21"/>
                <w:szCs w:val="21"/>
              </w:rPr>
              <w:t>)</w:t>
            </w:r>
            <w:r>
              <w:rPr>
                <w:rFonts w:hint="default" w:ascii="宋体" w:hAnsi="宋体" w:eastAsia="宋体" w:cs="宋体"/>
                <w:spacing w:val="-3"/>
                <w:sz w:val="21"/>
                <w:szCs w:val="21"/>
              </w:rPr>
              <w:t>。供应商在收到每笔款项后五个工作日内开具</w:t>
            </w:r>
            <w:r>
              <w:rPr>
                <w:rFonts w:hint="default" w:ascii="宋体" w:hAnsi="宋体" w:eastAsia="宋体" w:cs="宋体"/>
                <w:spacing w:val="-4"/>
                <w:sz w:val="21"/>
                <w:szCs w:val="21"/>
              </w:rPr>
              <w:t>等额有效发票给采购人。</w:t>
            </w:r>
          </w:p>
        </w:tc>
      </w:tr>
    </w:tbl>
    <w:p w14:paraId="145F39E9">
      <w:pPr>
        <w:rPr>
          <w:rStyle w:val="33"/>
          <w:rFonts w:hint="eastAsia" w:ascii="宋体" w:hAnsi="宋体" w:eastAsia="宋体" w:cs="宋体"/>
          <w:b/>
          <w:color w:val="auto"/>
          <w:sz w:val="36"/>
          <w:szCs w:val="36"/>
          <w:highlight w:val="none"/>
        </w:rPr>
      </w:pPr>
    </w:p>
    <w:p w14:paraId="23A902E6">
      <w:pPr>
        <w:jc w:val="center"/>
        <w:rPr>
          <w:rStyle w:val="33"/>
          <w:rFonts w:hint="eastAsia" w:ascii="宋体" w:hAnsi="宋体" w:eastAsia="宋体" w:cs="宋体"/>
          <w:b/>
          <w:color w:val="auto"/>
          <w:sz w:val="36"/>
          <w:szCs w:val="36"/>
          <w:highlight w:val="none"/>
        </w:rPr>
        <w:sectPr>
          <w:pgSz w:w="11906" w:h="16838"/>
          <w:pgMar w:top="1417" w:right="1417" w:bottom="757" w:left="1417" w:header="851" w:footer="992" w:gutter="0"/>
          <w:cols w:space="720" w:num="1"/>
          <w:docGrid w:type="lines" w:linePitch="312" w:charSpace="0"/>
        </w:sectPr>
      </w:pPr>
    </w:p>
    <w:p w14:paraId="1790B869">
      <w:pPr>
        <w:jc w:val="center"/>
        <w:outlineLvl w:val="0"/>
        <w:rPr>
          <w:rStyle w:val="33"/>
          <w:rFonts w:hint="eastAsia" w:ascii="宋体" w:hAnsi="宋体" w:eastAsia="宋体" w:cs="宋体"/>
          <w:b/>
          <w:color w:val="auto"/>
          <w:sz w:val="36"/>
          <w:szCs w:val="36"/>
          <w:highlight w:val="none"/>
        </w:rPr>
      </w:pPr>
      <w:bookmarkStart w:id="13" w:name="_Toc12155"/>
      <w:r>
        <w:rPr>
          <w:rStyle w:val="33"/>
          <w:rFonts w:hint="eastAsia" w:ascii="宋体" w:hAnsi="宋体" w:eastAsia="宋体" w:cs="宋体"/>
          <w:b/>
          <w:color w:val="auto"/>
          <w:sz w:val="36"/>
          <w:szCs w:val="36"/>
          <w:highlight w:val="none"/>
        </w:rPr>
        <w:t>磋商供应商须知</w:t>
      </w:r>
      <w:bookmarkEnd w:id="13"/>
    </w:p>
    <w:p w14:paraId="1BFCC14D">
      <w:pPr>
        <w:pStyle w:val="31"/>
        <w:outlineLvl w:val="0"/>
        <w:rPr>
          <w:rStyle w:val="33"/>
          <w:rFonts w:hint="eastAsia" w:ascii="宋体" w:hAnsi="宋体" w:eastAsia="宋体" w:cs="宋体"/>
          <w:b/>
          <w:bCs/>
          <w:color w:val="auto"/>
          <w:sz w:val="36"/>
          <w:highlight w:val="none"/>
        </w:rPr>
      </w:pPr>
      <w:bookmarkStart w:id="14" w:name="_Toc2445"/>
      <w:r>
        <w:rPr>
          <w:rStyle w:val="33"/>
          <w:rFonts w:hint="eastAsia" w:ascii="宋体" w:hAnsi="宋体" w:eastAsia="宋体" w:cs="宋体"/>
          <w:b/>
          <w:bCs/>
          <w:color w:val="auto"/>
          <w:highlight w:val="none"/>
        </w:rPr>
        <w:t>一、总 则</w:t>
      </w:r>
      <w:bookmarkEnd w:id="14"/>
    </w:p>
    <w:p w14:paraId="22ABCE11">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1. 适用范围  </w:t>
      </w:r>
    </w:p>
    <w:p w14:paraId="393BDFE0">
      <w:pPr>
        <w:spacing w:line="360" w:lineRule="auto"/>
        <w:ind w:firstLine="315" w:firstLineChars="150"/>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1.1项目名称：</w:t>
      </w:r>
      <w:r>
        <w:rPr>
          <w:rStyle w:val="33"/>
          <w:rFonts w:hint="eastAsia" w:ascii="宋体" w:hAnsi="宋体" w:cs="宋体"/>
          <w:color w:val="auto"/>
          <w:szCs w:val="21"/>
          <w:highlight w:val="none"/>
          <w:lang w:eastAsia="zh-CN"/>
        </w:rPr>
        <w:t>物业管理服务</w:t>
      </w:r>
    </w:p>
    <w:p w14:paraId="1494AA05">
      <w:pPr>
        <w:spacing w:line="360" w:lineRule="auto"/>
        <w:ind w:firstLine="630" w:firstLineChars="300"/>
        <w:jc w:val="left"/>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项目编号：</w:t>
      </w:r>
      <w:r>
        <w:rPr>
          <w:rStyle w:val="33"/>
          <w:rFonts w:hint="eastAsia" w:ascii="宋体" w:hAnsi="宋体" w:cs="宋体"/>
          <w:color w:val="auto"/>
          <w:szCs w:val="21"/>
          <w:highlight w:val="none"/>
          <w:lang w:eastAsia="zh-CN"/>
        </w:rPr>
        <w:t>GGZC2025-C3-990259-BSGC</w:t>
      </w:r>
    </w:p>
    <w:p w14:paraId="6F524B1B">
      <w:pPr>
        <w:spacing w:line="360" w:lineRule="auto"/>
        <w:ind w:firstLine="630" w:firstLineChars="3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本文件仅适用于本文件中所叙述的服务类采购项目。</w:t>
      </w:r>
    </w:p>
    <w:p w14:paraId="790BB0F2">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2. 定义 </w:t>
      </w:r>
    </w:p>
    <w:p w14:paraId="51E30334">
      <w:pPr>
        <w:spacing w:line="360" w:lineRule="auto"/>
        <w:ind w:firstLine="315" w:firstLineChars="150"/>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2.1 “采购人”是指：</w:t>
      </w:r>
      <w:r>
        <w:rPr>
          <w:rStyle w:val="33"/>
          <w:rFonts w:hint="eastAsia" w:ascii="宋体" w:hAnsi="宋体" w:cs="宋体"/>
          <w:color w:val="auto"/>
          <w:szCs w:val="21"/>
          <w:highlight w:val="none"/>
          <w:lang w:eastAsia="zh-CN"/>
        </w:rPr>
        <w:t>贵港市司法局</w:t>
      </w:r>
    </w:p>
    <w:p w14:paraId="70BEB304">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2.2 “采购代理机构” 是指：</w:t>
      </w:r>
      <w:r>
        <w:rPr>
          <w:rStyle w:val="33"/>
          <w:rFonts w:hint="eastAsia" w:ascii="宋体" w:hAnsi="宋体" w:cs="宋体"/>
          <w:color w:val="auto"/>
          <w:szCs w:val="21"/>
          <w:highlight w:val="none"/>
          <w:lang w:eastAsia="zh-CN"/>
        </w:rPr>
        <w:t>广西宝盛工程咨询有限公司</w:t>
      </w:r>
      <w:r>
        <w:rPr>
          <w:rStyle w:val="33"/>
          <w:rFonts w:hint="eastAsia" w:ascii="宋体" w:hAnsi="宋体" w:eastAsia="宋体" w:cs="宋体"/>
          <w:color w:val="auto"/>
          <w:szCs w:val="21"/>
          <w:highlight w:val="none"/>
        </w:rPr>
        <w:t>(以下简称“本公司”)。</w:t>
      </w:r>
    </w:p>
    <w:p w14:paraId="2EA9D0F9">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2.3 “磋商供应商”是指响应本文件要求，参加磋商的法人或者其他组织。如果该供应商在本次磋商中成交，即成为“成交供应商”。</w:t>
      </w:r>
    </w:p>
    <w:p w14:paraId="256489B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2.4 “服务”是指除货物和工程以外的其他采购对象。</w:t>
      </w:r>
    </w:p>
    <w:p w14:paraId="37BC1435">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2.5 “竞争性磋商响应文件”是指：磋商供应商根据本磋商文件要求，编制包含报价、技术和服务等所有内容的文件。</w:t>
      </w:r>
    </w:p>
    <w:p w14:paraId="116BE3AD">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3. 磋商供应商的资格</w:t>
      </w:r>
    </w:p>
    <w:p w14:paraId="6C123C0B">
      <w:pPr>
        <w:spacing w:line="360" w:lineRule="auto"/>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3.1、符合《中华人民共和国政府采购法》第二十二条规定；</w:t>
      </w:r>
    </w:p>
    <w:p w14:paraId="333A5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3.2落实政府采购政策需满足的资格要求：分标1：本项目专门面向中小企业实施采购；</w:t>
      </w:r>
    </w:p>
    <w:p w14:paraId="111C33C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3.3本项目的特定资格要求：</w:t>
      </w:r>
      <w:r>
        <w:rPr>
          <w:rFonts w:hint="eastAsia" w:ascii="宋体" w:hAnsi="宋体" w:cs="宋体"/>
          <w:color w:val="auto"/>
          <w:szCs w:val="21"/>
          <w:highlight w:val="none"/>
          <w:lang w:val="en-US" w:eastAsia="zh-CN"/>
        </w:rPr>
        <w:t>/</w:t>
      </w:r>
    </w:p>
    <w:p w14:paraId="6962E203">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4. 磋商费用、竞争性磋商公告、竞争性磋商文件的澄清和修改  </w:t>
      </w:r>
    </w:p>
    <w:p w14:paraId="06C80D69">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2BE9CAE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4.2 竞争性磋商公告：在http://www.ccgp.gov.cn（中国政府采购网）、http://zfcg.gxzf.gov.cn/（广西壮族自治区政府采购网）、http://zfcg.czj.gxgg.gov.cn（贵港市政府采购网）、http://ggzy.jgswj.gxzf.gov.cn/ggggzy/全国公共资源交易平台（广西·贵港）上发布。  </w:t>
      </w:r>
    </w:p>
    <w:p w14:paraId="104E7D65">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4.3 竞争性磋商文件的澄清和修改：  </w:t>
      </w:r>
    </w:p>
    <w:p w14:paraId="0F09E383">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571841EC">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82EFF1C">
      <w:pPr>
        <w:spacing w:line="360" w:lineRule="auto"/>
        <w:ind w:firstLine="411" w:firstLineChars="196"/>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http://ggzy.jgswj.gxzf.gov.cn/ggggzy/全国公共资源交易平台（广西·贵港）上发布更正公告，该澄清或者修改的内容为竞争性磋商文件的组成部分。  </w:t>
      </w:r>
    </w:p>
    <w:p w14:paraId="78DB4054">
      <w:pPr>
        <w:pStyle w:val="31"/>
        <w:outlineLvl w:val="0"/>
        <w:rPr>
          <w:rStyle w:val="33"/>
          <w:rFonts w:hint="eastAsia" w:ascii="宋体" w:hAnsi="宋体" w:eastAsia="宋体" w:cs="宋体"/>
          <w:b/>
          <w:bCs/>
          <w:color w:val="auto"/>
          <w:highlight w:val="none"/>
        </w:rPr>
      </w:pPr>
      <w:bookmarkStart w:id="15" w:name="_Toc16149"/>
      <w:r>
        <w:rPr>
          <w:rStyle w:val="33"/>
          <w:rFonts w:hint="eastAsia" w:ascii="宋体" w:hAnsi="宋体" w:eastAsia="宋体" w:cs="宋体"/>
          <w:b/>
          <w:bCs/>
          <w:color w:val="auto"/>
          <w:highlight w:val="none"/>
        </w:rPr>
        <w:t>二、竞争性磋商响应文件的编制</w:t>
      </w:r>
      <w:bookmarkEnd w:id="15"/>
      <w:r>
        <w:rPr>
          <w:rStyle w:val="33"/>
          <w:rFonts w:hint="eastAsia" w:ascii="宋体" w:hAnsi="宋体" w:eastAsia="宋体" w:cs="宋体"/>
          <w:b/>
          <w:bCs/>
          <w:color w:val="auto"/>
          <w:highlight w:val="none"/>
        </w:rPr>
        <w:t xml:space="preserve"> </w:t>
      </w:r>
    </w:p>
    <w:p w14:paraId="184282BD">
      <w:pPr>
        <w:spacing w:line="360" w:lineRule="auto"/>
        <w:ind w:firstLine="310" w:firstLineChars="147"/>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5. 竞争性磋商响应文件编制基本要求 </w:t>
      </w:r>
    </w:p>
    <w:p w14:paraId="7DE9B553">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5.1.本项目实行电子投标，供应商应准备电子磋商响应文件：</w:t>
      </w:r>
    </w:p>
    <w:p w14:paraId="04F2F2F8">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电子响应文件按政采云平台要求及本竞争性磋商文件要求制作、加密并递交。具体操作流程可参考《政府采购项目电子交易管理操作指南-供应商》，指南可在“http://www.ccgp-guangxi.gov.cn/PurchaseAdvisory/ImportantNotice/2866753.html”下载。</w:t>
      </w:r>
    </w:p>
    <w:p w14:paraId="4CD35C47">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9F3CEF0">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供应商提交的竞争性磋商响应文件以及供应商与本公司和采购人就有关磋商的所有来往函电均应使用中文。供应商提交的支持文件和印刷的文献可以使用别的语言，但其相应内容必须附有中文翻译文本，在解释竞争性磋商响应文件时以翻译文本为主。</w:t>
      </w:r>
    </w:p>
    <w:p w14:paraId="6C8CBCD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5.3供应商应认真阅读、并充分理解本文件的全部内容（包括所有的澄清、更改、补充、答疑等内容），承诺并履行本文件中各项条款规定及要求。</w:t>
      </w:r>
    </w:p>
    <w:p w14:paraId="4B101DDD">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5.4竞争性磋商响应文件必须按本文件的全部内容，包括所有的澄清、更改、补充、答疑等内容及附件进行编制。</w:t>
      </w:r>
    </w:p>
    <w:p w14:paraId="53D42A4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5.5如因供应商只填写和提供了本文件要求的部分内容和附件，而给磋商小组评审造成困难，其可能导致的结果和责任由供应商自行承担。</w:t>
      </w:r>
    </w:p>
    <w:p w14:paraId="16B020B1">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5.6竞争性磋商响应文件的组成：竞争性磋商响应文件应分为</w:t>
      </w:r>
      <w:r>
        <w:rPr>
          <w:rStyle w:val="33"/>
          <w:rFonts w:hint="eastAsia" w:ascii="宋体" w:hAnsi="宋体" w:cs="宋体"/>
          <w:color w:val="auto"/>
          <w:szCs w:val="21"/>
          <w:highlight w:val="none"/>
          <w:lang w:eastAsia="zh-CN"/>
        </w:rPr>
        <w:t>报价</w:t>
      </w:r>
      <w:r>
        <w:rPr>
          <w:rStyle w:val="33"/>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3"/>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 xml:space="preserve">个部分组成。供应商应仔细阅读竞争性磋商文件的所有内容，按竞争性磋商文件的要求，详细编制磋商响应文件。 </w:t>
      </w:r>
    </w:p>
    <w:p w14:paraId="43F3FD9D">
      <w:pPr>
        <w:spacing w:line="360" w:lineRule="auto"/>
        <w:ind w:firstLine="315" w:firstLineChars="150"/>
        <w:rPr>
          <w:rStyle w:val="33"/>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竞争性磋商响应文件应分为</w:t>
      </w:r>
      <w:r>
        <w:rPr>
          <w:rStyle w:val="33"/>
          <w:rFonts w:hint="eastAsia" w:ascii="宋体" w:hAnsi="宋体" w:cs="宋体"/>
          <w:color w:val="auto"/>
          <w:szCs w:val="21"/>
          <w:highlight w:val="none"/>
          <w:lang w:eastAsia="zh-CN"/>
        </w:rPr>
        <w:t>报价</w:t>
      </w:r>
      <w:r>
        <w:rPr>
          <w:rStyle w:val="33"/>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3"/>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个部分组成</w:t>
      </w:r>
    </w:p>
    <w:p w14:paraId="535C8492">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5.6.1 </w:t>
      </w:r>
      <w:r>
        <w:rPr>
          <w:rStyle w:val="33"/>
          <w:rFonts w:hint="eastAsia" w:ascii="宋体" w:hAnsi="宋体" w:cs="宋体"/>
          <w:color w:val="auto"/>
          <w:szCs w:val="21"/>
          <w:highlight w:val="none"/>
          <w:lang w:eastAsia="zh-CN"/>
        </w:rPr>
        <w:t>报价</w:t>
      </w:r>
      <w:r>
        <w:rPr>
          <w:rStyle w:val="33"/>
          <w:rFonts w:hint="eastAsia" w:ascii="宋体" w:hAnsi="宋体" w:eastAsia="宋体" w:cs="宋体"/>
          <w:color w:val="auto"/>
          <w:szCs w:val="21"/>
          <w:highlight w:val="none"/>
        </w:rPr>
        <w:t>文件</w:t>
      </w:r>
    </w:p>
    <w:p w14:paraId="122B6FD3">
      <w:pPr>
        <w:spacing w:line="420" w:lineRule="exact"/>
        <w:ind w:firstLine="315" w:firstLineChars="150"/>
        <w:rPr>
          <w:rStyle w:val="33"/>
          <w:rFonts w:hint="eastAsia" w:ascii="宋体" w:hAnsi="宋体" w:eastAsia="宋体" w:cs="宋体"/>
          <w:b/>
          <w:color w:val="auto"/>
          <w:szCs w:val="21"/>
          <w:highlight w:val="none"/>
        </w:rPr>
      </w:pPr>
      <w:r>
        <w:rPr>
          <w:rStyle w:val="33"/>
          <w:rFonts w:hint="eastAsia" w:ascii="宋体" w:hAnsi="宋体" w:cs="宋体"/>
          <w:color w:val="auto"/>
          <w:szCs w:val="21"/>
          <w:highlight w:val="none"/>
          <w:lang w:eastAsia="zh-CN"/>
        </w:rPr>
        <w:t>（</w:t>
      </w:r>
      <w:r>
        <w:rPr>
          <w:rStyle w:val="33"/>
          <w:rFonts w:hint="eastAsia" w:ascii="宋体" w:hAnsi="宋体" w:eastAsia="宋体" w:cs="宋体"/>
          <w:color w:val="auto"/>
          <w:szCs w:val="21"/>
          <w:highlight w:val="none"/>
        </w:rPr>
        <w:t>1）磋商书；</w:t>
      </w:r>
      <w:r>
        <w:rPr>
          <w:rStyle w:val="33"/>
          <w:rFonts w:hint="eastAsia" w:ascii="宋体" w:hAnsi="宋体" w:eastAsia="宋体" w:cs="宋体"/>
          <w:b/>
          <w:bCs/>
          <w:color w:val="auto"/>
          <w:szCs w:val="21"/>
          <w:highlight w:val="none"/>
        </w:rPr>
        <w:t>（必须提供，加盖单位公章）</w:t>
      </w:r>
    </w:p>
    <w:p w14:paraId="698E1025">
      <w:pPr>
        <w:spacing w:line="420" w:lineRule="exact"/>
        <w:ind w:firstLine="315" w:firstLineChars="150"/>
        <w:rPr>
          <w:rStyle w:val="33"/>
          <w:rFonts w:hint="eastAsia" w:ascii="宋体" w:hAnsi="宋体" w:eastAsia="宋体" w:cs="宋体"/>
          <w:b/>
          <w:bCs/>
          <w:color w:val="auto"/>
          <w:szCs w:val="21"/>
          <w:highlight w:val="none"/>
        </w:rPr>
      </w:pPr>
      <w:r>
        <w:rPr>
          <w:rStyle w:val="33"/>
          <w:rFonts w:hint="eastAsia" w:ascii="宋体" w:hAnsi="宋体" w:cs="宋体"/>
          <w:color w:val="auto"/>
          <w:szCs w:val="21"/>
          <w:highlight w:val="none"/>
          <w:lang w:eastAsia="zh-CN"/>
        </w:rPr>
        <w:t>（</w:t>
      </w:r>
      <w:r>
        <w:rPr>
          <w:rStyle w:val="33"/>
          <w:rFonts w:hint="eastAsia" w:ascii="宋体" w:hAnsi="宋体" w:eastAsia="宋体" w:cs="宋体"/>
          <w:color w:val="auto"/>
          <w:szCs w:val="21"/>
          <w:highlight w:val="none"/>
        </w:rPr>
        <w:t>2）磋商报价表；</w:t>
      </w:r>
      <w:r>
        <w:rPr>
          <w:rStyle w:val="33"/>
          <w:rFonts w:hint="eastAsia" w:ascii="宋体" w:hAnsi="宋体" w:eastAsia="宋体" w:cs="宋体"/>
          <w:b/>
          <w:bCs/>
          <w:color w:val="auto"/>
          <w:szCs w:val="21"/>
          <w:highlight w:val="none"/>
        </w:rPr>
        <w:t>（必须提供，加盖单位公章）</w:t>
      </w:r>
    </w:p>
    <w:p w14:paraId="62CD3E62">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5.6.</w:t>
      </w:r>
      <w:r>
        <w:rPr>
          <w:rStyle w:val="33"/>
          <w:rFonts w:hint="eastAsia" w:ascii="宋体" w:hAnsi="宋体" w:cs="宋体"/>
          <w:color w:val="auto"/>
          <w:szCs w:val="21"/>
          <w:highlight w:val="none"/>
          <w:lang w:val="en-US" w:eastAsia="zh-CN"/>
        </w:rPr>
        <w:t>2</w:t>
      </w:r>
      <w:r>
        <w:rPr>
          <w:rStyle w:val="33"/>
          <w:rFonts w:hint="eastAsia" w:ascii="宋体" w:hAnsi="宋体" w:eastAsia="宋体" w:cs="宋体"/>
          <w:color w:val="auto"/>
          <w:szCs w:val="21"/>
          <w:highlight w:val="none"/>
        </w:rPr>
        <w:t>资格证明文件；</w:t>
      </w:r>
    </w:p>
    <w:p w14:paraId="3D0093E0">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（1）营业执照副本复印件；</w:t>
      </w:r>
      <w:r>
        <w:rPr>
          <w:rStyle w:val="33"/>
          <w:rFonts w:hint="eastAsia" w:ascii="宋体" w:hAnsi="宋体" w:eastAsia="宋体" w:cs="宋体"/>
          <w:b/>
          <w:bCs/>
          <w:color w:val="auto"/>
          <w:szCs w:val="21"/>
          <w:highlight w:val="none"/>
        </w:rPr>
        <w:t>（必须提供，加盖单位公章）</w:t>
      </w:r>
      <w:r>
        <w:rPr>
          <w:rStyle w:val="33"/>
          <w:rFonts w:hint="eastAsia" w:ascii="宋体" w:hAnsi="宋体" w:eastAsia="宋体" w:cs="宋体"/>
          <w:color w:val="auto"/>
          <w:szCs w:val="21"/>
          <w:highlight w:val="none"/>
        </w:rPr>
        <w:t>；</w:t>
      </w:r>
    </w:p>
    <w:p w14:paraId="5B0AFFED">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（2）磋商供应商资格声明；</w:t>
      </w:r>
      <w:r>
        <w:rPr>
          <w:rStyle w:val="33"/>
          <w:rFonts w:hint="eastAsia" w:ascii="宋体" w:hAnsi="宋体" w:eastAsia="宋体" w:cs="宋体"/>
          <w:b/>
          <w:bCs/>
          <w:color w:val="auto"/>
          <w:szCs w:val="21"/>
          <w:highlight w:val="none"/>
        </w:rPr>
        <w:t>（必须提供，加盖单位公章）</w:t>
      </w:r>
      <w:r>
        <w:rPr>
          <w:rStyle w:val="33"/>
          <w:rFonts w:hint="eastAsia" w:ascii="宋体" w:hAnsi="宋体" w:eastAsia="宋体" w:cs="宋体"/>
          <w:color w:val="auto"/>
          <w:szCs w:val="21"/>
          <w:highlight w:val="none"/>
        </w:rPr>
        <w:t xml:space="preserve">； </w:t>
      </w:r>
    </w:p>
    <w:p w14:paraId="5D2C0438">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（3）法定代表人有效的身份证正反面复印件；</w:t>
      </w:r>
      <w:r>
        <w:rPr>
          <w:rStyle w:val="33"/>
          <w:rFonts w:hint="eastAsia" w:ascii="宋体" w:hAnsi="宋体" w:eastAsia="宋体" w:cs="宋体"/>
          <w:b/>
          <w:bCs/>
          <w:color w:val="auto"/>
          <w:szCs w:val="21"/>
          <w:highlight w:val="none"/>
        </w:rPr>
        <w:t>（必须提供，加盖单位公章）</w:t>
      </w:r>
      <w:r>
        <w:rPr>
          <w:rStyle w:val="33"/>
          <w:rFonts w:hint="eastAsia" w:ascii="宋体" w:hAnsi="宋体" w:eastAsia="宋体" w:cs="宋体"/>
          <w:color w:val="auto"/>
          <w:szCs w:val="21"/>
          <w:highlight w:val="none"/>
        </w:rPr>
        <w:t>；</w:t>
      </w:r>
    </w:p>
    <w:p w14:paraId="56492479">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（4）法定代表人授权书及委托代理人身份证正反面复印件；</w:t>
      </w:r>
      <w:r>
        <w:rPr>
          <w:rStyle w:val="33"/>
          <w:rFonts w:hint="eastAsia" w:ascii="宋体" w:hAnsi="宋体" w:eastAsia="宋体" w:cs="宋体"/>
          <w:b/>
          <w:bCs/>
          <w:color w:val="auto"/>
          <w:szCs w:val="21"/>
          <w:highlight w:val="none"/>
        </w:rPr>
        <w:t>（委托代理时必须提供，加盖投标单位公章，否则将被当作资格审查不合格而取消投标资格）</w:t>
      </w:r>
      <w:r>
        <w:rPr>
          <w:rStyle w:val="33"/>
          <w:rFonts w:hint="eastAsia" w:ascii="宋体" w:hAnsi="宋体" w:eastAsia="宋体" w:cs="宋体"/>
          <w:color w:val="auto"/>
          <w:szCs w:val="21"/>
          <w:highlight w:val="none"/>
        </w:rPr>
        <w:t>；</w:t>
      </w:r>
    </w:p>
    <w:p w14:paraId="6A486A95">
      <w:pPr>
        <w:spacing w:line="420" w:lineRule="exact"/>
        <w:ind w:firstLine="105" w:firstLineChars="50"/>
        <w:rPr>
          <w:rStyle w:val="33"/>
          <w:rFonts w:hint="eastAsia" w:ascii="宋体" w:hAnsi="宋体" w:eastAsia="宋体" w:cs="宋体"/>
          <w:b/>
          <w:color w:val="auto"/>
          <w:kern w:val="0"/>
          <w:highlight w:val="none"/>
        </w:rPr>
      </w:pPr>
      <w:r>
        <w:rPr>
          <w:rStyle w:val="33"/>
          <w:rFonts w:hint="eastAsia" w:ascii="宋体" w:hAnsi="宋体" w:eastAsia="宋体" w:cs="宋体"/>
          <w:color w:val="auto"/>
          <w:szCs w:val="21"/>
          <w:highlight w:val="none"/>
        </w:rPr>
        <w:t>（5）</w:t>
      </w:r>
      <w:r>
        <w:rPr>
          <w:rStyle w:val="33"/>
          <w:rFonts w:hint="eastAsia" w:ascii="宋体" w:hAnsi="宋体" w:eastAsia="宋体" w:cs="宋体"/>
          <w:color w:val="auto"/>
          <w:kern w:val="0"/>
          <w:highlight w:val="none"/>
        </w:rPr>
        <w:t>贵港市政府采购项目投标资格承诺函</w:t>
      </w:r>
      <w:r>
        <w:rPr>
          <w:rStyle w:val="33"/>
          <w:rFonts w:hint="eastAsia" w:ascii="宋体" w:hAnsi="宋体" w:eastAsia="宋体" w:cs="宋体"/>
          <w:b/>
          <w:bCs/>
          <w:color w:val="auto"/>
          <w:kern w:val="0"/>
          <w:highlight w:val="none"/>
        </w:rPr>
        <w:t>（</w:t>
      </w:r>
      <w:r>
        <w:rPr>
          <w:rStyle w:val="33"/>
          <w:rFonts w:hint="eastAsia" w:ascii="宋体" w:hAnsi="宋体" w:eastAsia="宋体" w:cs="宋体"/>
          <w:b/>
          <w:color w:val="auto"/>
          <w:szCs w:val="21"/>
          <w:highlight w:val="none"/>
        </w:rPr>
        <w:t>必须提供</w:t>
      </w:r>
      <w:r>
        <w:rPr>
          <w:rStyle w:val="33"/>
          <w:rFonts w:hint="eastAsia" w:ascii="宋体" w:hAnsi="宋体" w:eastAsia="宋体" w:cs="宋体"/>
          <w:b/>
          <w:bCs/>
          <w:color w:val="auto"/>
          <w:kern w:val="0"/>
          <w:highlight w:val="none"/>
        </w:rPr>
        <w:t>，</w:t>
      </w:r>
      <w:r>
        <w:rPr>
          <w:rStyle w:val="33"/>
          <w:rFonts w:hint="eastAsia" w:ascii="宋体" w:hAnsi="宋体" w:eastAsia="宋体" w:cs="宋体"/>
          <w:b/>
          <w:bCs/>
          <w:color w:val="auto"/>
          <w:szCs w:val="21"/>
          <w:highlight w:val="none"/>
        </w:rPr>
        <w:t>加盖单位公章</w:t>
      </w:r>
      <w:r>
        <w:rPr>
          <w:rStyle w:val="33"/>
          <w:rFonts w:hint="eastAsia" w:ascii="宋体" w:hAnsi="宋体" w:eastAsia="宋体" w:cs="宋体"/>
          <w:b/>
          <w:bCs/>
          <w:color w:val="auto"/>
          <w:kern w:val="0"/>
          <w:highlight w:val="none"/>
        </w:rPr>
        <w:t>）</w:t>
      </w:r>
      <w:r>
        <w:rPr>
          <w:rStyle w:val="33"/>
          <w:rFonts w:hint="eastAsia" w:ascii="宋体" w:hAnsi="宋体" w:eastAsia="宋体" w:cs="宋体"/>
          <w:color w:val="auto"/>
          <w:kern w:val="0"/>
          <w:highlight w:val="none"/>
        </w:rPr>
        <w:t>；</w:t>
      </w:r>
    </w:p>
    <w:p w14:paraId="7AD369BF">
      <w:pPr>
        <w:spacing w:line="360" w:lineRule="auto"/>
        <w:ind w:firstLine="105" w:firstLineChars="50"/>
        <w:rPr>
          <w:rStyle w:val="33"/>
          <w:rFonts w:hint="eastAsia" w:ascii="宋体" w:hAnsi="宋体" w:eastAsia="宋体" w:cs="宋体"/>
          <w:color w:val="auto"/>
          <w:szCs w:val="21"/>
          <w:highlight w:val="none"/>
        </w:rPr>
      </w:pPr>
      <w:r>
        <w:rPr>
          <w:rStyle w:val="33"/>
          <w:rFonts w:hint="eastAsia" w:ascii="宋体" w:hAnsi="宋体" w:cs="宋体"/>
          <w:color w:val="auto"/>
          <w:szCs w:val="21"/>
          <w:highlight w:val="none"/>
        </w:rPr>
        <w:t>（</w:t>
      </w:r>
      <w:r>
        <w:rPr>
          <w:rStyle w:val="33"/>
          <w:rFonts w:hint="eastAsia" w:ascii="宋体" w:hAnsi="宋体" w:cs="宋体"/>
          <w:color w:val="auto"/>
          <w:szCs w:val="21"/>
          <w:highlight w:val="none"/>
          <w:lang w:val="en-US"/>
        </w:rPr>
        <w:t>6</w:t>
      </w:r>
      <w:r>
        <w:rPr>
          <w:rStyle w:val="33"/>
          <w:rFonts w:hint="eastAsia" w:ascii="宋体" w:hAnsi="宋体" w:cs="宋体"/>
          <w:color w:val="auto"/>
          <w:szCs w:val="21"/>
          <w:highlight w:val="none"/>
        </w:rPr>
        <w:t>）中小企业声明函；</w:t>
      </w:r>
      <w:r>
        <w:rPr>
          <w:rStyle w:val="33"/>
          <w:rFonts w:hint="eastAsia" w:ascii="宋体" w:hAnsi="宋体" w:eastAsia="宋体" w:cs="宋体"/>
          <w:b/>
          <w:bCs/>
          <w:color w:val="auto"/>
          <w:szCs w:val="21"/>
          <w:highlight w:val="none"/>
        </w:rPr>
        <w:t>（必须提供，加盖单位公章）</w:t>
      </w:r>
      <w:r>
        <w:rPr>
          <w:rStyle w:val="33"/>
          <w:rFonts w:hint="eastAsia" w:ascii="宋体" w:hAnsi="宋体" w:eastAsia="宋体" w:cs="宋体"/>
          <w:color w:val="auto"/>
          <w:szCs w:val="21"/>
          <w:highlight w:val="none"/>
        </w:rPr>
        <w:t>；</w:t>
      </w:r>
    </w:p>
    <w:p w14:paraId="65E2E442">
      <w:pPr>
        <w:spacing w:line="360" w:lineRule="auto"/>
        <w:ind w:firstLine="105" w:firstLineChars="50"/>
        <w:rPr>
          <w:rStyle w:val="33"/>
          <w:rFonts w:hint="eastAsia" w:ascii="宋体" w:hAnsi="宋体" w:eastAsia="宋体" w:cs="宋体"/>
          <w:color w:val="auto"/>
          <w:kern w:val="0"/>
          <w:highlight w:val="none"/>
        </w:rPr>
      </w:pPr>
      <w:r>
        <w:rPr>
          <w:rStyle w:val="33"/>
          <w:rFonts w:hint="eastAsia" w:ascii="宋体" w:hAnsi="宋体" w:eastAsia="宋体" w:cs="宋体"/>
          <w:color w:val="auto"/>
          <w:kern w:val="0"/>
          <w:highlight w:val="none"/>
        </w:rPr>
        <w:t>（</w:t>
      </w:r>
      <w:r>
        <w:rPr>
          <w:rStyle w:val="33"/>
          <w:rFonts w:hint="eastAsia" w:ascii="宋体" w:hAnsi="宋体" w:cs="宋体"/>
          <w:color w:val="auto"/>
          <w:kern w:val="0"/>
          <w:highlight w:val="none"/>
          <w:lang w:val="en-US"/>
        </w:rPr>
        <w:t>7</w:t>
      </w:r>
      <w:r>
        <w:rPr>
          <w:rStyle w:val="33"/>
          <w:rFonts w:hint="eastAsia" w:ascii="宋体" w:hAnsi="宋体" w:eastAsia="宋体" w:cs="宋体"/>
          <w:color w:val="auto"/>
          <w:kern w:val="0"/>
          <w:highlight w:val="none"/>
        </w:rPr>
        <w:t>）</w:t>
      </w:r>
      <w:r>
        <w:rPr>
          <w:rStyle w:val="33"/>
          <w:rFonts w:hint="eastAsia" w:ascii="宋体" w:hAnsi="宋体" w:cs="宋体"/>
          <w:color w:val="auto"/>
          <w:kern w:val="0"/>
          <w:highlight w:val="none"/>
        </w:rPr>
        <w:t>无其他关联企业同时投标声明函</w:t>
      </w:r>
      <w:r>
        <w:rPr>
          <w:rStyle w:val="33"/>
          <w:rFonts w:hint="eastAsia" w:ascii="宋体" w:hAnsi="宋体" w:eastAsia="宋体" w:cs="宋体"/>
          <w:b/>
          <w:bCs/>
          <w:color w:val="auto"/>
          <w:szCs w:val="21"/>
          <w:highlight w:val="none"/>
        </w:rPr>
        <w:t>（必须提供，加盖单位公章）</w:t>
      </w:r>
    </w:p>
    <w:p w14:paraId="2950FDB5">
      <w:pPr>
        <w:spacing w:line="360" w:lineRule="auto"/>
        <w:ind w:firstLine="105" w:firstLineChars="50"/>
        <w:rPr>
          <w:rStyle w:val="33"/>
          <w:rFonts w:hint="eastAsia" w:ascii="宋体" w:hAnsi="宋体" w:eastAsia="宋体" w:cs="宋体"/>
          <w:color w:val="auto"/>
          <w:kern w:val="0"/>
          <w:highlight w:val="none"/>
        </w:rPr>
      </w:pPr>
      <w:r>
        <w:rPr>
          <w:rStyle w:val="33"/>
          <w:rFonts w:hint="eastAsia" w:ascii="宋体" w:hAnsi="宋体" w:eastAsia="宋体" w:cs="宋体"/>
          <w:color w:val="auto"/>
          <w:kern w:val="0"/>
          <w:highlight w:val="none"/>
        </w:rPr>
        <w:t>（</w:t>
      </w:r>
      <w:r>
        <w:rPr>
          <w:rStyle w:val="33"/>
          <w:rFonts w:hint="eastAsia" w:ascii="宋体" w:hAnsi="宋体" w:cs="宋体"/>
          <w:color w:val="auto"/>
          <w:kern w:val="0"/>
          <w:highlight w:val="none"/>
          <w:lang w:val="en-US"/>
        </w:rPr>
        <w:t>8</w:t>
      </w:r>
      <w:r>
        <w:rPr>
          <w:rStyle w:val="33"/>
          <w:rFonts w:hint="eastAsia" w:ascii="宋体" w:hAnsi="宋体" w:eastAsia="宋体" w:cs="宋体"/>
          <w:color w:val="auto"/>
          <w:kern w:val="0"/>
          <w:highlight w:val="none"/>
        </w:rPr>
        <w:t>）磋商供应商认为可以证明其能力或业绩的其他材料；</w:t>
      </w:r>
    </w:p>
    <w:p w14:paraId="3BAFBCEE">
      <w:pPr>
        <w:spacing w:line="360" w:lineRule="auto"/>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kern w:val="0"/>
          <w:highlight w:val="none"/>
        </w:rPr>
        <w:t>（</w:t>
      </w:r>
      <w:r>
        <w:rPr>
          <w:rStyle w:val="33"/>
          <w:rFonts w:hint="eastAsia" w:ascii="宋体" w:hAnsi="宋体" w:cs="宋体"/>
          <w:color w:val="auto"/>
          <w:kern w:val="0"/>
          <w:highlight w:val="none"/>
          <w:lang w:val="en-US"/>
        </w:rPr>
        <w:t>9</w:t>
      </w:r>
      <w:r>
        <w:rPr>
          <w:rStyle w:val="33"/>
          <w:rFonts w:hint="eastAsia" w:ascii="宋体" w:hAnsi="宋体" w:eastAsia="宋体" w:cs="宋体"/>
          <w:color w:val="auto"/>
          <w:kern w:val="0"/>
          <w:highlight w:val="none"/>
        </w:rPr>
        <w:t>）</w:t>
      </w:r>
      <w:r>
        <w:rPr>
          <w:rStyle w:val="33"/>
          <w:rFonts w:hint="eastAsia" w:ascii="宋体" w:hAnsi="宋体" w:eastAsia="宋体" w:cs="宋体"/>
          <w:color w:val="auto"/>
          <w:szCs w:val="21"/>
          <w:highlight w:val="none"/>
        </w:rPr>
        <w:t>磋商文件列明的其他证明材料；</w:t>
      </w:r>
    </w:p>
    <w:p w14:paraId="4C5EF03C">
      <w:pPr>
        <w:spacing w:line="360" w:lineRule="auto"/>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注：法定代表人授权委托书、磋商书、报价表、磋商供应商资格声明等必须由法定代表人或委托代理人在规定签章处签名，上述要求提供材料属复印件的，必须加盖单位公章，否则投标无效。供应商提供的资料和证件有弄虚作假行为的，取消其中标资格，并列入失信名单。</w:t>
      </w:r>
    </w:p>
    <w:p w14:paraId="40B04C55">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5.6.</w:t>
      </w:r>
      <w:r>
        <w:rPr>
          <w:rStyle w:val="33"/>
          <w:rFonts w:hint="eastAsia" w:ascii="宋体" w:hAnsi="宋体" w:cs="宋体"/>
          <w:color w:val="auto"/>
          <w:szCs w:val="21"/>
          <w:highlight w:val="none"/>
          <w:lang w:val="en-US" w:eastAsia="zh-CN"/>
        </w:rPr>
        <w:t>3</w:t>
      </w:r>
      <w:r>
        <w:rPr>
          <w:rStyle w:val="33"/>
          <w:rFonts w:hint="eastAsia" w:ascii="宋体" w:hAnsi="宋体" w:eastAsia="宋体" w:cs="宋体"/>
          <w:color w:val="auto"/>
          <w:szCs w:val="21"/>
          <w:highlight w:val="none"/>
        </w:rPr>
        <w:t xml:space="preserve">商务及技术文件 </w:t>
      </w:r>
    </w:p>
    <w:p w14:paraId="4F9DDA1F">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（1）企业情况；</w:t>
      </w:r>
      <w:r>
        <w:rPr>
          <w:rStyle w:val="33"/>
          <w:rFonts w:hint="eastAsia" w:ascii="宋体" w:hAnsi="宋体" w:eastAsia="宋体" w:cs="宋体"/>
          <w:b/>
          <w:bCs/>
          <w:color w:val="auto"/>
          <w:szCs w:val="21"/>
          <w:highlight w:val="none"/>
        </w:rPr>
        <w:t>（格式自拟，必须提供，加盖单位公章）</w:t>
      </w:r>
    </w:p>
    <w:p w14:paraId="74DB249F">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（2）项目实施服务方案</w:t>
      </w:r>
      <w:r>
        <w:rPr>
          <w:rStyle w:val="33"/>
          <w:rFonts w:hint="eastAsia" w:ascii="宋体" w:hAnsi="宋体" w:eastAsia="宋体" w:cs="宋体"/>
          <w:b/>
          <w:bCs/>
          <w:color w:val="auto"/>
          <w:szCs w:val="21"/>
          <w:highlight w:val="none"/>
        </w:rPr>
        <w:t>（格式自拟，必须提供，加盖单位公章）</w:t>
      </w:r>
      <w:r>
        <w:rPr>
          <w:rStyle w:val="33"/>
          <w:rFonts w:hint="eastAsia" w:ascii="宋体" w:hAnsi="宋体" w:eastAsia="宋体" w:cs="宋体"/>
          <w:color w:val="auto"/>
          <w:szCs w:val="21"/>
          <w:highlight w:val="none"/>
        </w:rPr>
        <w:t>；</w:t>
      </w:r>
    </w:p>
    <w:p w14:paraId="3C4B5D16">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（3）服务承诺书</w:t>
      </w:r>
      <w:r>
        <w:rPr>
          <w:rStyle w:val="33"/>
          <w:rFonts w:hint="eastAsia" w:ascii="宋体" w:hAnsi="宋体" w:eastAsia="宋体" w:cs="宋体"/>
          <w:b/>
          <w:bCs/>
          <w:color w:val="auto"/>
          <w:szCs w:val="21"/>
          <w:highlight w:val="none"/>
        </w:rPr>
        <w:t>（格式自拟，必须提供，加盖单位公章）</w:t>
      </w:r>
      <w:r>
        <w:rPr>
          <w:rStyle w:val="33"/>
          <w:rFonts w:hint="eastAsia" w:ascii="宋体" w:hAnsi="宋体" w:eastAsia="宋体" w:cs="宋体"/>
          <w:color w:val="auto"/>
          <w:szCs w:val="21"/>
          <w:highlight w:val="none"/>
        </w:rPr>
        <w:t>；</w:t>
      </w:r>
    </w:p>
    <w:p w14:paraId="1774AC7D">
      <w:pPr>
        <w:spacing w:line="420" w:lineRule="exact"/>
        <w:ind w:firstLine="210" w:firstLineChars="100"/>
        <w:rPr>
          <w:rStyle w:val="33"/>
          <w:rFonts w:hint="eastAsia" w:ascii="宋体" w:hAnsi="宋体" w:eastAsia="宋体" w:cs="宋体"/>
          <w:b/>
          <w:color w:val="auto"/>
          <w:szCs w:val="21"/>
          <w:highlight w:val="none"/>
        </w:rPr>
      </w:pPr>
      <w:r>
        <w:rPr>
          <w:rStyle w:val="33"/>
          <w:rFonts w:hint="eastAsia" w:ascii="宋体" w:hAnsi="宋体" w:eastAsia="宋体" w:cs="宋体"/>
          <w:color w:val="auto"/>
          <w:szCs w:val="21"/>
          <w:highlight w:val="none"/>
        </w:rPr>
        <w:t>（4）拟投入项目的人员情况一览表</w:t>
      </w:r>
      <w:r>
        <w:rPr>
          <w:rStyle w:val="33"/>
          <w:rFonts w:hint="eastAsia" w:ascii="宋体" w:hAnsi="宋体" w:eastAsia="宋体" w:cs="宋体"/>
          <w:b/>
          <w:color w:val="auto"/>
          <w:szCs w:val="21"/>
          <w:highlight w:val="none"/>
        </w:rPr>
        <w:t>(必须提供，加盖投标单位公章)；</w:t>
      </w:r>
    </w:p>
    <w:p w14:paraId="65D41767">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cs="宋体"/>
          <w:bCs/>
          <w:color w:val="auto"/>
          <w:szCs w:val="21"/>
          <w:highlight w:val="none"/>
          <w:lang w:eastAsia="zh-CN"/>
        </w:rPr>
        <w:t>（</w:t>
      </w:r>
      <w:r>
        <w:rPr>
          <w:rStyle w:val="33"/>
          <w:rFonts w:hint="eastAsia" w:ascii="宋体" w:hAnsi="宋体" w:cs="宋体"/>
          <w:bCs/>
          <w:color w:val="auto"/>
          <w:szCs w:val="21"/>
          <w:highlight w:val="none"/>
          <w:lang w:val="en-US" w:eastAsia="zh-CN"/>
        </w:rPr>
        <w:t>5</w:t>
      </w:r>
      <w:r>
        <w:rPr>
          <w:rStyle w:val="33"/>
          <w:rFonts w:hint="eastAsia" w:ascii="宋体" w:hAnsi="宋体" w:eastAsia="宋体" w:cs="宋体"/>
          <w:bCs/>
          <w:color w:val="auto"/>
          <w:szCs w:val="21"/>
          <w:highlight w:val="none"/>
        </w:rPr>
        <w:t>）商务响应表；</w:t>
      </w:r>
      <w:r>
        <w:rPr>
          <w:rStyle w:val="33"/>
          <w:rFonts w:hint="eastAsia" w:ascii="宋体" w:hAnsi="宋体" w:eastAsia="宋体" w:cs="宋体"/>
          <w:b/>
          <w:bCs/>
          <w:color w:val="auto"/>
          <w:szCs w:val="21"/>
          <w:highlight w:val="none"/>
        </w:rPr>
        <w:t>（必须提供，加盖单位公章）</w:t>
      </w:r>
    </w:p>
    <w:p w14:paraId="70E65E69">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lang w:val="en-US" w:eastAsia="zh-CN"/>
        </w:rPr>
        <w:t>6</w:t>
      </w:r>
      <w:r>
        <w:rPr>
          <w:rStyle w:val="33"/>
          <w:rFonts w:hint="eastAsia" w:ascii="宋体" w:hAnsi="宋体" w:eastAsia="宋体" w:cs="宋体"/>
          <w:color w:val="auto"/>
          <w:szCs w:val="21"/>
          <w:highlight w:val="none"/>
        </w:rPr>
        <w:t>）磋商供应商认为有必要提供的</w:t>
      </w:r>
      <w:r>
        <w:rPr>
          <w:rStyle w:val="33"/>
          <w:rFonts w:hint="eastAsia" w:ascii="宋体" w:hAnsi="宋体" w:cs="宋体"/>
          <w:color w:val="auto"/>
          <w:szCs w:val="21"/>
          <w:highlight w:val="none"/>
        </w:rPr>
        <w:t>其他</w:t>
      </w:r>
      <w:r>
        <w:rPr>
          <w:rStyle w:val="33"/>
          <w:rFonts w:hint="eastAsia" w:ascii="宋体" w:hAnsi="宋体" w:eastAsia="宋体" w:cs="宋体"/>
          <w:color w:val="auto"/>
          <w:szCs w:val="21"/>
          <w:highlight w:val="none"/>
        </w:rPr>
        <w:t>文件及资料。</w:t>
      </w:r>
    </w:p>
    <w:p w14:paraId="3A84210B">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▲特别说明：（1）响应文件中所须加盖公章部分均采用CA签章。若竞争性磋商文件中有专门标注的某关联点，并要求供应商在电子投标系统中作出磋商响应的，如供应商未对关联点进行响应或者</w:t>
      </w:r>
      <w:r>
        <w:rPr>
          <w:rStyle w:val="33"/>
          <w:rFonts w:hint="eastAsia" w:ascii="宋体" w:hAnsi="宋体" w:cs="宋体"/>
          <w:color w:val="auto"/>
          <w:szCs w:val="21"/>
          <w:highlight w:val="none"/>
          <w:lang w:val="en-US"/>
        </w:rPr>
        <w:t>*</w:t>
      </w:r>
      <w:r>
        <w:rPr>
          <w:rStyle w:val="33"/>
          <w:rFonts w:hint="eastAsia" w:ascii="宋体" w:hAnsi="宋体" w:eastAsia="宋体" w:cs="宋体"/>
          <w:color w:val="auto"/>
          <w:szCs w:val="21"/>
          <w:highlight w:val="none"/>
        </w:rPr>
        <w:t>在响应文件</w:t>
      </w:r>
      <w:r>
        <w:rPr>
          <w:rStyle w:val="33"/>
          <w:rFonts w:hint="eastAsia" w:ascii="宋体" w:hAnsi="宋体" w:cs="宋体"/>
          <w:color w:val="auto"/>
          <w:szCs w:val="21"/>
          <w:highlight w:val="none"/>
        </w:rPr>
        <w:t>其他内容</w:t>
      </w:r>
      <w:r>
        <w:rPr>
          <w:rStyle w:val="33"/>
          <w:rFonts w:hint="eastAsia" w:ascii="宋体" w:hAnsi="宋体" w:eastAsia="宋体" w:cs="宋体"/>
          <w:color w:val="auto"/>
          <w:szCs w:val="21"/>
          <w:highlight w:val="none"/>
        </w:rPr>
        <w:t>进行描述，造成电子评审不能查询的责任由供应商自行承担。</w:t>
      </w:r>
    </w:p>
    <w:p w14:paraId="6A64BF98">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（2）竞争性磋商文件要求提供</w:t>
      </w:r>
      <w:r>
        <w:rPr>
          <w:rStyle w:val="33"/>
          <w:rFonts w:hint="eastAsia" w:ascii="宋体" w:hAnsi="宋体" w:cs="宋体"/>
          <w:color w:val="auto"/>
          <w:szCs w:val="21"/>
          <w:highlight w:val="none"/>
        </w:rPr>
        <w:t>的</w:t>
      </w:r>
      <w:r>
        <w:rPr>
          <w:rStyle w:val="33"/>
          <w:rFonts w:hint="eastAsia" w:ascii="宋体" w:hAnsi="宋体" w:eastAsia="宋体" w:cs="宋体"/>
          <w:color w:val="auto"/>
          <w:szCs w:val="21"/>
          <w:highlight w:val="none"/>
        </w:rPr>
        <w:t>各种复印件，须加盖磋商供应商CA签章，否则其磋商无效。</w:t>
      </w:r>
    </w:p>
    <w:p w14:paraId="45C7E042">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（3）竞争性磋商文件要求“必须提供”的证明等材料，磋商供应商必须全部提供，缺一不可，否则磋商无效。</w:t>
      </w:r>
    </w:p>
    <w:p w14:paraId="01F4DB9C">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（4）竞争性磋商文件要求法定代表人（负责人）或委托代理人签字的部分必须签字然后扫描或者拍照做成pdf格式上传，无签字的视为磋商无效。</w:t>
      </w:r>
    </w:p>
    <w:p w14:paraId="5766CB7B">
      <w:pPr>
        <w:spacing w:line="360" w:lineRule="auto"/>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6. 计量单位  </w:t>
      </w:r>
    </w:p>
    <w:p w14:paraId="1AEE22EA">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6.1 除技术要求中另有规定外，本文件所要求使用的计量单位均应采用国家法定计量单位。 </w:t>
      </w:r>
    </w:p>
    <w:p w14:paraId="7A876FED">
      <w:pPr>
        <w:rPr>
          <w:rStyle w:val="33"/>
          <w:rFonts w:hint="eastAsia" w:ascii="宋体" w:hAnsi="宋体" w:eastAsia="宋体" w:cs="宋体"/>
          <w:b/>
          <w:bCs/>
          <w:color w:val="auto"/>
          <w:highlight w:val="none"/>
        </w:rPr>
      </w:pPr>
    </w:p>
    <w:p w14:paraId="08B04ADC">
      <w:pPr>
        <w:pStyle w:val="31"/>
        <w:outlineLvl w:val="0"/>
        <w:rPr>
          <w:rStyle w:val="33"/>
          <w:rFonts w:hint="eastAsia" w:ascii="宋体" w:hAnsi="宋体" w:eastAsia="宋体" w:cs="宋体"/>
          <w:b/>
          <w:bCs/>
          <w:color w:val="auto"/>
          <w:highlight w:val="none"/>
        </w:rPr>
      </w:pPr>
      <w:bookmarkStart w:id="16" w:name="_Toc27311"/>
      <w:r>
        <w:rPr>
          <w:rStyle w:val="33"/>
          <w:rFonts w:hint="eastAsia" w:ascii="宋体" w:hAnsi="宋体" w:eastAsia="宋体" w:cs="宋体"/>
          <w:b/>
          <w:bCs/>
          <w:color w:val="auto"/>
          <w:highlight w:val="none"/>
        </w:rPr>
        <w:t>三、报价要求</w:t>
      </w:r>
      <w:bookmarkEnd w:id="16"/>
      <w:r>
        <w:rPr>
          <w:rStyle w:val="33"/>
          <w:rFonts w:hint="eastAsia" w:ascii="宋体" w:hAnsi="宋体" w:eastAsia="宋体" w:cs="宋体"/>
          <w:b/>
          <w:bCs/>
          <w:color w:val="auto"/>
          <w:highlight w:val="none"/>
        </w:rPr>
        <w:t xml:space="preserve"> </w:t>
      </w:r>
    </w:p>
    <w:p w14:paraId="2CCD9645">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7.1 成交供应商负责本项目所需培训服务及售后服务等全部工作。</w:t>
      </w:r>
    </w:p>
    <w:p w14:paraId="25604CF4">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70A682A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7.3 报价：</w:t>
      </w:r>
    </w:p>
    <w:p w14:paraId="434859DC">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7.3.1.本项目磋商应以人民币报价；</w:t>
      </w:r>
    </w:p>
    <w:p w14:paraId="09CFF4F9">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7.3.2.不论磋商结果如何，磋商供应商均应自行承担所有与磋商有关的全部费用；</w:t>
      </w:r>
    </w:p>
    <w:p w14:paraId="01534CF3">
      <w:pPr>
        <w:spacing w:line="360" w:lineRule="auto"/>
        <w:ind w:firstLine="315" w:firstLineChars="150"/>
        <w:rPr>
          <w:rStyle w:val="33"/>
          <w:rFonts w:hint="eastAsia" w:ascii="宋体" w:hAnsi="宋体" w:eastAsia="宋体" w:cs="宋体"/>
          <w:b/>
          <w:color w:val="auto"/>
          <w:szCs w:val="21"/>
          <w:highlight w:val="none"/>
        </w:rPr>
      </w:pPr>
      <w:r>
        <w:rPr>
          <w:rStyle w:val="33"/>
          <w:rFonts w:hint="eastAsia" w:ascii="宋体" w:hAnsi="宋体" w:eastAsia="宋体" w:cs="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7925E7DC">
      <w:pPr>
        <w:spacing w:line="360" w:lineRule="auto"/>
        <w:ind w:firstLine="316" w:firstLineChars="15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44065EAC">
      <w:pPr>
        <w:pStyle w:val="31"/>
        <w:outlineLvl w:val="0"/>
        <w:rPr>
          <w:rStyle w:val="33"/>
          <w:rFonts w:hint="eastAsia" w:ascii="宋体" w:hAnsi="宋体" w:eastAsia="宋体" w:cs="宋体"/>
          <w:b/>
          <w:bCs/>
          <w:color w:val="auto"/>
          <w:highlight w:val="none"/>
        </w:rPr>
      </w:pPr>
      <w:bookmarkStart w:id="17" w:name="_Toc31993"/>
      <w:r>
        <w:rPr>
          <w:rStyle w:val="33"/>
          <w:rFonts w:hint="eastAsia" w:ascii="宋体" w:hAnsi="宋体" w:eastAsia="宋体" w:cs="宋体"/>
          <w:b/>
          <w:bCs/>
          <w:color w:val="auto"/>
          <w:highlight w:val="none"/>
        </w:rPr>
        <w:t>四、竞争性磋商响应文件的签署、份数、封装和递交</w:t>
      </w:r>
      <w:bookmarkEnd w:id="17"/>
    </w:p>
    <w:p w14:paraId="1E178A01">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8. 竞争性磋商响应文件的签署、份数和封装</w:t>
      </w:r>
    </w:p>
    <w:p w14:paraId="441FD25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8.1.电子磋商响应文件中须加盖供应商公章部分均采用 CA 签章，并根据“政府采购项目电子交易管理操作指南-供应商” 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Style w:val="33"/>
          <w:rFonts w:hint="eastAsia" w:ascii="宋体" w:hAnsi="宋体" w:cs="宋体"/>
          <w:color w:val="auto"/>
          <w:szCs w:val="21"/>
          <w:highlight w:val="none"/>
        </w:rPr>
        <w:t>在</w:t>
      </w:r>
      <w:r>
        <w:rPr>
          <w:rStyle w:val="33"/>
          <w:rFonts w:hint="eastAsia" w:ascii="宋体" w:hAnsi="宋体" w:eastAsia="宋体" w:cs="宋体"/>
          <w:color w:val="auto"/>
          <w:szCs w:val="21"/>
          <w:highlight w:val="none"/>
        </w:rPr>
        <w:t>竞争性磋商文件规定的部位查找不到相关内容的，由供应商自行承担。</w:t>
      </w:r>
    </w:p>
    <w:p w14:paraId="2E8A48FA">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8.2. CA 签章上目前没有法人（负责人）或授权代表签字信息，供应商在磋商响应文件中</w:t>
      </w:r>
      <w:r>
        <w:rPr>
          <w:rStyle w:val="33"/>
          <w:rFonts w:hint="eastAsia" w:ascii="宋体" w:hAnsi="宋体" w:cs="宋体"/>
          <w:color w:val="auto"/>
          <w:szCs w:val="21"/>
          <w:highlight w:val="none"/>
        </w:rPr>
        <w:t>涉及</w:t>
      </w:r>
      <w:r>
        <w:rPr>
          <w:rStyle w:val="33"/>
          <w:rFonts w:hint="eastAsia" w:ascii="宋体" w:hAnsi="宋体" w:eastAsia="宋体" w:cs="宋体"/>
          <w:color w:val="auto"/>
          <w:szCs w:val="21"/>
          <w:highlight w:val="none"/>
        </w:rPr>
        <w:t>签字的位置线下签好字然后扫描或者拍照做成PDF的格式即可。</w:t>
      </w:r>
    </w:p>
    <w:p w14:paraId="18AF159D">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8.3. 磋商响应文件不得涂改，若有修改错漏处，须法定代表人（负责人）或授权委托人签字。磋商响应文件因字迹潦草或表达不清所引起的后果由供应商负责。</w:t>
      </w:r>
    </w:p>
    <w:p w14:paraId="361908D0">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9. 竞争性磋商响应文件的递交</w:t>
      </w:r>
    </w:p>
    <w:p w14:paraId="473A6D2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9.1. 所有竞争性磋商响应文件应于竞争性磋商文件中规定的时间前上传递交至政采云平台。</w:t>
      </w:r>
    </w:p>
    <w:p w14:paraId="2B3F11C8">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电子响应文件的相关说明</w:t>
      </w:r>
    </w:p>
    <w:p w14:paraId="2CB347EB">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供应商进行电子投标应安装客户端软件，并按照竞争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301AEB5F">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81C39E3">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10. 迟交的竞争性磋商响应文件 </w:t>
      </w:r>
    </w:p>
    <w:p w14:paraId="3BD20B1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10.1 在本文件要求竞争性磋商响应文件递交截止时间后送达的竞争性磋商响应文件为无效文件，</w:t>
      </w:r>
      <w:r>
        <w:rPr>
          <w:rStyle w:val="33"/>
          <w:rFonts w:hint="eastAsia" w:ascii="宋体" w:hAnsi="宋体" w:cs="宋体"/>
          <w:color w:val="auto"/>
          <w:szCs w:val="21"/>
          <w:highlight w:val="none"/>
          <w:lang w:eastAsia="zh-CN"/>
        </w:rPr>
        <w:t>广西宝盛工程咨询有限公司</w:t>
      </w:r>
      <w:r>
        <w:rPr>
          <w:rStyle w:val="33"/>
          <w:rFonts w:hint="eastAsia" w:ascii="宋体" w:hAnsi="宋体" w:eastAsia="宋体" w:cs="宋体"/>
          <w:color w:val="auto"/>
          <w:szCs w:val="21"/>
          <w:highlight w:val="none"/>
        </w:rPr>
        <w:t>将拒收。</w:t>
      </w:r>
    </w:p>
    <w:p w14:paraId="52772CB5">
      <w:pPr>
        <w:spacing w:line="360" w:lineRule="auto"/>
        <w:ind w:firstLine="316" w:firstLineChars="15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11.保证金金额</w:t>
      </w:r>
      <w:r>
        <w:rPr>
          <w:rStyle w:val="33"/>
          <w:rFonts w:hint="eastAsia" w:ascii="宋体" w:hAnsi="宋体" w:eastAsia="宋体" w:cs="宋体"/>
          <w:color w:val="auto"/>
          <w:szCs w:val="21"/>
          <w:highlight w:val="none"/>
        </w:rPr>
        <w:t xml:space="preserve">：无。 </w:t>
      </w:r>
    </w:p>
    <w:p w14:paraId="2DC6491D">
      <w:pPr>
        <w:spacing w:line="276" w:lineRule="auto"/>
        <w:ind w:firstLine="424" w:firstLineChars="201"/>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12. 计量单位</w:t>
      </w:r>
    </w:p>
    <w:p w14:paraId="6EACF197">
      <w:pPr>
        <w:spacing w:line="276" w:lineRule="auto"/>
        <w:ind w:firstLine="422" w:firstLineChars="201"/>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12.1除技术要求中另有规定外，本文件所要求使用的计量单位均应采用国家法定计量单位。</w:t>
      </w:r>
    </w:p>
    <w:p w14:paraId="1D608DD9">
      <w:pPr>
        <w:spacing w:line="276" w:lineRule="auto"/>
        <w:ind w:firstLine="424" w:firstLineChars="201"/>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13.响应文件有效期</w:t>
      </w:r>
    </w:p>
    <w:p w14:paraId="65569570">
      <w:pPr>
        <w:spacing w:line="276" w:lineRule="auto"/>
        <w:ind w:firstLine="422" w:firstLineChars="201"/>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13.1响应文件有效期按须知前附表规定的期限，有效期不足的响应文件按无效处理。</w:t>
      </w:r>
    </w:p>
    <w:p w14:paraId="54C43F9F">
      <w:pPr>
        <w:spacing w:line="276" w:lineRule="auto"/>
        <w:ind w:firstLine="422" w:firstLineChars="201"/>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13.2未成交的响应文件有效期内均应保持有效。</w:t>
      </w:r>
    </w:p>
    <w:p w14:paraId="03B0C5A4">
      <w:pPr>
        <w:spacing w:line="276" w:lineRule="auto"/>
        <w:ind w:firstLine="422" w:firstLineChars="201"/>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13.3成交供应商的响应文件自响应文件递交截止之日起至合同履行完毕止均应保持有效。</w:t>
      </w:r>
    </w:p>
    <w:p w14:paraId="77E41794">
      <w:pPr>
        <w:rPr>
          <w:rStyle w:val="33"/>
          <w:rFonts w:hint="eastAsia" w:ascii="宋体" w:hAnsi="宋体" w:eastAsia="宋体" w:cs="宋体"/>
          <w:b/>
          <w:bCs/>
          <w:color w:val="auto"/>
          <w:highlight w:val="none"/>
        </w:rPr>
      </w:pPr>
    </w:p>
    <w:p w14:paraId="022932D0">
      <w:pPr>
        <w:pStyle w:val="31"/>
        <w:outlineLvl w:val="0"/>
        <w:rPr>
          <w:rStyle w:val="33"/>
          <w:rFonts w:hint="eastAsia" w:ascii="宋体" w:hAnsi="宋体" w:eastAsia="宋体" w:cs="宋体"/>
          <w:b/>
          <w:bCs/>
          <w:color w:val="auto"/>
          <w:highlight w:val="none"/>
        </w:rPr>
      </w:pPr>
      <w:bookmarkStart w:id="18" w:name="_Toc22980"/>
      <w:r>
        <w:rPr>
          <w:rStyle w:val="33"/>
          <w:rFonts w:hint="eastAsia" w:ascii="宋体" w:hAnsi="宋体" w:eastAsia="宋体" w:cs="宋体"/>
          <w:b/>
          <w:bCs/>
          <w:color w:val="auto"/>
          <w:highlight w:val="none"/>
        </w:rPr>
        <w:t>五、磋商程序及评审方法</w:t>
      </w:r>
      <w:bookmarkEnd w:id="18"/>
    </w:p>
    <w:p w14:paraId="5CFCF26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14.1.采购代理机构结束解密后，磋商小组接收所有的响应文件开始评审。</w:t>
      </w:r>
    </w:p>
    <w:p w14:paraId="7B5BC08A">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14.2.磋商小组评审响应文件</w:t>
      </w:r>
    </w:p>
    <w:p w14:paraId="06CCC288">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磋商小组对供应商资格条件和响应文件的有效性、完整性和响应程度进行审查。对资格条件不符合的供应商或未实质性响应磋商文件的响应文件按无效响应处理，磋商小组应当告知有关供应商。</w:t>
      </w:r>
    </w:p>
    <w:p w14:paraId="698DE393">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14.3.磋商小组对磋商资格条件及响应文件进行评审，并从符合</w:t>
      </w:r>
      <w:r>
        <w:rPr>
          <w:rStyle w:val="33"/>
          <w:rFonts w:hint="eastAsia" w:ascii="宋体" w:hAnsi="宋体" w:cs="宋体"/>
          <w:color w:val="auto"/>
          <w:szCs w:val="21"/>
          <w:highlight w:val="none"/>
        </w:rPr>
        <w:t>竞争性</w:t>
      </w:r>
      <w:r>
        <w:rPr>
          <w:rStyle w:val="33"/>
          <w:rFonts w:hint="eastAsia" w:ascii="宋体" w:hAnsi="宋体" w:eastAsia="宋体" w:cs="宋体"/>
          <w:color w:val="auto"/>
          <w:szCs w:val="21"/>
          <w:highlight w:val="none"/>
        </w:rPr>
        <w:t>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1E2DB466">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BD5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5C29E27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14.4.磋商</w:t>
      </w:r>
    </w:p>
    <w:p w14:paraId="1291AA50">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14.4.1.磋商时间及地点：按须知前附表规定。</w:t>
      </w:r>
    </w:p>
    <w:p w14:paraId="7B99116F">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14.4.2.磋商小组按须知前附表规定的磋商顺序，集中与单一供应商分别进行磋商，并给予所有参加磋商的供应商平等的磋商机会。</w:t>
      </w:r>
    </w:p>
    <w:p w14:paraId="03AC01B4">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磋商中，磋商的任何一方不得透露与磋商有关的其他供应商的技术资料、价格和其他信息。</w:t>
      </w:r>
    </w:p>
    <w:p w14:paraId="203FE404">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采购代理机构对磋商过程和重要磋商内容进行记录留存。</w:t>
      </w:r>
    </w:p>
    <w:p w14:paraId="6025A2CC">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19.1. 最后报价</w:t>
      </w:r>
    </w:p>
    <w:p w14:paraId="5C8C4FB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19.1.1. 磋商文件能够详细列明采购标的的技术、服务要求的，磋商结束后，磋商小组应当要求所有继续参加磋商的磋商供应商在规定时间内提交最后报价，提交最后报价的供应商不得少于3家，符合财库〔2014〕214号《政府采购竞争性磋商采购方式管理暂行办法》第三条第一项（政府购买服务项目）或第四项（市场竞争不充分的科研项目，以及需要扶持的科技成果转化项目）情形的，提交最后报价的供应商不得少于2家。</w:t>
      </w:r>
    </w:p>
    <w:p w14:paraId="4C094819">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15.1.2. 最后报价是磋商供应商响应文件的有效组成部分。</w:t>
      </w:r>
    </w:p>
    <w:p w14:paraId="50C8A98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15.1.3. </w:t>
      </w:r>
      <w:r>
        <w:rPr>
          <w:rStyle w:val="33"/>
          <w:rFonts w:hint="eastAsia" w:ascii="宋体" w:hAnsi="宋体" w:cs="宋体"/>
          <w:color w:val="auto"/>
          <w:szCs w:val="21"/>
          <w:highlight w:val="none"/>
        </w:rPr>
        <w:t>已经</w:t>
      </w:r>
      <w:r>
        <w:rPr>
          <w:rStyle w:val="33"/>
          <w:rFonts w:hint="eastAsia" w:ascii="宋体" w:hAnsi="宋体" w:eastAsia="宋体" w:cs="宋体"/>
          <w:color w:val="auto"/>
          <w:szCs w:val="21"/>
          <w:highlight w:val="none"/>
        </w:rPr>
        <w:t>提交响应文件的磋商供应商，在提交最后报价之前，可以根据磋商情况退出磋商。</w:t>
      </w:r>
    </w:p>
    <w:p w14:paraId="6C57AC33">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15.1.</w:t>
      </w:r>
      <w:r>
        <w:rPr>
          <w:rStyle w:val="33"/>
          <w:rFonts w:hint="eastAsia" w:ascii="宋体" w:hAnsi="宋体" w:cs="宋体"/>
          <w:color w:val="auto"/>
          <w:szCs w:val="21"/>
          <w:highlight w:val="none"/>
          <w:lang w:val="en-US" w:eastAsia="zh-CN"/>
        </w:rPr>
        <w:t>4</w:t>
      </w:r>
      <w:r>
        <w:rPr>
          <w:rStyle w:val="33"/>
          <w:rFonts w:hint="eastAsia" w:ascii="宋体" w:hAnsi="宋体" w:eastAsia="宋体" w:cs="宋体"/>
          <w:color w:val="auto"/>
          <w:szCs w:val="21"/>
          <w:highlight w:val="none"/>
        </w:rPr>
        <w:t>. 经磋商确定最终采购需求和提交最后报价的磋商供应商后，由磋商小组采用综合评分法对提交最后报价的磋商供应商的响应文件和最后报价进行综合评分。</w:t>
      </w:r>
    </w:p>
    <w:p w14:paraId="0CA1CCFB">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磋商小组应当根据综合评分情况，按照评审得分由高到低顺序推荐3名成交候选供应商，并编写评审报告。符合财库〔2014〕214号《政府采购竞争性磋商采购方式管理暂行办法》第三条第一项（政府购买服务项目）或第四项（市场竞争不充分的科研项目，以及需要扶持的科技成果转化项目）情形的，可以推荐2 家成交候选磋商供应商。评审得分相同的，按照最后报价由低到高的顺序推荐。评审得分且最后报价相同的，依次按节能环保和自主创新产品优先、技术指标高优先、质量保证期长优先、交货期短优先、故障响应时间短优先的顺序排列并推荐。</w:t>
      </w:r>
    </w:p>
    <w:p w14:paraId="57BDA7B2">
      <w:pPr>
        <w:autoSpaceDE w:val="0"/>
        <w:autoSpaceDN w:val="0"/>
        <w:adjustRightInd w:val="0"/>
        <w:spacing w:afterLines="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16.1评审报告内容</w:t>
      </w:r>
    </w:p>
    <w:p w14:paraId="13DC816F">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磋商小组根据以上阶段工作，撰写评审报告。评审报告内容包括：</w:t>
      </w:r>
    </w:p>
    <w:p w14:paraId="331467C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（一）邀请供应商参加采购活动的具体方式和相关情况；</w:t>
      </w:r>
    </w:p>
    <w:p w14:paraId="5C25CE1C">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（二）响应文件开启日期和地点；</w:t>
      </w:r>
    </w:p>
    <w:p w14:paraId="68A927EB">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（三）获取磋商文件的供应商名单和磋商小组成员名单；</w:t>
      </w:r>
    </w:p>
    <w:p w14:paraId="0FB32EC9">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（四）评审情况记录和说明，包括对供应商的资格审查情况、供应商响应文件评审情况、磋商情况、报价情况等；</w:t>
      </w:r>
    </w:p>
    <w:p w14:paraId="7429760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（五）提出磋商成交候选供应商的排序名单及理由，确定</w:t>
      </w:r>
      <w:bookmarkStart w:id="19" w:name="OLE_LINK1"/>
      <w:r>
        <w:rPr>
          <w:rFonts w:hint="eastAsia" w:ascii="宋体" w:hAnsi="宋体" w:eastAsia="宋体" w:cs="宋体"/>
          <w:bCs/>
          <w:color w:val="auto"/>
          <w:szCs w:val="21"/>
          <w:highlight w:val="none"/>
        </w:rPr>
        <w:t>不超过3家</w:t>
      </w:r>
      <w:bookmarkEnd w:id="19"/>
      <w:r>
        <w:rPr>
          <w:rFonts w:hint="eastAsia" w:ascii="宋体" w:hAnsi="宋体" w:eastAsia="宋体" w:cs="宋体"/>
          <w:bCs/>
          <w:color w:val="auto"/>
          <w:szCs w:val="21"/>
          <w:highlight w:val="none"/>
        </w:rPr>
        <w:t>成交候选供应商。</w:t>
      </w:r>
    </w:p>
    <w:p w14:paraId="23896892">
      <w:pPr>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磋商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65130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17.1.响应供应商的报价均超过了采购预算，采购人不能支付的，磋商活动终止。</w:t>
      </w:r>
    </w:p>
    <w:p w14:paraId="38F53C9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18.1.在评标过程中出现法律法规和磋商文件均没有明确规定的情形时，由磋商小组现场协商解决，协商不一致的，由全体磋商小组投票表决，以得票率二分之一以上专家的意见为准。</w:t>
      </w:r>
    </w:p>
    <w:p w14:paraId="0E030D8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19.1.特别说明：</w:t>
      </w:r>
    </w:p>
    <w:p w14:paraId="6A4D9FC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1．磋商供应商磋商所使用的资格、信誉、荣誉、业绩与企业认证必须为本法人所拥有或按磋商文件规定。磋商供应商磋商所使用的采购项目实施人员必须为本法人员工（或必须为本法人或控股公司正式员工）。</w:t>
      </w:r>
    </w:p>
    <w:p w14:paraId="45A0064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2．磋商供应商应仔细阅读竞争性磋商文件的所有内容，按照竞争性磋商文件的要求提交响应文件，并对所提供的全部资料的真实性承担法律责任。</w:t>
      </w:r>
    </w:p>
    <w:p w14:paraId="51AF921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3．磋商供应商在磋商活动中提供任何虚假材料，其磋商无效，并报监管部门查处；中标后发现的，成交供应商须依照《中华人民共和国消费者权益保护法》 第49条之规定双倍赔偿采购人，且民事赔偿并不免除违法磋商供应商的行政与刑事责任。</w:t>
      </w:r>
    </w:p>
    <w:p w14:paraId="5547F788">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低于成本报价</w:t>
      </w:r>
    </w:p>
    <w:p w14:paraId="18F8F9F5">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在评审过程中发现磋商供应商的总报价明显低于其他磋商供应商的总报价或者明显低于采购预算价，有理由怀疑其总报价可能低于其成本的，应当要求该磋商供应商做出书面说明并提供相关证明材料。磋商供应商不能合理说明或者不能提供相关证明材料的，视作该磋商供应商以低于成本报价磋商，其磋商无效。</w:t>
      </w:r>
    </w:p>
    <w:p w14:paraId="76F4459A">
      <w:pPr>
        <w:spacing w:line="360" w:lineRule="auto"/>
        <w:ind w:firstLine="315" w:firstLineChars="150"/>
        <w:rPr>
          <w:rStyle w:val="33"/>
          <w:rFonts w:hint="eastAsia" w:ascii="宋体" w:hAnsi="宋体" w:eastAsia="宋体" w:cs="宋体"/>
          <w:color w:val="auto"/>
          <w:szCs w:val="21"/>
          <w:highlight w:val="none"/>
        </w:rPr>
      </w:pPr>
      <w:r>
        <w:rPr>
          <w:rFonts w:hint="eastAsia" w:ascii="宋体" w:hAnsi="宋体" w:eastAsia="宋体" w:cs="宋体"/>
          <w:color w:val="auto"/>
          <w:szCs w:val="21"/>
          <w:highlight w:val="none"/>
        </w:rPr>
        <w:t>21.1. 最终磋商结束后，磋商小组不得再与磋商供应商进行任何形式的商谈。</w:t>
      </w:r>
    </w:p>
    <w:p w14:paraId="578B243E">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22.最后报价及成交候选磋商供应商推荐</w:t>
      </w:r>
    </w:p>
    <w:p w14:paraId="55C87D7E">
      <w:pPr>
        <w:spacing w:line="360" w:lineRule="auto"/>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4C164881">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0DE25F8">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106BA3">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22.1磋商供应商的报价均超过了上限控制价的，采购人不能支付的，磋商活动终止。  </w:t>
      </w:r>
    </w:p>
    <w:p w14:paraId="7D47685B">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22.2 本采购项目的评审依据为竞争性磋商文件和竞争性磋商响应文件，采用的评审方法为</w:t>
      </w:r>
      <w:r>
        <w:rPr>
          <w:rStyle w:val="33"/>
          <w:rFonts w:hint="eastAsia" w:ascii="宋体" w:hAnsi="宋体" w:eastAsia="宋体" w:cs="宋体"/>
          <w:color w:val="auto"/>
          <w:szCs w:val="21"/>
          <w:highlight w:val="none"/>
          <w:u w:val="single"/>
        </w:rPr>
        <w:t>综合评分法</w:t>
      </w:r>
      <w:r>
        <w:rPr>
          <w:rStyle w:val="33"/>
          <w:rFonts w:hint="eastAsia" w:ascii="宋体" w:hAnsi="宋体" w:eastAsia="宋体" w:cs="宋体"/>
          <w:color w:val="auto"/>
          <w:szCs w:val="21"/>
          <w:highlight w:val="none"/>
        </w:rPr>
        <w:t>。</w:t>
      </w:r>
    </w:p>
    <w:p w14:paraId="2304DBF2">
      <w:pPr>
        <w:spacing w:line="360" w:lineRule="auto"/>
        <w:ind w:firstLine="315" w:firstLineChars="150"/>
        <w:rPr>
          <w:rStyle w:val="33"/>
          <w:rFonts w:hint="eastAsia" w:ascii="宋体" w:hAnsi="宋体" w:eastAsia="宋体" w:cs="宋体"/>
          <w:color w:val="auto"/>
          <w:szCs w:val="21"/>
          <w:highlight w:val="none"/>
        </w:rPr>
      </w:pPr>
    </w:p>
    <w:p w14:paraId="124FD113">
      <w:pPr>
        <w:spacing w:line="360" w:lineRule="auto"/>
        <w:ind w:firstLine="315" w:firstLineChars="150"/>
        <w:rPr>
          <w:rStyle w:val="33"/>
          <w:rFonts w:hint="eastAsia" w:ascii="宋体" w:hAnsi="宋体" w:eastAsia="宋体" w:cs="宋体"/>
          <w:color w:val="auto"/>
          <w:szCs w:val="21"/>
          <w:highlight w:val="none"/>
        </w:rPr>
      </w:pPr>
    </w:p>
    <w:p w14:paraId="68BBC80C">
      <w:pPr>
        <w:pStyle w:val="31"/>
        <w:outlineLvl w:val="0"/>
        <w:rPr>
          <w:rStyle w:val="33"/>
          <w:rFonts w:hint="eastAsia" w:ascii="宋体" w:hAnsi="宋体" w:eastAsia="宋体" w:cs="宋体"/>
          <w:b/>
          <w:bCs/>
          <w:color w:val="auto"/>
          <w:highlight w:val="none"/>
        </w:rPr>
      </w:pPr>
      <w:bookmarkStart w:id="20" w:name="_Toc20380"/>
      <w:r>
        <w:rPr>
          <w:rStyle w:val="33"/>
          <w:rFonts w:hint="eastAsia" w:ascii="宋体" w:hAnsi="宋体" w:eastAsia="宋体" w:cs="宋体"/>
          <w:b/>
          <w:bCs/>
          <w:color w:val="auto"/>
          <w:highlight w:val="none"/>
        </w:rPr>
        <w:t>六、确定成交供应商</w:t>
      </w:r>
      <w:bookmarkEnd w:id="20"/>
    </w:p>
    <w:p w14:paraId="4CCA57A5">
      <w:pPr>
        <w:spacing w:line="360" w:lineRule="auto"/>
        <w:ind w:firstLine="316" w:firstLineChars="15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 xml:space="preserve">23. 根据以下原则确定成交供应商： </w:t>
      </w:r>
    </w:p>
    <w:p w14:paraId="181BD23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23.1 响应文件满足磋商文件全部实质性要求且按评审因素的量化指标评审综合得分最高的磋商供应商为成交供应商，如排名第一的成交候选供应商放弃成交、因不可抗力提出不能履行协议的，采购单位</w:t>
      </w:r>
      <w:r>
        <w:rPr>
          <w:rStyle w:val="33"/>
          <w:rFonts w:hint="eastAsia" w:ascii="宋体" w:hAnsi="宋体" w:cs="宋体"/>
          <w:color w:val="auto"/>
          <w:szCs w:val="21"/>
          <w:highlight w:val="none"/>
        </w:rPr>
        <w:t>（</w:t>
      </w:r>
      <w:r>
        <w:rPr>
          <w:rStyle w:val="33"/>
          <w:rFonts w:hint="eastAsia" w:ascii="宋体" w:hAnsi="宋体" w:cs="宋体"/>
          <w:color w:val="auto"/>
          <w:szCs w:val="21"/>
          <w:highlight w:val="none"/>
          <w:lang w:val="en-US"/>
        </w:rPr>
        <w:t>采购人</w:t>
      </w:r>
      <w:r>
        <w:rPr>
          <w:rStyle w:val="33"/>
          <w:rFonts w:hint="eastAsia" w:ascii="宋体" w:hAnsi="宋体" w:cs="宋体"/>
          <w:color w:val="auto"/>
          <w:szCs w:val="21"/>
          <w:highlight w:val="none"/>
        </w:rPr>
        <w:t>）</w:t>
      </w:r>
      <w:r>
        <w:rPr>
          <w:rStyle w:val="33"/>
          <w:rFonts w:hint="eastAsia" w:ascii="宋体" w:hAnsi="宋体" w:eastAsia="宋体" w:cs="宋体"/>
          <w:color w:val="auto"/>
          <w:szCs w:val="21"/>
          <w:highlight w:val="none"/>
        </w:rPr>
        <w:t xml:space="preserve">可以确定排名第二的成交候选供应商为成交供应商，也可以重新组织开展采购活动。  </w:t>
      </w:r>
    </w:p>
    <w:p w14:paraId="1CC3101D">
      <w:pPr>
        <w:pStyle w:val="31"/>
        <w:outlineLvl w:val="0"/>
        <w:rPr>
          <w:rStyle w:val="33"/>
          <w:rFonts w:hint="eastAsia" w:ascii="宋体" w:hAnsi="宋体" w:eastAsia="宋体" w:cs="宋体"/>
          <w:b/>
          <w:bCs/>
          <w:color w:val="auto"/>
          <w:highlight w:val="none"/>
        </w:rPr>
      </w:pPr>
      <w:bookmarkStart w:id="21" w:name="_Toc13276"/>
      <w:r>
        <w:rPr>
          <w:rStyle w:val="33"/>
          <w:rFonts w:hint="eastAsia" w:ascii="宋体" w:hAnsi="宋体" w:eastAsia="宋体" w:cs="宋体"/>
          <w:b/>
          <w:bCs/>
          <w:color w:val="auto"/>
          <w:highlight w:val="none"/>
        </w:rPr>
        <w:t>七、成交结果公告</w:t>
      </w:r>
      <w:bookmarkEnd w:id="21"/>
      <w:r>
        <w:rPr>
          <w:rStyle w:val="33"/>
          <w:rFonts w:hint="eastAsia" w:ascii="宋体" w:hAnsi="宋体" w:eastAsia="宋体" w:cs="宋体"/>
          <w:b/>
          <w:bCs/>
          <w:color w:val="auto"/>
          <w:highlight w:val="none"/>
        </w:rPr>
        <w:t xml:space="preserve"> </w:t>
      </w:r>
    </w:p>
    <w:p w14:paraId="3FAB59A6">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24.1代理机构应当自评审结束之日起2个工作日内将评审报告送交采购人，采购人在收到代理机构提交的评审报告后，2个工作日内从评审报告提出的成交候选供应商中确定成交供应商。</w:t>
      </w:r>
    </w:p>
    <w:p w14:paraId="713B11E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A60E9F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24.3磋商供应商认为成交结果使自己的权益受到损害的，可以在成交结果公告期限届满之日起七个工作日内以书面形式向本公司提出质疑。本公司将在收到磋商供应商的书面质疑后七个工作日内</w:t>
      </w:r>
      <w:r>
        <w:rPr>
          <w:rStyle w:val="33"/>
          <w:rFonts w:hint="eastAsia" w:ascii="宋体" w:hAnsi="宋体" w:cs="宋体"/>
          <w:color w:val="auto"/>
          <w:szCs w:val="21"/>
          <w:highlight w:val="none"/>
        </w:rPr>
        <w:t>作出</w:t>
      </w:r>
      <w:r>
        <w:rPr>
          <w:rStyle w:val="33"/>
          <w:rFonts w:hint="eastAsia" w:ascii="宋体" w:hAnsi="宋体" w:eastAsia="宋体" w:cs="宋体"/>
          <w:color w:val="auto"/>
          <w:szCs w:val="21"/>
          <w:highlight w:val="none"/>
        </w:rPr>
        <w:t xml:space="preserve">答复， 但答复的内容不得涉及商业秘密 。  </w:t>
      </w:r>
    </w:p>
    <w:p w14:paraId="48DB01EC">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24.4质疑磋商供应商必须首先经过质疑程序，在对本公司的答复不满意或者本公司未在规定的时间内</w:t>
      </w:r>
      <w:r>
        <w:rPr>
          <w:rStyle w:val="33"/>
          <w:rFonts w:hint="eastAsia" w:ascii="宋体" w:hAnsi="宋体" w:cs="宋体"/>
          <w:color w:val="auto"/>
          <w:szCs w:val="21"/>
          <w:highlight w:val="none"/>
        </w:rPr>
        <w:t>作出</w:t>
      </w:r>
      <w:r>
        <w:rPr>
          <w:rStyle w:val="33"/>
          <w:rFonts w:hint="eastAsia" w:ascii="宋体" w:hAnsi="宋体" w:eastAsia="宋体" w:cs="宋体"/>
          <w:color w:val="auto"/>
          <w:szCs w:val="21"/>
          <w:highlight w:val="none"/>
        </w:rPr>
        <w:t xml:space="preserve">答复的，可以在答复期满后十五个工作日内书面向本级采购监督管理部门投诉。  </w:t>
      </w:r>
    </w:p>
    <w:p w14:paraId="00AB387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质疑联系部门及电话为：</w:t>
      </w:r>
      <w:r>
        <w:rPr>
          <w:rStyle w:val="33"/>
          <w:rFonts w:hint="eastAsia" w:ascii="宋体" w:hAnsi="宋体" w:cs="宋体"/>
          <w:color w:val="auto"/>
          <w:szCs w:val="21"/>
          <w:highlight w:val="none"/>
          <w:lang w:eastAsia="zh-CN"/>
        </w:rPr>
        <w:t>广西宝盛工程咨询有限公司</w:t>
      </w:r>
      <w:r>
        <w:rPr>
          <w:rStyle w:val="33"/>
          <w:rFonts w:hint="eastAsia" w:ascii="宋体" w:hAnsi="宋体" w:eastAsia="宋体" w:cs="宋体"/>
          <w:color w:val="auto"/>
          <w:szCs w:val="21"/>
          <w:highlight w:val="none"/>
        </w:rPr>
        <w:t>，电话：</w:t>
      </w:r>
      <w:r>
        <w:rPr>
          <w:rStyle w:val="33"/>
          <w:rFonts w:hint="eastAsia" w:ascii="宋体" w:hAnsi="宋体" w:cs="宋体"/>
          <w:color w:val="auto"/>
          <w:szCs w:val="21"/>
          <w:highlight w:val="none"/>
        </w:rPr>
        <w:t>0775-4863888</w:t>
      </w:r>
    </w:p>
    <w:p w14:paraId="04B5242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投诉联系部门及电话为：</w:t>
      </w:r>
      <w:r>
        <w:rPr>
          <w:rFonts w:hint="eastAsia" w:ascii="宋体" w:hAnsi="宋体" w:eastAsia="宋体" w:cs="宋体"/>
          <w:color w:val="auto"/>
          <w:szCs w:val="21"/>
          <w:highlight w:val="none"/>
        </w:rPr>
        <w:t>贵港市财政局政府采购监督管理科，电话: 0775-4555290、0775-4564649</w:t>
      </w:r>
    </w:p>
    <w:p w14:paraId="41FE56AF">
      <w:pPr>
        <w:rPr>
          <w:rFonts w:hint="eastAsia" w:ascii="宋体" w:hAnsi="宋体" w:eastAsia="宋体" w:cs="宋体"/>
          <w:color w:val="auto"/>
          <w:highlight w:val="none"/>
        </w:rPr>
      </w:pPr>
    </w:p>
    <w:p w14:paraId="18716341">
      <w:pPr>
        <w:pStyle w:val="31"/>
        <w:outlineLvl w:val="0"/>
        <w:rPr>
          <w:rStyle w:val="33"/>
          <w:rFonts w:hint="eastAsia" w:ascii="宋体" w:hAnsi="宋体" w:eastAsia="宋体" w:cs="宋体"/>
          <w:b/>
          <w:bCs/>
          <w:color w:val="auto"/>
          <w:highlight w:val="none"/>
        </w:rPr>
      </w:pPr>
      <w:bookmarkStart w:id="22" w:name="_Toc13939"/>
      <w:r>
        <w:rPr>
          <w:rStyle w:val="33"/>
          <w:rFonts w:hint="eastAsia" w:ascii="宋体" w:hAnsi="宋体" w:eastAsia="宋体" w:cs="宋体"/>
          <w:b/>
          <w:bCs/>
          <w:color w:val="auto"/>
          <w:highlight w:val="none"/>
        </w:rPr>
        <w:t>八、签订协议</w:t>
      </w:r>
      <w:bookmarkEnd w:id="22"/>
    </w:p>
    <w:p w14:paraId="1B25E20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15.1 成交供应商自成交通知书发出之日起</w:t>
      </w:r>
      <w:r>
        <w:rPr>
          <w:rStyle w:val="33"/>
          <w:rFonts w:hint="eastAsia" w:ascii="宋体" w:hAnsi="宋体" w:cs="宋体"/>
          <w:color w:val="auto"/>
          <w:szCs w:val="21"/>
          <w:highlight w:val="none"/>
          <w:lang w:val="en-US"/>
        </w:rPr>
        <w:t>25</w:t>
      </w:r>
      <w:r>
        <w:rPr>
          <w:rStyle w:val="33"/>
          <w:rFonts w:hint="eastAsia" w:ascii="宋体" w:hAnsi="宋体" w:eastAsia="宋体" w:cs="宋体"/>
          <w:color w:val="auto"/>
          <w:szCs w:val="21"/>
          <w:highlight w:val="none"/>
        </w:rPr>
        <w:t>日内与采购人签订协议。</w:t>
      </w:r>
    </w:p>
    <w:p w14:paraId="4C0302D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5382008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15.3 成交供应商拒绝签订采购协议的，给采购人</w:t>
      </w:r>
      <w:r>
        <w:rPr>
          <w:rStyle w:val="33"/>
          <w:rFonts w:hint="eastAsia" w:ascii="宋体" w:hAnsi="宋体" w:cs="宋体"/>
          <w:color w:val="auto"/>
          <w:szCs w:val="21"/>
          <w:highlight w:val="none"/>
        </w:rPr>
        <w:t>造成</w:t>
      </w:r>
      <w:r>
        <w:rPr>
          <w:rStyle w:val="33"/>
          <w:rFonts w:hint="eastAsia" w:ascii="宋体" w:hAnsi="宋体" w:eastAsia="宋体" w:cs="宋体"/>
          <w:color w:val="auto"/>
          <w:szCs w:val="21"/>
          <w:highlight w:val="none"/>
        </w:rPr>
        <w:t xml:space="preserve">损失的，还应当赔偿损失，并作为不良行为记录在案。  </w:t>
      </w:r>
    </w:p>
    <w:p w14:paraId="55990185">
      <w:pPr>
        <w:pStyle w:val="31"/>
        <w:outlineLvl w:val="0"/>
        <w:rPr>
          <w:rStyle w:val="33"/>
          <w:rFonts w:hint="eastAsia" w:ascii="宋体" w:hAnsi="宋体" w:eastAsia="宋体" w:cs="宋体"/>
          <w:b/>
          <w:bCs/>
          <w:color w:val="auto"/>
          <w:highlight w:val="none"/>
        </w:rPr>
      </w:pPr>
      <w:bookmarkStart w:id="23" w:name="_Toc24219"/>
      <w:r>
        <w:rPr>
          <w:rStyle w:val="33"/>
          <w:rFonts w:hint="eastAsia" w:ascii="宋体" w:hAnsi="宋体" w:eastAsia="宋体" w:cs="宋体"/>
          <w:b/>
          <w:bCs/>
          <w:color w:val="auto"/>
          <w:highlight w:val="none"/>
        </w:rPr>
        <w:t>九、适用法律</w:t>
      </w:r>
      <w:bookmarkEnd w:id="23"/>
    </w:p>
    <w:p w14:paraId="5DC484CA">
      <w:pPr>
        <w:spacing w:line="360" w:lineRule="auto"/>
        <w:ind w:firstLine="315" w:firstLineChars="150"/>
        <w:rPr>
          <w:rStyle w:val="33"/>
          <w:rFonts w:hint="eastAsia" w:ascii="宋体" w:hAnsi="宋体" w:eastAsia="宋体" w:cs="宋体"/>
          <w:b/>
          <w:bCs/>
          <w:color w:val="auto"/>
          <w:highlight w:val="none"/>
        </w:rPr>
      </w:pPr>
      <w:r>
        <w:rPr>
          <w:rStyle w:val="33"/>
          <w:rFonts w:hint="eastAsia" w:ascii="宋体" w:hAnsi="宋体" w:eastAsia="宋体" w:cs="宋体"/>
          <w:color w:val="auto"/>
          <w:szCs w:val="21"/>
          <w:highlight w:val="none"/>
        </w:rPr>
        <w:t>16. 采购当事人的一切活动均</w:t>
      </w:r>
      <w:r>
        <w:rPr>
          <w:rStyle w:val="33"/>
          <w:rFonts w:hint="eastAsia" w:ascii="宋体" w:hAnsi="宋体" w:cs="宋体"/>
          <w:color w:val="auto"/>
          <w:szCs w:val="21"/>
          <w:highlight w:val="none"/>
        </w:rPr>
        <w:t>适用</w:t>
      </w: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rPr>
        <w:t>中华人民共和国政府采购法</w:t>
      </w:r>
      <w:r>
        <w:rPr>
          <w:rStyle w:val="33"/>
          <w:rFonts w:hint="eastAsia" w:ascii="宋体" w:hAnsi="宋体" w:eastAsia="宋体" w:cs="宋体"/>
          <w:color w:val="auto"/>
          <w:szCs w:val="21"/>
          <w:highlight w:val="none"/>
        </w:rPr>
        <w:t xml:space="preserve">》 及相关规定。最终磋商结束后，磋商小组不得再与磋商供应商进行任何形式的磋商。 </w:t>
      </w:r>
    </w:p>
    <w:p w14:paraId="57D29201">
      <w:pPr>
        <w:pStyle w:val="31"/>
        <w:outlineLvl w:val="0"/>
        <w:rPr>
          <w:rStyle w:val="33"/>
          <w:rFonts w:hint="eastAsia" w:ascii="宋体" w:hAnsi="宋体" w:eastAsia="宋体" w:cs="宋体"/>
          <w:b/>
          <w:bCs/>
          <w:color w:val="auto"/>
          <w:highlight w:val="none"/>
        </w:rPr>
      </w:pPr>
      <w:bookmarkStart w:id="24" w:name="_Toc23695"/>
      <w:r>
        <w:rPr>
          <w:rStyle w:val="33"/>
          <w:rFonts w:hint="eastAsia" w:ascii="宋体" w:hAnsi="宋体" w:eastAsia="宋体" w:cs="宋体"/>
          <w:b/>
          <w:bCs/>
          <w:color w:val="auto"/>
          <w:highlight w:val="none"/>
        </w:rPr>
        <w:t>十、其他事项</w:t>
      </w:r>
      <w:bookmarkEnd w:id="24"/>
      <w:r>
        <w:rPr>
          <w:rStyle w:val="33"/>
          <w:rFonts w:hint="eastAsia" w:ascii="宋体" w:hAnsi="宋体" w:eastAsia="宋体" w:cs="宋体"/>
          <w:b/>
          <w:bCs/>
          <w:color w:val="auto"/>
          <w:highlight w:val="none"/>
        </w:rPr>
        <w:t xml:space="preserve"> </w:t>
      </w:r>
    </w:p>
    <w:p w14:paraId="4460CC1F">
      <w:pPr>
        <w:spacing w:line="360" w:lineRule="auto"/>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17.1签订合同前，成交供应商须向采购代理机构一次性付清成交服务费，本项目采购代理服务费按发改价格〔2015〕299号文件“</w:t>
      </w:r>
      <w:r>
        <w:rPr>
          <w:rStyle w:val="33"/>
          <w:rFonts w:hint="eastAsia" w:ascii="宋体" w:hAnsi="宋体" w:eastAsia="宋体" w:cs="宋体"/>
          <w:color w:val="auto"/>
          <w:szCs w:val="21"/>
          <w:highlight w:val="none"/>
          <w:lang w:eastAsia="zh-CN"/>
        </w:rPr>
        <w:t>服务</w:t>
      </w:r>
      <w:r>
        <w:rPr>
          <w:rStyle w:val="33"/>
          <w:rFonts w:hint="eastAsia" w:ascii="宋体" w:hAnsi="宋体" w:eastAsia="宋体" w:cs="宋体"/>
          <w:color w:val="auto"/>
          <w:szCs w:val="21"/>
          <w:highlight w:val="none"/>
        </w:rPr>
        <w:t>类”规定向成交人收取代理服务费：</w:t>
      </w:r>
      <w:r>
        <w:rPr>
          <w:rStyle w:val="33"/>
          <w:rFonts w:hint="eastAsia" w:ascii="宋体" w:hAnsi="宋体" w:cs="宋体"/>
          <w:color w:val="auto"/>
          <w:szCs w:val="21"/>
          <w:highlight w:val="none"/>
          <w:lang w:eastAsia="zh-CN"/>
        </w:rPr>
        <w:t>人民币壹万伍仟陆佰肆拾元整（￥15640.00）</w:t>
      </w:r>
      <w:r>
        <w:rPr>
          <w:rStyle w:val="33"/>
          <w:rFonts w:hint="eastAsia" w:ascii="宋体" w:hAnsi="宋体" w:eastAsia="宋体" w:cs="宋体"/>
          <w:color w:val="auto"/>
          <w:szCs w:val="21"/>
          <w:highlight w:val="none"/>
        </w:rPr>
        <w:t>。</w:t>
      </w:r>
    </w:p>
    <w:p w14:paraId="19A0CAEC">
      <w:pPr>
        <w:snapToGrid w:val="0"/>
        <w:spacing w:line="360" w:lineRule="auto"/>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招标代理服务费缴纳账户：</w:t>
      </w:r>
    </w:p>
    <w:p w14:paraId="224F98A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开户名称：广西宝盛工程咨询有限公司 </w:t>
      </w:r>
    </w:p>
    <w:p w14:paraId="41A1EE3E">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开户银行：中国工商银行股份有限公司贵港市荷城支行</w:t>
      </w:r>
    </w:p>
    <w:p w14:paraId="6ED8A701">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银行账号：  2116710809100102991</w:t>
      </w:r>
    </w:p>
    <w:p w14:paraId="01A0F334">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2.解释权</w:t>
      </w:r>
    </w:p>
    <w:p w14:paraId="1A7E30B9">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本竞争性磋商文件解释权属本公司 。  </w:t>
      </w:r>
    </w:p>
    <w:p w14:paraId="4E40BEB1">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17.3. 有关事宜</w:t>
      </w:r>
    </w:p>
    <w:p w14:paraId="513F39A2">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所有与本竞争性磋商文件有关的函件请按下列通讯地址联系 ：  </w:t>
      </w:r>
    </w:p>
    <w:p w14:paraId="7618073B">
      <w:pPr>
        <w:spacing w:line="360" w:lineRule="auto"/>
        <w:ind w:firstLine="315" w:firstLineChars="150"/>
        <w:rPr>
          <w:rStyle w:val="33"/>
          <w:rFonts w:hint="eastAsia" w:ascii="宋体" w:hAnsi="宋体" w:eastAsia="宋体" w:cs="宋体"/>
          <w:color w:val="auto"/>
          <w:szCs w:val="21"/>
          <w:highlight w:val="none"/>
          <w:lang w:eastAsia="zh-CN"/>
        </w:rPr>
      </w:pPr>
      <w:r>
        <w:rPr>
          <w:rStyle w:val="33"/>
          <w:rFonts w:hint="eastAsia" w:ascii="宋体" w:hAnsi="宋体" w:eastAsia="宋体" w:cs="宋体"/>
          <w:color w:val="auto"/>
          <w:szCs w:val="21"/>
          <w:highlight w:val="none"/>
        </w:rPr>
        <w:t>名    称：</w:t>
      </w:r>
      <w:r>
        <w:rPr>
          <w:rStyle w:val="33"/>
          <w:rFonts w:hint="eastAsia" w:ascii="宋体" w:hAnsi="宋体" w:cs="宋体"/>
          <w:color w:val="auto"/>
          <w:szCs w:val="21"/>
          <w:highlight w:val="none"/>
          <w:lang w:eastAsia="zh-CN"/>
        </w:rPr>
        <w:t>广西宝盛工程咨询有限公司</w:t>
      </w:r>
    </w:p>
    <w:p w14:paraId="3F347527">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邮政编码：537100</w:t>
      </w:r>
    </w:p>
    <w:p w14:paraId="5C0B101F">
      <w:pPr>
        <w:spacing w:line="360" w:lineRule="auto"/>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通讯地址：贵港市港北区中央花园2楼201　</w:t>
      </w:r>
    </w:p>
    <w:p w14:paraId="52FDAB0A">
      <w:pPr>
        <w:spacing w:line="360" w:lineRule="auto"/>
        <w:ind w:firstLine="315" w:firstLineChars="150"/>
        <w:rPr>
          <w:rStyle w:val="33"/>
          <w:rFonts w:hint="eastAsia" w:ascii="宋体" w:hAnsi="宋体" w:eastAsia="宋体" w:cs="宋体"/>
          <w:b/>
          <w:bCs/>
          <w:color w:val="auto"/>
          <w:highlight w:val="none"/>
        </w:rPr>
      </w:pPr>
      <w:r>
        <w:rPr>
          <w:rStyle w:val="33"/>
          <w:rFonts w:hint="eastAsia" w:ascii="宋体" w:hAnsi="宋体" w:eastAsia="宋体" w:cs="宋体"/>
          <w:color w:val="auto"/>
          <w:szCs w:val="21"/>
          <w:highlight w:val="none"/>
        </w:rPr>
        <w:t>电    话：</w:t>
      </w:r>
      <w:r>
        <w:rPr>
          <w:rStyle w:val="33"/>
          <w:rFonts w:hint="eastAsia" w:ascii="宋体" w:hAnsi="宋体" w:cs="宋体"/>
          <w:color w:val="auto"/>
          <w:szCs w:val="21"/>
          <w:highlight w:val="none"/>
        </w:rPr>
        <w:t>0775-4863888</w:t>
      </w:r>
    </w:p>
    <w:p w14:paraId="2B6FBE5C">
      <w:pPr>
        <w:pStyle w:val="20"/>
        <w:rPr>
          <w:rStyle w:val="33"/>
          <w:rFonts w:hint="eastAsia" w:ascii="宋体" w:hAnsi="宋体" w:eastAsia="宋体" w:cs="宋体"/>
          <w:b/>
          <w:bCs/>
          <w:color w:val="auto"/>
          <w:highlight w:val="none"/>
        </w:rPr>
        <w:sectPr>
          <w:pgSz w:w="11906" w:h="16838"/>
          <w:pgMar w:top="1417" w:right="1417" w:bottom="1417" w:left="1417" w:header="851" w:footer="992" w:gutter="0"/>
          <w:cols w:space="720" w:num="1"/>
          <w:docGrid w:type="lines" w:linePitch="312" w:charSpace="0"/>
        </w:sectPr>
      </w:pPr>
    </w:p>
    <w:p w14:paraId="0F01329B">
      <w:pPr>
        <w:pStyle w:val="20"/>
        <w:outlineLvl w:val="0"/>
        <w:rPr>
          <w:rStyle w:val="33"/>
          <w:rFonts w:hint="eastAsia" w:ascii="宋体" w:hAnsi="宋体" w:eastAsia="宋体" w:cs="宋体"/>
          <w:b/>
          <w:bCs/>
          <w:color w:val="auto"/>
          <w:highlight w:val="none"/>
        </w:rPr>
      </w:pPr>
      <w:bookmarkStart w:id="25" w:name="_Toc11484"/>
      <w:r>
        <w:rPr>
          <w:rStyle w:val="33"/>
          <w:rFonts w:hint="eastAsia" w:ascii="宋体" w:hAnsi="宋体" w:eastAsia="宋体" w:cs="宋体"/>
          <w:b/>
          <w:bCs/>
          <w:color w:val="auto"/>
          <w:highlight w:val="none"/>
        </w:rPr>
        <w:t>第三章   项目采购服务需求</w:t>
      </w:r>
      <w:bookmarkEnd w:id="25"/>
    </w:p>
    <w:p w14:paraId="00A3067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s="宋体"/>
          <w:color w:val="auto"/>
          <w:szCs w:val="21"/>
          <w:highlight w:val="none"/>
          <w:lang w:val="en-US" w:eastAsia="zh-CN"/>
        </w:rPr>
      </w:pPr>
    </w:p>
    <w:p w14:paraId="4E840356">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bCs/>
        </w:rPr>
      </w:pPr>
      <w:r>
        <w:rPr>
          <w:rFonts w:hint="eastAsia" w:ascii="宋体" w:hAnsi="宋体" w:eastAsia="宋体" w:cs="宋体"/>
          <w:b/>
          <w:bCs/>
        </w:rPr>
        <w:t>一、指导思想</w:t>
      </w:r>
    </w:p>
    <w:p w14:paraId="08B66ED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切实维护贵港市司法业务用房正常的工作秩序及人身财产安全、保持区域内卫生清洁，明确岗位职责，落实责任到个人，营造一个有序、清洁的内部工作环境，构建安全、整洁的现代化工作区。</w:t>
      </w:r>
    </w:p>
    <w:p w14:paraId="16B94DD5">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bCs/>
        </w:rPr>
      </w:pPr>
      <w:r>
        <w:rPr>
          <w:rFonts w:hint="eastAsia" w:ascii="宋体" w:hAnsi="宋体" w:eastAsia="宋体" w:cs="宋体"/>
          <w:b/>
          <w:bCs/>
        </w:rPr>
        <w:t>二、项目概况</w:t>
      </w:r>
    </w:p>
    <w:p w14:paraId="07F4150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贵港市司法业务用房建设用地3324.22平方米，总建筑面积为2938.11平方米，位于贵港市</w:t>
      </w:r>
      <w:r>
        <w:rPr>
          <w:rFonts w:hint="eastAsia" w:ascii="宋体" w:hAnsi="宋体" w:eastAsia="宋体" w:cs="宋体"/>
          <w:lang w:eastAsia="zh-CN"/>
        </w:rPr>
        <w:t>港北区</w:t>
      </w:r>
      <w:r>
        <w:rPr>
          <w:rFonts w:hint="eastAsia" w:ascii="宋体" w:hAnsi="宋体" w:eastAsia="宋体" w:cs="宋体"/>
        </w:rPr>
        <w:t>建设西路</w:t>
      </w:r>
      <w:r>
        <w:rPr>
          <w:rFonts w:hint="eastAsia" w:ascii="宋体" w:hAnsi="宋体" w:eastAsia="宋体" w:cs="宋体"/>
          <w:lang w:val="en-US" w:eastAsia="zh-CN"/>
        </w:rPr>
        <w:t>568号</w:t>
      </w:r>
      <w:r>
        <w:rPr>
          <w:rFonts w:hint="eastAsia" w:ascii="宋体" w:hAnsi="宋体" w:eastAsia="宋体" w:cs="宋体"/>
        </w:rPr>
        <w:t>，占地面积约五亩，主要建筑是一栋7层司法业务大楼。</w:t>
      </w:r>
    </w:p>
    <w:p w14:paraId="316A7F1B">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bCs/>
        </w:rPr>
      </w:pPr>
      <w:r>
        <w:rPr>
          <w:rFonts w:hint="eastAsia" w:ascii="宋体" w:hAnsi="宋体" w:eastAsia="宋体" w:cs="宋体"/>
          <w:b/>
          <w:bCs/>
        </w:rPr>
        <w:t>三、岗位设置和职责</w:t>
      </w:r>
    </w:p>
    <w:p w14:paraId="662C88B5">
      <w:pPr>
        <w:keepNext w:val="0"/>
        <w:keepLines w:val="0"/>
        <w:pageBreakBefore w:val="0"/>
        <w:widowControl/>
        <w:kinsoku/>
        <w:wordWrap/>
        <w:overflowPunct/>
        <w:topLinePunct w:val="0"/>
        <w:autoSpaceDE/>
        <w:autoSpaceDN/>
        <w:bidi w:val="0"/>
        <w:adjustRightInd/>
        <w:snapToGrid/>
        <w:spacing w:line="360" w:lineRule="auto"/>
        <w:ind w:firstLine="462" w:firstLineChars="220"/>
        <w:jc w:val="both"/>
        <w:textAlignment w:val="baseline"/>
        <w:rPr>
          <w:rFonts w:hint="eastAsia" w:ascii="宋体" w:hAnsi="宋体" w:eastAsia="宋体" w:cs="宋体"/>
        </w:rPr>
      </w:pPr>
      <w:r>
        <w:rPr>
          <w:rFonts w:hint="eastAsia" w:ascii="宋体" w:hAnsi="宋体" w:eastAsia="宋体" w:cs="宋体"/>
        </w:rPr>
        <w:t>根据物业管理服务工作需要，配备项目经理、水电工、</w:t>
      </w:r>
      <w:r>
        <w:rPr>
          <w:rFonts w:hint="eastAsia" w:ascii="宋体" w:hAnsi="宋体" w:eastAsia="宋体" w:cs="宋体"/>
          <w:lang w:eastAsia="zh-CN"/>
        </w:rPr>
        <w:t>会务员</w:t>
      </w:r>
      <w:r>
        <w:rPr>
          <w:rFonts w:hint="eastAsia" w:ascii="宋体" w:hAnsi="宋体" w:eastAsia="宋体" w:cs="宋体"/>
          <w:lang w:val="en-US" w:eastAsia="zh-CN"/>
        </w:rPr>
        <w:t>、</w:t>
      </w:r>
      <w:r>
        <w:rPr>
          <w:rFonts w:hint="eastAsia" w:ascii="宋体" w:hAnsi="宋体" w:eastAsia="宋体" w:cs="宋体"/>
        </w:rPr>
        <w:t>保安员、保洁（绿化）</w:t>
      </w:r>
      <w:r>
        <w:rPr>
          <w:rFonts w:hint="eastAsia" w:ascii="宋体" w:hAnsi="宋体" w:eastAsia="宋体" w:cs="宋体"/>
          <w:lang w:eastAsia="zh-CN"/>
        </w:rPr>
        <w:t>员</w:t>
      </w:r>
      <w:r>
        <w:rPr>
          <w:rFonts w:hint="eastAsia" w:ascii="宋体" w:hAnsi="宋体" w:eastAsia="宋体" w:cs="宋体"/>
        </w:rPr>
        <w:t>，</w:t>
      </w:r>
      <w:r>
        <w:rPr>
          <w:rFonts w:hint="eastAsia" w:ascii="宋体" w:hAnsi="宋体" w:eastAsia="宋体" w:cs="宋体"/>
          <w:lang w:eastAsia="zh-CN"/>
        </w:rPr>
        <w:t>以上</w:t>
      </w:r>
      <w:r>
        <w:rPr>
          <w:rFonts w:hint="eastAsia" w:ascii="宋体" w:hAnsi="宋体" w:eastAsia="宋体" w:cs="宋体"/>
        </w:rPr>
        <w:t>合计</w:t>
      </w:r>
      <w:r>
        <w:rPr>
          <w:rFonts w:hint="eastAsia" w:ascii="宋体" w:hAnsi="宋体" w:eastAsia="宋体" w:cs="宋体"/>
          <w:lang w:eastAsia="zh-CN"/>
        </w:rPr>
        <w:t>不少于</w:t>
      </w:r>
      <w:r>
        <w:rPr>
          <w:rFonts w:hint="eastAsia" w:ascii="宋体" w:hAnsi="宋体" w:eastAsia="宋体" w:cs="宋体"/>
          <w:lang w:val="en-US" w:eastAsia="zh-CN"/>
        </w:rPr>
        <w:t>9</w:t>
      </w:r>
      <w:r>
        <w:rPr>
          <w:rFonts w:hint="eastAsia" w:ascii="宋体" w:hAnsi="宋体" w:eastAsia="宋体" w:cs="宋体"/>
        </w:rPr>
        <w:t>人。</w:t>
      </w:r>
    </w:p>
    <w:p w14:paraId="0DA95293">
      <w:pPr>
        <w:keepNext w:val="0"/>
        <w:keepLines w:val="0"/>
        <w:pageBreakBefore w:val="0"/>
        <w:widowControl/>
        <w:kinsoku/>
        <w:wordWrap/>
        <w:overflowPunct/>
        <w:topLinePunct w:val="0"/>
        <w:autoSpaceDE/>
        <w:autoSpaceDN/>
        <w:bidi w:val="0"/>
        <w:adjustRightInd/>
        <w:snapToGrid/>
        <w:spacing w:line="360" w:lineRule="auto"/>
        <w:ind w:firstLine="420" w:firstLineChars="199"/>
        <w:jc w:val="both"/>
        <w:textAlignment w:val="baseline"/>
        <w:rPr>
          <w:rFonts w:hint="eastAsia" w:ascii="宋体" w:hAnsi="宋体" w:eastAsia="宋体" w:cs="宋体"/>
          <w:b/>
        </w:rPr>
      </w:pPr>
      <w:r>
        <w:rPr>
          <w:rFonts w:hint="eastAsia" w:ascii="宋体" w:hAnsi="宋体" w:eastAsia="宋体" w:cs="宋体"/>
          <w:b/>
        </w:rPr>
        <w:t>（一）项目经理</w:t>
      </w:r>
    </w:p>
    <w:p w14:paraId="7B11ACE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FF0000"/>
        </w:rPr>
      </w:pPr>
      <w:r>
        <w:rPr>
          <w:rFonts w:hint="eastAsia" w:ascii="宋体" w:hAnsi="宋体" w:eastAsia="宋体" w:cs="宋体"/>
        </w:rPr>
        <w:t>1.熟悉物业管理流程，负责制定日常工作计划和方案，统筹安排各项工作，负责制订各项必要的应急预案并组织人员学习和演练；审核、制订年度工作计划、员 工培训计划、批准季度、月、周工作计划，检查落实工作执行情况</w:t>
      </w:r>
      <w:r>
        <w:rPr>
          <w:rFonts w:hint="eastAsia" w:ascii="宋体" w:hAnsi="宋体" w:eastAsia="宋体" w:cs="宋体"/>
          <w:color w:val="auto"/>
        </w:rPr>
        <w:t>。</w:t>
      </w:r>
    </w:p>
    <w:p w14:paraId="2633EF6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rPr>
      </w:pPr>
      <w:r>
        <w:rPr>
          <w:rFonts w:hint="eastAsia" w:ascii="宋体" w:hAnsi="宋体" w:eastAsia="宋体" w:cs="宋体"/>
        </w:rPr>
        <w:t>2.主持项目服务日常管理工作。根据各时期的实际状况，提出改进和提高物业管理服务工作水平的意见和措施。</w:t>
      </w:r>
      <w:r>
        <w:rPr>
          <w:rFonts w:hint="eastAsia" w:ascii="宋体" w:hAnsi="宋体" w:eastAsia="宋体" w:cs="宋体"/>
        </w:rPr>
        <w:br w:type="textWrapping"/>
      </w:r>
      <w:r>
        <w:rPr>
          <w:rFonts w:hint="eastAsia" w:ascii="宋体" w:hAnsi="宋体" w:eastAsia="宋体" w:cs="宋体"/>
        </w:rPr>
        <w:t xml:space="preserve">    3.对公司和业主双方负责和汇报工作，按时向公司和业主提交工作计划和小结，听取业主的意见和要求，并在规定期限内落实执行。</w:t>
      </w:r>
      <w:r>
        <w:rPr>
          <w:rFonts w:hint="eastAsia" w:ascii="宋体" w:hAnsi="宋体" w:eastAsia="宋体" w:cs="宋体"/>
        </w:rPr>
        <w:br w:type="textWrapping"/>
      </w:r>
      <w:r>
        <w:rPr>
          <w:rFonts w:hint="eastAsia" w:ascii="宋体" w:hAnsi="宋体" w:eastAsia="宋体" w:cs="宋体"/>
        </w:rPr>
        <w:t xml:space="preserve">    4.负责召集员工每月例会，检查工作落实情况，布置工作任务，协调员工关系，就项目管理服务执行中的问题提出解决方案。若发生重大事件或超出岗位职责权限的应立即向公司和业主汇报。</w:t>
      </w:r>
      <w:r>
        <w:rPr>
          <w:rFonts w:hint="eastAsia" w:ascii="宋体" w:hAnsi="宋体" w:eastAsia="宋体" w:cs="宋体"/>
        </w:rPr>
        <w:br w:type="textWrapping"/>
      </w:r>
      <w:r>
        <w:rPr>
          <w:rFonts w:hint="eastAsia" w:ascii="宋体" w:hAnsi="宋体" w:eastAsia="宋体" w:cs="宋体"/>
        </w:rPr>
        <w:t xml:space="preserve">    5.进行巡视，对服务情况进行了解，每天检查各个重点环节，发现问题及时解决。</w:t>
      </w:r>
      <w:r>
        <w:rPr>
          <w:rFonts w:hint="eastAsia" w:ascii="宋体" w:hAnsi="宋体" w:eastAsia="宋体" w:cs="宋体"/>
        </w:rPr>
        <w:br w:type="textWrapping"/>
      </w:r>
      <w:r>
        <w:rPr>
          <w:rFonts w:hint="eastAsia" w:ascii="宋体" w:hAnsi="宋体" w:eastAsia="宋体" w:cs="宋体"/>
        </w:rPr>
        <w:t xml:space="preserve">    6.发生紧急事件时，立即组织相关责任人员进行处理，按应急方案制定的措施执行。对发生的紧急事件应在事后组织相关责任人员总结、学习，分析原因并写出报告向公司和业主汇报。</w:t>
      </w:r>
      <w:r>
        <w:rPr>
          <w:rFonts w:hint="eastAsia" w:ascii="宋体" w:hAnsi="宋体" w:eastAsia="宋体" w:cs="宋体"/>
        </w:rPr>
        <w:br w:type="textWrapping"/>
      </w:r>
      <w:r>
        <w:rPr>
          <w:rFonts w:hint="eastAsia" w:ascii="宋体" w:hAnsi="宋体" w:eastAsia="宋体" w:cs="宋体"/>
        </w:rPr>
        <w:t xml:space="preserve">    7.负责外部的沟通和联系，及时处理投诉，对业主提出的建议和要求及时响应，并进行实施改进。</w:t>
      </w:r>
    </w:p>
    <w:p w14:paraId="26F232AB">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rPr>
      </w:pPr>
      <w:r>
        <w:rPr>
          <w:rFonts w:hint="eastAsia" w:ascii="宋体" w:hAnsi="宋体" w:eastAsia="宋体" w:cs="宋体"/>
          <w:b/>
        </w:rPr>
        <w:t>（二）水电工岗</w:t>
      </w:r>
    </w:p>
    <w:p w14:paraId="482016F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24小时待班，负责整个办公区域内的水电维护，保障水电、发电机房及其他设施设备的正常使用。</w:t>
      </w:r>
    </w:p>
    <w:p w14:paraId="674C4A38">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lang w:val="en" w:eastAsia="zh-CN"/>
        </w:rPr>
      </w:pPr>
      <w:r>
        <w:rPr>
          <w:rFonts w:hint="eastAsia" w:ascii="宋体" w:hAnsi="宋体" w:eastAsia="宋体" w:cs="宋体"/>
          <w:b/>
        </w:rPr>
        <w:t>(</w:t>
      </w:r>
      <w:r>
        <w:rPr>
          <w:rFonts w:hint="eastAsia" w:ascii="宋体" w:hAnsi="宋体" w:eastAsia="宋体" w:cs="宋体"/>
          <w:b/>
          <w:lang w:val="en"/>
        </w:rPr>
        <w:t>三</w:t>
      </w:r>
      <w:r>
        <w:rPr>
          <w:rFonts w:hint="eastAsia" w:ascii="宋体" w:hAnsi="宋体" w:eastAsia="宋体" w:cs="宋体"/>
          <w:b/>
        </w:rPr>
        <w:t>）会务</w:t>
      </w:r>
      <w:r>
        <w:rPr>
          <w:rFonts w:hint="eastAsia" w:ascii="宋体" w:hAnsi="宋体" w:eastAsia="宋体" w:cs="宋体"/>
          <w:b/>
          <w:lang w:val="en"/>
        </w:rPr>
        <w:t>岗</w:t>
      </w:r>
    </w:p>
    <w:p w14:paraId="7E923FC3">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1.负责做好会议室、接待室桌椅的摆放。</w:t>
      </w:r>
    </w:p>
    <w:p w14:paraId="3826233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2.会议期间提供茶水服务。</w:t>
      </w:r>
    </w:p>
    <w:p w14:paraId="362C867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3.会议结束后负责会议室的卫生清洁。</w:t>
      </w:r>
    </w:p>
    <w:p w14:paraId="5E6D0752">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4.负责报刊的收发工作。</w:t>
      </w:r>
    </w:p>
    <w:p w14:paraId="58F051F9">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eastAsia="zh-CN"/>
        </w:rPr>
        <w:t>四</w:t>
      </w:r>
      <w:r>
        <w:rPr>
          <w:rFonts w:hint="eastAsia" w:ascii="宋体" w:hAnsi="宋体" w:eastAsia="宋体" w:cs="宋体"/>
          <w:b/>
        </w:rPr>
        <w:t>）保安岗位</w:t>
      </w:r>
    </w:p>
    <w:p w14:paraId="240E808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实行全天24小时值班制（三班倒），设保安大门岗</w:t>
      </w:r>
      <w:r>
        <w:rPr>
          <w:rFonts w:hint="eastAsia" w:ascii="宋体" w:hAnsi="宋体" w:eastAsia="宋体" w:cs="宋体"/>
          <w:lang w:eastAsia="zh-CN"/>
        </w:rPr>
        <w:t>和</w:t>
      </w:r>
      <w:r>
        <w:rPr>
          <w:rFonts w:hint="eastAsia" w:ascii="宋体" w:hAnsi="宋体" w:eastAsia="宋体" w:cs="宋体"/>
        </w:rPr>
        <w:t>监控巡逻岗，大门岗工作职责主要是做好服务区域内进出物资的检查、外来人员的登记验证，按照要求执行大门的管理工作；监控巡逻岗工作职责主要是在监控室查看监控和不定时不定点的对整个办公区域进行治安巡逻，时刻警惕各类治安事件的发生，一旦发现可疑人员和情况，果断采取有效措施，防止事件恶化。</w:t>
      </w:r>
    </w:p>
    <w:p w14:paraId="29CD0A47">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eastAsia="zh-CN"/>
        </w:rPr>
        <w:t>五</w:t>
      </w:r>
      <w:r>
        <w:rPr>
          <w:rFonts w:hint="eastAsia" w:ascii="宋体" w:hAnsi="宋体" w:eastAsia="宋体" w:cs="宋体"/>
          <w:b/>
        </w:rPr>
        <w:t>）保洁（绿化）岗</w:t>
      </w:r>
    </w:p>
    <w:p w14:paraId="3A0122E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aseline"/>
        <w:rPr>
          <w:rFonts w:hint="eastAsia" w:ascii="宋体" w:hAnsi="宋体" w:eastAsia="宋体" w:cs="宋体"/>
        </w:rPr>
      </w:pPr>
      <w:r>
        <w:rPr>
          <w:rFonts w:hint="eastAsia" w:ascii="宋体" w:hAnsi="宋体" w:eastAsia="宋体" w:cs="宋体"/>
        </w:rPr>
        <w:t>负责整栋大楼及公共区域内的卫生清洁以及绿植的养护。</w:t>
      </w:r>
    </w:p>
    <w:p w14:paraId="59C98FE6">
      <w:pPr>
        <w:spacing w:before="247" w:line="365" w:lineRule="auto"/>
        <w:ind w:left="37" w:firstLine="471"/>
        <w:rPr>
          <w:rFonts w:ascii="宋体" w:hAnsi="宋体" w:eastAsia="宋体" w:cs="宋体"/>
          <w:sz w:val="21"/>
          <w:szCs w:val="21"/>
        </w:rPr>
      </w:pPr>
      <w:r>
        <w:rPr>
          <w:rFonts w:hint="eastAsia" w:ascii="宋体" w:hAnsi="宋体" w:cs="宋体"/>
          <w:b/>
          <w:bCs/>
          <w:sz w:val="21"/>
          <w:szCs w:val="21"/>
          <w:lang w:eastAsia="zh-CN"/>
        </w:rPr>
        <w:t>四</w:t>
      </w:r>
      <w:r>
        <w:rPr>
          <w:rFonts w:ascii="宋体" w:hAnsi="宋体" w:eastAsia="宋体" w:cs="宋体"/>
          <w:b/>
          <w:bCs/>
          <w:sz w:val="21"/>
          <w:szCs w:val="21"/>
        </w:rPr>
        <w:t>、付款方式：</w:t>
      </w:r>
      <w:r>
        <w:rPr>
          <w:rFonts w:ascii="宋体" w:hAnsi="宋体" w:eastAsia="宋体" w:cs="宋体"/>
          <w:sz w:val="21"/>
          <w:szCs w:val="21"/>
        </w:rPr>
        <w:t>签订合同后十五日内，采购人向成交供应</w:t>
      </w:r>
      <w:r>
        <w:rPr>
          <w:rFonts w:ascii="宋体" w:hAnsi="宋体" w:eastAsia="宋体" w:cs="宋体"/>
          <w:spacing w:val="-1"/>
          <w:sz w:val="21"/>
          <w:szCs w:val="21"/>
        </w:rPr>
        <w:t>商付合同价款的</w:t>
      </w:r>
      <w:r>
        <w:rPr>
          <w:rFonts w:ascii="宋体" w:hAnsi="宋体" w:eastAsia="宋体" w:cs="宋体"/>
          <w:spacing w:val="-22"/>
          <w:sz w:val="21"/>
          <w:szCs w:val="21"/>
        </w:rPr>
        <w:t xml:space="preserve"> </w:t>
      </w:r>
      <w:r>
        <w:rPr>
          <w:rFonts w:ascii="Times New Roman" w:hAnsi="Times New Roman" w:eastAsia="Times New Roman" w:cs="Times New Roman"/>
          <w:spacing w:val="-1"/>
          <w:sz w:val="21"/>
          <w:szCs w:val="21"/>
        </w:rPr>
        <w:t>33%</w:t>
      </w:r>
      <w:r>
        <w:rPr>
          <w:rFonts w:ascii="宋体" w:hAnsi="宋体" w:eastAsia="宋体" w:cs="宋体"/>
          <w:spacing w:val="-1"/>
          <w:sz w:val="21"/>
          <w:szCs w:val="21"/>
        </w:rPr>
        <w:t>（第一年的物业管理服</w:t>
      </w:r>
      <w:r>
        <w:rPr>
          <w:rFonts w:ascii="宋体" w:hAnsi="宋体" w:eastAsia="宋体" w:cs="宋体"/>
          <w:sz w:val="21"/>
          <w:szCs w:val="21"/>
        </w:rPr>
        <w:t xml:space="preserve"> </w:t>
      </w:r>
      <w:r>
        <w:rPr>
          <w:rFonts w:ascii="宋体" w:hAnsi="宋体" w:eastAsia="宋体" w:cs="宋体"/>
          <w:spacing w:val="-2"/>
          <w:sz w:val="21"/>
          <w:szCs w:val="21"/>
        </w:rPr>
        <w:t>务费</w:t>
      </w:r>
      <w:r>
        <w:rPr>
          <w:rFonts w:ascii="宋体" w:hAnsi="宋体" w:eastAsia="宋体" w:cs="宋体"/>
          <w:spacing w:val="-29"/>
          <w:sz w:val="21"/>
          <w:szCs w:val="21"/>
        </w:rPr>
        <w:t>），</w:t>
      </w:r>
      <w:r>
        <w:rPr>
          <w:rFonts w:ascii="Times New Roman" w:hAnsi="Times New Roman" w:eastAsia="Times New Roman" w:cs="Times New Roman"/>
          <w:spacing w:val="-2"/>
          <w:sz w:val="21"/>
          <w:szCs w:val="21"/>
        </w:rPr>
        <w:t>202</w:t>
      </w:r>
      <w:r>
        <w:rPr>
          <w:rFonts w:hint="eastAsia" w:eastAsia="宋体" w:cs="Times New Roman"/>
          <w:spacing w:val="-2"/>
          <w:sz w:val="21"/>
          <w:szCs w:val="21"/>
          <w:lang w:val="en-US" w:eastAsia="zh-CN"/>
        </w:rPr>
        <w:t>6</w:t>
      </w:r>
      <w:r>
        <w:rPr>
          <w:rFonts w:ascii="宋体" w:hAnsi="宋体" w:eastAsia="宋体" w:cs="宋体"/>
          <w:spacing w:val="-2"/>
          <w:sz w:val="21"/>
          <w:szCs w:val="21"/>
        </w:rPr>
        <w:t>年</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11</w:t>
      </w:r>
      <w:r>
        <w:rPr>
          <w:rFonts w:ascii="宋体" w:hAnsi="宋体" w:eastAsia="宋体" w:cs="宋体"/>
          <w:spacing w:val="-2"/>
          <w:sz w:val="21"/>
          <w:szCs w:val="21"/>
        </w:rPr>
        <w:t>月底前付至合同价款的</w:t>
      </w:r>
      <w:r>
        <w:rPr>
          <w:rFonts w:ascii="宋体" w:hAnsi="宋体" w:eastAsia="宋体" w:cs="宋体"/>
          <w:spacing w:val="-43"/>
          <w:sz w:val="21"/>
          <w:szCs w:val="21"/>
        </w:rPr>
        <w:t xml:space="preserve"> </w:t>
      </w:r>
      <w:r>
        <w:rPr>
          <w:rFonts w:ascii="Times New Roman" w:hAnsi="Times New Roman" w:eastAsia="Times New Roman" w:cs="Times New Roman"/>
          <w:spacing w:val="-2"/>
          <w:sz w:val="21"/>
          <w:szCs w:val="21"/>
        </w:rPr>
        <w:t>66% (</w:t>
      </w:r>
      <w:r>
        <w:rPr>
          <w:rFonts w:ascii="宋体" w:hAnsi="宋体" w:eastAsia="宋体" w:cs="宋体"/>
          <w:spacing w:val="-2"/>
          <w:sz w:val="21"/>
          <w:szCs w:val="21"/>
        </w:rPr>
        <w:t>第二年的物业管理服务费</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3"/>
          <w:sz w:val="21"/>
          <w:szCs w:val="21"/>
        </w:rPr>
        <w:t>202</w:t>
      </w:r>
      <w:r>
        <w:rPr>
          <w:rFonts w:hint="eastAsia" w:eastAsia="宋体" w:cs="Times New Roman"/>
          <w:spacing w:val="-3"/>
          <w:sz w:val="21"/>
          <w:szCs w:val="21"/>
          <w:lang w:val="en-US" w:eastAsia="zh-CN"/>
        </w:rPr>
        <w:t>7</w:t>
      </w:r>
      <w:r>
        <w:rPr>
          <w:rFonts w:ascii="宋体" w:hAnsi="宋体" w:eastAsia="宋体" w:cs="宋体"/>
          <w:spacing w:val="-3"/>
          <w:sz w:val="21"/>
          <w:szCs w:val="21"/>
        </w:rPr>
        <w:t>年</w:t>
      </w:r>
      <w:r>
        <w:rPr>
          <w:rFonts w:ascii="宋体" w:hAnsi="宋体" w:eastAsia="宋体" w:cs="宋体"/>
          <w:spacing w:val="-30"/>
          <w:sz w:val="21"/>
          <w:szCs w:val="21"/>
        </w:rPr>
        <w:t xml:space="preserve"> </w:t>
      </w:r>
      <w:r>
        <w:rPr>
          <w:rFonts w:ascii="Times New Roman" w:hAnsi="Times New Roman" w:eastAsia="Times New Roman" w:cs="Times New Roman"/>
          <w:spacing w:val="-3"/>
          <w:sz w:val="21"/>
          <w:szCs w:val="21"/>
        </w:rPr>
        <w:t>11</w:t>
      </w:r>
      <w:r>
        <w:rPr>
          <w:rFonts w:ascii="宋体" w:hAnsi="宋体" w:eastAsia="宋体" w:cs="宋体"/>
          <w:spacing w:val="-3"/>
          <w:sz w:val="21"/>
          <w:szCs w:val="21"/>
        </w:rPr>
        <w:t>月底前付至合同价</w:t>
      </w:r>
      <w:r>
        <w:rPr>
          <w:rFonts w:ascii="宋体" w:hAnsi="宋体" w:eastAsia="宋体" w:cs="宋体"/>
          <w:sz w:val="21"/>
          <w:szCs w:val="21"/>
        </w:rPr>
        <w:t xml:space="preserve"> </w:t>
      </w:r>
      <w:r>
        <w:rPr>
          <w:rFonts w:ascii="宋体" w:hAnsi="宋体" w:eastAsia="宋体" w:cs="宋体"/>
          <w:spacing w:val="-3"/>
          <w:sz w:val="21"/>
          <w:szCs w:val="21"/>
        </w:rPr>
        <w:t>款的</w:t>
      </w:r>
      <w:r>
        <w:rPr>
          <w:rFonts w:ascii="宋体" w:hAnsi="宋体" w:eastAsia="宋体" w:cs="宋体"/>
          <w:spacing w:val="-32"/>
          <w:sz w:val="21"/>
          <w:szCs w:val="21"/>
        </w:rPr>
        <w:t xml:space="preserve"> </w:t>
      </w:r>
      <w:r>
        <w:rPr>
          <w:rFonts w:ascii="Times New Roman" w:hAnsi="Times New Roman" w:eastAsia="Times New Roman" w:cs="Times New Roman"/>
          <w:spacing w:val="-3"/>
          <w:sz w:val="21"/>
          <w:szCs w:val="21"/>
        </w:rPr>
        <w:t>100% (</w:t>
      </w:r>
      <w:r>
        <w:rPr>
          <w:rFonts w:ascii="宋体" w:hAnsi="宋体" w:eastAsia="宋体" w:cs="宋体"/>
          <w:spacing w:val="-3"/>
          <w:sz w:val="21"/>
          <w:szCs w:val="21"/>
        </w:rPr>
        <w:t>第三年的物业管理服务费</w:t>
      </w:r>
      <w:r>
        <w:rPr>
          <w:rFonts w:ascii="Times New Roman" w:hAnsi="Times New Roman" w:eastAsia="Times New Roman" w:cs="Times New Roman"/>
          <w:spacing w:val="-3"/>
          <w:sz w:val="21"/>
          <w:szCs w:val="21"/>
        </w:rPr>
        <w:t>)</w:t>
      </w:r>
      <w:r>
        <w:rPr>
          <w:rFonts w:ascii="宋体" w:hAnsi="宋体" w:eastAsia="宋体" w:cs="宋体"/>
          <w:spacing w:val="-3"/>
          <w:sz w:val="21"/>
          <w:szCs w:val="21"/>
        </w:rPr>
        <w:t>。供应商在收到每笔款项后五个工作日内开具</w:t>
      </w:r>
      <w:r>
        <w:rPr>
          <w:rFonts w:ascii="宋体" w:hAnsi="宋体" w:eastAsia="宋体" w:cs="宋体"/>
          <w:spacing w:val="-4"/>
          <w:sz w:val="21"/>
          <w:szCs w:val="21"/>
        </w:rPr>
        <w:t>等额有效发票给采购人。</w:t>
      </w:r>
    </w:p>
    <w:p w14:paraId="60E91799">
      <w:pPr>
        <w:spacing w:before="258" w:line="330" w:lineRule="auto"/>
        <w:ind w:left="38" w:right="80" w:firstLine="474"/>
        <w:rPr>
          <w:rFonts w:ascii="宋体" w:hAnsi="宋体" w:eastAsia="宋体" w:cs="宋体"/>
          <w:sz w:val="21"/>
          <w:szCs w:val="21"/>
        </w:rPr>
      </w:pPr>
      <w:r>
        <w:rPr>
          <w:rFonts w:hint="eastAsia" w:ascii="宋体" w:hAnsi="宋体" w:cs="宋体"/>
          <w:b/>
          <w:bCs/>
          <w:spacing w:val="-1"/>
          <w:sz w:val="21"/>
          <w:szCs w:val="21"/>
          <w:lang w:eastAsia="zh-CN"/>
        </w:rPr>
        <w:t>五</w:t>
      </w:r>
      <w:r>
        <w:rPr>
          <w:rFonts w:ascii="宋体" w:hAnsi="宋体" w:eastAsia="宋体" w:cs="宋体"/>
          <w:b/>
          <w:bCs/>
          <w:spacing w:val="-1"/>
          <w:sz w:val="21"/>
          <w:szCs w:val="21"/>
        </w:rPr>
        <w:t>、磋商报价包含以下所列（1）至（6）项目费用及磋商</w:t>
      </w:r>
      <w:r>
        <w:rPr>
          <w:rFonts w:ascii="宋体" w:hAnsi="宋体" w:eastAsia="宋体" w:cs="宋体"/>
          <w:b/>
          <w:bCs/>
          <w:spacing w:val="-2"/>
          <w:sz w:val="21"/>
          <w:szCs w:val="21"/>
        </w:rPr>
        <w:t>响应供应商对本项目提供服务所发生的一切</w:t>
      </w:r>
      <w:r>
        <w:rPr>
          <w:rFonts w:ascii="宋体" w:hAnsi="宋体" w:eastAsia="宋体" w:cs="宋体"/>
          <w:sz w:val="21"/>
          <w:szCs w:val="21"/>
        </w:rPr>
        <w:t xml:space="preserve"> </w:t>
      </w:r>
      <w:r>
        <w:rPr>
          <w:rFonts w:ascii="宋体" w:hAnsi="宋体" w:eastAsia="宋体" w:cs="宋体"/>
          <w:b/>
          <w:bCs/>
          <w:spacing w:val="-6"/>
          <w:sz w:val="21"/>
          <w:szCs w:val="21"/>
        </w:rPr>
        <w:t>成本费用的总和。</w:t>
      </w:r>
    </w:p>
    <w:p w14:paraId="04BFD6F4">
      <w:pPr>
        <w:spacing w:before="249" w:line="220" w:lineRule="auto"/>
        <w:ind w:left="511"/>
        <w:rPr>
          <w:rFonts w:ascii="宋体" w:hAnsi="宋体" w:eastAsia="宋体" w:cs="宋体"/>
          <w:sz w:val="21"/>
          <w:szCs w:val="21"/>
        </w:rPr>
      </w:pPr>
      <w:r>
        <w:rPr>
          <w:rFonts w:ascii="宋体" w:hAnsi="宋体" w:eastAsia="宋体" w:cs="宋体"/>
          <w:spacing w:val="-3"/>
          <w:sz w:val="21"/>
          <w:szCs w:val="21"/>
        </w:rPr>
        <w:t>本项目收取服务费的构成应包括以下</w:t>
      </w:r>
      <w:r>
        <w:rPr>
          <w:rFonts w:ascii="宋体" w:hAnsi="宋体" w:eastAsia="宋体" w:cs="宋体"/>
          <w:spacing w:val="-33"/>
          <w:sz w:val="21"/>
          <w:szCs w:val="21"/>
        </w:rPr>
        <w:t xml:space="preserve"> </w:t>
      </w:r>
      <w:r>
        <w:rPr>
          <w:rFonts w:ascii="宋体" w:hAnsi="宋体" w:eastAsia="宋体" w:cs="宋体"/>
          <w:spacing w:val="-3"/>
          <w:sz w:val="21"/>
          <w:szCs w:val="21"/>
        </w:rPr>
        <w:t>6</w:t>
      </w:r>
      <w:r>
        <w:rPr>
          <w:rFonts w:ascii="宋体" w:hAnsi="宋体" w:eastAsia="宋体" w:cs="宋体"/>
          <w:spacing w:val="-40"/>
          <w:sz w:val="21"/>
          <w:szCs w:val="21"/>
        </w:rPr>
        <w:t xml:space="preserve"> </w:t>
      </w:r>
      <w:r>
        <w:rPr>
          <w:rFonts w:ascii="宋体" w:hAnsi="宋体" w:eastAsia="宋体" w:cs="宋体"/>
          <w:spacing w:val="-3"/>
          <w:sz w:val="21"/>
          <w:szCs w:val="21"/>
        </w:rPr>
        <w:t>项：</w:t>
      </w:r>
    </w:p>
    <w:p w14:paraId="2D93381B">
      <w:pPr>
        <w:spacing w:before="248" w:line="221" w:lineRule="auto"/>
        <w:ind w:left="516"/>
        <w:rPr>
          <w:rFonts w:ascii="宋体" w:hAnsi="宋体" w:eastAsia="宋体" w:cs="宋体"/>
          <w:sz w:val="21"/>
          <w:szCs w:val="21"/>
        </w:rPr>
      </w:pPr>
      <w:r>
        <w:rPr>
          <w:rFonts w:ascii="宋体" w:hAnsi="宋体" w:eastAsia="宋体" w:cs="宋体"/>
          <w:spacing w:val="-1"/>
          <w:sz w:val="21"/>
          <w:szCs w:val="21"/>
        </w:rPr>
        <w:t>（1）管理、服务人员的工资（加班费</w:t>
      </w:r>
      <w:r>
        <w:rPr>
          <w:rFonts w:ascii="宋体" w:hAnsi="宋体" w:eastAsia="宋体" w:cs="宋体"/>
          <w:spacing w:val="-10"/>
          <w:sz w:val="21"/>
          <w:szCs w:val="21"/>
        </w:rPr>
        <w:t>）；</w:t>
      </w:r>
    </w:p>
    <w:p w14:paraId="01114390">
      <w:pPr>
        <w:spacing w:before="250" w:line="221" w:lineRule="auto"/>
        <w:ind w:left="516"/>
        <w:rPr>
          <w:rFonts w:ascii="宋体" w:hAnsi="宋体" w:eastAsia="宋体" w:cs="宋体"/>
          <w:sz w:val="21"/>
          <w:szCs w:val="21"/>
        </w:rPr>
      </w:pPr>
      <w:r>
        <w:rPr>
          <w:rFonts w:ascii="宋体" w:hAnsi="宋体" w:eastAsia="宋体" w:cs="宋体"/>
          <w:spacing w:val="-1"/>
          <w:sz w:val="21"/>
          <w:szCs w:val="21"/>
        </w:rPr>
        <w:t>（2）按规定提取的保险和福利费及国家地方规定必须</w:t>
      </w:r>
      <w:r>
        <w:rPr>
          <w:rFonts w:ascii="宋体" w:hAnsi="宋体" w:eastAsia="宋体" w:cs="宋体"/>
          <w:spacing w:val="-2"/>
          <w:sz w:val="21"/>
          <w:szCs w:val="21"/>
        </w:rPr>
        <w:t>缴纳的费用；</w:t>
      </w:r>
    </w:p>
    <w:p w14:paraId="02C00FA0">
      <w:pPr>
        <w:spacing w:line="221" w:lineRule="auto"/>
        <w:rPr>
          <w:rFonts w:ascii="宋体" w:hAnsi="宋体" w:eastAsia="宋体" w:cs="宋体"/>
          <w:sz w:val="21"/>
          <w:szCs w:val="21"/>
        </w:rPr>
      </w:pPr>
    </w:p>
    <w:p w14:paraId="781A4F1E">
      <w:pPr>
        <w:spacing w:before="69" w:line="221" w:lineRule="auto"/>
        <w:ind w:left="516"/>
        <w:rPr>
          <w:rFonts w:ascii="宋体" w:hAnsi="宋体" w:eastAsia="宋体" w:cs="宋体"/>
          <w:sz w:val="21"/>
          <w:szCs w:val="21"/>
        </w:rPr>
      </w:pPr>
      <w:r>
        <w:rPr>
          <w:rFonts w:ascii="宋体" w:hAnsi="宋体" w:eastAsia="宋体" w:cs="宋体"/>
          <w:spacing w:val="-3"/>
          <w:sz w:val="21"/>
          <w:szCs w:val="21"/>
        </w:rPr>
        <w:t>（3）管理、服务人员的服装费；</w:t>
      </w:r>
    </w:p>
    <w:p w14:paraId="77A7A681">
      <w:pPr>
        <w:spacing w:before="247" w:line="221" w:lineRule="auto"/>
        <w:ind w:left="516"/>
        <w:rPr>
          <w:rFonts w:ascii="宋体" w:hAnsi="宋体" w:eastAsia="宋体" w:cs="宋体"/>
          <w:sz w:val="21"/>
          <w:szCs w:val="21"/>
        </w:rPr>
      </w:pPr>
      <w:r>
        <w:rPr>
          <w:rFonts w:ascii="宋体" w:hAnsi="宋体" w:eastAsia="宋体" w:cs="宋体"/>
          <w:spacing w:val="-5"/>
          <w:sz w:val="21"/>
          <w:szCs w:val="21"/>
        </w:rPr>
        <w:t>（4）人员管理费；</w:t>
      </w:r>
    </w:p>
    <w:p w14:paraId="4CF9820D">
      <w:pPr>
        <w:spacing w:before="251" w:line="221" w:lineRule="auto"/>
        <w:ind w:left="516"/>
        <w:rPr>
          <w:rFonts w:ascii="宋体" w:hAnsi="宋体" w:eastAsia="宋体" w:cs="宋体"/>
          <w:sz w:val="21"/>
          <w:szCs w:val="21"/>
        </w:rPr>
      </w:pPr>
      <w:r>
        <w:rPr>
          <w:rFonts w:ascii="宋体" w:hAnsi="宋体" w:eastAsia="宋体" w:cs="宋体"/>
          <w:spacing w:val="-2"/>
          <w:sz w:val="21"/>
          <w:szCs w:val="21"/>
        </w:rPr>
        <w:t>（5）法定税费；</w:t>
      </w:r>
    </w:p>
    <w:p w14:paraId="771F731D">
      <w:pPr>
        <w:spacing w:before="246" w:line="221" w:lineRule="auto"/>
        <w:ind w:left="516"/>
        <w:rPr>
          <w:rFonts w:ascii="宋体" w:hAnsi="宋体" w:eastAsia="宋体" w:cs="宋体"/>
          <w:sz w:val="21"/>
          <w:szCs w:val="21"/>
        </w:rPr>
      </w:pPr>
      <w:r>
        <w:rPr>
          <w:rFonts w:ascii="宋体" w:hAnsi="宋体" w:eastAsia="宋体" w:cs="宋体"/>
          <w:spacing w:val="-2"/>
          <w:sz w:val="21"/>
          <w:szCs w:val="21"/>
        </w:rPr>
        <w:t>（6）合理利润不可预见费用。</w:t>
      </w:r>
    </w:p>
    <w:p w14:paraId="044FFE97">
      <w:pPr>
        <w:pStyle w:val="8"/>
        <w:spacing w:line="249" w:lineRule="auto"/>
      </w:pPr>
    </w:p>
    <w:p w14:paraId="4D351ABB">
      <w:pPr>
        <w:pStyle w:val="8"/>
        <w:spacing w:line="249" w:lineRule="auto"/>
      </w:pPr>
    </w:p>
    <w:p w14:paraId="01C0D576">
      <w:pPr>
        <w:spacing w:before="68" w:line="220" w:lineRule="auto"/>
        <w:ind w:left="459"/>
        <w:rPr>
          <w:rFonts w:ascii="宋体" w:hAnsi="宋体" w:eastAsia="宋体" w:cs="宋体"/>
          <w:sz w:val="21"/>
          <w:szCs w:val="21"/>
        </w:rPr>
      </w:pPr>
      <w:r>
        <w:rPr>
          <w:rFonts w:ascii="宋体" w:hAnsi="宋体" w:eastAsia="宋体" w:cs="宋体"/>
          <w:b/>
          <w:bCs/>
          <w:spacing w:val="-3"/>
          <w:sz w:val="21"/>
          <w:szCs w:val="21"/>
        </w:rPr>
        <w:t>注：以上各项采购需求均应满足，否则作无效磋商处理。</w:t>
      </w:r>
    </w:p>
    <w:p w14:paraId="68A7912B">
      <w:pPr>
        <w:spacing w:line="220" w:lineRule="auto"/>
        <w:rPr>
          <w:rFonts w:ascii="宋体" w:hAnsi="宋体" w:eastAsia="宋体" w:cs="宋体"/>
          <w:sz w:val="21"/>
          <w:szCs w:val="21"/>
        </w:rPr>
        <w:sectPr>
          <w:headerReference r:id="rId4" w:type="default"/>
          <w:footerReference r:id="rId5" w:type="default"/>
          <w:pgSz w:w="11921" w:h="16851"/>
          <w:pgMar w:top="1234" w:right="1049" w:bottom="1558" w:left="1051" w:header="896" w:footer="1330" w:gutter="0"/>
          <w:cols w:space="720" w:num="1"/>
        </w:sectPr>
      </w:pPr>
    </w:p>
    <w:p w14:paraId="6B108413">
      <w:pPr>
        <w:spacing w:before="101" w:line="224" w:lineRule="auto"/>
        <w:ind w:left="172" w:leftChars="0"/>
        <w:outlineLvl w:val="0"/>
        <w:rPr>
          <w:rFonts w:ascii="宋体" w:hAnsi="宋体" w:eastAsia="宋体" w:cs="宋体"/>
          <w:b/>
          <w:bCs/>
          <w:color w:val="auto"/>
          <w:spacing w:val="-8"/>
          <w:sz w:val="32"/>
          <w:szCs w:val="32"/>
          <w:highlight w:val="none"/>
        </w:rPr>
      </w:pPr>
      <w:bookmarkStart w:id="26" w:name="_Toc9789"/>
      <w:r>
        <w:rPr>
          <w:rFonts w:hint="eastAsia" w:ascii="宋体" w:hAnsi="宋体" w:eastAsia="宋体" w:cs="宋体"/>
          <w:b/>
          <w:bCs/>
          <w:color w:val="auto"/>
          <w:spacing w:val="-8"/>
          <w:sz w:val="32"/>
          <w:szCs w:val="32"/>
          <w:highlight w:val="none"/>
        </w:rPr>
        <w:t>本项目所属行业：物业管理</w:t>
      </w:r>
    </w:p>
    <w:p w14:paraId="3BBB38A5">
      <w:pPr>
        <w:spacing w:before="101" w:line="224" w:lineRule="auto"/>
        <w:ind w:left="172" w:leftChars="0"/>
        <w:outlineLvl w:val="0"/>
        <w:rPr>
          <w:rFonts w:ascii="宋体" w:hAnsi="宋体" w:eastAsia="宋体" w:cs="宋体"/>
          <w:color w:val="auto"/>
          <w:sz w:val="31"/>
          <w:szCs w:val="31"/>
          <w:highlight w:val="none"/>
        </w:rPr>
      </w:pPr>
      <w:r>
        <w:rPr>
          <w:rFonts w:ascii="宋体" w:hAnsi="宋体" w:eastAsia="宋体" w:cs="宋体"/>
          <w:color w:val="auto"/>
          <w:spacing w:val="-8"/>
          <w:sz w:val="32"/>
          <w:szCs w:val="32"/>
          <w:highlight w:val="none"/>
        </w:rPr>
        <w:t>附件</w:t>
      </w:r>
      <w:bookmarkEnd w:id="26"/>
      <w:r>
        <w:rPr>
          <w:rFonts w:ascii="宋体" w:hAnsi="宋体" w:eastAsia="宋体" w:cs="宋体"/>
          <w:color w:val="auto"/>
          <w:spacing w:val="-57"/>
          <w:sz w:val="31"/>
          <w:szCs w:val="31"/>
          <w:highlight w:val="none"/>
        </w:rPr>
        <w:t xml:space="preserve"> </w:t>
      </w:r>
    </w:p>
    <w:p w14:paraId="77F96A2F">
      <w:pPr>
        <w:spacing w:before="35" w:line="212" w:lineRule="auto"/>
        <w:ind w:left="263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统计上大中小微型企业划分标准</w:t>
      </w:r>
    </w:p>
    <w:tbl>
      <w:tblPr>
        <w:tblStyle w:val="111"/>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235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7" w:type="dxa"/>
            <w:vAlign w:val="top"/>
          </w:tcPr>
          <w:p w14:paraId="5BFDC26C">
            <w:pPr>
              <w:pStyle w:val="110"/>
              <w:spacing w:before="188" w:line="220" w:lineRule="auto"/>
              <w:ind w:left="704"/>
              <w:rPr>
                <w:color w:val="auto"/>
                <w:sz w:val="18"/>
                <w:szCs w:val="18"/>
                <w:highlight w:val="none"/>
              </w:rPr>
            </w:pPr>
            <w:r>
              <w:rPr>
                <w:b/>
                <w:bCs/>
                <w:color w:val="auto"/>
                <w:spacing w:val="-4"/>
                <w:sz w:val="18"/>
                <w:szCs w:val="18"/>
                <w:highlight w:val="none"/>
              </w:rPr>
              <w:t>行业名称</w:t>
            </w:r>
          </w:p>
        </w:tc>
        <w:tc>
          <w:tcPr>
            <w:tcW w:w="1368" w:type="dxa"/>
            <w:vAlign w:val="top"/>
          </w:tcPr>
          <w:p w14:paraId="29C4733C">
            <w:pPr>
              <w:pStyle w:val="110"/>
              <w:spacing w:before="188" w:line="220" w:lineRule="auto"/>
              <w:ind w:left="328"/>
              <w:rPr>
                <w:color w:val="auto"/>
                <w:sz w:val="18"/>
                <w:szCs w:val="18"/>
                <w:highlight w:val="none"/>
              </w:rPr>
            </w:pPr>
            <w:r>
              <w:rPr>
                <w:b/>
                <w:bCs/>
                <w:color w:val="auto"/>
                <w:spacing w:val="-4"/>
                <w:sz w:val="18"/>
                <w:szCs w:val="18"/>
                <w:highlight w:val="none"/>
              </w:rPr>
              <w:t>指标名称</w:t>
            </w:r>
          </w:p>
        </w:tc>
        <w:tc>
          <w:tcPr>
            <w:tcW w:w="709" w:type="dxa"/>
            <w:vAlign w:val="top"/>
          </w:tcPr>
          <w:p w14:paraId="374E5A60">
            <w:pPr>
              <w:pStyle w:val="110"/>
              <w:spacing w:before="58" w:line="236" w:lineRule="auto"/>
              <w:ind w:left="178" w:right="173" w:hanging="1"/>
              <w:rPr>
                <w:color w:val="auto"/>
                <w:sz w:val="18"/>
                <w:szCs w:val="18"/>
                <w:highlight w:val="none"/>
              </w:rPr>
            </w:pPr>
            <w:r>
              <w:rPr>
                <w:b/>
                <w:bCs/>
                <w:color w:val="auto"/>
                <w:spacing w:val="-6"/>
                <w:sz w:val="18"/>
                <w:szCs w:val="18"/>
                <w:highlight w:val="none"/>
              </w:rPr>
              <w:t>计量</w:t>
            </w:r>
            <w:r>
              <w:rPr>
                <w:color w:val="auto"/>
                <w:sz w:val="18"/>
                <w:szCs w:val="18"/>
                <w:highlight w:val="none"/>
              </w:rPr>
              <w:t xml:space="preserve"> </w:t>
            </w:r>
            <w:r>
              <w:rPr>
                <w:b/>
                <w:bCs/>
                <w:color w:val="auto"/>
                <w:spacing w:val="-7"/>
                <w:sz w:val="18"/>
                <w:szCs w:val="18"/>
                <w:highlight w:val="none"/>
              </w:rPr>
              <w:t>单位</w:t>
            </w:r>
          </w:p>
        </w:tc>
        <w:tc>
          <w:tcPr>
            <w:tcW w:w="1124" w:type="dxa"/>
            <w:vAlign w:val="top"/>
          </w:tcPr>
          <w:p w14:paraId="49B93FDA">
            <w:pPr>
              <w:pStyle w:val="110"/>
              <w:spacing w:before="188" w:line="220" w:lineRule="auto"/>
              <w:ind w:left="387"/>
              <w:rPr>
                <w:color w:val="auto"/>
                <w:sz w:val="18"/>
                <w:szCs w:val="18"/>
                <w:highlight w:val="none"/>
              </w:rPr>
            </w:pPr>
            <w:r>
              <w:rPr>
                <w:b/>
                <w:bCs/>
                <w:color w:val="auto"/>
                <w:spacing w:val="-7"/>
                <w:sz w:val="18"/>
                <w:szCs w:val="18"/>
                <w:highlight w:val="none"/>
              </w:rPr>
              <w:t>大型</w:t>
            </w:r>
          </w:p>
        </w:tc>
        <w:tc>
          <w:tcPr>
            <w:tcW w:w="1700" w:type="dxa"/>
            <w:vAlign w:val="top"/>
          </w:tcPr>
          <w:p w14:paraId="0C7D8311">
            <w:pPr>
              <w:pStyle w:val="110"/>
              <w:spacing w:before="188" w:line="220" w:lineRule="auto"/>
              <w:ind w:left="692"/>
              <w:rPr>
                <w:color w:val="auto"/>
                <w:sz w:val="18"/>
                <w:szCs w:val="18"/>
                <w:highlight w:val="none"/>
              </w:rPr>
            </w:pPr>
            <w:r>
              <w:rPr>
                <w:b/>
                <w:bCs/>
                <w:color w:val="auto"/>
                <w:spacing w:val="-14"/>
                <w:sz w:val="18"/>
                <w:szCs w:val="18"/>
                <w:highlight w:val="none"/>
              </w:rPr>
              <w:t>中型</w:t>
            </w:r>
          </w:p>
        </w:tc>
        <w:tc>
          <w:tcPr>
            <w:tcW w:w="1425" w:type="dxa"/>
            <w:vAlign w:val="top"/>
          </w:tcPr>
          <w:p w14:paraId="7C7C23E0">
            <w:pPr>
              <w:pStyle w:val="110"/>
              <w:spacing w:before="189" w:line="221" w:lineRule="auto"/>
              <w:ind w:left="542"/>
              <w:rPr>
                <w:color w:val="auto"/>
                <w:sz w:val="18"/>
                <w:szCs w:val="18"/>
                <w:highlight w:val="none"/>
              </w:rPr>
            </w:pPr>
            <w:r>
              <w:rPr>
                <w:b/>
                <w:bCs/>
                <w:color w:val="auto"/>
                <w:spacing w:val="-8"/>
                <w:sz w:val="18"/>
                <w:szCs w:val="18"/>
                <w:highlight w:val="none"/>
              </w:rPr>
              <w:t>小型</w:t>
            </w:r>
          </w:p>
        </w:tc>
        <w:tc>
          <w:tcPr>
            <w:tcW w:w="996" w:type="dxa"/>
            <w:vAlign w:val="top"/>
          </w:tcPr>
          <w:p w14:paraId="5F3E0F15">
            <w:pPr>
              <w:pStyle w:val="110"/>
              <w:spacing w:before="188" w:line="219" w:lineRule="auto"/>
              <w:ind w:left="322"/>
              <w:rPr>
                <w:color w:val="auto"/>
                <w:sz w:val="18"/>
                <w:szCs w:val="18"/>
                <w:highlight w:val="none"/>
              </w:rPr>
            </w:pPr>
            <w:r>
              <w:rPr>
                <w:b/>
                <w:bCs/>
                <w:color w:val="auto"/>
                <w:spacing w:val="-6"/>
                <w:sz w:val="18"/>
                <w:szCs w:val="18"/>
                <w:highlight w:val="none"/>
              </w:rPr>
              <w:t>微型</w:t>
            </w:r>
          </w:p>
        </w:tc>
      </w:tr>
      <w:tr w14:paraId="31C1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Align w:val="top"/>
          </w:tcPr>
          <w:p w14:paraId="64A6C773">
            <w:pPr>
              <w:pStyle w:val="110"/>
              <w:spacing w:before="55" w:line="204" w:lineRule="auto"/>
              <w:ind w:left="115"/>
              <w:rPr>
                <w:color w:val="auto"/>
                <w:sz w:val="18"/>
                <w:szCs w:val="18"/>
                <w:highlight w:val="none"/>
              </w:rPr>
            </w:pPr>
            <w:r>
              <w:rPr>
                <w:color w:val="auto"/>
                <w:spacing w:val="-1"/>
                <w:sz w:val="18"/>
                <w:szCs w:val="18"/>
                <w:highlight w:val="none"/>
              </w:rPr>
              <w:t>农、林、牧、渔业</w:t>
            </w:r>
          </w:p>
        </w:tc>
        <w:tc>
          <w:tcPr>
            <w:tcW w:w="1368" w:type="dxa"/>
            <w:vAlign w:val="top"/>
          </w:tcPr>
          <w:p w14:paraId="18A9A891">
            <w:pPr>
              <w:pStyle w:val="110"/>
              <w:spacing w:before="55" w:line="204"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BE43E9D">
            <w:pPr>
              <w:pStyle w:val="110"/>
              <w:spacing w:before="55" w:line="204" w:lineRule="auto"/>
              <w:ind w:left="182"/>
              <w:rPr>
                <w:color w:val="auto"/>
                <w:sz w:val="18"/>
                <w:szCs w:val="18"/>
                <w:highlight w:val="none"/>
              </w:rPr>
            </w:pPr>
            <w:r>
              <w:rPr>
                <w:color w:val="auto"/>
                <w:spacing w:val="-6"/>
                <w:sz w:val="18"/>
                <w:szCs w:val="18"/>
                <w:highlight w:val="none"/>
              </w:rPr>
              <w:t>万元</w:t>
            </w:r>
          </w:p>
        </w:tc>
        <w:tc>
          <w:tcPr>
            <w:tcW w:w="1124" w:type="dxa"/>
            <w:vAlign w:val="top"/>
          </w:tcPr>
          <w:p w14:paraId="3FDEC5F7">
            <w:pPr>
              <w:pStyle w:val="110"/>
              <w:spacing w:before="55" w:line="204" w:lineRule="auto"/>
              <w:ind w:left="202"/>
              <w:rPr>
                <w:color w:val="auto"/>
                <w:sz w:val="18"/>
                <w:szCs w:val="18"/>
                <w:highlight w:val="none"/>
              </w:rPr>
            </w:pPr>
            <w:r>
              <w:rPr>
                <w:color w:val="auto"/>
                <w:spacing w:val="-1"/>
                <w:sz w:val="18"/>
                <w:szCs w:val="18"/>
                <w:highlight w:val="none"/>
              </w:rPr>
              <w:t>Y≥20000</w:t>
            </w:r>
          </w:p>
        </w:tc>
        <w:tc>
          <w:tcPr>
            <w:tcW w:w="1700" w:type="dxa"/>
            <w:vAlign w:val="top"/>
          </w:tcPr>
          <w:p w14:paraId="1F9288A4">
            <w:pPr>
              <w:pStyle w:val="110"/>
              <w:spacing w:before="55" w:line="204"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06F1682">
            <w:pPr>
              <w:pStyle w:val="110"/>
              <w:spacing w:before="55" w:line="204" w:lineRule="auto"/>
              <w:ind w:left="272"/>
              <w:rPr>
                <w:color w:val="auto"/>
                <w:sz w:val="18"/>
                <w:szCs w:val="18"/>
                <w:highlight w:val="none"/>
              </w:rPr>
            </w:pPr>
            <w:r>
              <w:rPr>
                <w:color w:val="auto"/>
                <w:spacing w:val="-2"/>
                <w:sz w:val="18"/>
                <w:szCs w:val="18"/>
                <w:highlight w:val="none"/>
              </w:rPr>
              <w:t>50≤Y＜500</w:t>
            </w:r>
          </w:p>
        </w:tc>
        <w:tc>
          <w:tcPr>
            <w:tcW w:w="996" w:type="dxa"/>
            <w:vAlign w:val="top"/>
          </w:tcPr>
          <w:p w14:paraId="5F17A799">
            <w:pPr>
              <w:pStyle w:val="110"/>
              <w:spacing w:before="55" w:line="204" w:lineRule="auto"/>
              <w:ind w:left="273"/>
              <w:rPr>
                <w:color w:val="auto"/>
                <w:sz w:val="18"/>
                <w:szCs w:val="18"/>
                <w:highlight w:val="none"/>
              </w:rPr>
            </w:pPr>
            <w:r>
              <w:rPr>
                <w:color w:val="auto"/>
                <w:spacing w:val="-1"/>
                <w:sz w:val="18"/>
                <w:szCs w:val="18"/>
                <w:highlight w:val="none"/>
              </w:rPr>
              <w:t>Y＜50</w:t>
            </w:r>
          </w:p>
        </w:tc>
      </w:tr>
      <w:tr w14:paraId="1BCA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restart"/>
            <w:tcBorders>
              <w:bottom w:val="nil"/>
            </w:tcBorders>
            <w:vAlign w:val="top"/>
          </w:tcPr>
          <w:p w14:paraId="1EC9CC1C">
            <w:pPr>
              <w:pStyle w:val="110"/>
              <w:spacing w:before="191" w:line="232" w:lineRule="auto"/>
              <w:ind w:left="117"/>
              <w:rPr>
                <w:rFonts w:ascii="Times New Roman" w:hAnsi="Times New Roman" w:eastAsia="Times New Roman" w:cs="Times New Roman"/>
                <w:color w:val="auto"/>
                <w:sz w:val="18"/>
                <w:szCs w:val="18"/>
                <w:highlight w:val="none"/>
              </w:rPr>
            </w:pPr>
            <w:r>
              <w:rPr>
                <w:color w:val="auto"/>
                <w:spacing w:val="-4"/>
                <w:sz w:val="18"/>
                <w:szCs w:val="18"/>
                <w:highlight w:val="none"/>
              </w:rPr>
              <w:t>工业</w:t>
            </w:r>
            <w:r>
              <w:rPr>
                <w:color w:val="auto"/>
                <w:spacing w:val="13"/>
                <w:sz w:val="18"/>
                <w:szCs w:val="18"/>
                <w:highlight w:val="none"/>
              </w:rPr>
              <w:t xml:space="preserve"> </w:t>
            </w:r>
            <w:r>
              <w:rPr>
                <w:rFonts w:ascii="Times New Roman" w:hAnsi="Times New Roman" w:eastAsia="Times New Roman" w:cs="Times New Roman"/>
                <w:color w:val="auto"/>
                <w:spacing w:val="-4"/>
                <w:sz w:val="18"/>
                <w:szCs w:val="18"/>
                <w:highlight w:val="none"/>
              </w:rPr>
              <w:t>*</w:t>
            </w:r>
          </w:p>
        </w:tc>
        <w:tc>
          <w:tcPr>
            <w:tcW w:w="1368" w:type="dxa"/>
            <w:vAlign w:val="top"/>
          </w:tcPr>
          <w:p w14:paraId="1998DC3C">
            <w:pPr>
              <w:pStyle w:val="110"/>
              <w:spacing w:before="55" w:line="204"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CB45561">
            <w:pPr>
              <w:pStyle w:val="110"/>
              <w:spacing w:before="55" w:line="204" w:lineRule="auto"/>
              <w:ind w:left="268"/>
              <w:rPr>
                <w:color w:val="auto"/>
                <w:sz w:val="18"/>
                <w:szCs w:val="18"/>
                <w:highlight w:val="none"/>
              </w:rPr>
            </w:pPr>
            <w:r>
              <w:rPr>
                <w:color w:val="auto"/>
                <w:sz w:val="18"/>
                <w:szCs w:val="18"/>
                <w:highlight w:val="none"/>
              </w:rPr>
              <w:t>人</w:t>
            </w:r>
          </w:p>
        </w:tc>
        <w:tc>
          <w:tcPr>
            <w:tcW w:w="1124" w:type="dxa"/>
            <w:vAlign w:val="top"/>
          </w:tcPr>
          <w:p w14:paraId="35886129">
            <w:pPr>
              <w:pStyle w:val="110"/>
              <w:spacing w:before="55" w:line="204" w:lineRule="auto"/>
              <w:ind w:left="249"/>
              <w:rPr>
                <w:color w:val="auto"/>
                <w:sz w:val="18"/>
                <w:szCs w:val="18"/>
                <w:highlight w:val="none"/>
              </w:rPr>
            </w:pPr>
            <w:r>
              <w:rPr>
                <w:color w:val="auto"/>
                <w:spacing w:val="-1"/>
                <w:sz w:val="18"/>
                <w:szCs w:val="18"/>
                <w:highlight w:val="none"/>
              </w:rPr>
              <w:t>X≥1000</w:t>
            </w:r>
          </w:p>
        </w:tc>
        <w:tc>
          <w:tcPr>
            <w:tcW w:w="1700" w:type="dxa"/>
            <w:vAlign w:val="top"/>
          </w:tcPr>
          <w:p w14:paraId="54F138BC">
            <w:pPr>
              <w:pStyle w:val="110"/>
              <w:spacing w:before="55" w:line="204"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C1D1671">
            <w:pPr>
              <w:pStyle w:val="110"/>
              <w:spacing w:before="55" w:line="204" w:lineRule="auto"/>
              <w:ind w:left="271"/>
              <w:rPr>
                <w:color w:val="auto"/>
                <w:sz w:val="18"/>
                <w:szCs w:val="18"/>
                <w:highlight w:val="none"/>
              </w:rPr>
            </w:pPr>
            <w:r>
              <w:rPr>
                <w:color w:val="auto"/>
                <w:spacing w:val="-2"/>
                <w:sz w:val="18"/>
                <w:szCs w:val="18"/>
                <w:highlight w:val="none"/>
              </w:rPr>
              <w:t>20≤X＜300</w:t>
            </w:r>
          </w:p>
        </w:tc>
        <w:tc>
          <w:tcPr>
            <w:tcW w:w="996" w:type="dxa"/>
            <w:vAlign w:val="top"/>
          </w:tcPr>
          <w:p w14:paraId="0449B814">
            <w:pPr>
              <w:pStyle w:val="110"/>
              <w:spacing w:before="55" w:line="204" w:lineRule="auto"/>
              <w:ind w:left="274"/>
              <w:rPr>
                <w:color w:val="auto"/>
                <w:sz w:val="18"/>
                <w:szCs w:val="18"/>
                <w:highlight w:val="none"/>
              </w:rPr>
            </w:pPr>
            <w:r>
              <w:rPr>
                <w:color w:val="auto"/>
                <w:spacing w:val="-1"/>
                <w:sz w:val="18"/>
                <w:szCs w:val="18"/>
                <w:highlight w:val="none"/>
              </w:rPr>
              <w:t>X＜20</w:t>
            </w:r>
          </w:p>
        </w:tc>
      </w:tr>
      <w:tr w14:paraId="2A52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016B8973">
            <w:pPr>
              <w:rPr>
                <w:rFonts w:ascii="Arial"/>
                <w:color w:val="auto"/>
                <w:sz w:val="21"/>
                <w:highlight w:val="none"/>
              </w:rPr>
            </w:pPr>
          </w:p>
        </w:tc>
        <w:tc>
          <w:tcPr>
            <w:tcW w:w="1368" w:type="dxa"/>
            <w:vAlign w:val="top"/>
          </w:tcPr>
          <w:p w14:paraId="39A2B07F">
            <w:pPr>
              <w:pStyle w:val="110"/>
              <w:spacing w:before="57"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6CE061B">
            <w:pPr>
              <w:pStyle w:val="110"/>
              <w:spacing w:before="57"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FBF524">
            <w:pPr>
              <w:pStyle w:val="110"/>
              <w:spacing w:before="57"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0799C14B">
            <w:pPr>
              <w:pStyle w:val="110"/>
              <w:spacing w:before="57" w:line="202" w:lineRule="auto"/>
              <w:ind w:left="226"/>
              <w:rPr>
                <w:color w:val="auto"/>
                <w:sz w:val="18"/>
                <w:szCs w:val="18"/>
                <w:highlight w:val="none"/>
              </w:rPr>
            </w:pPr>
            <w:r>
              <w:rPr>
                <w:color w:val="auto"/>
                <w:spacing w:val="-1"/>
                <w:sz w:val="18"/>
                <w:szCs w:val="18"/>
                <w:highlight w:val="none"/>
              </w:rPr>
              <w:t>2000≤Y＜40000</w:t>
            </w:r>
          </w:p>
        </w:tc>
        <w:tc>
          <w:tcPr>
            <w:tcW w:w="1425" w:type="dxa"/>
            <w:vAlign w:val="top"/>
          </w:tcPr>
          <w:p w14:paraId="19FD0F40">
            <w:pPr>
              <w:pStyle w:val="110"/>
              <w:spacing w:before="57" w:line="202" w:lineRule="auto"/>
              <w:ind w:left="181"/>
              <w:rPr>
                <w:color w:val="auto"/>
                <w:sz w:val="18"/>
                <w:szCs w:val="18"/>
                <w:highlight w:val="none"/>
              </w:rPr>
            </w:pPr>
            <w:r>
              <w:rPr>
                <w:color w:val="auto"/>
                <w:spacing w:val="-1"/>
                <w:sz w:val="18"/>
                <w:szCs w:val="18"/>
                <w:highlight w:val="none"/>
              </w:rPr>
              <w:t>300≤Y＜2000</w:t>
            </w:r>
          </w:p>
        </w:tc>
        <w:tc>
          <w:tcPr>
            <w:tcW w:w="996" w:type="dxa"/>
            <w:vAlign w:val="top"/>
          </w:tcPr>
          <w:p w14:paraId="2CDE4678">
            <w:pPr>
              <w:pStyle w:val="110"/>
              <w:spacing w:before="57" w:line="202" w:lineRule="auto"/>
              <w:ind w:left="230"/>
              <w:rPr>
                <w:color w:val="auto"/>
                <w:sz w:val="18"/>
                <w:szCs w:val="18"/>
                <w:highlight w:val="none"/>
              </w:rPr>
            </w:pPr>
            <w:r>
              <w:rPr>
                <w:color w:val="auto"/>
                <w:spacing w:val="-1"/>
                <w:sz w:val="18"/>
                <w:szCs w:val="18"/>
                <w:highlight w:val="none"/>
              </w:rPr>
              <w:t>Y＜300</w:t>
            </w:r>
          </w:p>
        </w:tc>
      </w:tr>
      <w:tr w14:paraId="12B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589E8666">
            <w:pPr>
              <w:pStyle w:val="110"/>
              <w:spacing w:before="194" w:line="220" w:lineRule="auto"/>
              <w:ind w:left="117"/>
              <w:rPr>
                <w:color w:val="auto"/>
                <w:sz w:val="18"/>
                <w:szCs w:val="18"/>
                <w:highlight w:val="none"/>
              </w:rPr>
            </w:pPr>
            <w:r>
              <w:rPr>
                <w:color w:val="auto"/>
                <w:spacing w:val="-4"/>
                <w:sz w:val="18"/>
                <w:szCs w:val="18"/>
                <w:highlight w:val="none"/>
              </w:rPr>
              <w:t>建筑业</w:t>
            </w:r>
          </w:p>
        </w:tc>
        <w:tc>
          <w:tcPr>
            <w:tcW w:w="1368" w:type="dxa"/>
            <w:vAlign w:val="top"/>
          </w:tcPr>
          <w:p w14:paraId="7BF4CC39">
            <w:pPr>
              <w:pStyle w:val="110"/>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C27EFF8">
            <w:pPr>
              <w:pStyle w:val="110"/>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668546F5">
            <w:pPr>
              <w:pStyle w:val="110"/>
              <w:spacing w:before="57" w:line="203" w:lineRule="auto"/>
              <w:ind w:left="202"/>
              <w:rPr>
                <w:color w:val="auto"/>
                <w:sz w:val="18"/>
                <w:szCs w:val="18"/>
                <w:highlight w:val="none"/>
              </w:rPr>
            </w:pPr>
            <w:r>
              <w:rPr>
                <w:color w:val="auto"/>
                <w:spacing w:val="-1"/>
                <w:sz w:val="18"/>
                <w:szCs w:val="18"/>
                <w:highlight w:val="none"/>
              </w:rPr>
              <w:t>Y≥80000</w:t>
            </w:r>
          </w:p>
        </w:tc>
        <w:tc>
          <w:tcPr>
            <w:tcW w:w="1700" w:type="dxa"/>
            <w:vAlign w:val="top"/>
          </w:tcPr>
          <w:p w14:paraId="35A76C31">
            <w:pPr>
              <w:pStyle w:val="110"/>
              <w:spacing w:before="57" w:line="203" w:lineRule="auto"/>
              <w:ind w:left="225"/>
              <w:rPr>
                <w:color w:val="auto"/>
                <w:sz w:val="18"/>
                <w:szCs w:val="18"/>
                <w:highlight w:val="none"/>
              </w:rPr>
            </w:pPr>
            <w:r>
              <w:rPr>
                <w:color w:val="auto"/>
                <w:spacing w:val="-1"/>
                <w:sz w:val="18"/>
                <w:szCs w:val="18"/>
                <w:highlight w:val="none"/>
              </w:rPr>
              <w:t>6000≤Y＜80000</w:t>
            </w:r>
          </w:p>
        </w:tc>
        <w:tc>
          <w:tcPr>
            <w:tcW w:w="1425" w:type="dxa"/>
            <w:vAlign w:val="top"/>
          </w:tcPr>
          <w:p w14:paraId="19F172AD">
            <w:pPr>
              <w:pStyle w:val="110"/>
              <w:spacing w:before="57" w:line="203" w:lineRule="auto"/>
              <w:ind w:left="181"/>
              <w:rPr>
                <w:color w:val="auto"/>
                <w:sz w:val="18"/>
                <w:szCs w:val="18"/>
                <w:highlight w:val="none"/>
              </w:rPr>
            </w:pPr>
            <w:r>
              <w:rPr>
                <w:color w:val="auto"/>
                <w:spacing w:val="-1"/>
                <w:sz w:val="18"/>
                <w:szCs w:val="18"/>
                <w:highlight w:val="none"/>
              </w:rPr>
              <w:t>300≤Y＜6000</w:t>
            </w:r>
          </w:p>
        </w:tc>
        <w:tc>
          <w:tcPr>
            <w:tcW w:w="996" w:type="dxa"/>
            <w:vAlign w:val="top"/>
          </w:tcPr>
          <w:p w14:paraId="2D4A6FD1">
            <w:pPr>
              <w:pStyle w:val="110"/>
              <w:spacing w:before="57" w:line="203" w:lineRule="auto"/>
              <w:ind w:left="230"/>
              <w:rPr>
                <w:color w:val="auto"/>
                <w:sz w:val="18"/>
                <w:szCs w:val="18"/>
                <w:highlight w:val="none"/>
              </w:rPr>
            </w:pPr>
            <w:r>
              <w:rPr>
                <w:color w:val="auto"/>
                <w:spacing w:val="-1"/>
                <w:sz w:val="18"/>
                <w:szCs w:val="18"/>
                <w:highlight w:val="none"/>
              </w:rPr>
              <w:t>Y＜300</w:t>
            </w:r>
          </w:p>
        </w:tc>
      </w:tr>
      <w:tr w14:paraId="0473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F88E594">
            <w:pPr>
              <w:rPr>
                <w:rFonts w:ascii="Arial"/>
                <w:color w:val="auto"/>
                <w:sz w:val="21"/>
                <w:highlight w:val="none"/>
              </w:rPr>
            </w:pPr>
          </w:p>
        </w:tc>
        <w:tc>
          <w:tcPr>
            <w:tcW w:w="1368" w:type="dxa"/>
            <w:vAlign w:val="top"/>
          </w:tcPr>
          <w:p w14:paraId="6FC1B4BF">
            <w:pPr>
              <w:pStyle w:val="110"/>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22C7CC82">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D7E5E55">
            <w:pPr>
              <w:pStyle w:val="110"/>
              <w:spacing w:before="58" w:line="202" w:lineRule="auto"/>
              <w:ind w:left="205"/>
              <w:rPr>
                <w:color w:val="auto"/>
                <w:sz w:val="18"/>
                <w:szCs w:val="18"/>
                <w:highlight w:val="none"/>
              </w:rPr>
            </w:pPr>
            <w:r>
              <w:rPr>
                <w:color w:val="auto"/>
                <w:spacing w:val="-1"/>
                <w:sz w:val="18"/>
                <w:szCs w:val="18"/>
                <w:highlight w:val="none"/>
              </w:rPr>
              <w:t>Z≥80000</w:t>
            </w:r>
          </w:p>
        </w:tc>
        <w:tc>
          <w:tcPr>
            <w:tcW w:w="1700" w:type="dxa"/>
            <w:vAlign w:val="top"/>
          </w:tcPr>
          <w:p w14:paraId="67992D0C">
            <w:pPr>
              <w:pStyle w:val="110"/>
              <w:spacing w:before="58" w:line="202" w:lineRule="auto"/>
              <w:ind w:left="227"/>
              <w:rPr>
                <w:color w:val="auto"/>
                <w:sz w:val="18"/>
                <w:szCs w:val="18"/>
                <w:highlight w:val="none"/>
              </w:rPr>
            </w:pPr>
            <w:r>
              <w:rPr>
                <w:color w:val="auto"/>
                <w:spacing w:val="-1"/>
                <w:sz w:val="18"/>
                <w:szCs w:val="18"/>
                <w:highlight w:val="none"/>
              </w:rPr>
              <w:t>5000≤Z＜80000</w:t>
            </w:r>
          </w:p>
        </w:tc>
        <w:tc>
          <w:tcPr>
            <w:tcW w:w="1425" w:type="dxa"/>
            <w:vAlign w:val="top"/>
          </w:tcPr>
          <w:p w14:paraId="6E8A9786">
            <w:pPr>
              <w:pStyle w:val="110"/>
              <w:spacing w:before="58" w:line="202" w:lineRule="auto"/>
              <w:ind w:left="181"/>
              <w:rPr>
                <w:color w:val="auto"/>
                <w:sz w:val="18"/>
                <w:szCs w:val="18"/>
                <w:highlight w:val="none"/>
              </w:rPr>
            </w:pPr>
            <w:r>
              <w:rPr>
                <w:color w:val="auto"/>
                <w:spacing w:val="-1"/>
                <w:sz w:val="18"/>
                <w:szCs w:val="18"/>
                <w:highlight w:val="none"/>
              </w:rPr>
              <w:t>300≤Z＜5000</w:t>
            </w:r>
          </w:p>
        </w:tc>
        <w:tc>
          <w:tcPr>
            <w:tcW w:w="996" w:type="dxa"/>
            <w:vAlign w:val="top"/>
          </w:tcPr>
          <w:p w14:paraId="60034682">
            <w:pPr>
              <w:pStyle w:val="110"/>
              <w:spacing w:before="58" w:line="202" w:lineRule="auto"/>
              <w:ind w:left="232"/>
              <w:rPr>
                <w:color w:val="auto"/>
                <w:sz w:val="18"/>
                <w:szCs w:val="18"/>
                <w:highlight w:val="none"/>
              </w:rPr>
            </w:pPr>
            <w:r>
              <w:rPr>
                <w:color w:val="auto"/>
                <w:spacing w:val="-2"/>
                <w:sz w:val="18"/>
                <w:szCs w:val="18"/>
                <w:highlight w:val="none"/>
              </w:rPr>
              <w:t>Z＜300</w:t>
            </w:r>
          </w:p>
        </w:tc>
      </w:tr>
      <w:tr w14:paraId="450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E8EE462">
            <w:pPr>
              <w:pStyle w:val="110"/>
              <w:spacing w:before="194" w:line="220" w:lineRule="auto"/>
              <w:ind w:left="115"/>
              <w:rPr>
                <w:color w:val="auto"/>
                <w:sz w:val="18"/>
                <w:szCs w:val="18"/>
                <w:highlight w:val="none"/>
              </w:rPr>
            </w:pPr>
            <w:r>
              <w:rPr>
                <w:color w:val="auto"/>
                <w:spacing w:val="-3"/>
                <w:sz w:val="18"/>
                <w:szCs w:val="18"/>
                <w:highlight w:val="none"/>
              </w:rPr>
              <w:t>批发业</w:t>
            </w:r>
          </w:p>
        </w:tc>
        <w:tc>
          <w:tcPr>
            <w:tcW w:w="1368" w:type="dxa"/>
            <w:vAlign w:val="top"/>
          </w:tcPr>
          <w:p w14:paraId="46C8ADAA">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CA41567">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0C6318">
            <w:pPr>
              <w:pStyle w:val="110"/>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3FB2E522">
            <w:pPr>
              <w:pStyle w:val="110"/>
              <w:spacing w:before="57" w:line="203" w:lineRule="auto"/>
              <w:ind w:left="406"/>
              <w:rPr>
                <w:color w:val="auto"/>
                <w:sz w:val="18"/>
                <w:szCs w:val="18"/>
                <w:highlight w:val="none"/>
              </w:rPr>
            </w:pPr>
            <w:r>
              <w:rPr>
                <w:color w:val="auto"/>
                <w:spacing w:val="-1"/>
                <w:sz w:val="18"/>
                <w:szCs w:val="18"/>
                <w:highlight w:val="none"/>
              </w:rPr>
              <w:t>20≤X＜200</w:t>
            </w:r>
          </w:p>
        </w:tc>
        <w:tc>
          <w:tcPr>
            <w:tcW w:w="1425" w:type="dxa"/>
            <w:vAlign w:val="top"/>
          </w:tcPr>
          <w:p w14:paraId="2BB687D0">
            <w:pPr>
              <w:pStyle w:val="110"/>
              <w:spacing w:before="57" w:line="203" w:lineRule="auto"/>
              <w:ind w:left="361"/>
              <w:rPr>
                <w:color w:val="auto"/>
                <w:sz w:val="18"/>
                <w:szCs w:val="18"/>
                <w:highlight w:val="none"/>
              </w:rPr>
            </w:pPr>
            <w:r>
              <w:rPr>
                <w:color w:val="auto"/>
                <w:spacing w:val="-2"/>
                <w:sz w:val="18"/>
                <w:szCs w:val="18"/>
                <w:highlight w:val="none"/>
              </w:rPr>
              <w:t>5≤X＜20</w:t>
            </w:r>
          </w:p>
        </w:tc>
        <w:tc>
          <w:tcPr>
            <w:tcW w:w="996" w:type="dxa"/>
            <w:vAlign w:val="top"/>
          </w:tcPr>
          <w:p w14:paraId="310B5AF9">
            <w:pPr>
              <w:pStyle w:val="110"/>
              <w:spacing w:before="57" w:line="203" w:lineRule="auto"/>
              <w:ind w:left="320"/>
              <w:rPr>
                <w:color w:val="auto"/>
                <w:sz w:val="18"/>
                <w:szCs w:val="18"/>
                <w:highlight w:val="none"/>
              </w:rPr>
            </w:pPr>
            <w:r>
              <w:rPr>
                <w:color w:val="auto"/>
                <w:spacing w:val="-2"/>
                <w:sz w:val="18"/>
                <w:szCs w:val="18"/>
                <w:highlight w:val="none"/>
              </w:rPr>
              <w:t>X＜5</w:t>
            </w:r>
          </w:p>
        </w:tc>
      </w:tr>
      <w:tr w14:paraId="1DF0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4B0DDE5">
            <w:pPr>
              <w:rPr>
                <w:rFonts w:ascii="Arial"/>
                <w:color w:val="auto"/>
                <w:sz w:val="21"/>
                <w:highlight w:val="none"/>
              </w:rPr>
            </w:pPr>
          </w:p>
        </w:tc>
        <w:tc>
          <w:tcPr>
            <w:tcW w:w="1368" w:type="dxa"/>
            <w:vAlign w:val="top"/>
          </w:tcPr>
          <w:p w14:paraId="4A321D2E">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25ACCD4">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7F3BFB7">
            <w:pPr>
              <w:pStyle w:val="110"/>
              <w:spacing w:before="58"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325058F2">
            <w:pPr>
              <w:pStyle w:val="110"/>
              <w:spacing w:before="58" w:line="202" w:lineRule="auto"/>
              <w:ind w:left="227"/>
              <w:rPr>
                <w:color w:val="auto"/>
                <w:sz w:val="18"/>
                <w:szCs w:val="18"/>
                <w:highlight w:val="none"/>
              </w:rPr>
            </w:pPr>
            <w:r>
              <w:rPr>
                <w:color w:val="auto"/>
                <w:spacing w:val="-1"/>
                <w:sz w:val="18"/>
                <w:szCs w:val="18"/>
                <w:highlight w:val="none"/>
              </w:rPr>
              <w:t>5000≤Y＜40000</w:t>
            </w:r>
          </w:p>
        </w:tc>
        <w:tc>
          <w:tcPr>
            <w:tcW w:w="1425" w:type="dxa"/>
            <w:vAlign w:val="top"/>
          </w:tcPr>
          <w:p w14:paraId="1A5BF202">
            <w:pPr>
              <w:pStyle w:val="110"/>
              <w:spacing w:before="58" w:line="202" w:lineRule="auto"/>
              <w:ind w:left="145"/>
              <w:rPr>
                <w:color w:val="auto"/>
                <w:sz w:val="18"/>
                <w:szCs w:val="18"/>
                <w:highlight w:val="none"/>
              </w:rPr>
            </w:pPr>
            <w:r>
              <w:rPr>
                <w:color w:val="auto"/>
                <w:spacing w:val="-2"/>
                <w:sz w:val="18"/>
                <w:szCs w:val="18"/>
                <w:highlight w:val="none"/>
              </w:rPr>
              <w:t>1000≤Y＜5000</w:t>
            </w:r>
          </w:p>
        </w:tc>
        <w:tc>
          <w:tcPr>
            <w:tcW w:w="996" w:type="dxa"/>
            <w:vAlign w:val="top"/>
          </w:tcPr>
          <w:p w14:paraId="5F38BFD8">
            <w:pPr>
              <w:pStyle w:val="110"/>
              <w:spacing w:before="58" w:line="202" w:lineRule="auto"/>
              <w:ind w:left="185"/>
              <w:rPr>
                <w:color w:val="auto"/>
                <w:sz w:val="18"/>
                <w:szCs w:val="18"/>
                <w:highlight w:val="none"/>
              </w:rPr>
            </w:pPr>
            <w:r>
              <w:rPr>
                <w:color w:val="auto"/>
                <w:spacing w:val="-1"/>
                <w:sz w:val="18"/>
                <w:szCs w:val="18"/>
                <w:highlight w:val="none"/>
              </w:rPr>
              <w:t>Y＜1000</w:t>
            </w:r>
          </w:p>
        </w:tc>
      </w:tr>
      <w:tr w14:paraId="073D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A6D29A0">
            <w:pPr>
              <w:pStyle w:val="110"/>
              <w:spacing w:before="194" w:line="219" w:lineRule="auto"/>
              <w:ind w:left="116"/>
              <w:rPr>
                <w:color w:val="auto"/>
                <w:sz w:val="18"/>
                <w:szCs w:val="18"/>
                <w:highlight w:val="none"/>
              </w:rPr>
            </w:pPr>
            <w:r>
              <w:rPr>
                <w:color w:val="auto"/>
                <w:spacing w:val="-3"/>
                <w:sz w:val="18"/>
                <w:szCs w:val="18"/>
                <w:highlight w:val="none"/>
              </w:rPr>
              <w:t>零售业</w:t>
            </w:r>
          </w:p>
        </w:tc>
        <w:tc>
          <w:tcPr>
            <w:tcW w:w="1368" w:type="dxa"/>
            <w:vAlign w:val="top"/>
          </w:tcPr>
          <w:p w14:paraId="7CF6EDC4">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73962911">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65632280">
            <w:pPr>
              <w:pStyle w:val="110"/>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E87C252">
            <w:pPr>
              <w:pStyle w:val="110"/>
              <w:spacing w:before="57" w:line="203" w:lineRule="auto"/>
              <w:ind w:left="407"/>
              <w:rPr>
                <w:color w:val="auto"/>
                <w:sz w:val="18"/>
                <w:szCs w:val="18"/>
                <w:highlight w:val="none"/>
              </w:rPr>
            </w:pPr>
            <w:r>
              <w:rPr>
                <w:color w:val="auto"/>
                <w:spacing w:val="-2"/>
                <w:sz w:val="18"/>
                <w:szCs w:val="18"/>
                <w:highlight w:val="none"/>
              </w:rPr>
              <w:t>50≤X＜300</w:t>
            </w:r>
          </w:p>
        </w:tc>
        <w:tc>
          <w:tcPr>
            <w:tcW w:w="1425" w:type="dxa"/>
            <w:vAlign w:val="top"/>
          </w:tcPr>
          <w:p w14:paraId="444877EA">
            <w:pPr>
              <w:pStyle w:val="110"/>
              <w:spacing w:before="57" w:line="203" w:lineRule="auto"/>
              <w:ind w:left="325"/>
              <w:rPr>
                <w:color w:val="auto"/>
                <w:sz w:val="18"/>
                <w:szCs w:val="18"/>
                <w:highlight w:val="none"/>
              </w:rPr>
            </w:pPr>
            <w:r>
              <w:rPr>
                <w:color w:val="auto"/>
                <w:spacing w:val="-3"/>
                <w:sz w:val="18"/>
                <w:szCs w:val="18"/>
                <w:highlight w:val="none"/>
              </w:rPr>
              <w:t>10≤X＜50</w:t>
            </w:r>
          </w:p>
        </w:tc>
        <w:tc>
          <w:tcPr>
            <w:tcW w:w="996" w:type="dxa"/>
            <w:vAlign w:val="top"/>
          </w:tcPr>
          <w:p w14:paraId="6AC1A98C">
            <w:pPr>
              <w:pStyle w:val="110"/>
              <w:spacing w:before="57" w:line="203" w:lineRule="auto"/>
              <w:ind w:left="274"/>
              <w:rPr>
                <w:color w:val="auto"/>
                <w:sz w:val="18"/>
                <w:szCs w:val="18"/>
                <w:highlight w:val="none"/>
              </w:rPr>
            </w:pPr>
            <w:r>
              <w:rPr>
                <w:color w:val="auto"/>
                <w:spacing w:val="-1"/>
                <w:sz w:val="18"/>
                <w:szCs w:val="18"/>
                <w:highlight w:val="none"/>
              </w:rPr>
              <w:t>X＜10</w:t>
            </w:r>
          </w:p>
        </w:tc>
      </w:tr>
      <w:tr w14:paraId="1DC9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1B59509">
            <w:pPr>
              <w:rPr>
                <w:rFonts w:ascii="Arial"/>
                <w:color w:val="auto"/>
                <w:sz w:val="21"/>
                <w:highlight w:val="none"/>
              </w:rPr>
            </w:pPr>
          </w:p>
        </w:tc>
        <w:tc>
          <w:tcPr>
            <w:tcW w:w="1368" w:type="dxa"/>
            <w:vAlign w:val="top"/>
          </w:tcPr>
          <w:p w14:paraId="55156143">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296ACF2D">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5941FB8F">
            <w:pPr>
              <w:pStyle w:val="110"/>
              <w:spacing w:before="58" w:line="202" w:lineRule="auto"/>
              <w:ind w:left="202"/>
              <w:rPr>
                <w:color w:val="auto"/>
                <w:sz w:val="18"/>
                <w:szCs w:val="18"/>
                <w:highlight w:val="none"/>
              </w:rPr>
            </w:pPr>
            <w:r>
              <w:rPr>
                <w:color w:val="auto"/>
                <w:spacing w:val="-1"/>
                <w:sz w:val="18"/>
                <w:szCs w:val="18"/>
                <w:highlight w:val="none"/>
              </w:rPr>
              <w:t>Y≥20000</w:t>
            </w:r>
          </w:p>
        </w:tc>
        <w:tc>
          <w:tcPr>
            <w:tcW w:w="1700" w:type="dxa"/>
            <w:vAlign w:val="top"/>
          </w:tcPr>
          <w:p w14:paraId="7B5E5161">
            <w:pPr>
              <w:pStyle w:val="110"/>
              <w:spacing w:before="58" w:line="202"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819A025">
            <w:pPr>
              <w:pStyle w:val="110"/>
              <w:spacing w:before="58" w:line="202" w:lineRule="auto"/>
              <w:ind w:left="236"/>
              <w:rPr>
                <w:color w:val="auto"/>
                <w:sz w:val="18"/>
                <w:szCs w:val="18"/>
                <w:highlight w:val="none"/>
              </w:rPr>
            </w:pPr>
            <w:r>
              <w:rPr>
                <w:color w:val="auto"/>
                <w:spacing w:val="-3"/>
                <w:sz w:val="18"/>
                <w:szCs w:val="18"/>
                <w:highlight w:val="none"/>
              </w:rPr>
              <w:t>100≤Y＜500</w:t>
            </w:r>
          </w:p>
        </w:tc>
        <w:tc>
          <w:tcPr>
            <w:tcW w:w="996" w:type="dxa"/>
            <w:vAlign w:val="top"/>
          </w:tcPr>
          <w:p w14:paraId="4333C852">
            <w:pPr>
              <w:pStyle w:val="110"/>
              <w:spacing w:before="58" w:line="202" w:lineRule="auto"/>
              <w:ind w:left="230"/>
              <w:rPr>
                <w:color w:val="auto"/>
                <w:sz w:val="18"/>
                <w:szCs w:val="18"/>
                <w:highlight w:val="none"/>
              </w:rPr>
            </w:pPr>
            <w:r>
              <w:rPr>
                <w:color w:val="auto"/>
                <w:spacing w:val="-1"/>
                <w:sz w:val="18"/>
                <w:szCs w:val="18"/>
                <w:highlight w:val="none"/>
              </w:rPr>
              <w:t>Y＜100</w:t>
            </w:r>
          </w:p>
        </w:tc>
      </w:tr>
      <w:tr w14:paraId="1F8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3A51CC3">
            <w:pPr>
              <w:pStyle w:val="110"/>
              <w:spacing w:before="194" w:line="219" w:lineRule="auto"/>
              <w:ind w:left="119"/>
              <w:rPr>
                <w:rFonts w:ascii="Times New Roman" w:hAnsi="Times New Roman" w:eastAsia="Times New Roman" w:cs="Times New Roman"/>
                <w:color w:val="auto"/>
                <w:sz w:val="18"/>
                <w:szCs w:val="18"/>
                <w:highlight w:val="none"/>
              </w:rPr>
            </w:pPr>
            <w:r>
              <w:rPr>
                <w:color w:val="auto"/>
                <w:spacing w:val="-2"/>
                <w:sz w:val="18"/>
                <w:szCs w:val="18"/>
                <w:highlight w:val="none"/>
              </w:rPr>
              <w:t>交通运输业</w:t>
            </w:r>
            <w:r>
              <w:rPr>
                <w:color w:val="auto"/>
                <w:spacing w:val="11"/>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6B579524">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4930563F">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47D88076">
            <w:pPr>
              <w:pStyle w:val="110"/>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32E8D60B">
            <w:pPr>
              <w:pStyle w:val="110"/>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24D7A239">
            <w:pPr>
              <w:pStyle w:val="110"/>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EE9DBE4">
            <w:pPr>
              <w:pStyle w:val="110"/>
              <w:spacing w:before="57" w:line="203" w:lineRule="auto"/>
              <w:ind w:left="274"/>
              <w:rPr>
                <w:color w:val="auto"/>
                <w:sz w:val="18"/>
                <w:szCs w:val="18"/>
                <w:highlight w:val="none"/>
              </w:rPr>
            </w:pPr>
            <w:r>
              <w:rPr>
                <w:color w:val="auto"/>
                <w:spacing w:val="-1"/>
                <w:sz w:val="18"/>
                <w:szCs w:val="18"/>
                <w:highlight w:val="none"/>
              </w:rPr>
              <w:t>X＜20</w:t>
            </w:r>
          </w:p>
        </w:tc>
      </w:tr>
      <w:tr w14:paraId="5F68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5D637A1">
            <w:pPr>
              <w:rPr>
                <w:rFonts w:ascii="Arial"/>
                <w:color w:val="auto"/>
                <w:sz w:val="21"/>
                <w:highlight w:val="none"/>
              </w:rPr>
            </w:pPr>
          </w:p>
        </w:tc>
        <w:tc>
          <w:tcPr>
            <w:tcW w:w="1368" w:type="dxa"/>
            <w:vAlign w:val="top"/>
          </w:tcPr>
          <w:p w14:paraId="68EE0491">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8EC0D62">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ECE8966">
            <w:pPr>
              <w:pStyle w:val="110"/>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51880ECF">
            <w:pPr>
              <w:pStyle w:val="110"/>
              <w:spacing w:before="58" w:line="202" w:lineRule="auto"/>
              <w:ind w:left="227"/>
              <w:rPr>
                <w:color w:val="auto"/>
                <w:sz w:val="18"/>
                <w:szCs w:val="18"/>
                <w:highlight w:val="none"/>
              </w:rPr>
            </w:pPr>
            <w:r>
              <w:rPr>
                <w:color w:val="auto"/>
                <w:spacing w:val="-1"/>
                <w:sz w:val="18"/>
                <w:szCs w:val="18"/>
                <w:highlight w:val="none"/>
              </w:rPr>
              <w:t>3000≤Y＜30000</w:t>
            </w:r>
          </w:p>
        </w:tc>
        <w:tc>
          <w:tcPr>
            <w:tcW w:w="1425" w:type="dxa"/>
            <w:vAlign w:val="top"/>
          </w:tcPr>
          <w:p w14:paraId="4093E16E">
            <w:pPr>
              <w:pStyle w:val="110"/>
              <w:spacing w:before="58" w:line="202" w:lineRule="auto"/>
              <w:ind w:left="179"/>
              <w:rPr>
                <w:color w:val="auto"/>
                <w:sz w:val="18"/>
                <w:szCs w:val="18"/>
                <w:highlight w:val="none"/>
              </w:rPr>
            </w:pPr>
            <w:r>
              <w:rPr>
                <w:color w:val="auto"/>
                <w:spacing w:val="-1"/>
                <w:sz w:val="18"/>
                <w:szCs w:val="18"/>
                <w:highlight w:val="none"/>
              </w:rPr>
              <w:t>200≤Y＜3000</w:t>
            </w:r>
          </w:p>
        </w:tc>
        <w:tc>
          <w:tcPr>
            <w:tcW w:w="996" w:type="dxa"/>
            <w:vAlign w:val="top"/>
          </w:tcPr>
          <w:p w14:paraId="0B895AD2">
            <w:pPr>
              <w:pStyle w:val="110"/>
              <w:spacing w:before="58" w:line="202" w:lineRule="auto"/>
              <w:ind w:left="230"/>
              <w:rPr>
                <w:color w:val="auto"/>
                <w:sz w:val="18"/>
                <w:szCs w:val="18"/>
                <w:highlight w:val="none"/>
              </w:rPr>
            </w:pPr>
            <w:r>
              <w:rPr>
                <w:color w:val="auto"/>
                <w:spacing w:val="-1"/>
                <w:sz w:val="18"/>
                <w:szCs w:val="18"/>
                <w:highlight w:val="none"/>
              </w:rPr>
              <w:t>Y＜200</w:t>
            </w:r>
          </w:p>
        </w:tc>
      </w:tr>
      <w:tr w14:paraId="38F3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3C76BEF4">
            <w:pPr>
              <w:pStyle w:val="110"/>
              <w:spacing w:before="194" w:line="220"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仓储业</w:t>
            </w:r>
            <w:r>
              <w:rPr>
                <w:rFonts w:ascii="Times New Roman" w:hAnsi="Times New Roman" w:eastAsia="Times New Roman" w:cs="Times New Roman"/>
                <w:color w:val="auto"/>
                <w:spacing w:val="-2"/>
                <w:sz w:val="18"/>
                <w:szCs w:val="18"/>
                <w:highlight w:val="none"/>
              </w:rPr>
              <w:t>*</w:t>
            </w:r>
          </w:p>
        </w:tc>
        <w:tc>
          <w:tcPr>
            <w:tcW w:w="1368" w:type="dxa"/>
            <w:vAlign w:val="top"/>
          </w:tcPr>
          <w:p w14:paraId="067AE145">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238B5805">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94219FA">
            <w:pPr>
              <w:pStyle w:val="110"/>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068D0FFD">
            <w:pPr>
              <w:pStyle w:val="110"/>
              <w:spacing w:before="57" w:line="203" w:lineRule="auto"/>
              <w:ind w:left="319"/>
              <w:rPr>
                <w:color w:val="auto"/>
                <w:sz w:val="18"/>
                <w:szCs w:val="18"/>
                <w:highlight w:val="none"/>
              </w:rPr>
            </w:pPr>
            <w:r>
              <w:rPr>
                <w:color w:val="auto"/>
                <w:spacing w:val="-3"/>
                <w:sz w:val="18"/>
                <w:szCs w:val="18"/>
                <w:highlight w:val="none"/>
              </w:rPr>
              <w:t>100≤X＜200</w:t>
            </w:r>
          </w:p>
        </w:tc>
        <w:tc>
          <w:tcPr>
            <w:tcW w:w="1425" w:type="dxa"/>
            <w:vAlign w:val="top"/>
          </w:tcPr>
          <w:p w14:paraId="74F177A6">
            <w:pPr>
              <w:pStyle w:val="110"/>
              <w:spacing w:before="57" w:line="203" w:lineRule="auto"/>
              <w:ind w:left="271"/>
              <w:rPr>
                <w:color w:val="auto"/>
                <w:sz w:val="18"/>
                <w:szCs w:val="18"/>
                <w:highlight w:val="none"/>
              </w:rPr>
            </w:pPr>
            <w:r>
              <w:rPr>
                <w:color w:val="auto"/>
                <w:spacing w:val="-2"/>
                <w:sz w:val="18"/>
                <w:szCs w:val="18"/>
                <w:highlight w:val="none"/>
              </w:rPr>
              <w:t>20≤X＜100</w:t>
            </w:r>
          </w:p>
        </w:tc>
        <w:tc>
          <w:tcPr>
            <w:tcW w:w="996" w:type="dxa"/>
            <w:vAlign w:val="top"/>
          </w:tcPr>
          <w:p w14:paraId="59944353">
            <w:pPr>
              <w:pStyle w:val="110"/>
              <w:spacing w:before="57" w:line="203" w:lineRule="auto"/>
              <w:ind w:left="274"/>
              <w:rPr>
                <w:color w:val="auto"/>
                <w:sz w:val="18"/>
                <w:szCs w:val="18"/>
                <w:highlight w:val="none"/>
              </w:rPr>
            </w:pPr>
            <w:r>
              <w:rPr>
                <w:color w:val="auto"/>
                <w:spacing w:val="-1"/>
                <w:sz w:val="18"/>
                <w:szCs w:val="18"/>
                <w:highlight w:val="none"/>
              </w:rPr>
              <w:t>X＜20</w:t>
            </w:r>
          </w:p>
        </w:tc>
      </w:tr>
      <w:tr w14:paraId="276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37828F9E">
            <w:pPr>
              <w:rPr>
                <w:rFonts w:ascii="Arial"/>
                <w:color w:val="auto"/>
                <w:sz w:val="21"/>
                <w:highlight w:val="none"/>
              </w:rPr>
            </w:pPr>
          </w:p>
        </w:tc>
        <w:tc>
          <w:tcPr>
            <w:tcW w:w="1368" w:type="dxa"/>
            <w:vAlign w:val="top"/>
          </w:tcPr>
          <w:p w14:paraId="440C6606">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F34B78D">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89CC606">
            <w:pPr>
              <w:pStyle w:val="110"/>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1BF65FDB">
            <w:pPr>
              <w:pStyle w:val="110"/>
              <w:spacing w:before="58" w:line="202" w:lineRule="auto"/>
              <w:ind w:left="237"/>
              <w:rPr>
                <w:color w:val="auto"/>
                <w:sz w:val="18"/>
                <w:szCs w:val="18"/>
                <w:highlight w:val="none"/>
              </w:rPr>
            </w:pPr>
            <w:r>
              <w:rPr>
                <w:color w:val="auto"/>
                <w:spacing w:val="-2"/>
                <w:sz w:val="18"/>
                <w:szCs w:val="18"/>
                <w:highlight w:val="none"/>
              </w:rPr>
              <w:t>1000≤Y＜30000</w:t>
            </w:r>
          </w:p>
        </w:tc>
        <w:tc>
          <w:tcPr>
            <w:tcW w:w="1425" w:type="dxa"/>
            <w:vAlign w:val="top"/>
          </w:tcPr>
          <w:p w14:paraId="12C46272">
            <w:pPr>
              <w:pStyle w:val="110"/>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70027E45">
            <w:pPr>
              <w:pStyle w:val="110"/>
              <w:spacing w:before="58" w:line="202" w:lineRule="auto"/>
              <w:ind w:left="230"/>
              <w:rPr>
                <w:color w:val="auto"/>
                <w:sz w:val="18"/>
                <w:szCs w:val="18"/>
                <w:highlight w:val="none"/>
              </w:rPr>
            </w:pPr>
            <w:r>
              <w:rPr>
                <w:color w:val="auto"/>
                <w:spacing w:val="-1"/>
                <w:sz w:val="18"/>
                <w:szCs w:val="18"/>
                <w:highlight w:val="none"/>
              </w:rPr>
              <w:t>Y＜100</w:t>
            </w:r>
          </w:p>
        </w:tc>
      </w:tr>
      <w:tr w14:paraId="2A0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A1243A">
            <w:pPr>
              <w:pStyle w:val="110"/>
              <w:spacing w:before="193" w:line="221" w:lineRule="auto"/>
              <w:ind w:left="129"/>
              <w:rPr>
                <w:color w:val="auto"/>
                <w:sz w:val="18"/>
                <w:szCs w:val="18"/>
                <w:highlight w:val="none"/>
              </w:rPr>
            </w:pPr>
            <w:r>
              <w:rPr>
                <w:color w:val="auto"/>
                <w:spacing w:val="-7"/>
                <w:sz w:val="18"/>
                <w:szCs w:val="18"/>
                <w:highlight w:val="none"/>
              </w:rPr>
              <w:t>邮政业</w:t>
            </w:r>
          </w:p>
        </w:tc>
        <w:tc>
          <w:tcPr>
            <w:tcW w:w="1368" w:type="dxa"/>
            <w:vAlign w:val="top"/>
          </w:tcPr>
          <w:p w14:paraId="5F82429F">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4E46AC3">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5D7C3E7">
            <w:pPr>
              <w:pStyle w:val="110"/>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2A6BFB3A">
            <w:pPr>
              <w:pStyle w:val="110"/>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5DC47A1">
            <w:pPr>
              <w:pStyle w:val="110"/>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8EABA9D">
            <w:pPr>
              <w:pStyle w:val="110"/>
              <w:spacing w:before="57" w:line="203" w:lineRule="auto"/>
              <w:ind w:left="274"/>
              <w:rPr>
                <w:color w:val="auto"/>
                <w:sz w:val="18"/>
                <w:szCs w:val="18"/>
                <w:highlight w:val="none"/>
              </w:rPr>
            </w:pPr>
            <w:r>
              <w:rPr>
                <w:color w:val="auto"/>
                <w:spacing w:val="-1"/>
                <w:sz w:val="18"/>
                <w:szCs w:val="18"/>
                <w:highlight w:val="none"/>
              </w:rPr>
              <w:t>X＜20</w:t>
            </w:r>
          </w:p>
        </w:tc>
      </w:tr>
      <w:tr w14:paraId="71E2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565923AA">
            <w:pPr>
              <w:rPr>
                <w:rFonts w:ascii="Arial"/>
                <w:color w:val="auto"/>
                <w:sz w:val="21"/>
                <w:highlight w:val="none"/>
              </w:rPr>
            </w:pPr>
          </w:p>
        </w:tc>
        <w:tc>
          <w:tcPr>
            <w:tcW w:w="1368" w:type="dxa"/>
            <w:vAlign w:val="top"/>
          </w:tcPr>
          <w:p w14:paraId="3CAD712A">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011D693">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78E23CC5">
            <w:pPr>
              <w:pStyle w:val="110"/>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25B8B500">
            <w:pPr>
              <w:pStyle w:val="110"/>
              <w:spacing w:before="58" w:line="202" w:lineRule="auto"/>
              <w:ind w:left="226"/>
              <w:rPr>
                <w:color w:val="auto"/>
                <w:sz w:val="18"/>
                <w:szCs w:val="18"/>
                <w:highlight w:val="none"/>
              </w:rPr>
            </w:pPr>
            <w:r>
              <w:rPr>
                <w:color w:val="auto"/>
                <w:spacing w:val="-1"/>
                <w:sz w:val="18"/>
                <w:szCs w:val="18"/>
                <w:highlight w:val="none"/>
              </w:rPr>
              <w:t>2000≤Y＜30000</w:t>
            </w:r>
          </w:p>
        </w:tc>
        <w:tc>
          <w:tcPr>
            <w:tcW w:w="1425" w:type="dxa"/>
            <w:vAlign w:val="top"/>
          </w:tcPr>
          <w:p w14:paraId="28603D7E">
            <w:pPr>
              <w:pStyle w:val="110"/>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28127B90">
            <w:pPr>
              <w:pStyle w:val="110"/>
              <w:spacing w:before="58" w:line="202" w:lineRule="auto"/>
              <w:ind w:left="230"/>
              <w:rPr>
                <w:color w:val="auto"/>
                <w:sz w:val="18"/>
                <w:szCs w:val="18"/>
                <w:highlight w:val="none"/>
              </w:rPr>
            </w:pPr>
            <w:r>
              <w:rPr>
                <w:color w:val="auto"/>
                <w:spacing w:val="-1"/>
                <w:sz w:val="18"/>
                <w:szCs w:val="18"/>
                <w:highlight w:val="none"/>
              </w:rPr>
              <w:t>Y＜100</w:t>
            </w:r>
          </w:p>
        </w:tc>
      </w:tr>
      <w:tr w14:paraId="611F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639F97A5">
            <w:pPr>
              <w:pStyle w:val="110"/>
              <w:spacing w:before="194" w:line="219" w:lineRule="auto"/>
              <w:ind w:left="115"/>
              <w:rPr>
                <w:color w:val="auto"/>
                <w:sz w:val="18"/>
                <w:szCs w:val="18"/>
                <w:highlight w:val="none"/>
              </w:rPr>
            </w:pPr>
            <w:r>
              <w:rPr>
                <w:color w:val="auto"/>
                <w:spacing w:val="-3"/>
                <w:sz w:val="18"/>
                <w:szCs w:val="18"/>
                <w:highlight w:val="none"/>
              </w:rPr>
              <w:t>住宿业</w:t>
            </w:r>
          </w:p>
        </w:tc>
        <w:tc>
          <w:tcPr>
            <w:tcW w:w="1368" w:type="dxa"/>
            <w:vAlign w:val="top"/>
          </w:tcPr>
          <w:p w14:paraId="25624421">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84C130E">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0D935C7">
            <w:pPr>
              <w:pStyle w:val="110"/>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7A0ED2D7">
            <w:pPr>
              <w:pStyle w:val="110"/>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66536409">
            <w:pPr>
              <w:pStyle w:val="110"/>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E384D00">
            <w:pPr>
              <w:pStyle w:val="110"/>
              <w:spacing w:before="57" w:line="203" w:lineRule="auto"/>
              <w:ind w:left="274"/>
              <w:rPr>
                <w:color w:val="auto"/>
                <w:sz w:val="18"/>
                <w:szCs w:val="18"/>
                <w:highlight w:val="none"/>
              </w:rPr>
            </w:pPr>
            <w:r>
              <w:rPr>
                <w:color w:val="auto"/>
                <w:spacing w:val="-1"/>
                <w:sz w:val="18"/>
                <w:szCs w:val="18"/>
                <w:highlight w:val="none"/>
              </w:rPr>
              <w:t>X＜10</w:t>
            </w:r>
          </w:p>
        </w:tc>
      </w:tr>
      <w:tr w14:paraId="770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6CAB2530">
            <w:pPr>
              <w:rPr>
                <w:rFonts w:ascii="Arial"/>
                <w:color w:val="auto"/>
                <w:sz w:val="21"/>
                <w:highlight w:val="none"/>
              </w:rPr>
            </w:pPr>
          </w:p>
        </w:tc>
        <w:tc>
          <w:tcPr>
            <w:tcW w:w="1368" w:type="dxa"/>
            <w:vAlign w:val="top"/>
          </w:tcPr>
          <w:p w14:paraId="74ED53B6">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B417FC2">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C3650CB">
            <w:pPr>
              <w:pStyle w:val="110"/>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3EBB0854">
            <w:pPr>
              <w:pStyle w:val="110"/>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3969BC8">
            <w:pPr>
              <w:pStyle w:val="110"/>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74A3CEF">
            <w:pPr>
              <w:pStyle w:val="110"/>
              <w:spacing w:before="58" w:line="202" w:lineRule="auto"/>
              <w:ind w:left="230"/>
              <w:rPr>
                <w:color w:val="auto"/>
                <w:sz w:val="18"/>
                <w:szCs w:val="18"/>
                <w:highlight w:val="none"/>
              </w:rPr>
            </w:pPr>
            <w:r>
              <w:rPr>
                <w:color w:val="auto"/>
                <w:spacing w:val="-1"/>
                <w:sz w:val="18"/>
                <w:szCs w:val="18"/>
                <w:highlight w:val="none"/>
              </w:rPr>
              <w:t>Y＜100</w:t>
            </w:r>
          </w:p>
        </w:tc>
      </w:tr>
      <w:tr w14:paraId="51A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91506FF">
            <w:pPr>
              <w:pStyle w:val="110"/>
              <w:spacing w:before="194" w:line="219" w:lineRule="auto"/>
              <w:ind w:left="117"/>
              <w:rPr>
                <w:color w:val="auto"/>
                <w:sz w:val="18"/>
                <w:szCs w:val="18"/>
                <w:highlight w:val="none"/>
              </w:rPr>
            </w:pPr>
            <w:r>
              <w:rPr>
                <w:color w:val="auto"/>
                <w:spacing w:val="-3"/>
                <w:sz w:val="18"/>
                <w:szCs w:val="18"/>
                <w:highlight w:val="none"/>
              </w:rPr>
              <w:t>餐饮业</w:t>
            </w:r>
          </w:p>
        </w:tc>
        <w:tc>
          <w:tcPr>
            <w:tcW w:w="1368" w:type="dxa"/>
            <w:vAlign w:val="top"/>
          </w:tcPr>
          <w:p w14:paraId="396E7500">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33E6DE">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8CCF72">
            <w:pPr>
              <w:pStyle w:val="110"/>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A8A5653">
            <w:pPr>
              <w:pStyle w:val="110"/>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2A0C3151">
            <w:pPr>
              <w:pStyle w:val="110"/>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298461FC">
            <w:pPr>
              <w:pStyle w:val="110"/>
              <w:spacing w:before="57" w:line="203" w:lineRule="auto"/>
              <w:ind w:left="274"/>
              <w:rPr>
                <w:color w:val="auto"/>
                <w:sz w:val="18"/>
                <w:szCs w:val="18"/>
                <w:highlight w:val="none"/>
              </w:rPr>
            </w:pPr>
            <w:r>
              <w:rPr>
                <w:color w:val="auto"/>
                <w:spacing w:val="-1"/>
                <w:sz w:val="18"/>
                <w:szCs w:val="18"/>
                <w:highlight w:val="none"/>
              </w:rPr>
              <w:t>X＜10</w:t>
            </w:r>
          </w:p>
        </w:tc>
      </w:tr>
      <w:tr w14:paraId="5A3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67F9C4D">
            <w:pPr>
              <w:rPr>
                <w:rFonts w:ascii="Arial"/>
                <w:color w:val="auto"/>
                <w:sz w:val="21"/>
                <w:highlight w:val="none"/>
              </w:rPr>
            </w:pPr>
          </w:p>
        </w:tc>
        <w:tc>
          <w:tcPr>
            <w:tcW w:w="1368" w:type="dxa"/>
            <w:vAlign w:val="top"/>
          </w:tcPr>
          <w:p w14:paraId="233B12BE">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4D4C516">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36FDD05">
            <w:pPr>
              <w:pStyle w:val="110"/>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13C90AA6">
            <w:pPr>
              <w:pStyle w:val="110"/>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E3892A9">
            <w:pPr>
              <w:pStyle w:val="110"/>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CF2970E">
            <w:pPr>
              <w:pStyle w:val="110"/>
              <w:spacing w:before="58" w:line="202" w:lineRule="auto"/>
              <w:ind w:left="230"/>
              <w:rPr>
                <w:color w:val="auto"/>
                <w:sz w:val="18"/>
                <w:szCs w:val="18"/>
                <w:highlight w:val="none"/>
              </w:rPr>
            </w:pPr>
            <w:r>
              <w:rPr>
                <w:color w:val="auto"/>
                <w:spacing w:val="-1"/>
                <w:sz w:val="18"/>
                <w:szCs w:val="18"/>
                <w:highlight w:val="none"/>
              </w:rPr>
              <w:t>Y＜100</w:t>
            </w:r>
          </w:p>
        </w:tc>
      </w:tr>
      <w:tr w14:paraId="3F0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73F904B4">
            <w:pPr>
              <w:pStyle w:val="110"/>
              <w:spacing w:before="193" w:line="219"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信息传输业</w:t>
            </w:r>
            <w:r>
              <w:rPr>
                <w:color w:val="auto"/>
                <w:spacing w:val="15"/>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4F5F2C0B">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3E7059D">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163D4BFA">
            <w:pPr>
              <w:pStyle w:val="110"/>
              <w:spacing w:before="57" w:line="203" w:lineRule="auto"/>
              <w:ind w:left="249"/>
              <w:rPr>
                <w:color w:val="auto"/>
                <w:sz w:val="18"/>
                <w:szCs w:val="18"/>
                <w:highlight w:val="none"/>
              </w:rPr>
            </w:pPr>
            <w:r>
              <w:rPr>
                <w:color w:val="auto"/>
                <w:spacing w:val="-1"/>
                <w:sz w:val="18"/>
                <w:szCs w:val="18"/>
                <w:highlight w:val="none"/>
              </w:rPr>
              <w:t>X≥2000</w:t>
            </w:r>
          </w:p>
        </w:tc>
        <w:tc>
          <w:tcPr>
            <w:tcW w:w="1700" w:type="dxa"/>
            <w:vAlign w:val="top"/>
          </w:tcPr>
          <w:p w14:paraId="15BDC4C3">
            <w:pPr>
              <w:pStyle w:val="110"/>
              <w:spacing w:before="57" w:line="203" w:lineRule="auto"/>
              <w:ind w:left="328"/>
              <w:rPr>
                <w:color w:val="auto"/>
                <w:sz w:val="18"/>
                <w:szCs w:val="18"/>
                <w:highlight w:val="none"/>
              </w:rPr>
            </w:pPr>
            <w:r>
              <w:rPr>
                <w:color w:val="auto"/>
                <w:spacing w:val="-2"/>
                <w:sz w:val="18"/>
                <w:szCs w:val="18"/>
                <w:highlight w:val="none"/>
              </w:rPr>
              <w:t>100≤X＜2000</w:t>
            </w:r>
          </w:p>
        </w:tc>
        <w:tc>
          <w:tcPr>
            <w:tcW w:w="1425" w:type="dxa"/>
            <w:vAlign w:val="top"/>
          </w:tcPr>
          <w:p w14:paraId="6AAD46BD">
            <w:pPr>
              <w:pStyle w:val="110"/>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FBA6DFB">
            <w:pPr>
              <w:pStyle w:val="110"/>
              <w:spacing w:before="57" w:line="203" w:lineRule="auto"/>
              <w:ind w:left="274"/>
              <w:rPr>
                <w:color w:val="auto"/>
                <w:sz w:val="18"/>
                <w:szCs w:val="18"/>
                <w:highlight w:val="none"/>
              </w:rPr>
            </w:pPr>
            <w:r>
              <w:rPr>
                <w:color w:val="auto"/>
                <w:spacing w:val="-1"/>
                <w:sz w:val="18"/>
                <w:szCs w:val="18"/>
                <w:highlight w:val="none"/>
              </w:rPr>
              <w:t>X＜10</w:t>
            </w:r>
          </w:p>
        </w:tc>
      </w:tr>
      <w:tr w14:paraId="134E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AC171D">
            <w:pPr>
              <w:rPr>
                <w:rFonts w:ascii="Arial"/>
                <w:color w:val="auto"/>
                <w:sz w:val="21"/>
                <w:highlight w:val="none"/>
              </w:rPr>
            </w:pPr>
          </w:p>
        </w:tc>
        <w:tc>
          <w:tcPr>
            <w:tcW w:w="1368" w:type="dxa"/>
            <w:vAlign w:val="top"/>
          </w:tcPr>
          <w:p w14:paraId="69CEC80A">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54DDD2E5">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A7B0572">
            <w:pPr>
              <w:pStyle w:val="110"/>
              <w:spacing w:before="58" w:line="202" w:lineRule="auto"/>
              <w:ind w:left="157"/>
              <w:rPr>
                <w:color w:val="auto"/>
                <w:sz w:val="18"/>
                <w:szCs w:val="18"/>
                <w:highlight w:val="none"/>
              </w:rPr>
            </w:pPr>
            <w:r>
              <w:rPr>
                <w:color w:val="auto"/>
                <w:spacing w:val="-1"/>
                <w:sz w:val="18"/>
                <w:szCs w:val="18"/>
                <w:highlight w:val="none"/>
              </w:rPr>
              <w:t>Y≥100000</w:t>
            </w:r>
          </w:p>
        </w:tc>
        <w:tc>
          <w:tcPr>
            <w:tcW w:w="1700" w:type="dxa"/>
            <w:vAlign w:val="top"/>
          </w:tcPr>
          <w:p w14:paraId="612F0F80">
            <w:pPr>
              <w:pStyle w:val="110"/>
              <w:spacing w:before="58" w:line="202" w:lineRule="auto"/>
              <w:ind w:left="191"/>
              <w:rPr>
                <w:color w:val="auto"/>
                <w:sz w:val="18"/>
                <w:szCs w:val="18"/>
                <w:highlight w:val="none"/>
              </w:rPr>
            </w:pPr>
            <w:r>
              <w:rPr>
                <w:color w:val="auto"/>
                <w:spacing w:val="-2"/>
                <w:sz w:val="18"/>
                <w:szCs w:val="18"/>
                <w:highlight w:val="none"/>
              </w:rPr>
              <w:t>1000≤Y＜100000</w:t>
            </w:r>
          </w:p>
        </w:tc>
        <w:tc>
          <w:tcPr>
            <w:tcW w:w="1425" w:type="dxa"/>
            <w:vAlign w:val="top"/>
          </w:tcPr>
          <w:p w14:paraId="25EFDF6D">
            <w:pPr>
              <w:pStyle w:val="110"/>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4D9F54B1">
            <w:pPr>
              <w:pStyle w:val="110"/>
              <w:spacing w:before="58" w:line="202" w:lineRule="auto"/>
              <w:ind w:left="230"/>
              <w:rPr>
                <w:color w:val="auto"/>
                <w:sz w:val="18"/>
                <w:szCs w:val="18"/>
                <w:highlight w:val="none"/>
              </w:rPr>
            </w:pPr>
            <w:r>
              <w:rPr>
                <w:color w:val="auto"/>
                <w:spacing w:val="-1"/>
                <w:sz w:val="18"/>
                <w:szCs w:val="18"/>
                <w:highlight w:val="none"/>
              </w:rPr>
              <w:t>Y＜100</w:t>
            </w:r>
          </w:p>
        </w:tc>
      </w:tr>
      <w:tr w14:paraId="3BD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C21721">
            <w:pPr>
              <w:pStyle w:val="110"/>
              <w:spacing w:before="194" w:line="219" w:lineRule="auto"/>
              <w:ind w:left="117"/>
              <w:rPr>
                <w:color w:val="auto"/>
                <w:sz w:val="18"/>
                <w:szCs w:val="18"/>
                <w:highlight w:val="none"/>
              </w:rPr>
            </w:pPr>
            <w:r>
              <w:rPr>
                <w:color w:val="auto"/>
                <w:spacing w:val="-1"/>
                <w:sz w:val="18"/>
                <w:szCs w:val="18"/>
                <w:highlight w:val="none"/>
              </w:rPr>
              <w:t>软件和信息技术服务业</w:t>
            </w:r>
          </w:p>
        </w:tc>
        <w:tc>
          <w:tcPr>
            <w:tcW w:w="1368" w:type="dxa"/>
            <w:vAlign w:val="top"/>
          </w:tcPr>
          <w:p w14:paraId="14AC23CB">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65A091B2">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6BABB6C">
            <w:pPr>
              <w:pStyle w:val="110"/>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543E3B11">
            <w:pPr>
              <w:pStyle w:val="110"/>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35A7094A">
            <w:pPr>
              <w:pStyle w:val="110"/>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3942B354">
            <w:pPr>
              <w:pStyle w:val="110"/>
              <w:spacing w:before="57" w:line="203" w:lineRule="auto"/>
              <w:ind w:left="274"/>
              <w:rPr>
                <w:color w:val="auto"/>
                <w:sz w:val="18"/>
                <w:szCs w:val="18"/>
                <w:highlight w:val="none"/>
              </w:rPr>
            </w:pPr>
            <w:r>
              <w:rPr>
                <w:color w:val="auto"/>
                <w:spacing w:val="-1"/>
                <w:sz w:val="18"/>
                <w:szCs w:val="18"/>
                <w:highlight w:val="none"/>
              </w:rPr>
              <w:t>X＜10</w:t>
            </w:r>
          </w:p>
        </w:tc>
      </w:tr>
      <w:tr w14:paraId="0B79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AA8147E">
            <w:pPr>
              <w:rPr>
                <w:rFonts w:ascii="Arial"/>
                <w:color w:val="auto"/>
                <w:sz w:val="21"/>
                <w:highlight w:val="none"/>
              </w:rPr>
            </w:pPr>
          </w:p>
        </w:tc>
        <w:tc>
          <w:tcPr>
            <w:tcW w:w="1368" w:type="dxa"/>
            <w:vAlign w:val="top"/>
          </w:tcPr>
          <w:p w14:paraId="4572F2EE">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09F7EF0">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9BDDFDF">
            <w:pPr>
              <w:pStyle w:val="110"/>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474BDDD4">
            <w:pPr>
              <w:pStyle w:val="110"/>
              <w:spacing w:before="58" w:line="202" w:lineRule="auto"/>
              <w:ind w:left="237"/>
              <w:rPr>
                <w:color w:val="auto"/>
                <w:sz w:val="18"/>
                <w:szCs w:val="18"/>
                <w:highlight w:val="none"/>
              </w:rPr>
            </w:pPr>
            <w:r>
              <w:rPr>
                <w:color w:val="auto"/>
                <w:spacing w:val="-2"/>
                <w:sz w:val="18"/>
                <w:szCs w:val="18"/>
                <w:highlight w:val="none"/>
              </w:rPr>
              <w:t>1000≤Y＜10000</w:t>
            </w:r>
          </w:p>
        </w:tc>
        <w:tc>
          <w:tcPr>
            <w:tcW w:w="1425" w:type="dxa"/>
            <w:vAlign w:val="top"/>
          </w:tcPr>
          <w:p w14:paraId="75E05B8D">
            <w:pPr>
              <w:pStyle w:val="110"/>
              <w:spacing w:before="58" w:line="202" w:lineRule="auto"/>
              <w:ind w:left="227"/>
              <w:rPr>
                <w:color w:val="auto"/>
                <w:sz w:val="18"/>
                <w:szCs w:val="18"/>
                <w:highlight w:val="none"/>
              </w:rPr>
            </w:pPr>
            <w:r>
              <w:rPr>
                <w:color w:val="auto"/>
                <w:spacing w:val="-1"/>
                <w:sz w:val="18"/>
                <w:szCs w:val="18"/>
                <w:highlight w:val="none"/>
              </w:rPr>
              <w:t>50≤Y＜1000</w:t>
            </w:r>
          </w:p>
        </w:tc>
        <w:tc>
          <w:tcPr>
            <w:tcW w:w="996" w:type="dxa"/>
            <w:vAlign w:val="top"/>
          </w:tcPr>
          <w:p w14:paraId="6D108D06">
            <w:pPr>
              <w:pStyle w:val="110"/>
              <w:spacing w:before="58" w:line="202" w:lineRule="auto"/>
              <w:ind w:left="273"/>
              <w:rPr>
                <w:color w:val="auto"/>
                <w:sz w:val="18"/>
                <w:szCs w:val="18"/>
                <w:highlight w:val="none"/>
              </w:rPr>
            </w:pPr>
            <w:r>
              <w:rPr>
                <w:color w:val="auto"/>
                <w:spacing w:val="-1"/>
                <w:sz w:val="18"/>
                <w:szCs w:val="18"/>
                <w:highlight w:val="none"/>
              </w:rPr>
              <w:t>Y＜50</w:t>
            </w:r>
          </w:p>
        </w:tc>
      </w:tr>
      <w:tr w14:paraId="047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91C08EB">
            <w:pPr>
              <w:pStyle w:val="110"/>
              <w:spacing w:before="194" w:line="219" w:lineRule="auto"/>
              <w:ind w:left="116"/>
              <w:rPr>
                <w:color w:val="auto"/>
                <w:sz w:val="18"/>
                <w:szCs w:val="18"/>
                <w:highlight w:val="none"/>
              </w:rPr>
            </w:pPr>
            <w:r>
              <w:rPr>
                <w:color w:val="auto"/>
                <w:spacing w:val="-2"/>
                <w:sz w:val="18"/>
                <w:szCs w:val="18"/>
                <w:highlight w:val="none"/>
              </w:rPr>
              <w:t>房地产开发经营</w:t>
            </w:r>
          </w:p>
        </w:tc>
        <w:tc>
          <w:tcPr>
            <w:tcW w:w="1368" w:type="dxa"/>
            <w:vAlign w:val="top"/>
          </w:tcPr>
          <w:p w14:paraId="28105BAD">
            <w:pPr>
              <w:pStyle w:val="110"/>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EADB39E">
            <w:pPr>
              <w:pStyle w:val="110"/>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19C478C8">
            <w:pPr>
              <w:pStyle w:val="110"/>
              <w:spacing w:before="57" w:line="203" w:lineRule="auto"/>
              <w:ind w:left="157"/>
              <w:rPr>
                <w:color w:val="auto"/>
                <w:sz w:val="18"/>
                <w:szCs w:val="18"/>
                <w:highlight w:val="none"/>
              </w:rPr>
            </w:pPr>
            <w:r>
              <w:rPr>
                <w:color w:val="auto"/>
                <w:spacing w:val="-1"/>
                <w:sz w:val="18"/>
                <w:szCs w:val="18"/>
                <w:highlight w:val="none"/>
              </w:rPr>
              <w:t>Y≥200000</w:t>
            </w:r>
          </w:p>
        </w:tc>
        <w:tc>
          <w:tcPr>
            <w:tcW w:w="1700" w:type="dxa"/>
            <w:vAlign w:val="top"/>
          </w:tcPr>
          <w:p w14:paraId="7F8933F4">
            <w:pPr>
              <w:pStyle w:val="110"/>
              <w:spacing w:before="57" w:line="203" w:lineRule="auto"/>
              <w:ind w:left="191"/>
              <w:rPr>
                <w:color w:val="auto"/>
                <w:sz w:val="18"/>
                <w:szCs w:val="18"/>
                <w:highlight w:val="none"/>
              </w:rPr>
            </w:pPr>
            <w:r>
              <w:rPr>
                <w:color w:val="auto"/>
                <w:spacing w:val="-2"/>
                <w:sz w:val="18"/>
                <w:szCs w:val="18"/>
                <w:highlight w:val="none"/>
              </w:rPr>
              <w:t>1000≤Y＜200000</w:t>
            </w:r>
          </w:p>
        </w:tc>
        <w:tc>
          <w:tcPr>
            <w:tcW w:w="1425" w:type="dxa"/>
            <w:vAlign w:val="top"/>
          </w:tcPr>
          <w:p w14:paraId="19FE2D94">
            <w:pPr>
              <w:pStyle w:val="110"/>
              <w:spacing w:before="57" w:line="203" w:lineRule="auto"/>
              <w:ind w:left="191"/>
              <w:rPr>
                <w:color w:val="auto"/>
                <w:sz w:val="18"/>
                <w:szCs w:val="18"/>
                <w:highlight w:val="none"/>
              </w:rPr>
            </w:pPr>
            <w:r>
              <w:rPr>
                <w:color w:val="auto"/>
                <w:spacing w:val="-2"/>
                <w:sz w:val="18"/>
                <w:szCs w:val="18"/>
                <w:highlight w:val="none"/>
              </w:rPr>
              <w:t>100≤Y＜1000</w:t>
            </w:r>
          </w:p>
        </w:tc>
        <w:tc>
          <w:tcPr>
            <w:tcW w:w="996" w:type="dxa"/>
            <w:vAlign w:val="top"/>
          </w:tcPr>
          <w:p w14:paraId="6D115BA0">
            <w:pPr>
              <w:pStyle w:val="110"/>
              <w:spacing w:before="57" w:line="203" w:lineRule="auto"/>
              <w:ind w:left="230"/>
              <w:rPr>
                <w:color w:val="auto"/>
                <w:sz w:val="18"/>
                <w:szCs w:val="18"/>
                <w:highlight w:val="none"/>
              </w:rPr>
            </w:pPr>
            <w:r>
              <w:rPr>
                <w:color w:val="auto"/>
                <w:spacing w:val="-1"/>
                <w:sz w:val="18"/>
                <w:szCs w:val="18"/>
                <w:highlight w:val="none"/>
              </w:rPr>
              <w:t>Y＜100</w:t>
            </w:r>
          </w:p>
        </w:tc>
      </w:tr>
      <w:tr w14:paraId="794F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C9C71BE">
            <w:pPr>
              <w:rPr>
                <w:rFonts w:ascii="Arial"/>
                <w:color w:val="auto"/>
                <w:sz w:val="21"/>
                <w:highlight w:val="none"/>
              </w:rPr>
            </w:pPr>
          </w:p>
        </w:tc>
        <w:tc>
          <w:tcPr>
            <w:tcW w:w="1368" w:type="dxa"/>
            <w:vAlign w:val="top"/>
          </w:tcPr>
          <w:p w14:paraId="222B4AC6">
            <w:pPr>
              <w:pStyle w:val="110"/>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62AFC4A9">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2ABEB2D1">
            <w:pPr>
              <w:pStyle w:val="110"/>
              <w:spacing w:before="58" w:line="202" w:lineRule="auto"/>
              <w:ind w:left="205"/>
              <w:rPr>
                <w:color w:val="auto"/>
                <w:sz w:val="18"/>
                <w:szCs w:val="18"/>
                <w:highlight w:val="none"/>
              </w:rPr>
            </w:pPr>
            <w:r>
              <w:rPr>
                <w:color w:val="auto"/>
                <w:spacing w:val="-1"/>
                <w:sz w:val="18"/>
                <w:szCs w:val="18"/>
                <w:highlight w:val="none"/>
              </w:rPr>
              <w:t>Z≥10000</w:t>
            </w:r>
          </w:p>
        </w:tc>
        <w:tc>
          <w:tcPr>
            <w:tcW w:w="1700" w:type="dxa"/>
            <w:vAlign w:val="top"/>
          </w:tcPr>
          <w:p w14:paraId="7CACFA3D">
            <w:pPr>
              <w:pStyle w:val="110"/>
              <w:spacing w:before="58" w:line="202" w:lineRule="auto"/>
              <w:ind w:left="227"/>
              <w:rPr>
                <w:color w:val="auto"/>
                <w:sz w:val="18"/>
                <w:szCs w:val="18"/>
                <w:highlight w:val="none"/>
              </w:rPr>
            </w:pPr>
            <w:r>
              <w:rPr>
                <w:color w:val="auto"/>
                <w:spacing w:val="-1"/>
                <w:sz w:val="18"/>
                <w:szCs w:val="18"/>
                <w:highlight w:val="none"/>
              </w:rPr>
              <w:t>5000≤Z＜10000</w:t>
            </w:r>
          </w:p>
        </w:tc>
        <w:tc>
          <w:tcPr>
            <w:tcW w:w="1425" w:type="dxa"/>
            <w:vAlign w:val="top"/>
          </w:tcPr>
          <w:p w14:paraId="138EE75E">
            <w:pPr>
              <w:pStyle w:val="110"/>
              <w:spacing w:before="58" w:line="202" w:lineRule="auto"/>
              <w:ind w:left="136"/>
              <w:rPr>
                <w:color w:val="auto"/>
                <w:sz w:val="18"/>
                <w:szCs w:val="18"/>
                <w:highlight w:val="none"/>
              </w:rPr>
            </w:pPr>
            <w:r>
              <w:rPr>
                <w:color w:val="auto"/>
                <w:spacing w:val="-1"/>
                <w:sz w:val="18"/>
                <w:szCs w:val="18"/>
                <w:highlight w:val="none"/>
              </w:rPr>
              <w:t>2000≤Z＜5000</w:t>
            </w:r>
          </w:p>
        </w:tc>
        <w:tc>
          <w:tcPr>
            <w:tcW w:w="996" w:type="dxa"/>
            <w:vAlign w:val="top"/>
          </w:tcPr>
          <w:p w14:paraId="666535A2">
            <w:pPr>
              <w:pStyle w:val="110"/>
              <w:spacing w:before="58" w:line="202" w:lineRule="auto"/>
              <w:ind w:left="187"/>
              <w:rPr>
                <w:color w:val="auto"/>
                <w:sz w:val="18"/>
                <w:szCs w:val="18"/>
                <w:highlight w:val="none"/>
              </w:rPr>
            </w:pPr>
            <w:r>
              <w:rPr>
                <w:color w:val="auto"/>
                <w:spacing w:val="-2"/>
                <w:sz w:val="18"/>
                <w:szCs w:val="18"/>
                <w:highlight w:val="none"/>
              </w:rPr>
              <w:t>Z＜2000</w:t>
            </w:r>
          </w:p>
        </w:tc>
      </w:tr>
      <w:tr w14:paraId="6B99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7E52C47">
            <w:pPr>
              <w:pStyle w:val="110"/>
              <w:spacing w:before="194" w:line="219" w:lineRule="auto"/>
              <w:ind w:left="115"/>
              <w:rPr>
                <w:color w:val="auto"/>
                <w:sz w:val="18"/>
                <w:szCs w:val="18"/>
                <w:highlight w:val="none"/>
              </w:rPr>
            </w:pPr>
            <w:r>
              <w:rPr>
                <w:color w:val="auto"/>
                <w:spacing w:val="-2"/>
                <w:sz w:val="18"/>
                <w:szCs w:val="18"/>
                <w:highlight w:val="none"/>
              </w:rPr>
              <w:t>物业管理</w:t>
            </w:r>
          </w:p>
        </w:tc>
        <w:tc>
          <w:tcPr>
            <w:tcW w:w="1368" w:type="dxa"/>
            <w:vAlign w:val="top"/>
          </w:tcPr>
          <w:p w14:paraId="75E4E5CD">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FBA75D">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D00BB2">
            <w:pPr>
              <w:pStyle w:val="110"/>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1A4ECC26">
            <w:pPr>
              <w:pStyle w:val="110"/>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367FC16">
            <w:pPr>
              <w:pStyle w:val="110"/>
              <w:spacing w:before="57" w:line="203" w:lineRule="auto"/>
              <w:ind w:left="236"/>
              <w:rPr>
                <w:color w:val="auto"/>
                <w:sz w:val="18"/>
                <w:szCs w:val="18"/>
                <w:highlight w:val="none"/>
              </w:rPr>
            </w:pPr>
            <w:r>
              <w:rPr>
                <w:color w:val="auto"/>
                <w:spacing w:val="-3"/>
                <w:sz w:val="18"/>
                <w:szCs w:val="18"/>
                <w:highlight w:val="none"/>
              </w:rPr>
              <w:t>100≤X＜300</w:t>
            </w:r>
          </w:p>
        </w:tc>
        <w:tc>
          <w:tcPr>
            <w:tcW w:w="996" w:type="dxa"/>
            <w:vAlign w:val="top"/>
          </w:tcPr>
          <w:p w14:paraId="4A0C6D3C">
            <w:pPr>
              <w:pStyle w:val="110"/>
              <w:spacing w:before="57" w:line="203" w:lineRule="auto"/>
              <w:ind w:left="231"/>
              <w:rPr>
                <w:color w:val="auto"/>
                <w:sz w:val="18"/>
                <w:szCs w:val="18"/>
                <w:highlight w:val="none"/>
              </w:rPr>
            </w:pPr>
            <w:r>
              <w:rPr>
                <w:color w:val="auto"/>
                <w:spacing w:val="-1"/>
                <w:sz w:val="18"/>
                <w:szCs w:val="18"/>
                <w:highlight w:val="none"/>
              </w:rPr>
              <w:t>X＜100</w:t>
            </w:r>
          </w:p>
        </w:tc>
      </w:tr>
      <w:tr w14:paraId="2D2D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1AEA2F">
            <w:pPr>
              <w:rPr>
                <w:rFonts w:ascii="Arial"/>
                <w:color w:val="auto"/>
                <w:sz w:val="21"/>
                <w:highlight w:val="none"/>
              </w:rPr>
            </w:pPr>
          </w:p>
        </w:tc>
        <w:tc>
          <w:tcPr>
            <w:tcW w:w="1368" w:type="dxa"/>
            <w:vAlign w:val="top"/>
          </w:tcPr>
          <w:p w14:paraId="6D8440E4">
            <w:pPr>
              <w:pStyle w:val="110"/>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7EC16CE">
            <w:pPr>
              <w:pStyle w:val="110"/>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71B2159">
            <w:pPr>
              <w:pStyle w:val="110"/>
              <w:spacing w:before="58" w:line="202" w:lineRule="auto"/>
              <w:ind w:left="248"/>
              <w:rPr>
                <w:color w:val="auto"/>
                <w:sz w:val="18"/>
                <w:szCs w:val="18"/>
                <w:highlight w:val="none"/>
              </w:rPr>
            </w:pPr>
            <w:r>
              <w:rPr>
                <w:color w:val="auto"/>
                <w:spacing w:val="-1"/>
                <w:sz w:val="18"/>
                <w:szCs w:val="18"/>
                <w:highlight w:val="none"/>
              </w:rPr>
              <w:t>Y≥5000</w:t>
            </w:r>
          </w:p>
        </w:tc>
        <w:tc>
          <w:tcPr>
            <w:tcW w:w="1700" w:type="dxa"/>
            <w:vAlign w:val="top"/>
          </w:tcPr>
          <w:p w14:paraId="62D616FC">
            <w:pPr>
              <w:pStyle w:val="110"/>
              <w:spacing w:before="58" w:line="202" w:lineRule="auto"/>
              <w:ind w:left="230"/>
              <w:rPr>
                <w:color w:val="auto"/>
                <w:sz w:val="18"/>
                <w:szCs w:val="18"/>
                <w:highlight w:val="none"/>
              </w:rPr>
            </w:pPr>
            <w:r>
              <w:rPr>
                <w:color w:val="auto"/>
                <w:spacing w:val="-2"/>
                <w:sz w:val="18"/>
                <w:szCs w:val="18"/>
                <w:highlight w:val="none"/>
              </w:rPr>
              <w:t>1000≤Y＜5000</w:t>
            </w:r>
          </w:p>
        </w:tc>
        <w:tc>
          <w:tcPr>
            <w:tcW w:w="1425" w:type="dxa"/>
            <w:vAlign w:val="top"/>
          </w:tcPr>
          <w:p w14:paraId="58D10AF1">
            <w:pPr>
              <w:pStyle w:val="110"/>
              <w:spacing w:before="58" w:line="202" w:lineRule="auto"/>
              <w:ind w:left="181"/>
              <w:rPr>
                <w:color w:val="auto"/>
                <w:sz w:val="18"/>
                <w:szCs w:val="18"/>
                <w:highlight w:val="none"/>
              </w:rPr>
            </w:pPr>
            <w:r>
              <w:rPr>
                <w:color w:val="auto"/>
                <w:spacing w:val="-1"/>
                <w:sz w:val="18"/>
                <w:szCs w:val="18"/>
                <w:highlight w:val="none"/>
              </w:rPr>
              <w:t>500≤Y＜1000</w:t>
            </w:r>
          </w:p>
        </w:tc>
        <w:tc>
          <w:tcPr>
            <w:tcW w:w="996" w:type="dxa"/>
            <w:vAlign w:val="top"/>
          </w:tcPr>
          <w:p w14:paraId="63604B66">
            <w:pPr>
              <w:pStyle w:val="110"/>
              <w:spacing w:before="58" w:line="202" w:lineRule="auto"/>
              <w:ind w:left="230"/>
              <w:rPr>
                <w:color w:val="auto"/>
                <w:sz w:val="18"/>
                <w:szCs w:val="18"/>
                <w:highlight w:val="none"/>
              </w:rPr>
            </w:pPr>
            <w:r>
              <w:rPr>
                <w:color w:val="auto"/>
                <w:spacing w:val="-1"/>
                <w:sz w:val="18"/>
                <w:szCs w:val="18"/>
                <w:highlight w:val="none"/>
              </w:rPr>
              <w:t>Y＜500</w:t>
            </w:r>
          </w:p>
        </w:tc>
      </w:tr>
      <w:tr w14:paraId="7248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5EA626A">
            <w:pPr>
              <w:pStyle w:val="110"/>
              <w:spacing w:before="194" w:line="219" w:lineRule="auto"/>
              <w:ind w:left="117"/>
              <w:rPr>
                <w:color w:val="auto"/>
                <w:sz w:val="18"/>
                <w:szCs w:val="18"/>
                <w:highlight w:val="none"/>
              </w:rPr>
            </w:pPr>
            <w:r>
              <w:rPr>
                <w:color w:val="auto"/>
                <w:spacing w:val="-2"/>
                <w:sz w:val="18"/>
                <w:szCs w:val="18"/>
                <w:highlight w:val="none"/>
              </w:rPr>
              <w:t>租赁和商务服务业</w:t>
            </w:r>
          </w:p>
        </w:tc>
        <w:tc>
          <w:tcPr>
            <w:tcW w:w="1368" w:type="dxa"/>
            <w:vAlign w:val="top"/>
          </w:tcPr>
          <w:p w14:paraId="6E92A573">
            <w:pPr>
              <w:pStyle w:val="110"/>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31DA89D1">
            <w:pPr>
              <w:pStyle w:val="110"/>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A703DD">
            <w:pPr>
              <w:pStyle w:val="110"/>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3ED9ADB">
            <w:pPr>
              <w:pStyle w:val="110"/>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11EFB111">
            <w:pPr>
              <w:pStyle w:val="110"/>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6C74B102">
            <w:pPr>
              <w:pStyle w:val="110"/>
              <w:spacing w:before="57" w:line="203" w:lineRule="auto"/>
              <w:ind w:left="274"/>
              <w:rPr>
                <w:color w:val="auto"/>
                <w:sz w:val="18"/>
                <w:szCs w:val="18"/>
                <w:highlight w:val="none"/>
              </w:rPr>
            </w:pPr>
            <w:r>
              <w:rPr>
                <w:color w:val="auto"/>
                <w:spacing w:val="-1"/>
                <w:sz w:val="18"/>
                <w:szCs w:val="18"/>
                <w:highlight w:val="none"/>
              </w:rPr>
              <w:t>X＜10</w:t>
            </w:r>
          </w:p>
        </w:tc>
      </w:tr>
      <w:tr w14:paraId="6E02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5C42AB45">
            <w:pPr>
              <w:rPr>
                <w:rFonts w:ascii="Arial"/>
                <w:color w:val="auto"/>
                <w:sz w:val="21"/>
                <w:highlight w:val="none"/>
              </w:rPr>
            </w:pPr>
          </w:p>
        </w:tc>
        <w:tc>
          <w:tcPr>
            <w:tcW w:w="1368" w:type="dxa"/>
            <w:vAlign w:val="top"/>
          </w:tcPr>
          <w:p w14:paraId="2BDBF1D4">
            <w:pPr>
              <w:pStyle w:val="110"/>
              <w:spacing w:before="58" w:line="201"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1436A3A4">
            <w:pPr>
              <w:pStyle w:val="110"/>
              <w:spacing w:before="58" w:line="201"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E0D5C6">
            <w:pPr>
              <w:pStyle w:val="110"/>
              <w:spacing w:before="58" w:line="201" w:lineRule="auto"/>
              <w:ind w:left="159"/>
              <w:rPr>
                <w:color w:val="auto"/>
                <w:sz w:val="18"/>
                <w:szCs w:val="18"/>
                <w:highlight w:val="none"/>
              </w:rPr>
            </w:pPr>
            <w:r>
              <w:rPr>
                <w:color w:val="auto"/>
                <w:spacing w:val="-1"/>
                <w:sz w:val="18"/>
                <w:szCs w:val="18"/>
                <w:highlight w:val="none"/>
              </w:rPr>
              <w:t>Z≥120000</w:t>
            </w:r>
          </w:p>
        </w:tc>
        <w:tc>
          <w:tcPr>
            <w:tcW w:w="1700" w:type="dxa"/>
            <w:vAlign w:val="top"/>
          </w:tcPr>
          <w:p w14:paraId="2F45147D">
            <w:pPr>
              <w:pStyle w:val="110"/>
              <w:spacing w:before="58" w:line="201" w:lineRule="auto"/>
              <w:ind w:left="179"/>
              <w:rPr>
                <w:color w:val="auto"/>
                <w:sz w:val="18"/>
                <w:szCs w:val="18"/>
                <w:highlight w:val="none"/>
              </w:rPr>
            </w:pPr>
            <w:r>
              <w:rPr>
                <w:color w:val="auto"/>
                <w:spacing w:val="-1"/>
                <w:sz w:val="18"/>
                <w:szCs w:val="18"/>
                <w:highlight w:val="none"/>
              </w:rPr>
              <w:t>8000≤Z＜120000</w:t>
            </w:r>
          </w:p>
        </w:tc>
        <w:tc>
          <w:tcPr>
            <w:tcW w:w="1425" w:type="dxa"/>
            <w:vAlign w:val="top"/>
          </w:tcPr>
          <w:p w14:paraId="408DB7F2">
            <w:pPr>
              <w:pStyle w:val="110"/>
              <w:spacing w:before="58" w:line="201" w:lineRule="auto"/>
              <w:ind w:left="191"/>
              <w:rPr>
                <w:color w:val="auto"/>
                <w:sz w:val="18"/>
                <w:szCs w:val="18"/>
                <w:highlight w:val="none"/>
              </w:rPr>
            </w:pPr>
            <w:r>
              <w:rPr>
                <w:color w:val="auto"/>
                <w:spacing w:val="-2"/>
                <w:sz w:val="18"/>
                <w:szCs w:val="18"/>
                <w:highlight w:val="none"/>
              </w:rPr>
              <w:t>100≤Z＜8000</w:t>
            </w:r>
          </w:p>
        </w:tc>
        <w:tc>
          <w:tcPr>
            <w:tcW w:w="996" w:type="dxa"/>
            <w:vAlign w:val="top"/>
          </w:tcPr>
          <w:p w14:paraId="2D1AE13E">
            <w:pPr>
              <w:pStyle w:val="110"/>
              <w:spacing w:before="58" w:line="201" w:lineRule="auto"/>
              <w:ind w:left="232"/>
              <w:rPr>
                <w:color w:val="auto"/>
                <w:sz w:val="18"/>
                <w:szCs w:val="18"/>
                <w:highlight w:val="none"/>
              </w:rPr>
            </w:pPr>
            <w:r>
              <w:rPr>
                <w:color w:val="auto"/>
                <w:spacing w:val="-2"/>
                <w:sz w:val="18"/>
                <w:szCs w:val="18"/>
                <w:highlight w:val="none"/>
              </w:rPr>
              <w:t>Z＜100</w:t>
            </w:r>
          </w:p>
        </w:tc>
      </w:tr>
      <w:tr w14:paraId="2FF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17" w:type="dxa"/>
            <w:vAlign w:val="top"/>
          </w:tcPr>
          <w:p w14:paraId="33C3E371">
            <w:pPr>
              <w:pStyle w:val="110"/>
              <w:spacing w:before="58" w:line="206" w:lineRule="auto"/>
              <w:ind w:left="116"/>
              <w:rPr>
                <w:rFonts w:ascii="Times New Roman" w:hAnsi="Times New Roman" w:eastAsia="Times New Roman" w:cs="Times New Roman"/>
                <w:color w:val="auto"/>
                <w:sz w:val="18"/>
                <w:szCs w:val="18"/>
                <w:highlight w:val="none"/>
              </w:rPr>
            </w:pPr>
            <w:r>
              <w:rPr>
                <w:color w:val="auto"/>
                <w:sz w:val="18"/>
                <w:szCs w:val="18"/>
                <w:highlight w:val="none"/>
              </w:rPr>
              <w:t xml:space="preserve">其他未列明行业 </w:t>
            </w:r>
            <w:r>
              <w:rPr>
                <w:rFonts w:ascii="Times New Roman" w:hAnsi="Times New Roman" w:eastAsia="Times New Roman" w:cs="Times New Roman"/>
                <w:color w:val="auto"/>
                <w:sz w:val="18"/>
                <w:szCs w:val="18"/>
                <w:highlight w:val="none"/>
              </w:rPr>
              <w:t>*</w:t>
            </w:r>
          </w:p>
        </w:tc>
        <w:tc>
          <w:tcPr>
            <w:tcW w:w="1368" w:type="dxa"/>
            <w:vAlign w:val="top"/>
          </w:tcPr>
          <w:p w14:paraId="34E9C2C6">
            <w:pPr>
              <w:pStyle w:val="110"/>
              <w:spacing w:before="58" w:line="206"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6C06519">
            <w:pPr>
              <w:pStyle w:val="110"/>
              <w:spacing w:before="58" w:line="206" w:lineRule="auto"/>
              <w:ind w:left="268"/>
              <w:rPr>
                <w:color w:val="auto"/>
                <w:sz w:val="18"/>
                <w:szCs w:val="18"/>
                <w:highlight w:val="none"/>
              </w:rPr>
            </w:pPr>
            <w:r>
              <w:rPr>
                <w:color w:val="auto"/>
                <w:sz w:val="18"/>
                <w:szCs w:val="18"/>
                <w:highlight w:val="none"/>
              </w:rPr>
              <w:t>人</w:t>
            </w:r>
          </w:p>
        </w:tc>
        <w:tc>
          <w:tcPr>
            <w:tcW w:w="1124" w:type="dxa"/>
            <w:vAlign w:val="top"/>
          </w:tcPr>
          <w:p w14:paraId="2C4FCDCC">
            <w:pPr>
              <w:pStyle w:val="110"/>
              <w:spacing w:before="58" w:line="206" w:lineRule="auto"/>
              <w:ind w:left="292"/>
              <w:rPr>
                <w:color w:val="auto"/>
                <w:sz w:val="18"/>
                <w:szCs w:val="18"/>
                <w:highlight w:val="none"/>
              </w:rPr>
            </w:pPr>
            <w:r>
              <w:rPr>
                <w:color w:val="auto"/>
                <w:spacing w:val="-1"/>
                <w:sz w:val="18"/>
                <w:szCs w:val="18"/>
                <w:highlight w:val="none"/>
              </w:rPr>
              <w:t>X≥300</w:t>
            </w:r>
          </w:p>
        </w:tc>
        <w:tc>
          <w:tcPr>
            <w:tcW w:w="1700" w:type="dxa"/>
            <w:vAlign w:val="top"/>
          </w:tcPr>
          <w:p w14:paraId="73CF4ED9">
            <w:pPr>
              <w:pStyle w:val="110"/>
              <w:spacing w:before="58" w:line="206" w:lineRule="auto"/>
              <w:ind w:left="319"/>
              <w:rPr>
                <w:color w:val="auto"/>
                <w:sz w:val="18"/>
                <w:szCs w:val="18"/>
                <w:highlight w:val="none"/>
              </w:rPr>
            </w:pPr>
            <w:r>
              <w:rPr>
                <w:color w:val="auto"/>
                <w:spacing w:val="-3"/>
                <w:sz w:val="18"/>
                <w:szCs w:val="18"/>
                <w:highlight w:val="none"/>
              </w:rPr>
              <w:t>100≤X＜300</w:t>
            </w:r>
          </w:p>
        </w:tc>
        <w:tc>
          <w:tcPr>
            <w:tcW w:w="1425" w:type="dxa"/>
            <w:vAlign w:val="top"/>
          </w:tcPr>
          <w:p w14:paraId="57CEBDB4">
            <w:pPr>
              <w:pStyle w:val="110"/>
              <w:spacing w:before="58" w:line="206" w:lineRule="auto"/>
              <w:ind w:left="282"/>
              <w:rPr>
                <w:color w:val="auto"/>
                <w:sz w:val="18"/>
                <w:szCs w:val="18"/>
                <w:highlight w:val="none"/>
              </w:rPr>
            </w:pPr>
            <w:r>
              <w:rPr>
                <w:color w:val="auto"/>
                <w:spacing w:val="-3"/>
                <w:sz w:val="18"/>
                <w:szCs w:val="18"/>
                <w:highlight w:val="none"/>
              </w:rPr>
              <w:t>10≤X＜100</w:t>
            </w:r>
          </w:p>
        </w:tc>
        <w:tc>
          <w:tcPr>
            <w:tcW w:w="996" w:type="dxa"/>
            <w:vAlign w:val="top"/>
          </w:tcPr>
          <w:p w14:paraId="3B5FF86E">
            <w:pPr>
              <w:pStyle w:val="110"/>
              <w:spacing w:before="58" w:line="206" w:lineRule="auto"/>
              <w:ind w:left="274"/>
              <w:rPr>
                <w:color w:val="auto"/>
                <w:sz w:val="18"/>
                <w:szCs w:val="18"/>
                <w:highlight w:val="none"/>
              </w:rPr>
            </w:pPr>
            <w:r>
              <w:rPr>
                <w:color w:val="auto"/>
                <w:spacing w:val="-1"/>
                <w:sz w:val="18"/>
                <w:szCs w:val="18"/>
                <w:highlight w:val="none"/>
              </w:rPr>
              <w:t>X＜10</w:t>
            </w:r>
          </w:p>
        </w:tc>
      </w:tr>
    </w:tbl>
    <w:p w14:paraId="3399DF4E">
      <w:pPr>
        <w:spacing w:before="29" w:line="228" w:lineRule="auto"/>
        <w:ind w:left="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0E75AA8">
      <w:pPr>
        <w:spacing w:before="12" w:line="234" w:lineRule="auto"/>
        <w:ind w:left="45" w:right="70"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1.大型、中型和小型企业须同时满足所列指标的下限，否则下划一档。微型企业只须满足所列指标</w:t>
      </w:r>
      <w:r>
        <w:rPr>
          <w:rFonts w:ascii="宋体" w:hAnsi="宋体" w:eastAsia="宋体" w:cs="宋体"/>
          <w:color w:val="auto"/>
          <w:spacing w:val="4"/>
          <w:sz w:val="20"/>
          <w:szCs w:val="20"/>
          <w:highlight w:val="none"/>
        </w:rPr>
        <w:t>中的一项即可。</w:t>
      </w:r>
    </w:p>
    <w:p w14:paraId="22C6E7CE">
      <w:pPr>
        <w:spacing w:before="15" w:line="238" w:lineRule="auto"/>
        <w:ind w:left="24"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2.附表中各行业的范围以《国民经济行业分类》（</w:t>
      </w:r>
      <w:r>
        <w:rPr>
          <w:rFonts w:ascii="宋体" w:hAnsi="宋体" w:eastAsia="宋体" w:cs="宋体"/>
          <w:color w:val="auto"/>
          <w:sz w:val="20"/>
          <w:szCs w:val="20"/>
          <w:highlight w:val="none"/>
        </w:rPr>
        <w:t>GB</w:t>
      </w:r>
      <w:r>
        <w:rPr>
          <w:rFonts w:ascii="宋体" w:hAnsi="宋体" w:eastAsia="宋体" w:cs="宋体"/>
          <w:color w:val="auto"/>
          <w:spacing w:val="5"/>
          <w:sz w:val="20"/>
          <w:szCs w:val="20"/>
          <w:highlight w:val="none"/>
        </w:rPr>
        <w:t>/T4754-2</w:t>
      </w:r>
      <w:r>
        <w:rPr>
          <w:rFonts w:ascii="宋体" w:hAnsi="宋体" w:eastAsia="宋体" w:cs="宋体"/>
          <w:color w:val="auto"/>
          <w:spacing w:val="4"/>
          <w:sz w:val="20"/>
          <w:szCs w:val="20"/>
          <w:highlight w:val="none"/>
        </w:rPr>
        <w:t>017）为准。带*的项为行业组合类别，</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其中，工业包括采矿业，制造业，电力、热力、燃气及水生产和供应业。交通运输业包括道路运输业，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水上运输业，航空运输业，管道运输业，多式联运和运输代理业、装卸搬运，不包括铁路运</w:t>
      </w:r>
      <w:r>
        <w:rPr>
          <w:rFonts w:ascii="宋体" w:hAnsi="宋体" w:eastAsia="宋体" w:cs="宋体"/>
          <w:color w:val="auto"/>
          <w:spacing w:val="8"/>
          <w:sz w:val="20"/>
          <w:szCs w:val="20"/>
          <w:highlight w:val="none"/>
        </w:rPr>
        <w:t>输业。仓储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业包括通用仓储，低温仓储，危险品仓储，谷物、棉花等农产品仓储，中药材仓储和其他仓</w:t>
      </w:r>
      <w:r>
        <w:rPr>
          <w:rFonts w:ascii="宋体" w:hAnsi="宋体" w:eastAsia="宋体" w:cs="宋体"/>
          <w:color w:val="auto"/>
          <w:spacing w:val="8"/>
          <w:sz w:val="20"/>
          <w:szCs w:val="20"/>
          <w:highlight w:val="none"/>
        </w:rPr>
        <w:t>储业。信息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传输业包括电信、广播电视和卫星传输服务，互联网和相关服务。其他未列明行业包括科学</w:t>
      </w:r>
      <w:r>
        <w:rPr>
          <w:rFonts w:ascii="宋体" w:hAnsi="宋体" w:eastAsia="宋体" w:cs="宋体"/>
          <w:color w:val="auto"/>
          <w:spacing w:val="8"/>
          <w:sz w:val="20"/>
          <w:szCs w:val="20"/>
          <w:highlight w:val="none"/>
        </w:rPr>
        <w:t>研究和技术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服务业，水利、环境和公共设施管理业，居民服务、修理和其他服务业，社会工作，文化、</w:t>
      </w:r>
      <w:r>
        <w:rPr>
          <w:rFonts w:ascii="宋体" w:hAnsi="宋体" w:eastAsia="宋体" w:cs="宋体"/>
          <w:color w:val="auto"/>
          <w:spacing w:val="8"/>
          <w:sz w:val="20"/>
          <w:szCs w:val="20"/>
          <w:highlight w:val="none"/>
        </w:rPr>
        <w:t>体育和娱乐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以及房地产中介服务，其他房地产业等，不包括自有房地产经营活动。</w:t>
      </w:r>
    </w:p>
    <w:p w14:paraId="78F24C7F">
      <w:pPr>
        <w:spacing w:before="14" w:line="237" w:lineRule="auto"/>
        <w:ind w:left="25" w:firstLine="425"/>
        <w:rPr>
          <w:color w:val="auto"/>
          <w:highlight w:val="none"/>
        </w:rPr>
      </w:pPr>
      <w:r>
        <w:rPr>
          <w:rFonts w:ascii="宋体" w:hAnsi="宋体" w:eastAsia="宋体" w:cs="宋体"/>
          <w:color w:val="auto"/>
          <w:spacing w:val="11"/>
          <w:sz w:val="20"/>
          <w:szCs w:val="20"/>
          <w:highlight w:val="none"/>
        </w:rPr>
        <w:t>3.企业划分指标以现行统计制度为准。（1）从业人员，是指期末从业人员</w:t>
      </w:r>
      <w:r>
        <w:rPr>
          <w:rFonts w:ascii="宋体" w:hAnsi="宋体" w:eastAsia="宋体" w:cs="宋体"/>
          <w:color w:val="auto"/>
          <w:spacing w:val="10"/>
          <w:sz w:val="20"/>
          <w:szCs w:val="20"/>
          <w:highlight w:val="none"/>
        </w:rPr>
        <w:t>数，没有期末从业人员</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数的，采用全年平均人员数代替。（2）营业收入，工业、建筑业、限额以上批发和零售业、限额以上</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住宿和餐饮业以及其他设置主营业务收入指标的行业，采用主营业务收入。限额以下批发</w:t>
      </w:r>
      <w:r>
        <w:rPr>
          <w:rFonts w:ascii="宋体" w:hAnsi="宋体" w:eastAsia="宋体" w:cs="宋体"/>
          <w:color w:val="auto"/>
          <w:spacing w:val="8"/>
          <w:sz w:val="20"/>
          <w:szCs w:val="20"/>
          <w:highlight w:val="none"/>
        </w:rPr>
        <w:t>与零售业企业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采用商品销售额代替。限额以下住宿与餐饮业企业采用营业额代替。农、林、牧、渔业企</w:t>
      </w:r>
      <w:r>
        <w:rPr>
          <w:rFonts w:ascii="宋体" w:hAnsi="宋体" w:eastAsia="宋体" w:cs="宋体"/>
          <w:color w:val="auto"/>
          <w:spacing w:val="8"/>
          <w:sz w:val="20"/>
          <w:szCs w:val="20"/>
          <w:highlight w:val="none"/>
        </w:rPr>
        <w:t>业采用营业总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收入代替。其他未设置主营业务收入的行业，采用营业收入指标。（3）资产总额，采用资产总计代替。</w:t>
      </w:r>
    </w:p>
    <w:p w14:paraId="1A634B00">
      <w:pPr>
        <w:ind w:firstLine="420" w:firstLineChars="200"/>
        <w:rPr>
          <w:rStyle w:val="33"/>
          <w:rFonts w:hint="eastAsia" w:ascii="宋体" w:hAnsi="宋体" w:eastAsia="宋体"/>
          <w:b w:val="0"/>
          <w:i w:val="0"/>
          <w:color w:val="auto"/>
          <w:spacing w:val="0"/>
          <w:w w:val="100"/>
          <w:kern w:val="0"/>
          <w:sz w:val="21"/>
          <w:szCs w:val="21"/>
          <w:highlight w:val="none"/>
          <w:lang w:val="en-US" w:eastAsia="zh-CN" w:bidi="ar-SA"/>
        </w:rPr>
        <w:sectPr>
          <w:pgSz w:w="11906" w:h="16838"/>
          <w:pgMar w:top="1440" w:right="1800" w:bottom="1440" w:left="1800" w:header="851" w:footer="992" w:gutter="0"/>
          <w:cols w:space="720" w:num="1"/>
          <w:docGrid w:type="lines" w:linePitch="312" w:charSpace="0"/>
        </w:sectPr>
      </w:pPr>
    </w:p>
    <w:p w14:paraId="4D7651C4">
      <w:pPr>
        <w:pStyle w:val="20"/>
        <w:outlineLvl w:val="0"/>
        <w:rPr>
          <w:rStyle w:val="33"/>
          <w:rFonts w:hint="eastAsia" w:ascii="宋体" w:hAnsi="宋体" w:eastAsia="宋体" w:cs="宋体"/>
          <w:b/>
          <w:bCs/>
          <w:color w:val="auto"/>
          <w:highlight w:val="none"/>
        </w:rPr>
      </w:pPr>
      <w:bookmarkStart w:id="27" w:name="_Toc8468"/>
      <w:r>
        <w:rPr>
          <w:rStyle w:val="33"/>
          <w:rFonts w:hint="eastAsia" w:ascii="宋体" w:hAnsi="宋体" w:eastAsia="宋体" w:cs="宋体"/>
          <w:b/>
          <w:bCs/>
          <w:color w:val="auto"/>
          <w:highlight w:val="none"/>
        </w:rPr>
        <w:t>第四章   合同协议书（参考格式）</w:t>
      </w:r>
      <w:bookmarkEnd w:id="27"/>
    </w:p>
    <w:p w14:paraId="0004521F">
      <w:pPr>
        <w:tabs>
          <w:tab w:val="left" w:pos="417"/>
        </w:tabs>
        <w:spacing w:line="360" w:lineRule="auto"/>
        <w:jc w:val="center"/>
        <w:rPr>
          <w:rStyle w:val="33"/>
          <w:rFonts w:hint="eastAsia" w:ascii="宋体" w:hAnsi="宋体" w:eastAsia="宋体" w:cs="宋体"/>
          <w:b/>
          <w:color w:val="auto"/>
          <w:kern w:val="0"/>
          <w:sz w:val="52"/>
          <w:szCs w:val="52"/>
          <w:highlight w:val="none"/>
        </w:rPr>
      </w:pPr>
    </w:p>
    <w:p w14:paraId="78BC64AC">
      <w:pPr>
        <w:tabs>
          <w:tab w:val="left" w:pos="417"/>
        </w:tabs>
        <w:spacing w:line="360" w:lineRule="auto"/>
        <w:jc w:val="center"/>
        <w:rPr>
          <w:rStyle w:val="33"/>
          <w:rFonts w:hint="eastAsia" w:ascii="宋体" w:hAnsi="宋体" w:eastAsia="宋体" w:cs="宋体"/>
          <w:b/>
          <w:color w:val="auto"/>
          <w:kern w:val="0"/>
          <w:sz w:val="52"/>
          <w:szCs w:val="52"/>
          <w:highlight w:val="none"/>
        </w:rPr>
      </w:pPr>
    </w:p>
    <w:p w14:paraId="23308889">
      <w:pPr>
        <w:tabs>
          <w:tab w:val="left" w:pos="417"/>
        </w:tabs>
        <w:spacing w:line="360" w:lineRule="auto"/>
        <w:jc w:val="center"/>
        <w:rPr>
          <w:rStyle w:val="33"/>
          <w:rFonts w:hint="eastAsia" w:ascii="宋体" w:hAnsi="宋体" w:eastAsia="宋体" w:cs="宋体"/>
          <w:b/>
          <w:color w:val="auto"/>
          <w:kern w:val="0"/>
          <w:sz w:val="52"/>
          <w:szCs w:val="52"/>
          <w:highlight w:val="none"/>
        </w:rPr>
      </w:pPr>
    </w:p>
    <w:p w14:paraId="233DC759">
      <w:pPr>
        <w:tabs>
          <w:tab w:val="left" w:pos="417"/>
        </w:tabs>
        <w:spacing w:line="360" w:lineRule="auto"/>
        <w:jc w:val="center"/>
        <w:rPr>
          <w:rStyle w:val="33"/>
          <w:rFonts w:hint="eastAsia" w:ascii="宋体" w:hAnsi="宋体" w:eastAsia="宋体" w:cs="宋体"/>
          <w:b/>
          <w:color w:val="auto"/>
          <w:kern w:val="0"/>
          <w:sz w:val="52"/>
          <w:szCs w:val="52"/>
          <w:highlight w:val="none"/>
        </w:rPr>
      </w:pPr>
    </w:p>
    <w:p w14:paraId="3E009169">
      <w:pPr>
        <w:tabs>
          <w:tab w:val="left" w:pos="417"/>
        </w:tabs>
        <w:spacing w:line="360" w:lineRule="auto"/>
        <w:jc w:val="center"/>
        <w:rPr>
          <w:rStyle w:val="33"/>
          <w:rFonts w:hint="eastAsia" w:ascii="宋体" w:hAnsi="宋体" w:eastAsia="宋体" w:cs="宋体"/>
          <w:b/>
          <w:color w:val="auto"/>
          <w:kern w:val="0"/>
          <w:sz w:val="52"/>
          <w:szCs w:val="52"/>
          <w:highlight w:val="none"/>
        </w:rPr>
      </w:pPr>
    </w:p>
    <w:p w14:paraId="5F95E77D">
      <w:pPr>
        <w:tabs>
          <w:tab w:val="left" w:pos="417"/>
        </w:tabs>
        <w:spacing w:line="360" w:lineRule="auto"/>
        <w:jc w:val="center"/>
        <w:rPr>
          <w:rStyle w:val="33"/>
          <w:rFonts w:hint="eastAsia" w:ascii="宋体" w:hAnsi="宋体" w:eastAsia="宋体" w:cs="宋体"/>
          <w:b/>
          <w:color w:val="auto"/>
          <w:kern w:val="0"/>
          <w:sz w:val="52"/>
          <w:szCs w:val="52"/>
          <w:highlight w:val="none"/>
        </w:rPr>
      </w:pPr>
      <w:r>
        <w:rPr>
          <w:rStyle w:val="33"/>
          <w:rFonts w:hint="eastAsia" w:ascii="宋体" w:hAnsi="宋体" w:eastAsia="宋体" w:cs="宋体"/>
          <w:b/>
          <w:color w:val="auto"/>
          <w:kern w:val="0"/>
          <w:sz w:val="52"/>
          <w:szCs w:val="52"/>
          <w:highlight w:val="none"/>
        </w:rPr>
        <w:t>XXXXXXXX（项目）</w:t>
      </w:r>
    </w:p>
    <w:p w14:paraId="503A10CB">
      <w:pPr>
        <w:tabs>
          <w:tab w:val="left" w:pos="417"/>
        </w:tabs>
        <w:spacing w:line="360" w:lineRule="auto"/>
        <w:jc w:val="center"/>
        <w:rPr>
          <w:rStyle w:val="33"/>
          <w:rFonts w:hint="eastAsia" w:ascii="宋体" w:hAnsi="宋体" w:eastAsia="宋体" w:cs="宋体"/>
          <w:b/>
          <w:color w:val="auto"/>
          <w:spacing w:val="60"/>
          <w:sz w:val="36"/>
          <w:szCs w:val="36"/>
          <w:highlight w:val="none"/>
          <w:u w:val="single"/>
        </w:rPr>
      </w:pPr>
      <w:r>
        <w:rPr>
          <w:rStyle w:val="33"/>
          <w:rFonts w:hint="eastAsia" w:ascii="宋体" w:hAnsi="宋体" w:eastAsia="宋体" w:cs="宋体"/>
          <w:b/>
          <w:color w:val="auto"/>
          <w:kern w:val="0"/>
          <w:sz w:val="52"/>
          <w:szCs w:val="52"/>
          <w:highlight w:val="none"/>
        </w:rPr>
        <w:t>政 府 采 购 合 同</w:t>
      </w:r>
    </w:p>
    <w:p w14:paraId="1B8D0A5E">
      <w:pPr>
        <w:rPr>
          <w:rStyle w:val="33"/>
          <w:rFonts w:hint="eastAsia" w:ascii="宋体" w:hAnsi="宋体" w:eastAsia="宋体" w:cs="宋体"/>
          <w:b/>
          <w:bCs/>
          <w:color w:val="auto"/>
          <w:sz w:val="36"/>
          <w:szCs w:val="36"/>
          <w:highlight w:val="none"/>
        </w:rPr>
      </w:pPr>
    </w:p>
    <w:p w14:paraId="5744B8F3">
      <w:pPr>
        <w:spacing w:line="360" w:lineRule="auto"/>
        <w:ind w:firstLine="3000" w:firstLineChars="996"/>
        <w:rPr>
          <w:rStyle w:val="33"/>
          <w:rFonts w:hint="eastAsia" w:ascii="宋体" w:hAnsi="宋体" w:eastAsia="宋体" w:cs="宋体"/>
          <w:b/>
          <w:color w:val="auto"/>
          <w:sz w:val="30"/>
          <w:szCs w:val="30"/>
          <w:highlight w:val="none"/>
        </w:rPr>
      </w:pPr>
      <w:r>
        <w:rPr>
          <w:rStyle w:val="33"/>
          <w:rFonts w:hint="eastAsia" w:ascii="宋体" w:hAnsi="宋体" w:eastAsia="宋体" w:cs="宋体"/>
          <w:b/>
          <w:color w:val="auto"/>
          <w:sz w:val="30"/>
          <w:szCs w:val="30"/>
          <w:highlight w:val="none"/>
        </w:rPr>
        <w:t>项目名称：</w:t>
      </w:r>
    </w:p>
    <w:p w14:paraId="1838A44F">
      <w:pPr>
        <w:spacing w:line="360" w:lineRule="auto"/>
        <w:ind w:firstLine="3000" w:firstLineChars="996"/>
        <w:rPr>
          <w:rStyle w:val="33"/>
          <w:rFonts w:hint="eastAsia" w:ascii="宋体" w:hAnsi="宋体" w:eastAsia="宋体" w:cs="宋体"/>
          <w:b/>
          <w:color w:val="auto"/>
          <w:sz w:val="30"/>
          <w:szCs w:val="30"/>
          <w:highlight w:val="none"/>
        </w:rPr>
      </w:pPr>
      <w:r>
        <w:rPr>
          <w:rStyle w:val="33"/>
          <w:rFonts w:hint="eastAsia" w:ascii="宋体" w:hAnsi="宋体" w:eastAsia="宋体" w:cs="宋体"/>
          <w:b/>
          <w:color w:val="auto"/>
          <w:sz w:val="30"/>
          <w:szCs w:val="30"/>
          <w:highlight w:val="none"/>
        </w:rPr>
        <w:t xml:space="preserve">项目编号： </w:t>
      </w:r>
    </w:p>
    <w:p w14:paraId="421F3894">
      <w:pPr>
        <w:spacing w:line="360" w:lineRule="auto"/>
        <w:jc w:val="left"/>
        <w:rPr>
          <w:rStyle w:val="33"/>
          <w:rFonts w:hint="eastAsia" w:ascii="宋体" w:hAnsi="宋体" w:eastAsia="宋体" w:cs="宋体"/>
          <w:color w:val="auto"/>
          <w:kern w:val="0"/>
          <w:highlight w:val="none"/>
        </w:rPr>
      </w:pPr>
    </w:p>
    <w:p w14:paraId="4BEE20E8">
      <w:pPr>
        <w:spacing w:line="360" w:lineRule="auto"/>
        <w:ind w:firstLine="3012" w:firstLineChars="1000"/>
        <w:rPr>
          <w:rStyle w:val="33"/>
          <w:rFonts w:hint="eastAsia" w:ascii="宋体" w:hAnsi="宋体" w:eastAsia="宋体" w:cs="宋体"/>
          <w:b/>
          <w:color w:val="auto"/>
          <w:sz w:val="30"/>
          <w:szCs w:val="30"/>
          <w:highlight w:val="none"/>
        </w:rPr>
      </w:pPr>
      <w:r>
        <w:rPr>
          <w:rStyle w:val="33"/>
          <w:rFonts w:hint="eastAsia" w:ascii="宋体" w:hAnsi="宋体" w:eastAsia="宋体" w:cs="宋体"/>
          <w:b/>
          <w:color w:val="auto"/>
          <w:sz w:val="30"/>
          <w:szCs w:val="30"/>
          <w:highlight w:val="none"/>
        </w:rPr>
        <w:t>采  购  人：</w:t>
      </w:r>
    </w:p>
    <w:p w14:paraId="635291B8">
      <w:pPr>
        <w:spacing w:line="360" w:lineRule="auto"/>
        <w:ind w:firstLine="3012" w:firstLineChars="1000"/>
        <w:rPr>
          <w:rStyle w:val="33"/>
          <w:rFonts w:hint="eastAsia" w:ascii="宋体" w:hAnsi="宋体" w:eastAsia="宋体" w:cs="宋体"/>
          <w:b/>
          <w:color w:val="auto"/>
          <w:sz w:val="30"/>
          <w:szCs w:val="30"/>
          <w:highlight w:val="none"/>
        </w:rPr>
      </w:pPr>
      <w:r>
        <w:rPr>
          <w:rStyle w:val="33"/>
          <w:rFonts w:hint="eastAsia" w:ascii="宋体" w:hAnsi="宋体" w:eastAsia="宋体" w:cs="宋体"/>
          <w:b/>
          <w:color w:val="auto"/>
          <w:sz w:val="30"/>
          <w:szCs w:val="30"/>
          <w:highlight w:val="none"/>
        </w:rPr>
        <w:t>成交供应商：</w:t>
      </w:r>
    </w:p>
    <w:p w14:paraId="6C992B71">
      <w:pPr>
        <w:spacing w:line="360" w:lineRule="auto"/>
        <w:jc w:val="left"/>
        <w:rPr>
          <w:rStyle w:val="33"/>
          <w:rFonts w:hint="eastAsia" w:ascii="宋体" w:hAnsi="宋体" w:eastAsia="宋体" w:cs="宋体"/>
          <w:color w:val="auto"/>
          <w:kern w:val="0"/>
          <w:highlight w:val="none"/>
        </w:rPr>
      </w:pPr>
    </w:p>
    <w:p w14:paraId="673618B6">
      <w:pPr>
        <w:spacing w:line="360" w:lineRule="auto"/>
        <w:jc w:val="left"/>
        <w:rPr>
          <w:rStyle w:val="33"/>
          <w:rFonts w:hint="eastAsia" w:ascii="宋体" w:hAnsi="宋体" w:eastAsia="宋体" w:cs="宋体"/>
          <w:color w:val="auto"/>
          <w:kern w:val="0"/>
          <w:highlight w:val="none"/>
        </w:rPr>
      </w:pPr>
    </w:p>
    <w:p w14:paraId="56F0B6B1">
      <w:pPr>
        <w:spacing w:line="360" w:lineRule="auto"/>
        <w:ind w:firstLine="551" w:firstLineChars="196"/>
        <w:rPr>
          <w:rStyle w:val="33"/>
          <w:rFonts w:hint="eastAsia" w:ascii="宋体" w:hAnsi="宋体" w:eastAsia="宋体" w:cs="宋体"/>
          <w:b/>
          <w:color w:val="auto"/>
          <w:kern w:val="0"/>
          <w:sz w:val="28"/>
          <w:szCs w:val="28"/>
          <w:highlight w:val="none"/>
        </w:rPr>
      </w:pPr>
    </w:p>
    <w:p w14:paraId="09C5E6D8">
      <w:pPr>
        <w:spacing w:line="360" w:lineRule="auto"/>
        <w:ind w:firstLine="551" w:firstLineChars="196"/>
        <w:rPr>
          <w:rStyle w:val="33"/>
          <w:rFonts w:hint="eastAsia" w:ascii="宋体" w:hAnsi="宋体" w:eastAsia="宋体" w:cs="宋体"/>
          <w:b/>
          <w:color w:val="auto"/>
          <w:kern w:val="0"/>
          <w:sz w:val="28"/>
          <w:szCs w:val="28"/>
          <w:highlight w:val="none"/>
        </w:rPr>
      </w:pPr>
    </w:p>
    <w:p w14:paraId="0CED91B3">
      <w:pPr>
        <w:snapToGrid w:val="0"/>
        <w:spacing w:line="400" w:lineRule="exact"/>
        <w:rPr>
          <w:rStyle w:val="33"/>
          <w:rFonts w:hint="eastAsia" w:ascii="宋体" w:hAnsi="宋体" w:eastAsia="宋体" w:cs="宋体"/>
          <w:color w:val="auto"/>
          <w:spacing w:val="-20"/>
          <w:szCs w:val="21"/>
          <w:highlight w:val="none"/>
        </w:rPr>
      </w:pPr>
    </w:p>
    <w:p w14:paraId="526BA91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33"/>
          <w:rFonts w:hint="eastAsia" w:ascii="宋体" w:hAnsi="宋体" w:eastAsia="宋体" w:cs="宋体"/>
          <w:color w:val="auto"/>
          <w:szCs w:val="21"/>
          <w:highlight w:val="none"/>
        </w:rPr>
      </w:pPr>
    </w:p>
    <w:p w14:paraId="3E2776F2">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eastAsia" w:ascii="宋体" w:hAnsi="宋体" w:eastAsia="宋体" w:cs="宋体"/>
          <w:color w:val="auto"/>
          <w:szCs w:val="21"/>
          <w:highlight w:val="none"/>
        </w:rPr>
      </w:pPr>
    </w:p>
    <w:p w14:paraId="7D722C0B">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eastAsia" w:ascii="宋体" w:hAnsi="宋体" w:eastAsia="宋体" w:cs="宋体"/>
          <w:color w:val="auto"/>
          <w:szCs w:val="21"/>
          <w:highlight w:val="none"/>
        </w:rPr>
      </w:pPr>
    </w:p>
    <w:p w14:paraId="5ACB5D5F">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default" w:ascii="宋体" w:hAnsi="宋体" w:eastAsia="宋体" w:cs="宋体"/>
          <w:color w:val="auto"/>
          <w:szCs w:val="21"/>
          <w:highlight w:val="none"/>
          <w:lang w:val="en-US" w:eastAsia="zh-CN"/>
        </w:rPr>
      </w:pPr>
      <w:r>
        <w:rPr>
          <w:rStyle w:val="33"/>
          <w:rFonts w:hint="eastAsia" w:ascii="宋体" w:hAnsi="宋体" w:eastAsia="宋体" w:cs="宋体"/>
          <w:color w:val="auto"/>
          <w:szCs w:val="21"/>
          <w:highlight w:val="none"/>
        </w:rPr>
        <w:t>采购单位（甲方）：</w:t>
      </w:r>
      <w:r>
        <w:rPr>
          <w:rStyle w:val="33"/>
          <w:rFonts w:hint="eastAsia" w:ascii="宋体" w:hAnsi="宋体" w:cs="宋体"/>
          <w:color w:val="auto"/>
          <w:szCs w:val="21"/>
          <w:highlight w:val="none"/>
          <w:lang w:val="en-US" w:eastAsia="zh-CN"/>
        </w:rPr>
        <w:t xml:space="preserve">                                    </w:t>
      </w:r>
      <w:r>
        <w:rPr>
          <w:rStyle w:val="33"/>
          <w:rFonts w:hint="eastAsia" w:ascii="宋体" w:hAnsi="宋体" w:eastAsia="宋体" w:cs="宋体"/>
          <w:color w:val="auto"/>
          <w:spacing w:val="-20"/>
          <w:szCs w:val="21"/>
          <w:highlight w:val="none"/>
        </w:rPr>
        <w:t>合 同  编  号</w:t>
      </w:r>
      <w:r>
        <w:rPr>
          <w:rStyle w:val="33"/>
          <w:rFonts w:hint="eastAsia" w:ascii="宋体" w:hAnsi="宋体" w:eastAsia="宋体" w:cs="宋体"/>
          <w:color w:val="auto"/>
          <w:szCs w:val="21"/>
          <w:highlight w:val="none"/>
        </w:rPr>
        <w:t>：</w:t>
      </w:r>
    </w:p>
    <w:p w14:paraId="436DAE0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eastAsia" w:ascii="宋体" w:hAnsi="宋体" w:eastAsia="宋体" w:cs="宋体"/>
          <w:color w:val="auto"/>
          <w:spacing w:val="-20"/>
          <w:szCs w:val="21"/>
          <w:highlight w:val="none"/>
        </w:rPr>
      </w:pPr>
      <w:r>
        <w:rPr>
          <w:rStyle w:val="33"/>
          <w:rFonts w:hint="eastAsia" w:ascii="宋体" w:hAnsi="宋体" w:eastAsia="宋体" w:cs="宋体"/>
          <w:color w:val="auto"/>
          <w:szCs w:val="21"/>
          <w:highlight w:val="none"/>
        </w:rPr>
        <w:t>供 应 商（乙方）：</w:t>
      </w:r>
      <w:r>
        <w:rPr>
          <w:rStyle w:val="33"/>
          <w:rFonts w:hint="eastAsia" w:ascii="宋体" w:hAnsi="宋体" w:cs="宋体"/>
          <w:color w:val="auto"/>
          <w:szCs w:val="21"/>
          <w:highlight w:val="none"/>
          <w:lang w:val="en-US" w:eastAsia="zh-CN"/>
        </w:rPr>
        <w:t xml:space="preserve">                                    </w:t>
      </w:r>
      <w:r>
        <w:rPr>
          <w:rStyle w:val="33"/>
          <w:rFonts w:hint="eastAsia" w:ascii="宋体" w:hAnsi="宋体" w:eastAsia="宋体" w:cs="宋体"/>
          <w:color w:val="auto"/>
          <w:spacing w:val="-20"/>
          <w:szCs w:val="21"/>
          <w:highlight w:val="none"/>
        </w:rPr>
        <w:t>项 目  编  号：</w:t>
      </w:r>
    </w:p>
    <w:p w14:paraId="5C426581">
      <w:pPr>
        <w:keepNext/>
        <w:tabs>
          <w:tab w:val="left" w:pos="2210"/>
        </w:tabs>
        <w:wordWrap w:val="0"/>
        <w:overflowPunct w:val="0"/>
        <w:autoSpaceDE w:val="0"/>
        <w:autoSpaceDN w:val="0"/>
        <w:adjustRightInd w:val="0"/>
        <w:spacing w:line="360" w:lineRule="auto"/>
        <w:ind w:left="780" w:hanging="360"/>
        <w:jc w:val="left"/>
        <w:textAlignment w:val="baseline"/>
        <w:outlineLvl w:val="9"/>
        <w:rPr>
          <w:rFonts w:hint="eastAsia" w:ascii="宋体" w:hAnsi="MS Sans Serif" w:eastAsia="宋体" w:cs="Times New Roman"/>
          <w:b/>
          <w:color w:val="auto"/>
          <w:kern w:val="0"/>
          <w:sz w:val="24"/>
          <w:szCs w:val="20"/>
          <w:highlight w:val="none"/>
          <w:lang w:val="en-US" w:eastAsia="zh-CN" w:bidi="ar-SA"/>
        </w:rPr>
      </w:pPr>
    </w:p>
    <w:p w14:paraId="17BB547D">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签  订  地  点：</w:t>
      </w:r>
    </w:p>
    <w:p w14:paraId="0AFD482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签 订 时 间：</w:t>
      </w:r>
    </w:p>
    <w:p w14:paraId="6073A90E">
      <w:pPr>
        <w:snapToGrid w:val="0"/>
        <w:spacing w:line="400" w:lineRule="exact"/>
        <w:ind w:firstLine="420" w:firstLineChars="200"/>
        <w:rPr>
          <w:rStyle w:val="33"/>
          <w:rFonts w:hint="eastAsia" w:ascii="宋体" w:hAnsi="宋体" w:eastAsia="宋体" w:cs="宋体"/>
          <w:color w:val="auto"/>
          <w:szCs w:val="21"/>
          <w:highlight w:val="none"/>
        </w:rPr>
      </w:pPr>
    </w:p>
    <w:p w14:paraId="25CB6A9C">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根据《中华人民共和国政府采购法》、《中华人民共和国民法典》等法律、法规规定，遵循平等、自愿、公平和诚实信用的原则，按照磋商文件规</w:t>
      </w:r>
      <w:r>
        <w:rPr>
          <w:rStyle w:val="33"/>
          <w:rFonts w:hint="eastAsia" w:ascii="宋体" w:hAnsi="宋体" w:cs="宋体"/>
          <w:color w:val="auto"/>
          <w:szCs w:val="21"/>
          <w:highlight w:val="none"/>
        </w:rPr>
        <w:t>定的</w:t>
      </w:r>
      <w:r>
        <w:rPr>
          <w:rStyle w:val="33"/>
          <w:rFonts w:hint="eastAsia" w:ascii="宋体" w:hAnsi="宋体" w:eastAsia="宋体" w:cs="宋体"/>
          <w:color w:val="auto"/>
          <w:szCs w:val="21"/>
          <w:highlight w:val="none"/>
        </w:rPr>
        <w:t>条款和成交供应商承诺，经甲乙双方协商一致，签订本合同。</w:t>
      </w:r>
    </w:p>
    <w:p w14:paraId="60F5F410">
      <w:pPr>
        <w:snapToGrid w:val="0"/>
        <w:spacing w:line="400" w:lineRule="exact"/>
        <w:ind w:firstLine="422" w:firstLineChars="20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第一条　合同标的</w:t>
      </w:r>
    </w:p>
    <w:p w14:paraId="2551061D">
      <w:pPr>
        <w:tabs>
          <w:tab w:val="left" w:pos="8280"/>
        </w:tabs>
        <w:snapToGrid w:val="0"/>
        <w:spacing w:line="400" w:lineRule="exact"/>
        <w:ind w:right="26"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1.1服务项目</w:t>
      </w:r>
    </w:p>
    <w:p w14:paraId="361B8EBE">
      <w:pPr>
        <w:tabs>
          <w:tab w:val="left" w:pos="8280"/>
        </w:tabs>
        <w:snapToGrid w:val="0"/>
        <w:spacing w:line="400" w:lineRule="exact"/>
        <w:ind w:right="26"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1.1.1 乙方接受甲方委托，承担</w:t>
      </w:r>
      <w:r>
        <w:rPr>
          <w:rStyle w:val="33"/>
          <w:rFonts w:hint="eastAsia" w:ascii="宋体" w:hAnsi="宋体" w:cs="宋体"/>
          <w:color w:val="auto"/>
          <w:szCs w:val="21"/>
          <w:highlight w:val="none"/>
          <w:lang w:eastAsia="zh-CN"/>
        </w:rPr>
        <w:t>物业管理服务</w:t>
      </w:r>
      <w:r>
        <w:rPr>
          <w:rStyle w:val="33"/>
          <w:rFonts w:hint="eastAsia" w:ascii="宋体" w:hAnsi="宋体" w:eastAsia="宋体" w:cs="宋体"/>
          <w:color w:val="auto"/>
          <w:szCs w:val="21"/>
          <w:highlight w:val="none"/>
        </w:rPr>
        <w:t>工作。</w:t>
      </w:r>
    </w:p>
    <w:p w14:paraId="37CDC94D">
      <w:pPr>
        <w:tabs>
          <w:tab w:val="left" w:pos="8280"/>
        </w:tabs>
        <w:snapToGrid w:val="0"/>
        <w:spacing w:line="400" w:lineRule="exact"/>
        <w:ind w:right="26"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1.2 合同金额（人民币）：元整（</w:t>
      </w:r>
      <w:r>
        <w:rPr>
          <w:rFonts w:hint="eastAsia" w:ascii="宋体" w:hAnsi="宋体" w:eastAsia="宋体" w:cs="宋体"/>
          <w:color w:val="auto"/>
          <w:sz w:val="24"/>
          <w:highlight w:val="none"/>
          <w:lang w:val="zh-CN"/>
        </w:rPr>
        <w:t>￥</w:t>
      </w:r>
      <w:r>
        <w:rPr>
          <w:rStyle w:val="33"/>
          <w:rFonts w:hint="eastAsia" w:ascii="宋体" w:hAnsi="宋体" w:eastAsia="宋体" w:cs="宋体"/>
          <w:color w:val="auto"/>
          <w:szCs w:val="21"/>
          <w:highlight w:val="none"/>
        </w:rPr>
        <w:t>）。</w:t>
      </w:r>
    </w:p>
    <w:p w14:paraId="1A9F0C6F">
      <w:pPr>
        <w:keepNext w:val="0"/>
        <w:keepLines w:val="0"/>
        <w:widowControl/>
        <w:suppressLineNumbers w:val="0"/>
        <w:spacing w:before="0" w:beforeAutospacing="0" w:after="0" w:afterAutospacing="0" w:line="380" w:lineRule="exact"/>
        <w:ind w:left="0" w:right="0"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1.3 </w:t>
      </w:r>
    </w:p>
    <w:p w14:paraId="7E0620FC">
      <w:pPr>
        <w:keepNext w:val="0"/>
        <w:keepLines w:val="0"/>
        <w:widowControl/>
        <w:suppressLineNumbers w:val="0"/>
        <w:spacing w:before="0" w:beforeAutospacing="0" w:after="0" w:afterAutospacing="0" w:line="380" w:lineRule="exact"/>
        <w:ind w:left="0" w:right="0" w:firstLine="420" w:firstLineChars="200"/>
        <w:rPr>
          <w:rStyle w:val="33"/>
          <w:rFonts w:hint="eastAsia" w:ascii="宋体" w:hAnsi="宋体" w:eastAsia="宋体" w:cs="宋体"/>
          <w:szCs w:val="21"/>
          <w:highlight w:val="none"/>
        </w:rPr>
      </w:pPr>
      <w:r>
        <w:rPr>
          <w:rStyle w:val="33"/>
          <w:rFonts w:hint="eastAsia" w:ascii="宋体" w:hAnsi="宋体" w:eastAsia="宋体" w:cs="宋体"/>
          <w:color w:val="auto"/>
          <w:szCs w:val="21"/>
          <w:highlight w:val="none"/>
        </w:rPr>
        <w:t>1.</w:t>
      </w:r>
      <w:r>
        <w:rPr>
          <w:rStyle w:val="33"/>
          <w:rFonts w:hint="eastAsia" w:ascii="宋体" w:hAnsi="宋体" w:eastAsia="宋体" w:cs="宋体"/>
          <w:szCs w:val="21"/>
          <w:highlight w:val="none"/>
        </w:rPr>
        <w:t>本项目磋商应以人民币报价；</w:t>
      </w:r>
    </w:p>
    <w:p w14:paraId="29488795">
      <w:pPr>
        <w:keepNext w:val="0"/>
        <w:keepLines w:val="0"/>
        <w:widowControl/>
        <w:suppressLineNumbers w:val="0"/>
        <w:spacing w:before="0" w:beforeAutospacing="0" w:after="0" w:afterAutospacing="0" w:line="380" w:lineRule="exact"/>
        <w:ind w:left="0" w:right="0" w:firstLine="420" w:firstLineChars="200"/>
        <w:rPr>
          <w:rStyle w:val="33"/>
          <w:rFonts w:hint="eastAsia" w:ascii="宋体" w:hAnsi="宋体" w:eastAsia="宋体" w:cs="宋体"/>
          <w:szCs w:val="21"/>
          <w:highlight w:val="none"/>
        </w:rPr>
      </w:pPr>
      <w:r>
        <w:rPr>
          <w:rStyle w:val="33"/>
          <w:rFonts w:hint="eastAsia" w:ascii="宋体" w:hAnsi="宋体" w:cs="宋体"/>
          <w:szCs w:val="21"/>
          <w:highlight w:val="none"/>
          <w:lang w:val="en-US"/>
        </w:rPr>
        <w:t>2.</w:t>
      </w:r>
      <w:r>
        <w:rPr>
          <w:rStyle w:val="33"/>
          <w:rFonts w:hint="eastAsia" w:ascii="宋体" w:hAnsi="宋体" w:eastAsia="宋体" w:cs="宋体"/>
          <w:szCs w:val="21"/>
          <w:highlight w:val="none"/>
        </w:rPr>
        <w:t>不论磋商结果如何，磋商供应商均应自行承担所有与磋商有关的全部费用；</w:t>
      </w:r>
    </w:p>
    <w:p w14:paraId="790B561E">
      <w:pPr>
        <w:tabs>
          <w:tab w:val="left" w:pos="8280"/>
        </w:tabs>
        <w:snapToGrid w:val="0"/>
        <w:spacing w:line="400" w:lineRule="exact"/>
        <w:ind w:right="26" w:firstLine="422" w:firstLineChars="20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第二条　服务保证</w:t>
      </w:r>
    </w:p>
    <w:p w14:paraId="36637E55">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2.1 乙方所提供的</w:t>
      </w:r>
      <w:r>
        <w:rPr>
          <w:rStyle w:val="33"/>
          <w:rFonts w:hint="eastAsia" w:ascii="宋体" w:hAnsi="宋体" w:cs="宋体"/>
          <w:color w:val="auto"/>
          <w:szCs w:val="21"/>
          <w:highlight w:val="none"/>
          <w:lang w:eastAsia="zh-CN"/>
        </w:rPr>
        <w:t>物业管理服务</w:t>
      </w:r>
      <w:r>
        <w:rPr>
          <w:rStyle w:val="33"/>
          <w:rFonts w:hint="eastAsia" w:ascii="宋体" w:hAnsi="宋体" w:eastAsia="宋体" w:cs="宋体"/>
          <w:color w:val="auto"/>
          <w:szCs w:val="21"/>
          <w:highlight w:val="none"/>
        </w:rPr>
        <w:t>质量必须与响应文件和承诺相一致。</w:t>
      </w:r>
    </w:p>
    <w:p w14:paraId="3A36BE1B">
      <w:pPr>
        <w:snapToGrid w:val="0"/>
        <w:spacing w:line="400" w:lineRule="exact"/>
        <w:ind w:firstLine="422" w:firstLineChars="20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第三条　权力保证</w:t>
      </w:r>
    </w:p>
    <w:p w14:paraId="55335141">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3.1 甲方根据工作需要，可为乙方开展服务提供相关资料。</w:t>
      </w:r>
    </w:p>
    <w:p w14:paraId="33A54DC5">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3.2 乙方应按规定时间提交服务成果。</w:t>
      </w:r>
    </w:p>
    <w:p w14:paraId="73DE402C">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3.3 在服务期间，乙方不得以甲方名义发生各种谋取不正当利益的违法、违纪行为。</w:t>
      </w:r>
    </w:p>
    <w:p w14:paraId="50F585FF">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3.4 乙方应保证所提供的服务成果不会侵犯任何第三方的专利权、著作权或其他权利。</w:t>
      </w:r>
    </w:p>
    <w:p w14:paraId="7A22554E">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3.5 乙方应按响应文件规定的时间向甲方提供服务成果的有关资料。</w:t>
      </w:r>
    </w:p>
    <w:p w14:paraId="75CF7414">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3.6 未经甲方事先书面同意，乙方不得将由甲方提供的有关合同或任何合同条文、计划、资料等提供给与履行本合同无关的任何其他人。即使向履行本合同有关的人员提供，也应注意保密并限于履行合同的必需范围。</w:t>
      </w:r>
    </w:p>
    <w:p w14:paraId="23507262">
      <w:pPr>
        <w:snapToGrid w:val="0"/>
        <w:spacing w:line="400" w:lineRule="exact"/>
        <w:ind w:firstLine="422" w:firstLineChars="20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第四条　交付和验收</w:t>
      </w:r>
    </w:p>
    <w:p w14:paraId="24C4BAB0">
      <w:pPr>
        <w:snapToGrid w:val="0"/>
        <w:spacing w:line="400" w:lineRule="exact"/>
        <w:ind w:firstLine="420" w:firstLineChars="2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4.1交付时间及地点：</w:t>
      </w:r>
      <w:r>
        <w:rPr>
          <w:rStyle w:val="33"/>
          <w:rFonts w:hint="eastAsia" w:ascii="宋体" w:hAnsi="宋体" w:eastAsia="宋体" w:cs="宋体"/>
          <w:color w:val="auto"/>
          <w:szCs w:val="21"/>
          <w:highlight w:val="none"/>
          <w:u w:val="single"/>
        </w:rPr>
        <w:t>详见乙方响应文件</w:t>
      </w:r>
    </w:p>
    <w:p w14:paraId="77C78B57">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4.2乙方提供不符合采购文件和本合同规定的服务成果，甲方有权拒绝接受。</w:t>
      </w:r>
    </w:p>
    <w:p w14:paraId="15D39E4D">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4.3乙方应对提交的服务成果作出全面检查和整理，并列出清单，作为甲方验收和使用的技术条件依据，清单应随提交的服务成果交给甲方。</w:t>
      </w:r>
    </w:p>
    <w:p w14:paraId="54272407">
      <w:pPr>
        <w:snapToGrid w:val="0"/>
        <w:spacing w:line="400" w:lineRule="exact"/>
        <w:ind w:left="420" w:leftChars="200" w:firstLine="0" w:firstLineChars="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4.4乙方应按要求提交服务成果材料：</w:t>
      </w:r>
      <w:r>
        <w:rPr>
          <w:rStyle w:val="33"/>
          <w:rFonts w:hint="eastAsia" w:ascii="宋体" w:hAnsi="宋体" w:eastAsia="宋体" w:cs="宋体"/>
          <w:color w:val="auto"/>
          <w:szCs w:val="21"/>
          <w:highlight w:val="none"/>
          <w:u w:val="single"/>
        </w:rPr>
        <w:t>详见乙方响应文件</w:t>
      </w:r>
      <w:r>
        <w:rPr>
          <w:rStyle w:val="33"/>
          <w:rFonts w:hint="eastAsia" w:ascii="宋体" w:hAnsi="宋体" w:eastAsia="宋体" w:cs="宋体"/>
          <w:color w:val="auto"/>
          <w:szCs w:val="21"/>
          <w:highlight w:val="none"/>
        </w:rPr>
        <w:t>，如有缺失应及时补齐，否则视为逾期交付。4.5乙方应在约定时间指定地点提交服务成果后，甲方应在7个工作日内进行验收，验收后由甲乙双方签署验收单并加盖采购单位公章，甲乙双方各执一份。服务成果以乙方提交评审稿并获得批复后，方为验收合格。</w:t>
      </w:r>
    </w:p>
    <w:p w14:paraId="50565166">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4.6甲方对验收有异议的，在验收后5个工作日内以书面形式向乙方提出，乙方应自收到甲方书面异议后</w:t>
      </w:r>
      <w:r>
        <w:rPr>
          <w:rStyle w:val="33"/>
          <w:rFonts w:hint="eastAsia" w:ascii="宋体" w:hAnsi="宋体" w:eastAsia="宋体" w:cs="宋体"/>
          <w:color w:val="auto"/>
          <w:szCs w:val="21"/>
          <w:highlight w:val="none"/>
          <w:u w:val="single"/>
        </w:rPr>
        <w:t xml:space="preserve"> 5个工作日</w:t>
      </w:r>
      <w:r>
        <w:rPr>
          <w:rStyle w:val="33"/>
          <w:rFonts w:hint="eastAsia" w:ascii="宋体" w:hAnsi="宋体" w:eastAsia="宋体" w:cs="宋体"/>
          <w:color w:val="auto"/>
          <w:szCs w:val="21"/>
          <w:highlight w:val="none"/>
        </w:rPr>
        <w:t>内及时予以解决。</w:t>
      </w:r>
    </w:p>
    <w:p w14:paraId="6DD88575">
      <w:pPr>
        <w:snapToGrid w:val="0"/>
        <w:spacing w:line="400" w:lineRule="exact"/>
        <w:ind w:firstLine="422" w:firstLineChars="20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第五条  服务、质量保证期</w:t>
      </w:r>
    </w:p>
    <w:p w14:paraId="6E2461EF">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5.1 乙方应按照国家有关法律法规以及磋商文件和本合同所附的《售后服务承诺》，为甲方提供相关服务。</w:t>
      </w:r>
    </w:p>
    <w:p w14:paraId="6C0F75ED">
      <w:pPr>
        <w:pStyle w:val="2"/>
        <w:ind w:left="780" w:leftChars="0" w:hanging="360" w:firstLineChars="0"/>
        <w:outlineLvl w:val="9"/>
        <w:rPr>
          <w:rStyle w:val="33"/>
          <w:rFonts w:hint="eastAsia" w:ascii="宋体" w:hAnsi="宋体" w:eastAsia="宋体" w:cs="宋体"/>
          <w:b w:val="0"/>
          <w:color w:val="auto"/>
          <w:kern w:val="2"/>
          <w:sz w:val="21"/>
          <w:szCs w:val="21"/>
          <w:highlight w:val="none"/>
          <w:lang w:eastAsia="zh-CN"/>
        </w:rPr>
      </w:pPr>
      <w:r>
        <w:rPr>
          <w:rStyle w:val="33"/>
          <w:rFonts w:hint="eastAsia" w:ascii="宋体" w:hAnsi="宋体" w:eastAsia="宋体" w:cs="宋体"/>
          <w:b w:val="0"/>
          <w:color w:val="auto"/>
          <w:kern w:val="2"/>
          <w:sz w:val="21"/>
          <w:szCs w:val="21"/>
          <w:highlight w:val="none"/>
        </w:rPr>
        <w:t xml:space="preserve">5.2 </w:t>
      </w:r>
      <w:r>
        <w:rPr>
          <w:rStyle w:val="33"/>
          <w:rFonts w:hint="eastAsia" w:hAnsi="宋体" w:cs="宋体"/>
          <w:b w:val="0"/>
          <w:color w:val="auto"/>
          <w:kern w:val="2"/>
          <w:sz w:val="21"/>
          <w:szCs w:val="21"/>
          <w:highlight w:val="none"/>
        </w:rPr>
        <w:t>物业管理服务</w:t>
      </w:r>
      <w:r>
        <w:rPr>
          <w:rStyle w:val="33"/>
          <w:rFonts w:hint="eastAsia" w:hAnsi="宋体" w:cs="宋体"/>
          <w:b w:val="0"/>
          <w:color w:val="auto"/>
          <w:kern w:val="2"/>
          <w:sz w:val="21"/>
          <w:szCs w:val="21"/>
          <w:highlight w:val="none"/>
          <w:lang w:eastAsia="zh-CN"/>
        </w:rPr>
        <w:t>采购</w:t>
      </w:r>
      <w:r>
        <w:rPr>
          <w:rStyle w:val="33"/>
          <w:rFonts w:hint="eastAsia" w:ascii="宋体" w:hAnsi="宋体" w:eastAsia="宋体" w:cs="宋体"/>
          <w:b w:val="0"/>
          <w:color w:val="auto"/>
          <w:kern w:val="2"/>
          <w:sz w:val="21"/>
          <w:szCs w:val="21"/>
          <w:highlight w:val="none"/>
        </w:rPr>
        <w:t>合同期限：</w:t>
      </w:r>
      <w:r>
        <w:rPr>
          <w:rStyle w:val="33"/>
          <w:rFonts w:hint="eastAsia" w:hAnsi="宋体" w:cs="宋体"/>
          <w:b w:val="0"/>
          <w:color w:val="auto"/>
          <w:kern w:val="2"/>
          <w:sz w:val="21"/>
          <w:szCs w:val="21"/>
          <w:highlight w:val="none"/>
          <w:lang w:eastAsia="zh-CN"/>
        </w:rPr>
        <w:t>自合同签订之日起叁年。</w:t>
      </w:r>
    </w:p>
    <w:p w14:paraId="4EBDEABE">
      <w:pPr>
        <w:snapToGrid w:val="0"/>
        <w:spacing w:line="400" w:lineRule="exact"/>
        <w:ind w:firstLine="422" w:firstLineChars="20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第六条　价款支付</w:t>
      </w:r>
    </w:p>
    <w:p w14:paraId="47267472">
      <w:pPr>
        <w:pStyle w:val="48"/>
        <w:snapToGrid w:val="0"/>
        <w:spacing w:line="400" w:lineRule="exact"/>
        <w:ind w:firstLine="420" w:firstLineChars="200"/>
        <w:rPr>
          <w:rStyle w:val="33"/>
          <w:rFonts w:hint="eastAsia" w:ascii="宋体" w:hAnsi="宋体" w:eastAsia="宋体" w:cs="宋体"/>
          <w:color w:val="auto"/>
          <w:highlight w:val="none"/>
          <w:u w:val="single"/>
        </w:rPr>
      </w:pPr>
      <w:r>
        <w:rPr>
          <w:rStyle w:val="33"/>
          <w:rFonts w:hint="eastAsia" w:ascii="宋体" w:hAnsi="宋体" w:eastAsia="宋体" w:cs="宋体"/>
          <w:bCs/>
          <w:color w:val="auto"/>
          <w:highlight w:val="none"/>
        </w:rPr>
        <w:t>6.1</w:t>
      </w:r>
      <w:r>
        <w:rPr>
          <w:rStyle w:val="33"/>
          <w:rFonts w:hint="eastAsia" w:ascii="宋体" w:hAnsi="宋体" w:eastAsia="宋体" w:cs="宋体"/>
          <w:color w:val="auto"/>
          <w:highlight w:val="none"/>
        </w:rPr>
        <w:t>资金性质：</w:t>
      </w:r>
      <w:r>
        <w:rPr>
          <w:rStyle w:val="33"/>
          <w:rFonts w:hint="eastAsia" w:hAnsi="宋体" w:cs="宋体"/>
          <w:color w:val="auto"/>
          <w:highlight w:val="none"/>
          <w:lang w:val="en-US"/>
        </w:rPr>
        <w:t>财政资金</w:t>
      </w:r>
      <w:r>
        <w:rPr>
          <w:rStyle w:val="33"/>
          <w:rFonts w:hint="eastAsia" w:ascii="宋体" w:hAnsi="宋体" w:eastAsia="宋体" w:cs="宋体"/>
          <w:color w:val="auto"/>
          <w:highlight w:val="none"/>
          <w:u w:val="none"/>
        </w:rPr>
        <w:t>。</w:t>
      </w:r>
    </w:p>
    <w:p w14:paraId="7CC1F49A">
      <w:pPr>
        <w:spacing w:line="360" w:lineRule="auto"/>
        <w:ind w:firstLine="420" w:firstLineChars="200"/>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6.2 付款方式：</w:t>
      </w:r>
    </w:p>
    <w:p w14:paraId="61BE7634">
      <w:pPr>
        <w:spacing w:line="360" w:lineRule="auto"/>
        <w:ind w:firstLine="420" w:firstLineChars="200"/>
        <w:rPr>
          <w:rFonts w:hint="eastAsia" w:ascii="Times New Roman" w:hAnsi="Times New Roman" w:eastAsia="宋体" w:cs="Times New Roman"/>
          <w:color w:val="auto"/>
          <w:kern w:val="2"/>
          <w:sz w:val="21"/>
          <w:szCs w:val="22"/>
          <w:highlight w:val="none"/>
          <w:lang w:val="en-US" w:eastAsia="zh-CN" w:bidi="ar-SA"/>
        </w:rPr>
      </w:pPr>
      <w:r>
        <w:rPr>
          <w:rFonts w:ascii="宋体" w:hAnsi="宋体" w:eastAsia="宋体" w:cs="宋体"/>
          <w:sz w:val="21"/>
          <w:szCs w:val="21"/>
        </w:rPr>
        <w:t>签订合同后十五日内，采购人向成交供应</w:t>
      </w:r>
      <w:r>
        <w:rPr>
          <w:rFonts w:ascii="宋体" w:hAnsi="宋体" w:eastAsia="宋体" w:cs="宋体"/>
          <w:spacing w:val="-1"/>
          <w:sz w:val="21"/>
          <w:szCs w:val="21"/>
        </w:rPr>
        <w:t>商付合同价款的</w:t>
      </w:r>
      <w:r>
        <w:rPr>
          <w:rFonts w:ascii="宋体" w:hAnsi="宋体" w:eastAsia="宋体" w:cs="宋体"/>
          <w:spacing w:val="-22"/>
          <w:sz w:val="21"/>
          <w:szCs w:val="21"/>
        </w:rPr>
        <w:t xml:space="preserve"> </w:t>
      </w:r>
      <w:r>
        <w:rPr>
          <w:rFonts w:ascii="Times New Roman" w:hAnsi="Times New Roman" w:eastAsia="Times New Roman" w:cs="Times New Roman"/>
          <w:spacing w:val="-1"/>
          <w:sz w:val="21"/>
          <w:szCs w:val="21"/>
        </w:rPr>
        <w:t>33%</w:t>
      </w:r>
      <w:r>
        <w:rPr>
          <w:rFonts w:ascii="宋体" w:hAnsi="宋体" w:eastAsia="宋体" w:cs="宋体"/>
          <w:spacing w:val="-1"/>
          <w:sz w:val="21"/>
          <w:szCs w:val="21"/>
        </w:rPr>
        <w:t>（第一年的物业管理服</w:t>
      </w:r>
      <w:r>
        <w:rPr>
          <w:rFonts w:ascii="宋体" w:hAnsi="宋体" w:eastAsia="宋体" w:cs="宋体"/>
          <w:spacing w:val="-2"/>
          <w:sz w:val="21"/>
          <w:szCs w:val="21"/>
        </w:rPr>
        <w:t>务费</w:t>
      </w:r>
      <w:r>
        <w:rPr>
          <w:rFonts w:ascii="宋体" w:hAnsi="宋体" w:eastAsia="宋体" w:cs="宋体"/>
          <w:spacing w:val="-29"/>
          <w:sz w:val="21"/>
          <w:szCs w:val="21"/>
        </w:rPr>
        <w:t>），</w:t>
      </w:r>
      <w:r>
        <w:rPr>
          <w:rFonts w:ascii="Times New Roman" w:hAnsi="Times New Roman" w:eastAsia="Times New Roman" w:cs="Times New Roman"/>
          <w:spacing w:val="-2"/>
          <w:sz w:val="21"/>
          <w:szCs w:val="21"/>
        </w:rPr>
        <w:t>202</w:t>
      </w:r>
      <w:r>
        <w:rPr>
          <w:rFonts w:hint="eastAsia" w:eastAsia="宋体" w:cs="Times New Roman"/>
          <w:spacing w:val="-2"/>
          <w:sz w:val="21"/>
          <w:szCs w:val="21"/>
          <w:lang w:val="en-US" w:eastAsia="zh-CN"/>
        </w:rPr>
        <w:t>6</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年</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11</w:t>
      </w:r>
      <w:r>
        <w:rPr>
          <w:rFonts w:ascii="宋体" w:hAnsi="宋体" w:eastAsia="宋体" w:cs="宋体"/>
          <w:spacing w:val="-2"/>
          <w:sz w:val="21"/>
          <w:szCs w:val="21"/>
        </w:rPr>
        <w:t>月底前付至合同价款的</w:t>
      </w:r>
      <w:r>
        <w:rPr>
          <w:rFonts w:ascii="宋体" w:hAnsi="宋体" w:eastAsia="宋体" w:cs="宋体"/>
          <w:spacing w:val="-43"/>
          <w:sz w:val="21"/>
          <w:szCs w:val="21"/>
        </w:rPr>
        <w:t xml:space="preserve"> </w:t>
      </w:r>
      <w:r>
        <w:rPr>
          <w:rFonts w:ascii="Times New Roman" w:hAnsi="Times New Roman" w:eastAsia="Times New Roman" w:cs="Times New Roman"/>
          <w:spacing w:val="-2"/>
          <w:sz w:val="21"/>
          <w:szCs w:val="21"/>
        </w:rPr>
        <w:t>66% (</w:t>
      </w:r>
      <w:r>
        <w:rPr>
          <w:rFonts w:ascii="宋体" w:hAnsi="宋体" w:eastAsia="宋体" w:cs="宋体"/>
          <w:spacing w:val="-2"/>
          <w:sz w:val="21"/>
          <w:szCs w:val="21"/>
        </w:rPr>
        <w:t>第二年的物业管理服务费</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3"/>
          <w:sz w:val="21"/>
          <w:szCs w:val="21"/>
        </w:rPr>
        <w:t>202</w:t>
      </w:r>
      <w:r>
        <w:rPr>
          <w:rFonts w:hint="eastAsia" w:eastAsia="宋体" w:cs="Times New Roman"/>
          <w:spacing w:val="-3"/>
          <w:sz w:val="21"/>
          <w:szCs w:val="21"/>
          <w:lang w:val="en-US" w:eastAsia="zh-CN"/>
        </w:rPr>
        <w:t>7</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年</w:t>
      </w:r>
      <w:r>
        <w:rPr>
          <w:rFonts w:ascii="宋体" w:hAnsi="宋体" w:eastAsia="宋体" w:cs="宋体"/>
          <w:spacing w:val="-30"/>
          <w:sz w:val="21"/>
          <w:szCs w:val="21"/>
        </w:rPr>
        <w:t xml:space="preserve"> </w:t>
      </w:r>
      <w:r>
        <w:rPr>
          <w:rFonts w:ascii="Times New Roman" w:hAnsi="Times New Roman" w:eastAsia="Times New Roman" w:cs="Times New Roman"/>
          <w:spacing w:val="-3"/>
          <w:sz w:val="21"/>
          <w:szCs w:val="21"/>
        </w:rPr>
        <w:t>11</w:t>
      </w:r>
      <w:r>
        <w:rPr>
          <w:rFonts w:ascii="宋体" w:hAnsi="宋体" w:eastAsia="宋体" w:cs="宋体"/>
          <w:spacing w:val="-3"/>
          <w:sz w:val="21"/>
          <w:szCs w:val="21"/>
        </w:rPr>
        <w:t>月底前付至合同价款的</w:t>
      </w:r>
      <w:r>
        <w:rPr>
          <w:rFonts w:ascii="宋体" w:hAnsi="宋体" w:eastAsia="宋体" w:cs="宋体"/>
          <w:spacing w:val="-32"/>
          <w:sz w:val="21"/>
          <w:szCs w:val="21"/>
        </w:rPr>
        <w:t xml:space="preserve"> </w:t>
      </w:r>
      <w:r>
        <w:rPr>
          <w:rFonts w:ascii="Times New Roman" w:hAnsi="Times New Roman" w:eastAsia="Times New Roman" w:cs="Times New Roman"/>
          <w:spacing w:val="-3"/>
          <w:sz w:val="21"/>
          <w:szCs w:val="21"/>
        </w:rPr>
        <w:t>100% (</w:t>
      </w:r>
      <w:r>
        <w:rPr>
          <w:rFonts w:ascii="宋体" w:hAnsi="宋体" w:eastAsia="宋体" w:cs="宋体"/>
          <w:spacing w:val="-3"/>
          <w:sz w:val="21"/>
          <w:szCs w:val="21"/>
        </w:rPr>
        <w:t>第三年的物业管理服务费</w:t>
      </w:r>
      <w:r>
        <w:rPr>
          <w:rFonts w:ascii="Times New Roman" w:hAnsi="Times New Roman" w:eastAsia="Times New Roman" w:cs="Times New Roman"/>
          <w:spacing w:val="-3"/>
          <w:sz w:val="21"/>
          <w:szCs w:val="21"/>
        </w:rPr>
        <w:t>)</w:t>
      </w:r>
      <w:r>
        <w:rPr>
          <w:rFonts w:ascii="宋体" w:hAnsi="宋体" w:eastAsia="宋体" w:cs="宋体"/>
          <w:spacing w:val="-3"/>
          <w:sz w:val="21"/>
          <w:szCs w:val="21"/>
        </w:rPr>
        <w:t>。供应商在收到每笔款项后五个工作日内开具</w:t>
      </w:r>
      <w:r>
        <w:rPr>
          <w:rFonts w:ascii="宋体" w:hAnsi="宋体" w:eastAsia="宋体" w:cs="宋体"/>
          <w:spacing w:val="-4"/>
          <w:sz w:val="21"/>
          <w:szCs w:val="21"/>
        </w:rPr>
        <w:t>等额有效发票给采购人。</w:t>
      </w:r>
      <w:r>
        <w:rPr>
          <w:rStyle w:val="33"/>
          <w:rFonts w:hint="eastAsia" w:ascii="宋体" w:hAnsi="宋体" w:eastAsia="宋体" w:cs="宋体"/>
          <w:color w:val="auto"/>
          <w:kern w:val="0"/>
          <w:szCs w:val="21"/>
          <w:highlight w:val="none"/>
        </w:rPr>
        <w:t xml:space="preserve"> </w:t>
      </w:r>
    </w:p>
    <w:p w14:paraId="137815DF">
      <w:pPr>
        <w:snapToGrid w:val="0"/>
        <w:spacing w:line="400" w:lineRule="exact"/>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第七条  税费</w:t>
      </w:r>
    </w:p>
    <w:p w14:paraId="562AC970">
      <w:pPr>
        <w:snapToGrid w:val="0"/>
        <w:spacing w:line="400" w:lineRule="exact"/>
        <w:ind w:left="-61" w:firstLine="514"/>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7.1 本合同执行中相关的一切税费均由乙方负担。</w:t>
      </w:r>
    </w:p>
    <w:p w14:paraId="2CED94E3">
      <w:pPr>
        <w:snapToGrid w:val="0"/>
        <w:spacing w:line="400" w:lineRule="exact"/>
        <w:ind w:left="-61" w:firstLine="514"/>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第八条  质量保证及售后服务</w:t>
      </w:r>
    </w:p>
    <w:p w14:paraId="446C24F4">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8.1乙方应按磋商文件规定的服务内容、技术要求、质量标准向甲方提供无瑕疵的服务成果。乙方对提交的最终服务成果质量负责。</w:t>
      </w:r>
    </w:p>
    <w:p w14:paraId="299802EA">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8.2成果提交后，如有修改，乙方应在规定时间按要求无条件完成修改工作，甲方不另行支付修改费用。</w:t>
      </w:r>
    </w:p>
    <w:p w14:paraId="5C823BF1">
      <w:pPr>
        <w:snapToGrid w:val="0"/>
        <w:spacing w:line="400" w:lineRule="exact"/>
        <w:ind w:firstLine="422" w:firstLineChars="20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第九条　违约责任</w:t>
      </w:r>
    </w:p>
    <w:p w14:paraId="6EBA7B47">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9.1 乙方未按期限提交成果或者提交的成果不符合约定的，乙方应向甲方支付违约服务款额%违约金并赔偿甲方经济损失。                                       </w:t>
      </w:r>
    </w:p>
    <w:p w14:paraId="50793958">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9.2 乙方提供的成果如侵犯了第三方合法权益而引发的任何纠纷或诉讼，均由乙方负责交涉并承担全部责任。</w:t>
      </w:r>
    </w:p>
    <w:p w14:paraId="6C0E93EC">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9.3由于甲方的原因造成合同不能如期履行的，双方可根据具体情况顺延合同的履行期，对乙方因此遭受的损失，甲方应予以补偿。</w:t>
      </w:r>
    </w:p>
    <w:p w14:paraId="7F362DF8">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9.4乙方未按本合同和响应文件中规定的服务承诺提供服务的，乙方应按本合同合计金额</w:t>
      </w:r>
      <w:r>
        <w:rPr>
          <w:rStyle w:val="33"/>
          <w:rFonts w:hint="eastAsia" w:ascii="宋体" w:hAnsi="宋体" w:eastAsia="宋体" w:cs="宋体"/>
          <w:color w:val="auto"/>
          <w:szCs w:val="21"/>
          <w:highlight w:val="none"/>
          <w:u w:val="single"/>
        </w:rPr>
        <w:t xml:space="preserve"> </w:t>
      </w:r>
      <w:r>
        <w:rPr>
          <w:rStyle w:val="33"/>
          <w:rFonts w:hint="eastAsia" w:ascii="宋体" w:hAnsi="宋体" w:cs="宋体"/>
          <w:color w:val="auto"/>
          <w:szCs w:val="21"/>
          <w:highlight w:val="none"/>
          <w:u w:val="single"/>
          <w:lang w:val="en-US"/>
        </w:rPr>
        <w:t>30</w:t>
      </w:r>
      <w:r>
        <w:rPr>
          <w:rStyle w:val="33"/>
          <w:rFonts w:hint="eastAsia" w:ascii="宋体" w:hAnsi="宋体" w:eastAsia="宋体" w:cs="宋体"/>
          <w:color w:val="auto"/>
          <w:szCs w:val="21"/>
          <w:highlight w:val="none"/>
          <w:u w:val="single"/>
        </w:rPr>
        <w:t>%</w:t>
      </w:r>
      <w:r>
        <w:rPr>
          <w:rStyle w:val="33"/>
          <w:rFonts w:hint="eastAsia" w:ascii="宋体" w:hAnsi="宋体" w:eastAsia="宋体" w:cs="宋体"/>
          <w:color w:val="auto"/>
          <w:szCs w:val="21"/>
          <w:highlight w:val="none"/>
        </w:rPr>
        <w:t>向甲方支付违约金。</w:t>
      </w:r>
    </w:p>
    <w:p w14:paraId="38DD6F8D">
      <w:pPr>
        <w:pStyle w:val="48"/>
        <w:snapToGrid w:val="0"/>
        <w:spacing w:line="400" w:lineRule="exact"/>
        <w:ind w:firstLine="413" w:firstLineChars="196"/>
        <w:rPr>
          <w:rStyle w:val="33"/>
          <w:rFonts w:hint="eastAsia" w:ascii="宋体" w:hAnsi="宋体" w:eastAsia="宋体" w:cs="宋体"/>
          <w:b/>
          <w:color w:val="auto"/>
          <w:highlight w:val="none"/>
        </w:rPr>
      </w:pPr>
      <w:r>
        <w:rPr>
          <w:rStyle w:val="33"/>
          <w:rFonts w:hint="eastAsia" w:ascii="宋体" w:hAnsi="宋体" w:eastAsia="宋体" w:cs="宋体"/>
          <w:b/>
          <w:color w:val="auto"/>
          <w:highlight w:val="none"/>
        </w:rPr>
        <w:t>第十条  不可抗力事件处理</w:t>
      </w:r>
    </w:p>
    <w:p w14:paraId="27EC5BEC">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10.1在合同有效期内，任何一方因不可抗力事件导致不能履行合同，则合同履行期可延长，其延长期与不可抗力影响期相同。</w:t>
      </w:r>
    </w:p>
    <w:p w14:paraId="6DDEE398">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10.2不可抗力事件发生后，应立即通知对方，并寄送有关权威机构出具的证明。</w:t>
      </w:r>
    </w:p>
    <w:p w14:paraId="46017B2C">
      <w:pPr>
        <w:snapToGrid w:val="0"/>
        <w:spacing w:line="400" w:lineRule="exact"/>
        <w:ind w:left="-61" w:firstLine="514"/>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10.3不可抗力事件延续一百二十天以上，双方应通过友好协商，确定是否继续履行合同。</w:t>
      </w:r>
    </w:p>
    <w:p w14:paraId="57CCB6C2">
      <w:pPr>
        <w:snapToGrid w:val="0"/>
        <w:spacing w:line="400" w:lineRule="exact"/>
        <w:ind w:firstLine="422" w:firstLineChars="200"/>
        <w:rPr>
          <w:rStyle w:val="33"/>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第十一条  合同争议解决</w:t>
      </w:r>
    </w:p>
    <w:p w14:paraId="219187B6">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11.1因履行本合同引起的或与本合同有关的争议，甲乙双方应首先通过友好协商解决，如果协商不能解决，由贵港仲裁委员会仲裁。</w:t>
      </w:r>
    </w:p>
    <w:p w14:paraId="0DC53A65">
      <w:pPr>
        <w:snapToGrid w:val="0"/>
        <w:spacing w:line="400" w:lineRule="exact"/>
        <w:ind w:left="-61" w:firstLine="514"/>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11.2 仲裁期间，本合同继续履行。</w:t>
      </w:r>
    </w:p>
    <w:p w14:paraId="343E4437">
      <w:pPr>
        <w:snapToGrid w:val="0"/>
        <w:spacing w:line="400" w:lineRule="exact"/>
        <w:ind w:firstLine="422" w:firstLineChars="20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第十二条　合同的变更、终止与转让</w:t>
      </w:r>
    </w:p>
    <w:p w14:paraId="66993421">
      <w:pPr>
        <w:snapToGrid w:val="0"/>
        <w:spacing w:line="400" w:lineRule="exact"/>
        <w:ind w:firstLine="420" w:firstLineChars="2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12.1除《中华人民共和国政府采购法》第五十条规定的情形外，本合同一经签订，甲乙双方不得擅自变更、中止或终止。</w:t>
      </w:r>
    </w:p>
    <w:p w14:paraId="61640D2C">
      <w:pPr>
        <w:snapToGrid w:val="0"/>
        <w:spacing w:line="400" w:lineRule="exact"/>
        <w:ind w:left="-61" w:firstLine="514"/>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12.2 未经甲方书面同意，乙方不得擅自转让其应履行的合同义务。</w:t>
      </w:r>
    </w:p>
    <w:p w14:paraId="214E5600">
      <w:pPr>
        <w:snapToGrid w:val="0"/>
        <w:spacing w:line="400" w:lineRule="exact"/>
        <w:ind w:firstLine="422" w:firstLineChars="200"/>
        <w:rPr>
          <w:rStyle w:val="33"/>
          <w:rFonts w:hint="eastAsia" w:ascii="宋体" w:hAnsi="宋体" w:eastAsia="宋体" w:cs="宋体"/>
          <w:b/>
          <w:color w:val="auto"/>
          <w:szCs w:val="21"/>
          <w:highlight w:val="none"/>
        </w:rPr>
      </w:pPr>
      <w:r>
        <w:rPr>
          <w:rStyle w:val="33"/>
          <w:rFonts w:hint="eastAsia" w:ascii="宋体" w:hAnsi="宋体" w:eastAsia="宋体" w:cs="宋体"/>
          <w:b/>
          <w:color w:val="auto"/>
          <w:szCs w:val="21"/>
          <w:highlight w:val="none"/>
        </w:rPr>
        <w:t>第十三条　签订本合同依据</w:t>
      </w:r>
    </w:p>
    <w:p w14:paraId="2110AF5B">
      <w:pPr>
        <w:pStyle w:val="48"/>
        <w:snapToGrid w:val="0"/>
        <w:spacing w:line="400" w:lineRule="exact"/>
        <w:ind w:left="420" w:left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13.1磋商采购文件；</w:t>
      </w:r>
    </w:p>
    <w:p w14:paraId="0AE4B579">
      <w:pPr>
        <w:pStyle w:val="48"/>
        <w:snapToGrid w:val="0"/>
        <w:spacing w:line="400" w:lineRule="exact"/>
        <w:ind w:left="420" w:left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13.2乙方提供的响应文件；</w:t>
      </w:r>
    </w:p>
    <w:p w14:paraId="7D6D7367">
      <w:pPr>
        <w:pStyle w:val="48"/>
        <w:snapToGrid w:val="0"/>
        <w:spacing w:line="400" w:lineRule="exact"/>
        <w:ind w:left="420" w:left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13.3成交通知书。</w:t>
      </w:r>
    </w:p>
    <w:p w14:paraId="1F2F631F">
      <w:pPr>
        <w:pStyle w:val="48"/>
        <w:snapToGrid w:val="0"/>
        <w:spacing w:line="400" w:lineRule="exact"/>
        <w:ind w:firstLine="413" w:firstLineChars="196"/>
        <w:rPr>
          <w:rStyle w:val="33"/>
          <w:rFonts w:hint="eastAsia" w:ascii="宋体" w:hAnsi="宋体" w:eastAsia="宋体" w:cs="宋体"/>
          <w:b/>
          <w:color w:val="auto"/>
          <w:highlight w:val="none"/>
        </w:rPr>
      </w:pPr>
      <w:r>
        <w:rPr>
          <w:rStyle w:val="33"/>
          <w:rFonts w:hint="eastAsia" w:ascii="宋体" w:hAnsi="宋体" w:eastAsia="宋体" w:cs="宋体"/>
          <w:b/>
          <w:color w:val="auto"/>
          <w:highlight w:val="none"/>
        </w:rPr>
        <w:t>第十四条  合同生效</w:t>
      </w:r>
      <w:r>
        <w:rPr>
          <w:rStyle w:val="33"/>
          <w:rFonts w:hint="eastAsia" w:hAnsi="宋体" w:cs="宋体"/>
          <w:b/>
          <w:color w:val="auto"/>
          <w:highlight w:val="none"/>
        </w:rPr>
        <w:t>及其他</w:t>
      </w:r>
    </w:p>
    <w:p w14:paraId="537D68DA">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14.1本合同经甲乙双方法定代表人或委托代理人签字并盖章后生效。本合同一式陆份，具有同等法律效力，采购代理机构持壹份，甲方持叁份，乙方持贰份。</w:t>
      </w:r>
    </w:p>
    <w:p w14:paraId="23A81CE5">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14.2合同执行中涉及采购资金和采购内容修改或补充的，须经财政部门审批，并</w:t>
      </w:r>
      <w:r>
        <w:rPr>
          <w:rStyle w:val="33"/>
          <w:rFonts w:hint="eastAsia" w:hAnsi="宋体" w:cs="宋体"/>
          <w:color w:val="auto"/>
          <w:highlight w:val="none"/>
        </w:rPr>
        <w:t>签订</w:t>
      </w:r>
      <w:r>
        <w:rPr>
          <w:rStyle w:val="33"/>
          <w:rFonts w:hint="eastAsia" w:ascii="宋体" w:hAnsi="宋体" w:eastAsia="宋体" w:cs="宋体"/>
          <w:color w:val="auto"/>
          <w:highlight w:val="none"/>
        </w:rPr>
        <w:t>书面补充协议报财政部门备案，方可作为主合同不可分割的一部分。</w:t>
      </w:r>
    </w:p>
    <w:p w14:paraId="3C570531">
      <w:pPr>
        <w:pStyle w:val="48"/>
        <w:snapToGrid w:val="0"/>
        <w:spacing w:line="400" w:lineRule="exact"/>
        <w:ind w:firstLine="420" w:firstLineChars="20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14.3本合同未尽事宜，由甲乙双方友好协商解决。</w:t>
      </w:r>
    </w:p>
    <w:p w14:paraId="602B160F">
      <w:pPr>
        <w:pStyle w:val="48"/>
        <w:snapToGrid w:val="0"/>
        <w:spacing w:line="400" w:lineRule="exact"/>
        <w:ind w:left="420" w:leftChars="200" w:firstLine="420" w:firstLineChars="200"/>
        <w:rPr>
          <w:rStyle w:val="33"/>
          <w:rFonts w:hint="eastAsia" w:ascii="宋体" w:hAnsi="宋体" w:eastAsia="宋体" w:cs="宋体"/>
          <w:color w:val="auto"/>
          <w:highlight w:val="none"/>
        </w:rPr>
      </w:pPr>
    </w:p>
    <w:tbl>
      <w:tblPr>
        <w:tblStyle w:val="22"/>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7DDA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9968605">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甲方（章）           </w:t>
            </w:r>
          </w:p>
          <w:p w14:paraId="71DD718B">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p>
          <w:p w14:paraId="3A4B261C">
            <w:pPr>
              <w:keepNext w:val="0"/>
              <w:keepLines w:val="0"/>
              <w:widowControl/>
              <w:suppressLineNumbers w:val="0"/>
              <w:snapToGrid w:val="0"/>
              <w:spacing w:before="0" w:beforeAutospacing="0" w:after="0" w:afterAutospacing="0" w:line="400" w:lineRule="exact"/>
              <w:ind w:left="0" w:right="0" w:firstLine="945" w:firstLineChars="450"/>
              <w:jc w:val="right"/>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1FEFA16C">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乙方（章）              </w:t>
            </w:r>
          </w:p>
          <w:p w14:paraId="665BEC54">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p>
          <w:p w14:paraId="62BEDBE2">
            <w:pPr>
              <w:keepNext w:val="0"/>
              <w:keepLines w:val="0"/>
              <w:widowControl/>
              <w:suppressLineNumbers w:val="0"/>
              <w:snapToGrid w:val="0"/>
              <w:spacing w:before="0" w:beforeAutospacing="0" w:after="0" w:afterAutospacing="0" w:line="400" w:lineRule="exact"/>
              <w:ind w:left="0" w:right="0"/>
              <w:jc w:val="right"/>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 年   月   日</w:t>
            </w:r>
          </w:p>
        </w:tc>
      </w:tr>
      <w:tr w14:paraId="204E6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2CD686F">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38E164B5">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单位地址：</w:t>
            </w:r>
          </w:p>
        </w:tc>
      </w:tr>
      <w:tr w14:paraId="4DEF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3188B4F2">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6E849C28">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法定代表人（或委托代理人）：</w:t>
            </w:r>
          </w:p>
        </w:tc>
      </w:tr>
      <w:tr w14:paraId="2F28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7C0DC2B3">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095BC614">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电话：</w:t>
            </w:r>
          </w:p>
        </w:tc>
      </w:tr>
      <w:tr w14:paraId="0F4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3B1B1E2">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3CBAEC33">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电子邮箱：</w:t>
            </w:r>
          </w:p>
        </w:tc>
      </w:tr>
      <w:tr w14:paraId="5F5EA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D8C0BA8">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524DAE3E">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开户银行：</w:t>
            </w:r>
          </w:p>
        </w:tc>
      </w:tr>
      <w:tr w14:paraId="3B11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33898EE7">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5AC563E6">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账号：</w:t>
            </w:r>
          </w:p>
        </w:tc>
      </w:tr>
      <w:tr w14:paraId="30C3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EB86AF2">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25878D53">
            <w:pPr>
              <w:keepNext w:val="0"/>
              <w:keepLines w:val="0"/>
              <w:widowControl/>
              <w:suppressLineNumbers w:val="0"/>
              <w:snapToGrid w:val="0"/>
              <w:spacing w:before="0" w:beforeAutospacing="0" w:after="0" w:afterAutospacing="0" w:line="400" w:lineRule="exact"/>
              <w:ind w:left="0" w:right="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邮政编码：</w:t>
            </w:r>
          </w:p>
        </w:tc>
      </w:tr>
    </w:tbl>
    <w:p w14:paraId="4839D3B3">
      <w:pPr>
        <w:pStyle w:val="48"/>
        <w:snapToGrid w:val="0"/>
        <w:rPr>
          <w:rStyle w:val="33"/>
          <w:rFonts w:hint="eastAsia" w:ascii="宋体" w:hAnsi="宋体" w:eastAsia="宋体" w:cs="宋体"/>
          <w:b/>
          <w:color w:val="auto"/>
          <w:highlight w:val="none"/>
        </w:rPr>
        <w:sectPr>
          <w:footerReference r:id="rId8" w:type="first"/>
          <w:headerReference r:id="rId6" w:type="default"/>
          <w:footerReference r:id="rId7" w:type="default"/>
          <w:pgSz w:w="11906" w:h="16838"/>
          <w:pgMar w:top="1134" w:right="1134" w:bottom="1134" w:left="1134" w:header="851" w:footer="567" w:gutter="0"/>
          <w:cols w:space="720" w:num="1"/>
          <w:titlePg/>
          <w:docGrid w:type="lines" w:linePitch="312" w:charSpace="0"/>
        </w:sectPr>
      </w:pPr>
    </w:p>
    <w:p w14:paraId="38B658A7">
      <w:pPr>
        <w:pStyle w:val="48"/>
        <w:snapToGrid w:val="0"/>
        <w:ind w:firstLine="422" w:firstLineChars="200"/>
        <w:rPr>
          <w:rStyle w:val="33"/>
          <w:rFonts w:hint="eastAsia" w:ascii="宋体" w:hAnsi="宋体" w:eastAsia="宋体" w:cs="宋体"/>
          <w:b/>
          <w:color w:val="auto"/>
          <w:highlight w:val="none"/>
        </w:rPr>
      </w:pPr>
      <w:r>
        <w:rPr>
          <w:rStyle w:val="33"/>
          <w:rFonts w:hint="eastAsia" w:ascii="宋体" w:hAnsi="宋体" w:eastAsia="宋体" w:cs="宋体"/>
          <w:b/>
          <w:color w:val="auto"/>
          <w:highlight w:val="none"/>
        </w:rPr>
        <w:t>附件1：</w:t>
      </w:r>
    </w:p>
    <w:p w14:paraId="02D7012C">
      <w:pPr>
        <w:pStyle w:val="48"/>
        <w:snapToGrid w:val="0"/>
        <w:ind w:firstLine="640" w:firstLineChars="200"/>
        <w:jc w:val="center"/>
        <w:rPr>
          <w:rStyle w:val="33"/>
          <w:rFonts w:hint="eastAsia" w:ascii="宋体" w:hAnsi="宋体" w:eastAsia="宋体" w:cs="宋体"/>
          <w:color w:val="auto"/>
          <w:sz w:val="32"/>
          <w:szCs w:val="32"/>
          <w:highlight w:val="none"/>
        </w:rPr>
      </w:pPr>
      <w:r>
        <w:rPr>
          <w:rStyle w:val="33"/>
          <w:rFonts w:hint="eastAsia" w:ascii="宋体" w:hAnsi="宋体" w:eastAsia="宋体" w:cs="宋体"/>
          <w:color w:val="auto"/>
          <w:sz w:val="32"/>
          <w:szCs w:val="32"/>
          <w:highlight w:val="none"/>
        </w:rPr>
        <w:t>广西壮族自治区政府采购项目合同验收书（格式）</w:t>
      </w:r>
    </w:p>
    <w:p w14:paraId="78C98E06">
      <w:pPr>
        <w:shd w:val="clear" w:color="auto" w:fill="FFFFFF"/>
        <w:spacing w:line="480" w:lineRule="atLeast"/>
        <w:jc w:val="center"/>
        <w:rPr>
          <w:rStyle w:val="33"/>
          <w:rFonts w:hint="eastAsia" w:ascii="宋体" w:hAnsi="宋体" w:eastAsia="宋体" w:cs="宋体"/>
          <w:color w:val="auto"/>
          <w:kern w:val="0"/>
          <w:sz w:val="32"/>
          <w:szCs w:val="32"/>
          <w:highlight w:val="none"/>
        </w:rPr>
      </w:pPr>
    </w:p>
    <w:p w14:paraId="297811B0">
      <w:pPr>
        <w:shd w:val="clear" w:color="auto" w:fill="FFFFFF"/>
        <w:snapToGrid w:val="0"/>
        <w:spacing w:line="320" w:lineRule="atLeast"/>
        <w:ind w:firstLine="48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根据政府采购项目（</w:t>
      </w:r>
      <w:r>
        <w:rPr>
          <w:rStyle w:val="33"/>
          <w:rFonts w:hint="eastAsia" w:ascii="宋体" w:hAnsi="宋体" w:eastAsia="宋体" w:cs="宋体"/>
          <w:color w:val="auto"/>
          <w:kern w:val="0"/>
          <w:szCs w:val="21"/>
          <w:highlight w:val="none"/>
          <w:u w:val="single"/>
        </w:rPr>
        <w:t xml:space="preserve">采购合同编号：​ </w:t>
      </w:r>
      <w:r>
        <w:rPr>
          <w:rStyle w:val="33"/>
          <w:rFonts w:hint="eastAsia" w:ascii="宋体" w:hAnsi="宋体" w:eastAsia="宋体" w:cs="宋体"/>
          <w:color w:val="auto"/>
          <w:kern w:val="0"/>
          <w:szCs w:val="21"/>
          <w:highlight w:val="none"/>
        </w:rPr>
        <w:t>）的约定，我单位对（</w:t>
      </w:r>
      <w:r>
        <w:rPr>
          <w:rStyle w:val="33"/>
          <w:rFonts w:hint="eastAsia" w:ascii="宋体" w:hAnsi="宋体" w:eastAsia="宋体" w:cs="宋体"/>
          <w:color w:val="auto"/>
          <w:kern w:val="0"/>
          <w:szCs w:val="21"/>
          <w:highlight w:val="none"/>
          <w:u w:val="single"/>
        </w:rPr>
        <w:t xml:space="preserve"> 项目名称 </w:t>
      </w:r>
      <w:r>
        <w:rPr>
          <w:rStyle w:val="33"/>
          <w:rFonts w:hint="eastAsia" w:ascii="宋体" w:hAnsi="宋体" w:eastAsia="宋体" w:cs="宋体"/>
          <w:color w:val="auto"/>
          <w:kern w:val="0"/>
          <w:szCs w:val="21"/>
          <w:highlight w:val="none"/>
        </w:rPr>
        <w:t>） 政府采购项目中标（或成交）供应商（</w:t>
      </w:r>
      <w:r>
        <w:rPr>
          <w:rStyle w:val="33"/>
          <w:rFonts w:hint="eastAsia" w:ascii="宋体" w:hAnsi="宋体" w:eastAsia="宋体" w:cs="宋体"/>
          <w:color w:val="auto"/>
          <w:kern w:val="0"/>
          <w:szCs w:val="21"/>
          <w:highlight w:val="none"/>
          <w:u w:val="single"/>
        </w:rPr>
        <w:t xml:space="preserve"> 公司名称 </w:t>
      </w:r>
      <w:r>
        <w:rPr>
          <w:rStyle w:val="33"/>
          <w:rFonts w:hint="eastAsia" w:ascii="宋体" w:hAnsi="宋体" w:eastAsia="宋体" w:cs="宋体"/>
          <w:color w:val="auto"/>
          <w:kern w:val="0"/>
          <w:szCs w:val="21"/>
          <w:highlight w:val="none"/>
        </w:rPr>
        <w:t>） 提供的货物（或工程、服务）进行了验收，验收情况如下：</w:t>
      </w:r>
    </w:p>
    <w:tbl>
      <w:tblPr>
        <w:tblStyle w:val="22"/>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52E3F40C">
        <w:tblPrEx>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4A27C337">
            <w:pPr>
              <w:keepNext w:val="0"/>
              <w:keepLines w:val="0"/>
              <w:widowControl/>
              <w:suppressLineNumbers w:val="0"/>
              <w:snapToGrid w:val="0"/>
              <w:spacing w:before="0" w:beforeAutospacing="1" w:after="0" w:afterAutospacing="1" w:line="320" w:lineRule="atLeast"/>
              <w:ind w:left="0" w:right="0" w:firstLine="5"/>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B5892FA">
            <w:pPr>
              <w:keepNext w:val="0"/>
              <w:keepLines w:val="0"/>
              <w:widowControl/>
              <w:suppressLineNumbers w:val="0"/>
              <w:snapToGrid w:val="0"/>
              <w:spacing w:before="0" w:beforeAutospacing="1" w:after="0" w:afterAutospacing="1" w:line="320" w:lineRule="atLeast"/>
              <w:ind w:left="0" w:right="0" w:firstLine="480"/>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□自行验收 □委托验收</w:t>
            </w:r>
          </w:p>
        </w:tc>
      </w:tr>
      <w:tr w14:paraId="512A4E53">
        <w:tblPrEx>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58F281C7">
            <w:pPr>
              <w:keepNext w:val="0"/>
              <w:keepLines w:val="0"/>
              <w:widowControl/>
              <w:suppressLineNumbers w:val="0"/>
              <w:snapToGrid w:val="0"/>
              <w:spacing w:before="0" w:beforeAutospacing="1" w:after="0" w:afterAutospacing="1" w:line="320" w:lineRule="atLeast"/>
              <w:ind w:left="0" w:right="0" w:firstLine="2"/>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8D9D133">
            <w:pPr>
              <w:keepNext w:val="0"/>
              <w:keepLines w:val="0"/>
              <w:widowControl/>
              <w:suppressLineNumbers w:val="0"/>
              <w:snapToGrid w:val="0"/>
              <w:spacing w:before="0" w:beforeAutospacing="1" w:after="0" w:afterAutospacing="1" w:line="320" w:lineRule="atLeast"/>
              <w:ind w:left="0" w:right="0" w:firstLine="2"/>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30A193D">
            <w:pPr>
              <w:keepNext w:val="0"/>
              <w:keepLines w:val="0"/>
              <w:widowControl/>
              <w:suppressLineNumbers w:val="0"/>
              <w:snapToGrid w:val="0"/>
              <w:spacing w:before="0" w:beforeAutospacing="1" w:after="0" w:afterAutospacing="1" w:line="320" w:lineRule="atLeast"/>
              <w:ind w:left="0" w:right="0" w:firstLine="2"/>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6B96BE0A">
            <w:pPr>
              <w:keepNext w:val="0"/>
              <w:keepLines w:val="0"/>
              <w:widowControl/>
              <w:suppressLineNumbers w:val="0"/>
              <w:snapToGrid w:val="0"/>
              <w:spacing w:before="0" w:beforeAutospacing="1" w:after="0" w:afterAutospacing="1" w:line="320" w:lineRule="atLeast"/>
              <w:ind w:left="0" w:right="0"/>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65BE0B1">
            <w:pPr>
              <w:keepNext w:val="0"/>
              <w:keepLines w:val="0"/>
              <w:widowControl/>
              <w:suppressLineNumbers w:val="0"/>
              <w:snapToGrid w:val="0"/>
              <w:spacing w:before="0" w:beforeAutospacing="1" w:after="0" w:afterAutospacing="1" w:line="320" w:lineRule="atLeast"/>
              <w:ind w:left="0" w:right="0" w:firstLine="2"/>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金 额</w:t>
            </w:r>
          </w:p>
        </w:tc>
      </w:tr>
      <w:tr w14:paraId="04725A58">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6690A279">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9457D57">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1BED46E6">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AA6CE7E">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911606C">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15EF4C04">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70E3853">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7C3E572">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6E9B9CFE">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69B5DBCF">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2050EFA">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2A716590">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130AA84">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65925A03">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AE0019D">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2846D6">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4F2823F">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5E1DD696">
        <w:tblPrEx>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4B3C72E7">
            <w:pPr>
              <w:keepNext w:val="0"/>
              <w:keepLines w:val="0"/>
              <w:widowControl/>
              <w:suppressLineNumbers w:val="0"/>
              <w:snapToGrid w:val="0"/>
              <w:spacing w:before="0" w:beforeAutospacing="1" w:after="0" w:afterAutospacing="1" w:line="320" w:lineRule="atLeast"/>
              <w:ind w:left="0" w:right="0" w:firstLine="5"/>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2EB1A68">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C49014F">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5FB3647D">
        <w:tblPrEx>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9CCDE5B">
            <w:pPr>
              <w:keepNext w:val="0"/>
              <w:keepLines w:val="0"/>
              <w:widowControl/>
              <w:suppressLineNumbers w:val="0"/>
              <w:snapToGrid w:val="0"/>
              <w:spacing w:before="0" w:beforeAutospacing="1" w:after="0" w:afterAutospacing="1" w:line="320" w:lineRule="atLeast"/>
              <w:ind w:left="0" w:right="0" w:firstLine="2"/>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合计大写金额： 仟 佰 拾 万 仟 佰 拾 元</w:t>
            </w:r>
          </w:p>
        </w:tc>
      </w:tr>
      <w:tr w14:paraId="40000E6D">
        <w:tblPrEx>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76D50FE4">
            <w:pPr>
              <w:keepNext w:val="0"/>
              <w:keepLines w:val="0"/>
              <w:widowControl/>
              <w:suppressLineNumbers w:val="0"/>
              <w:snapToGrid w:val="0"/>
              <w:spacing w:before="0" w:beforeAutospacing="1" w:after="0" w:afterAutospacing="1" w:line="320" w:lineRule="atLeast"/>
              <w:ind w:left="0" w:right="0" w:firstLine="2"/>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1AF428CC">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F8C8282">
            <w:pPr>
              <w:keepNext w:val="0"/>
              <w:keepLines w:val="0"/>
              <w:widowControl/>
              <w:suppressLineNumbers w:val="0"/>
              <w:snapToGrid w:val="0"/>
              <w:spacing w:before="0" w:beforeAutospacing="1" w:after="0" w:afterAutospacing="1" w:line="320" w:lineRule="atLeast"/>
              <w:ind w:left="0" w:right="0" w:firstLine="46"/>
              <w:jc w:val="center"/>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6D7039E1">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6396B10A">
        <w:tblPrEx>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345A1E1A">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64765712">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293A4A8D">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2EF432AA">
            <w:pPr>
              <w:keepNext w:val="0"/>
              <w:keepLines w:val="0"/>
              <w:widowControl/>
              <w:suppressLineNumbers w:val="0"/>
              <w:spacing w:before="0" w:beforeAutospacing="1" w:after="0" w:afterAutospacing="1" w:line="240" w:lineRule="atLeast"/>
              <w:ind w:left="0" w:right="0"/>
              <w:jc w:val="center"/>
              <w:rPr>
                <w:rStyle w:val="33"/>
                <w:rFonts w:hint="eastAsia" w:ascii="宋体" w:hAnsi="宋体" w:eastAsia="宋体" w:cs="宋体"/>
                <w:color w:val="auto"/>
                <w:kern w:val="0"/>
                <w:szCs w:val="21"/>
                <w:highlight w:val="none"/>
              </w:rPr>
            </w:pPr>
          </w:p>
        </w:tc>
      </w:tr>
      <w:tr w14:paraId="55E004EA">
        <w:tblPrEx>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EC7115A">
            <w:pPr>
              <w:keepNext w:val="0"/>
              <w:keepLines w:val="0"/>
              <w:widowControl/>
              <w:suppressLineNumbers w:val="0"/>
              <w:snapToGrid w:val="0"/>
              <w:spacing w:before="0"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54D67C53">
            <w:pPr>
              <w:keepNext w:val="0"/>
              <w:keepLines w:val="0"/>
              <w:widowControl/>
              <w:suppressLineNumbers w:val="0"/>
              <w:snapToGrid w:val="0"/>
              <w:spacing w:before="0"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402FFCD">
        <w:tblPrEx>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629B71E9">
            <w:pPr>
              <w:keepNext w:val="0"/>
              <w:keepLines w:val="0"/>
              <w:widowControl/>
              <w:suppressLineNumbers w:val="0"/>
              <w:spacing w:before="0"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3DBEBB1E">
            <w:pPr>
              <w:keepNext w:val="0"/>
              <w:keepLines w:val="0"/>
              <w:widowControl/>
              <w:suppressLineNumbers w:val="0"/>
              <w:spacing w:before="0"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验收结论性意见：</w:t>
            </w:r>
          </w:p>
        </w:tc>
      </w:tr>
      <w:tr w14:paraId="227AB5DB">
        <w:tblPrEx>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1070DF60">
            <w:pPr>
              <w:keepNext w:val="0"/>
              <w:keepLines w:val="0"/>
              <w:widowControl/>
              <w:suppressLineNumbers w:val="0"/>
              <w:spacing w:before="0" w:beforeAutospacing="0" w:after="0" w:afterAutospacing="0"/>
              <w:ind w:left="0" w:right="0"/>
              <w:jc w:val="left"/>
              <w:rPr>
                <w:rStyle w:val="33"/>
                <w:rFonts w:hint="eastAsia" w:ascii="宋体" w:hAnsi="宋体" w:eastAsia="宋体" w:cs="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364C8A4A">
            <w:pPr>
              <w:keepNext w:val="0"/>
              <w:keepLines w:val="0"/>
              <w:widowControl/>
              <w:suppressLineNumbers w:val="0"/>
              <w:spacing w:before="0" w:beforeAutospacing="1" w:after="312" w:afterAutospacing="1" w:line="320" w:lineRule="atLeast"/>
              <w:ind w:left="0" w:right="0" w:firstLine="96"/>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有异议的意见和说明理由：</w:t>
            </w:r>
          </w:p>
          <w:p w14:paraId="28960B77">
            <w:pPr>
              <w:keepNext w:val="0"/>
              <w:keepLines w:val="0"/>
              <w:widowControl/>
              <w:suppressLineNumbers w:val="0"/>
              <w:spacing w:before="312"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签字：</w:t>
            </w:r>
          </w:p>
        </w:tc>
      </w:tr>
      <w:tr w14:paraId="397979CE">
        <w:tblPrEx>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75F978D7">
            <w:pPr>
              <w:keepNext w:val="0"/>
              <w:keepLines w:val="0"/>
              <w:widowControl/>
              <w:suppressLineNumbers w:val="0"/>
              <w:spacing w:before="0"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验收小组成员签字：</w:t>
            </w:r>
          </w:p>
        </w:tc>
      </w:tr>
      <w:tr w14:paraId="5A6AEC28">
        <w:tblPrEx>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42DCF5BB">
            <w:pPr>
              <w:keepNext w:val="0"/>
              <w:keepLines w:val="0"/>
              <w:widowControl/>
              <w:suppressLineNumbers w:val="0"/>
              <w:spacing w:before="0" w:beforeAutospacing="1" w:after="312"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监督人员或其他相关人员签字：</w:t>
            </w:r>
          </w:p>
          <w:p w14:paraId="5C1C2CF8">
            <w:pPr>
              <w:keepNext w:val="0"/>
              <w:keepLines w:val="0"/>
              <w:widowControl/>
              <w:suppressLineNumbers w:val="0"/>
              <w:spacing w:before="312" w:beforeAutospacing="1" w:after="0" w:afterAutospacing="1" w:line="320" w:lineRule="atLeast"/>
              <w:ind w:left="0" w:right="0" w:firstLine="74"/>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或受邀机构的意见（盖章）：</w:t>
            </w:r>
          </w:p>
        </w:tc>
      </w:tr>
      <w:tr w14:paraId="100E52E2">
        <w:tblPrEx>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5D948680">
            <w:pPr>
              <w:keepNext w:val="0"/>
              <w:keepLines w:val="0"/>
              <w:widowControl/>
              <w:suppressLineNumbers w:val="0"/>
              <w:spacing w:before="0" w:beforeAutospacing="1" w:after="312" w:afterAutospacing="1" w:line="320" w:lineRule="atLeast"/>
              <w:ind w:left="0" w:right="0" w:firstLine="74"/>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中标或者成交供应商负责人签字或盖章：</w:t>
            </w:r>
          </w:p>
          <w:p w14:paraId="7968FDCE">
            <w:pPr>
              <w:keepNext w:val="0"/>
              <w:keepLines w:val="0"/>
              <w:widowControl/>
              <w:suppressLineNumbers w:val="0"/>
              <w:spacing w:before="312"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2538E33D">
            <w:pPr>
              <w:keepNext w:val="0"/>
              <w:keepLines w:val="0"/>
              <w:widowControl/>
              <w:suppressLineNumbers w:val="0"/>
              <w:spacing w:before="0" w:beforeAutospacing="1" w:after="312"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采购人或受托机构的意见（盖章）：</w:t>
            </w:r>
          </w:p>
          <w:p w14:paraId="6B0DC3F9">
            <w:pPr>
              <w:keepNext w:val="0"/>
              <w:keepLines w:val="0"/>
              <w:widowControl/>
              <w:suppressLineNumbers w:val="0"/>
              <w:spacing w:before="312" w:beforeAutospacing="1" w:after="0" w:afterAutospacing="1" w:line="320" w:lineRule="atLeast"/>
              <w:ind w:left="0" w:right="0"/>
              <w:jc w:val="left"/>
              <w:rPr>
                <w:rStyle w:val="33"/>
                <w:rFonts w:hint="eastAsia" w:ascii="宋体" w:hAnsi="宋体" w:eastAsia="宋体" w:cs="宋体"/>
                <w:color w:val="auto"/>
                <w:kern w:val="0"/>
                <w:szCs w:val="21"/>
                <w:highlight w:val="none"/>
              </w:rPr>
            </w:pPr>
            <w:r>
              <w:rPr>
                <w:rStyle w:val="33"/>
                <w:rFonts w:hint="eastAsia" w:ascii="宋体" w:hAnsi="宋体" w:eastAsia="宋体" w:cs="宋体"/>
                <w:color w:val="auto"/>
                <w:kern w:val="0"/>
                <w:szCs w:val="21"/>
                <w:highlight w:val="none"/>
              </w:rPr>
              <w:t>联系电话： 年 月 日</w:t>
            </w:r>
          </w:p>
        </w:tc>
      </w:tr>
    </w:tbl>
    <w:p w14:paraId="00E2B1B7">
      <w:pPr>
        <w:pStyle w:val="20"/>
        <w:rPr>
          <w:rStyle w:val="33"/>
          <w:rFonts w:hint="eastAsia" w:ascii="宋体" w:hAnsi="宋体" w:eastAsia="宋体" w:cs="宋体"/>
          <w:b/>
          <w:bCs/>
          <w:color w:val="auto"/>
          <w:highlight w:val="none"/>
        </w:rPr>
      </w:pPr>
    </w:p>
    <w:p w14:paraId="04C1D135">
      <w:pPr>
        <w:pStyle w:val="20"/>
        <w:rPr>
          <w:rStyle w:val="33"/>
          <w:rFonts w:hint="eastAsia" w:ascii="宋体" w:hAnsi="宋体" w:eastAsia="宋体" w:cs="宋体"/>
          <w:b/>
          <w:bCs/>
          <w:color w:val="auto"/>
          <w:highlight w:val="none"/>
        </w:rPr>
        <w:sectPr>
          <w:pgSz w:w="11906" w:h="16838"/>
          <w:pgMar w:top="1134" w:right="1134" w:bottom="1134" w:left="1134" w:header="851" w:footer="567" w:gutter="0"/>
          <w:cols w:space="720" w:num="1"/>
          <w:titlePg/>
          <w:docGrid w:type="lines" w:linePitch="312" w:charSpace="0"/>
        </w:sectPr>
      </w:pPr>
    </w:p>
    <w:p w14:paraId="100BC722">
      <w:pPr>
        <w:pStyle w:val="20"/>
        <w:outlineLvl w:val="0"/>
        <w:rPr>
          <w:rStyle w:val="33"/>
          <w:rFonts w:hint="eastAsia" w:ascii="宋体" w:hAnsi="宋体" w:eastAsia="宋体" w:cs="宋体"/>
          <w:b/>
          <w:bCs/>
          <w:color w:val="auto"/>
          <w:highlight w:val="none"/>
        </w:rPr>
      </w:pPr>
      <w:bookmarkStart w:id="28" w:name="_Toc6265"/>
      <w:r>
        <w:rPr>
          <w:rStyle w:val="33"/>
          <w:rFonts w:hint="eastAsia" w:ascii="宋体" w:hAnsi="宋体" w:eastAsia="宋体" w:cs="宋体"/>
          <w:b/>
          <w:bCs/>
          <w:color w:val="auto"/>
          <w:highlight w:val="none"/>
        </w:rPr>
        <w:t>第五章  评标办法及评审标准</w:t>
      </w:r>
      <w:bookmarkEnd w:id="28"/>
    </w:p>
    <w:p w14:paraId="0AF18CA4">
      <w:pPr>
        <w:spacing w:line="440" w:lineRule="exact"/>
        <w:outlineLvl w:val="0"/>
        <w:rPr>
          <w:rStyle w:val="33"/>
          <w:rFonts w:hint="eastAsia" w:ascii="宋体" w:hAnsi="宋体" w:eastAsia="宋体" w:cs="宋体"/>
          <w:b/>
          <w:bCs/>
          <w:color w:val="auto"/>
          <w:szCs w:val="21"/>
          <w:highlight w:val="none"/>
        </w:rPr>
      </w:pPr>
      <w:bookmarkStart w:id="29" w:name="_Toc17534"/>
      <w:r>
        <w:rPr>
          <w:rStyle w:val="33"/>
          <w:rFonts w:hint="eastAsia" w:ascii="宋体" w:hAnsi="宋体" w:eastAsia="宋体" w:cs="宋体"/>
          <w:b/>
          <w:bCs/>
          <w:color w:val="auto"/>
          <w:szCs w:val="21"/>
          <w:highlight w:val="none"/>
        </w:rPr>
        <w:t>一、评审原则</w:t>
      </w:r>
      <w:bookmarkEnd w:id="29"/>
      <w:r>
        <w:rPr>
          <w:rStyle w:val="33"/>
          <w:rFonts w:hint="eastAsia" w:ascii="宋体" w:hAnsi="宋体" w:eastAsia="宋体" w:cs="宋体"/>
          <w:b/>
          <w:bCs/>
          <w:color w:val="auto"/>
          <w:szCs w:val="21"/>
          <w:highlight w:val="none"/>
        </w:rPr>
        <w:t xml:space="preserve">  </w:t>
      </w:r>
    </w:p>
    <w:p w14:paraId="16AB4C58">
      <w:pPr>
        <w:spacing w:line="440" w:lineRule="exact"/>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（一） 磋商小组成员组成：磋商小组由采购人代表和评审专家共3人以上单数组成，其中评审专家人数不得少于磋商小组成员总数的2/3。</w:t>
      </w:r>
    </w:p>
    <w:p w14:paraId="5666DA6E">
      <w:pPr>
        <w:spacing w:line="440" w:lineRule="exact"/>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（二） 评审依据：磋商小组以竞争性磋商文件和竞争性磋商响应文件为依据，对磋商供应商的商务资格文件和技术文件内容按百分制打分。  </w:t>
      </w:r>
    </w:p>
    <w:p w14:paraId="437EA2DA">
      <w:pPr>
        <w:spacing w:line="440" w:lineRule="exact"/>
        <w:rPr>
          <w:rStyle w:val="33"/>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（三）评审方式：以封闭方式进行。</w:t>
      </w:r>
    </w:p>
    <w:p w14:paraId="4F4CCFF8">
      <w:pPr>
        <w:spacing w:before="180" w:line="219" w:lineRule="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（四）本项目为专门面向中小企业，不再对磋商报价进行政策性扣除。</w:t>
      </w:r>
    </w:p>
    <w:p w14:paraId="2C4677AD">
      <w:pPr>
        <w:spacing w:before="183" w:line="221" w:lineRule="auto"/>
        <w:outlineLvl w:val="0"/>
        <w:rPr>
          <w:rFonts w:ascii="宋体" w:hAnsi="宋体" w:eastAsia="宋体" w:cs="宋体"/>
          <w:b/>
          <w:bCs/>
          <w:color w:val="auto"/>
          <w:sz w:val="22"/>
          <w:szCs w:val="22"/>
          <w:highlight w:val="none"/>
        </w:rPr>
      </w:pPr>
      <w:bookmarkStart w:id="30" w:name="_Toc27653"/>
      <w:r>
        <w:rPr>
          <w:rFonts w:ascii="宋体" w:hAnsi="宋体" w:eastAsia="宋体" w:cs="宋体"/>
          <w:b/>
          <w:bCs/>
          <w:color w:val="auto"/>
          <w:spacing w:val="-2"/>
          <w:sz w:val="22"/>
          <w:szCs w:val="22"/>
          <w:highlight w:val="none"/>
        </w:rPr>
        <w:t>二、评定方法：综合评分法。</w:t>
      </w:r>
      <w:bookmarkEnd w:id="30"/>
    </w:p>
    <w:p w14:paraId="3351E7A8">
      <w:pPr>
        <w:spacing w:before="181" w:line="220" w:lineRule="auto"/>
        <w:outlineLvl w:val="0"/>
        <w:rPr>
          <w:rFonts w:ascii="宋体" w:hAnsi="宋体" w:eastAsia="宋体" w:cs="宋体"/>
          <w:color w:val="auto"/>
          <w:sz w:val="22"/>
          <w:szCs w:val="22"/>
          <w:highlight w:val="none"/>
        </w:rPr>
      </w:pPr>
      <w:bookmarkStart w:id="31" w:name="_Toc3096"/>
      <w:r>
        <w:rPr>
          <w:rFonts w:ascii="宋体" w:hAnsi="宋体" w:eastAsia="宋体" w:cs="宋体"/>
          <w:b/>
          <w:bCs/>
          <w:color w:val="auto"/>
          <w:spacing w:val="-3"/>
          <w:sz w:val="22"/>
          <w:szCs w:val="22"/>
          <w:highlight w:val="none"/>
        </w:rPr>
        <w:t>三、计分办法（按四舍五入取至百分位</w:t>
      </w:r>
      <w:r>
        <w:rPr>
          <w:rFonts w:ascii="宋体" w:hAnsi="宋体" w:eastAsia="宋体" w:cs="宋体"/>
          <w:b/>
          <w:bCs/>
          <w:color w:val="auto"/>
          <w:spacing w:val="3"/>
          <w:sz w:val="22"/>
          <w:szCs w:val="22"/>
          <w:highlight w:val="none"/>
        </w:rPr>
        <w:t>）：</w:t>
      </w:r>
      <w:bookmarkEnd w:id="31"/>
    </w:p>
    <w:tbl>
      <w:tblPr>
        <w:tblStyle w:val="111"/>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417"/>
        <w:gridCol w:w="1286"/>
        <w:gridCol w:w="6243"/>
      </w:tblGrid>
      <w:tr w14:paraId="0186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83" w:type="dxa"/>
            <w:gridSpan w:val="2"/>
            <w:vAlign w:val="top"/>
          </w:tcPr>
          <w:p w14:paraId="6119B529">
            <w:pPr>
              <w:pStyle w:val="110"/>
              <w:keepNext w:val="0"/>
              <w:keepLines w:val="0"/>
              <w:pageBreakBefore w:val="0"/>
              <w:widowControl w:val="0"/>
              <w:kinsoku/>
              <w:wordWrap/>
              <w:overflowPunct/>
              <w:topLinePunct w:val="0"/>
              <w:bidi w:val="0"/>
              <w:adjustRightInd/>
              <w:snapToGrid/>
              <w:spacing w:before="151" w:line="360" w:lineRule="exact"/>
              <w:ind w:left="786"/>
              <w:textAlignment w:val="auto"/>
              <w:rPr>
                <w:color w:val="auto"/>
                <w:sz w:val="20"/>
                <w:szCs w:val="20"/>
              </w:rPr>
            </w:pPr>
            <w:bookmarkStart w:id="32" w:name="_Toc5759"/>
            <w:r>
              <w:rPr>
                <w:b/>
                <w:bCs/>
                <w:color w:val="auto"/>
                <w:spacing w:val="4"/>
                <w:sz w:val="20"/>
                <w:szCs w:val="20"/>
              </w:rPr>
              <w:t>序号</w:t>
            </w:r>
          </w:p>
        </w:tc>
        <w:tc>
          <w:tcPr>
            <w:tcW w:w="1286" w:type="dxa"/>
            <w:vAlign w:val="top"/>
          </w:tcPr>
          <w:p w14:paraId="3847DD26">
            <w:pPr>
              <w:pStyle w:val="110"/>
              <w:keepNext w:val="0"/>
              <w:keepLines w:val="0"/>
              <w:pageBreakBefore w:val="0"/>
              <w:widowControl w:val="0"/>
              <w:kinsoku/>
              <w:wordWrap/>
              <w:overflowPunct/>
              <w:topLinePunct w:val="0"/>
              <w:bidi w:val="0"/>
              <w:adjustRightInd/>
              <w:snapToGrid/>
              <w:spacing w:before="150" w:line="360" w:lineRule="exact"/>
              <w:ind w:left="226"/>
              <w:textAlignment w:val="auto"/>
              <w:rPr>
                <w:color w:val="auto"/>
                <w:sz w:val="20"/>
                <w:szCs w:val="20"/>
              </w:rPr>
            </w:pPr>
            <w:r>
              <w:rPr>
                <w:b/>
                <w:bCs/>
                <w:color w:val="auto"/>
                <w:spacing w:val="6"/>
                <w:sz w:val="20"/>
                <w:szCs w:val="20"/>
              </w:rPr>
              <w:t>评分因素</w:t>
            </w:r>
          </w:p>
        </w:tc>
        <w:tc>
          <w:tcPr>
            <w:tcW w:w="6243" w:type="dxa"/>
            <w:vAlign w:val="top"/>
          </w:tcPr>
          <w:p w14:paraId="6B378E4E">
            <w:pPr>
              <w:pStyle w:val="110"/>
              <w:keepNext w:val="0"/>
              <w:keepLines w:val="0"/>
              <w:pageBreakBefore w:val="0"/>
              <w:widowControl w:val="0"/>
              <w:kinsoku/>
              <w:wordWrap/>
              <w:overflowPunct/>
              <w:topLinePunct w:val="0"/>
              <w:bidi w:val="0"/>
              <w:adjustRightInd/>
              <w:snapToGrid/>
              <w:spacing w:before="151" w:line="360" w:lineRule="exact"/>
              <w:ind w:left="2703"/>
              <w:textAlignment w:val="auto"/>
              <w:rPr>
                <w:color w:val="auto"/>
                <w:sz w:val="20"/>
                <w:szCs w:val="20"/>
              </w:rPr>
            </w:pPr>
            <w:r>
              <w:rPr>
                <w:b/>
                <w:bCs/>
                <w:color w:val="auto"/>
                <w:spacing w:val="6"/>
                <w:sz w:val="20"/>
                <w:szCs w:val="20"/>
              </w:rPr>
              <w:t>评分标准</w:t>
            </w:r>
          </w:p>
        </w:tc>
      </w:tr>
      <w:tr w14:paraId="3AC9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566" w:type="dxa"/>
            <w:tcBorders>
              <w:bottom w:val="single" w:color="auto" w:sz="4" w:space="0"/>
            </w:tcBorders>
            <w:vAlign w:val="top"/>
          </w:tcPr>
          <w:p w14:paraId="1AA486A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517CD6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CE46B05">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60BE74E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84E7E0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3C5BEE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C667A41">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A491BAA">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64C692CA">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090507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65F96A4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CBAB2FC">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4E4E600">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24B53AA">
            <w:pPr>
              <w:pStyle w:val="110"/>
              <w:keepNext w:val="0"/>
              <w:keepLines w:val="0"/>
              <w:pageBreakBefore w:val="0"/>
              <w:widowControl w:val="0"/>
              <w:kinsoku/>
              <w:wordWrap/>
              <w:overflowPunct/>
              <w:topLinePunct w:val="0"/>
              <w:bidi w:val="0"/>
              <w:adjustRightInd/>
              <w:snapToGrid/>
              <w:spacing w:before="71" w:line="360" w:lineRule="exact"/>
              <w:ind w:left="249"/>
              <w:textAlignment w:val="auto"/>
              <w:rPr>
                <w:color w:val="auto"/>
                <w:sz w:val="22"/>
                <w:szCs w:val="22"/>
              </w:rPr>
            </w:pPr>
            <w:r>
              <w:rPr>
                <w:b/>
                <w:bCs/>
                <w:color w:val="auto"/>
                <w:spacing w:val="-3"/>
                <w:sz w:val="22"/>
                <w:szCs w:val="22"/>
              </w:rPr>
              <w:t>1</w:t>
            </w:r>
          </w:p>
        </w:tc>
        <w:tc>
          <w:tcPr>
            <w:tcW w:w="1417" w:type="dxa"/>
            <w:tcBorders>
              <w:bottom w:val="single" w:color="auto" w:sz="4" w:space="0"/>
            </w:tcBorders>
            <w:vAlign w:val="top"/>
          </w:tcPr>
          <w:p w14:paraId="65ADF30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7CA9C9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0645C4A">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084D645">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35FFA47C">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9D2E72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C21BFE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D4DA2A4">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AD096A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132E2F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66964B2">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12C8598">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A488E10">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5E0731F">
            <w:pPr>
              <w:pStyle w:val="110"/>
              <w:keepNext w:val="0"/>
              <w:keepLines w:val="0"/>
              <w:pageBreakBefore w:val="0"/>
              <w:widowControl w:val="0"/>
              <w:kinsoku/>
              <w:wordWrap/>
              <w:overflowPunct/>
              <w:topLinePunct w:val="0"/>
              <w:bidi w:val="0"/>
              <w:adjustRightInd/>
              <w:snapToGrid/>
              <w:spacing w:before="72" w:line="360" w:lineRule="exact"/>
              <w:ind w:left="383"/>
              <w:textAlignment w:val="auto"/>
              <w:rPr>
                <w:color w:val="auto"/>
                <w:sz w:val="22"/>
                <w:szCs w:val="22"/>
              </w:rPr>
            </w:pPr>
            <w:r>
              <w:rPr>
                <w:b/>
                <w:bCs/>
                <w:color w:val="auto"/>
                <w:spacing w:val="-5"/>
                <w:sz w:val="22"/>
                <w:szCs w:val="22"/>
              </w:rPr>
              <w:t>价格分</w:t>
            </w:r>
          </w:p>
        </w:tc>
        <w:tc>
          <w:tcPr>
            <w:tcW w:w="1286" w:type="dxa"/>
            <w:vAlign w:val="top"/>
          </w:tcPr>
          <w:p w14:paraId="00D46BF8">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764271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D16095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EBC45E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5AE04F5">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4B10F4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6B8AB382">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EE870B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1113155C">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2CCD89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E79F79F">
            <w:pPr>
              <w:pStyle w:val="110"/>
              <w:keepNext w:val="0"/>
              <w:keepLines w:val="0"/>
              <w:pageBreakBefore w:val="0"/>
              <w:widowControl w:val="0"/>
              <w:kinsoku/>
              <w:wordWrap/>
              <w:overflowPunct/>
              <w:topLinePunct w:val="0"/>
              <w:bidi w:val="0"/>
              <w:adjustRightInd/>
              <w:snapToGrid/>
              <w:spacing w:before="71" w:line="360" w:lineRule="exact"/>
              <w:ind w:left="112" w:right="106" w:hanging="1"/>
              <w:jc w:val="both"/>
              <w:textAlignment w:val="auto"/>
              <w:rPr>
                <w:color w:val="auto"/>
                <w:sz w:val="22"/>
                <w:szCs w:val="22"/>
              </w:rPr>
            </w:pPr>
            <w:r>
              <w:rPr>
                <w:b/>
                <w:bCs/>
                <w:color w:val="auto"/>
                <w:spacing w:val="43"/>
                <w:sz w:val="22"/>
                <w:szCs w:val="22"/>
              </w:rPr>
              <w:t>磋商报价</w:t>
            </w:r>
            <w:r>
              <w:rPr>
                <w:color w:val="auto"/>
                <w:sz w:val="22"/>
                <w:szCs w:val="22"/>
              </w:rPr>
              <w:t xml:space="preserve"> </w:t>
            </w:r>
            <w:r>
              <w:rPr>
                <w:b/>
                <w:bCs/>
                <w:color w:val="auto"/>
                <w:spacing w:val="11"/>
                <w:sz w:val="22"/>
                <w:szCs w:val="22"/>
              </w:rPr>
              <w:t>得分(满分</w:t>
            </w:r>
            <w:r>
              <w:rPr>
                <w:color w:val="auto"/>
                <w:spacing w:val="3"/>
                <w:sz w:val="22"/>
                <w:szCs w:val="22"/>
              </w:rPr>
              <w:t xml:space="preserve"> </w:t>
            </w:r>
            <w:r>
              <w:rPr>
                <w:b/>
                <w:bCs/>
                <w:color w:val="auto"/>
                <w:spacing w:val="-7"/>
                <w:sz w:val="22"/>
                <w:szCs w:val="22"/>
              </w:rPr>
              <w:t>10</w:t>
            </w:r>
            <w:r>
              <w:rPr>
                <w:color w:val="auto"/>
                <w:spacing w:val="-45"/>
                <w:sz w:val="22"/>
                <w:szCs w:val="22"/>
              </w:rPr>
              <w:t xml:space="preserve"> </w:t>
            </w:r>
            <w:r>
              <w:rPr>
                <w:b/>
                <w:bCs/>
                <w:color w:val="auto"/>
                <w:spacing w:val="-7"/>
                <w:sz w:val="22"/>
                <w:szCs w:val="22"/>
              </w:rPr>
              <w:t>分）</w:t>
            </w:r>
          </w:p>
        </w:tc>
        <w:tc>
          <w:tcPr>
            <w:tcW w:w="6243" w:type="dxa"/>
            <w:vAlign w:val="top"/>
          </w:tcPr>
          <w:p w14:paraId="6126F19D">
            <w:pPr>
              <w:pStyle w:val="110"/>
              <w:keepNext w:val="0"/>
              <w:keepLines w:val="0"/>
              <w:pageBreakBefore w:val="0"/>
              <w:widowControl w:val="0"/>
              <w:kinsoku/>
              <w:wordWrap/>
              <w:overflowPunct/>
              <w:topLinePunct w:val="0"/>
              <w:bidi w:val="0"/>
              <w:adjustRightInd/>
              <w:snapToGrid/>
              <w:spacing w:before="125" w:line="360" w:lineRule="exact"/>
              <w:ind w:left="118"/>
              <w:textAlignment w:val="auto"/>
              <w:rPr>
                <w:color w:val="auto"/>
                <w:sz w:val="22"/>
                <w:szCs w:val="22"/>
              </w:rPr>
            </w:pPr>
            <w:r>
              <w:rPr>
                <w:b/>
                <w:bCs/>
                <w:color w:val="auto"/>
                <w:spacing w:val="-3"/>
                <w:sz w:val="22"/>
                <w:szCs w:val="22"/>
              </w:rPr>
              <w:t>一、政府采购政策扣除</w:t>
            </w:r>
          </w:p>
          <w:p w14:paraId="4D078741">
            <w:pPr>
              <w:pStyle w:val="110"/>
              <w:keepNext w:val="0"/>
              <w:keepLines w:val="0"/>
              <w:pageBreakBefore w:val="0"/>
              <w:widowControl w:val="0"/>
              <w:kinsoku/>
              <w:wordWrap/>
              <w:overflowPunct/>
              <w:topLinePunct w:val="0"/>
              <w:bidi w:val="0"/>
              <w:adjustRightInd/>
              <w:snapToGrid/>
              <w:spacing w:before="206" w:line="360" w:lineRule="exact"/>
              <w:ind w:left="139" w:right="109" w:firstLine="396"/>
              <w:textAlignment w:val="auto"/>
              <w:rPr>
                <w:b/>
                <w:bCs/>
                <w:color w:val="auto"/>
                <w:spacing w:val="-13"/>
                <w:sz w:val="22"/>
                <w:szCs w:val="22"/>
              </w:rPr>
            </w:pPr>
            <w:r>
              <w:rPr>
                <w:b/>
                <w:bCs/>
                <w:color w:val="auto"/>
                <w:spacing w:val="1"/>
                <w:sz w:val="22"/>
                <w:szCs w:val="22"/>
              </w:rPr>
              <w:t>本项目属于专门面向中小企业采购项目，不载明价格扣除</w:t>
            </w:r>
            <w:r>
              <w:rPr>
                <w:color w:val="auto"/>
                <w:spacing w:val="8"/>
                <w:sz w:val="22"/>
                <w:szCs w:val="22"/>
              </w:rPr>
              <w:t xml:space="preserve"> </w:t>
            </w:r>
            <w:r>
              <w:rPr>
                <w:b/>
                <w:bCs/>
                <w:color w:val="auto"/>
                <w:spacing w:val="-13"/>
                <w:sz w:val="22"/>
                <w:szCs w:val="22"/>
              </w:rPr>
              <w:t>比例。</w:t>
            </w:r>
          </w:p>
          <w:p w14:paraId="21CB8712">
            <w:pPr>
              <w:pStyle w:val="110"/>
              <w:keepNext w:val="0"/>
              <w:keepLines w:val="0"/>
              <w:pageBreakBefore w:val="0"/>
              <w:widowControl w:val="0"/>
              <w:kinsoku/>
              <w:wordWrap/>
              <w:overflowPunct/>
              <w:topLinePunct w:val="0"/>
              <w:bidi w:val="0"/>
              <w:adjustRightInd/>
              <w:snapToGrid/>
              <w:spacing w:before="29" w:line="360" w:lineRule="exact"/>
              <w:ind w:left="118"/>
              <w:textAlignment w:val="auto"/>
              <w:rPr>
                <w:color w:val="auto"/>
                <w:sz w:val="22"/>
                <w:szCs w:val="22"/>
              </w:rPr>
            </w:pPr>
            <w:r>
              <w:rPr>
                <w:b/>
                <w:bCs/>
                <w:color w:val="auto"/>
                <w:spacing w:val="-3"/>
                <w:sz w:val="22"/>
                <w:szCs w:val="22"/>
              </w:rPr>
              <w:t>二、报价分（满分10分）</w:t>
            </w:r>
          </w:p>
          <w:p w14:paraId="6B64248E">
            <w:pPr>
              <w:pStyle w:val="110"/>
              <w:keepNext w:val="0"/>
              <w:keepLines w:val="0"/>
              <w:pageBreakBefore w:val="0"/>
              <w:widowControl w:val="0"/>
              <w:kinsoku/>
              <w:wordWrap/>
              <w:overflowPunct/>
              <w:topLinePunct w:val="0"/>
              <w:bidi w:val="0"/>
              <w:adjustRightInd/>
              <w:snapToGrid/>
              <w:spacing w:before="208" w:line="360" w:lineRule="exact"/>
              <w:ind w:left="113" w:right="104" w:firstLine="438"/>
              <w:textAlignment w:val="auto"/>
              <w:rPr>
                <w:color w:val="auto"/>
                <w:sz w:val="22"/>
                <w:szCs w:val="22"/>
              </w:rPr>
            </w:pPr>
            <w:r>
              <w:rPr>
                <w:color w:val="auto"/>
                <w:spacing w:val="-1"/>
                <w:sz w:val="22"/>
                <w:szCs w:val="22"/>
              </w:rPr>
              <w:t>1、报价分采用低价优先法计算，满足磋商文件要</w:t>
            </w:r>
            <w:r>
              <w:rPr>
                <w:color w:val="auto"/>
                <w:spacing w:val="-2"/>
                <w:sz w:val="22"/>
                <w:szCs w:val="22"/>
              </w:rPr>
              <w:t>求且最终</w:t>
            </w:r>
            <w:r>
              <w:rPr>
                <w:color w:val="auto"/>
                <w:sz w:val="22"/>
                <w:szCs w:val="22"/>
              </w:rPr>
              <w:t xml:space="preserve"> </w:t>
            </w:r>
            <w:r>
              <w:rPr>
                <w:color w:val="auto"/>
                <w:spacing w:val="3"/>
                <w:sz w:val="22"/>
                <w:szCs w:val="22"/>
              </w:rPr>
              <w:t>报价最低的有效供应商的最终报价为评标基准价，其报</w:t>
            </w:r>
            <w:r>
              <w:rPr>
                <w:color w:val="auto"/>
                <w:spacing w:val="2"/>
                <w:sz w:val="22"/>
                <w:szCs w:val="22"/>
              </w:rPr>
              <w:t>价分为</w:t>
            </w:r>
            <w:r>
              <w:rPr>
                <w:color w:val="auto"/>
                <w:spacing w:val="-2"/>
                <w:sz w:val="22"/>
                <w:szCs w:val="22"/>
              </w:rPr>
              <w:t>满分。</w:t>
            </w:r>
          </w:p>
          <w:p w14:paraId="54C28ED2">
            <w:pPr>
              <w:pStyle w:val="110"/>
              <w:keepNext w:val="0"/>
              <w:keepLines w:val="0"/>
              <w:pageBreakBefore w:val="0"/>
              <w:widowControl w:val="0"/>
              <w:kinsoku/>
              <w:wordWrap/>
              <w:overflowPunct/>
              <w:topLinePunct w:val="0"/>
              <w:bidi w:val="0"/>
              <w:adjustRightInd/>
              <w:snapToGrid/>
              <w:spacing w:before="205" w:line="360" w:lineRule="exact"/>
              <w:ind w:left="557"/>
              <w:textAlignment w:val="auto"/>
              <w:rPr>
                <w:color w:val="auto"/>
                <w:sz w:val="22"/>
                <w:szCs w:val="22"/>
              </w:rPr>
            </w:pPr>
            <w:r>
              <w:rPr>
                <w:color w:val="auto"/>
                <w:spacing w:val="-1"/>
                <w:sz w:val="22"/>
                <w:szCs w:val="22"/>
              </w:rPr>
              <w:t>2、其他供应商的价格分统一按照下列公式计算：</w:t>
            </w:r>
          </w:p>
          <w:p w14:paraId="5D7DC419">
            <w:pPr>
              <w:pStyle w:val="110"/>
              <w:keepNext w:val="0"/>
              <w:keepLines w:val="0"/>
              <w:pageBreakBefore w:val="0"/>
              <w:widowControl w:val="0"/>
              <w:kinsoku/>
              <w:wordWrap/>
              <w:overflowPunct/>
              <w:topLinePunct w:val="0"/>
              <w:bidi w:val="0"/>
              <w:adjustRightInd/>
              <w:snapToGrid/>
              <w:spacing w:before="206" w:line="360" w:lineRule="exact"/>
              <w:ind w:left="116" w:right="107" w:firstLine="241"/>
              <w:textAlignment w:val="auto"/>
              <w:rPr>
                <w:color w:val="auto"/>
                <w:sz w:val="22"/>
                <w:szCs w:val="22"/>
              </w:rPr>
            </w:pPr>
            <w:r>
              <w:rPr>
                <w:color w:val="auto"/>
                <w:spacing w:val="-2"/>
                <w:sz w:val="22"/>
                <w:szCs w:val="22"/>
              </w:rPr>
              <w:t>某有效供应商的报价分=（评标基准价／某有效供应</w:t>
            </w:r>
            <w:r>
              <w:rPr>
                <w:color w:val="auto"/>
                <w:spacing w:val="-3"/>
                <w:sz w:val="22"/>
                <w:szCs w:val="22"/>
              </w:rPr>
              <w:t>商最终报</w:t>
            </w:r>
            <w:r>
              <w:rPr>
                <w:color w:val="auto"/>
                <w:sz w:val="22"/>
                <w:szCs w:val="22"/>
              </w:rPr>
              <w:t xml:space="preserve"> </w:t>
            </w:r>
            <w:r>
              <w:rPr>
                <w:color w:val="auto"/>
                <w:spacing w:val="-13"/>
                <w:sz w:val="22"/>
                <w:szCs w:val="22"/>
              </w:rPr>
              <w:t>价）</w:t>
            </w:r>
            <w:r>
              <w:rPr>
                <w:color w:val="auto"/>
                <w:spacing w:val="-69"/>
                <w:sz w:val="22"/>
                <w:szCs w:val="22"/>
              </w:rPr>
              <w:t xml:space="preserve"> </w:t>
            </w:r>
            <w:r>
              <w:rPr>
                <w:color w:val="auto"/>
                <w:spacing w:val="-13"/>
                <w:sz w:val="22"/>
                <w:szCs w:val="22"/>
              </w:rPr>
              <w:t>×</w:t>
            </w:r>
            <w:r>
              <w:rPr>
                <w:color w:val="auto"/>
                <w:spacing w:val="-86"/>
                <w:sz w:val="22"/>
                <w:szCs w:val="22"/>
              </w:rPr>
              <w:t xml:space="preserve"> </w:t>
            </w:r>
            <w:r>
              <w:rPr>
                <w:color w:val="auto"/>
                <w:spacing w:val="-13"/>
                <w:sz w:val="22"/>
                <w:szCs w:val="22"/>
              </w:rPr>
              <w:t>10</w:t>
            </w:r>
            <w:r>
              <w:rPr>
                <w:color w:val="auto"/>
                <w:spacing w:val="12"/>
                <w:sz w:val="22"/>
                <w:szCs w:val="22"/>
              </w:rPr>
              <w:t xml:space="preserve"> </w:t>
            </w:r>
            <w:r>
              <w:rPr>
                <w:color w:val="auto"/>
                <w:spacing w:val="-13"/>
                <w:sz w:val="22"/>
                <w:szCs w:val="22"/>
              </w:rPr>
              <w:t>分</w:t>
            </w:r>
          </w:p>
          <w:p w14:paraId="7E380CC5">
            <w:pPr>
              <w:pStyle w:val="110"/>
              <w:keepNext w:val="0"/>
              <w:keepLines w:val="0"/>
              <w:pageBreakBefore w:val="0"/>
              <w:widowControl w:val="0"/>
              <w:kinsoku/>
              <w:wordWrap/>
              <w:overflowPunct/>
              <w:topLinePunct w:val="0"/>
              <w:bidi w:val="0"/>
              <w:adjustRightInd/>
              <w:snapToGrid/>
              <w:spacing w:before="35" w:line="360" w:lineRule="exact"/>
              <w:ind w:left="115" w:right="46" w:firstLine="245"/>
              <w:jc w:val="both"/>
              <w:textAlignment w:val="auto"/>
              <w:rPr>
                <w:color w:val="auto"/>
                <w:spacing w:val="2"/>
                <w:sz w:val="22"/>
                <w:szCs w:val="22"/>
              </w:rPr>
            </w:pPr>
          </w:p>
          <w:p w14:paraId="1A646E05">
            <w:pPr>
              <w:pStyle w:val="110"/>
              <w:keepNext w:val="0"/>
              <w:keepLines w:val="0"/>
              <w:pageBreakBefore w:val="0"/>
              <w:widowControl w:val="0"/>
              <w:kinsoku/>
              <w:wordWrap/>
              <w:overflowPunct/>
              <w:topLinePunct w:val="0"/>
              <w:bidi w:val="0"/>
              <w:adjustRightInd/>
              <w:snapToGrid/>
              <w:spacing w:before="35" w:line="360" w:lineRule="exact"/>
              <w:ind w:left="115" w:right="46" w:firstLine="245"/>
              <w:jc w:val="both"/>
              <w:textAlignment w:val="auto"/>
              <w:rPr>
                <w:color w:val="auto"/>
                <w:spacing w:val="-1"/>
                <w:sz w:val="22"/>
                <w:szCs w:val="22"/>
              </w:rPr>
            </w:pPr>
            <w:r>
              <w:rPr>
                <w:color w:val="auto"/>
                <w:spacing w:val="2"/>
                <w:sz w:val="22"/>
                <w:szCs w:val="22"/>
              </w:rPr>
              <w:t>备注: 磋商小组认为供应商的报价明显低于其他</w:t>
            </w:r>
            <w:r>
              <w:rPr>
                <w:color w:val="auto"/>
                <w:spacing w:val="1"/>
                <w:sz w:val="22"/>
                <w:szCs w:val="22"/>
              </w:rPr>
              <w:t>通过符合性</w:t>
            </w:r>
            <w:r>
              <w:rPr>
                <w:color w:val="auto"/>
                <w:sz w:val="22"/>
                <w:szCs w:val="22"/>
              </w:rPr>
              <w:t xml:space="preserve"> </w:t>
            </w:r>
            <w:r>
              <w:rPr>
                <w:color w:val="auto"/>
                <w:spacing w:val="-3"/>
                <w:sz w:val="22"/>
                <w:szCs w:val="22"/>
              </w:rPr>
              <w:t>审查供应商的报价，有可能影响产品质量或者不能诚信履约的，</w:t>
            </w:r>
            <w:r>
              <w:rPr>
                <w:color w:val="auto"/>
                <w:sz w:val="22"/>
                <w:szCs w:val="22"/>
              </w:rPr>
              <w:t xml:space="preserve"> </w:t>
            </w:r>
            <w:r>
              <w:rPr>
                <w:color w:val="auto"/>
                <w:spacing w:val="3"/>
                <w:sz w:val="22"/>
                <w:szCs w:val="22"/>
              </w:rPr>
              <w:t>应当要求其在评标现场合理的时间内提供书面说明</w:t>
            </w:r>
            <w:r>
              <w:rPr>
                <w:color w:val="auto"/>
                <w:spacing w:val="2"/>
                <w:sz w:val="22"/>
                <w:szCs w:val="22"/>
              </w:rPr>
              <w:t>，必要时提</w:t>
            </w:r>
            <w:r>
              <w:rPr>
                <w:color w:val="auto"/>
                <w:sz w:val="22"/>
                <w:szCs w:val="22"/>
              </w:rPr>
              <w:t xml:space="preserve"> </w:t>
            </w:r>
            <w:r>
              <w:rPr>
                <w:color w:val="auto"/>
                <w:spacing w:val="3"/>
                <w:sz w:val="22"/>
                <w:szCs w:val="22"/>
              </w:rPr>
              <w:t>交相关证明材料；供应商不能证明其报价合理性的</w:t>
            </w:r>
            <w:r>
              <w:rPr>
                <w:color w:val="auto"/>
                <w:spacing w:val="2"/>
                <w:sz w:val="22"/>
                <w:szCs w:val="22"/>
              </w:rPr>
              <w:t>，磋商小组</w:t>
            </w:r>
            <w:r>
              <w:rPr>
                <w:color w:val="auto"/>
                <w:sz w:val="22"/>
                <w:szCs w:val="22"/>
              </w:rPr>
              <w:t xml:space="preserve"> </w:t>
            </w:r>
            <w:r>
              <w:rPr>
                <w:color w:val="auto"/>
                <w:spacing w:val="-1"/>
                <w:sz w:val="22"/>
                <w:szCs w:val="22"/>
              </w:rPr>
              <w:t>应当将其作为无效竞标处理。</w:t>
            </w:r>
          </w:p>
          <w:p w14:paraId="6E958304">
            <w:pPr>
              <w:pStyle w:val="110"/>
              <w:keepNext w:val="0"/>
              <w:keepLines w:val="0"/>
              <w:pageBreakBefore w:val="0"/>
              <w:widowControl w:val="0"/>
              <w:kinsoku/>
              <w:wordWrap/>
              <w:overflowPunct/>
              <w:topLinePunct w:val="0"/>
              <w:bidi w:val="0"/>
              <w:adjustRightInd/>
              <w:snapToGrid/>
              <w:spacing w:before="35" w:line="360" w:lineRule="exact"/>
              <w:ind w:left="115" w:right="46" w:firstLine="245"/>
              <w:jc w:val="both"/>
              <w:textAlignment w:val="auto"/>
              <w:rPr>
                <w:color w:val="auto"/>
                <w:spacing w:val="-1"/>
                <w:sz w:val="22"/>
                <w:szCs w:val="22"/>
              </w:rPr>
            </w:pPr>
          </w:p>
          <w:p w14:paraId="79304F17">
            <w:pPr>
              <w:pStyle w:val="110"/>
              <w:keepNext w:val="0"/>
              <w:keepLines w:val="0"/>
              <w:pageBreakBefore w:val="0"/>
              <w:widowControl w:val="0"/>
              <w:kinsoku/>
              <w:wordWrap/>
              <w:overflowPunct/>
              <w:topLinePunct w:val="0"/>
              <w:bidi w:val="0"/>
              <w:adjustRightInd/>
              <w:snapToGrid/>
              <w:spacing w:before="35" w:line="360" w:lineRule="exact"/>
              <w:ind w:right="46"/>
              <w:jc w:val="both"/>
              <w:textAlignment w:val="auto"/>
              <w:rPr>
                <w:color w:val="auto"/>
                <w:spacing w:val="-1"/>
                <w:sz w:val="22"/>
                <w:szCs w:val="22"/>
              </w:rPr>
            </w:pPr>
          </w:p>
        </w:tc>
      </w:tr>
      <w:tr w14:paraId="72ED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9" w:hRule="atLeast"/>
        </w:trPr>
        <w:tc>
          <w:tcPr>
            <w:tcW w:w="566" w:type="dxa"/>
            <w:vMerge w:val="restart"/>
            <w:tcBorders>
              <w:top w:val="single" w:color="auto" w:sz="4" w:space="0"/>
              <w:left w:val="single" w:color="auto" w:sz="4" w:space="0"/>
              <w:bottom w:val="nil"/>
              <w:right w:val="single" w:color="auto" w:sz="4" w:space="0"/>
            </w:tcBorders>
            <w:vAlign w:val="top"/>
          </w:tcPr>
          <w:p w14:paraId="21386AB1">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0382A356">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7042797D">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51389C6C">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46FD512A">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04264A2B">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497AC161">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1345E5EA">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494F6BC5">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4C71C1F4">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b/>
                <w:bCs/>
                <w:color w:val="auto"/>
                <w:spacing w:val="-3"/>
                <w:sz w:val="20"/>
                <w:szCs w:val="20"/>
              </w:rPr>
            </w:pPr>
          </w:p>
          <w:p w14:paraId="258D47F1">
            <w:pPr>
              <w:pStyle w:val="110"/>
              <w:keepNext w:val="0"/>
              <w:keepLines w:val="0"/>
              <w:pageBreakBefore w:val="0"/>
              <w:widowControl w:val="0"/>
              <w:kinsoku/>
              <w:wordWrap/>
              <w:overflowPunct/>
              <w:topLinePunct w:val="0"/>
              <w:bidi w:val="0"/>
              <w:adjustRightInd/>
              <w:snapToGrid/>
              <w:spacing w:before="197" w:line="360" w:lineRule="exact"/>
              <w:ind w:left="237"/>
              <w:textAlignment w:val="auto"/>
              <w:rPr>
                <w:color w:val="auto"/>
                <w:sz w:val="20"/>
                <w:szCs w:val="20"/>
              </w:rPr>
            </w:pPr>
            <w:r>
              <w:rPr>
                <w:b/>
                <w:bCs/>
                <w:color w:val="auto"/>
                <w:spacing w:val="-3"/>
                <w:sz w:val="20"/>
                <w:szCs w:val="20"/>
              </w:rPr>
              <w:t>2</w:t>
            </w:r>
          </w:p>
        </w:tc>
        <w:tc>
          <w:tcPr>
            <w:tcW w:w="1417" w:type="dxa"/>
            <w:vMerge w:val="restart"/>
            <w:tcBorders>
              <w:top w:val="single" w:color="auto" w:sz="4" w:space="0"/>
              <w:left w:val="single" w:color="auto" w:sz="4" w:space="0"/>
              <w:bottom w:val="nil"/>
              <w:right w:val="single" w:color="auto" w:sz="4" w:space="0"/>
            </w:tcBorders>
            <w:vAlign w:val="top"/>
          </w:tcPr>
          <w:p w14:paraId="78841177">
            <w:pPr>
              <w:pStyle w:val="110"/>
              <w:keepNext w:val="0"/>
              <w:keepLines w:val="0"/>
              <w:pageBreakBefore w:val="0"/>
              <w:widowControl w:val="0"/>
              <w:kinsoku/>
              <w:wordWrap/>
              <w:overflowPunct/>
              <w:topLinePunct w:val="0"/>
              <w:bidi w:val="0"/>
              <w:adjustRightInd/>
              <w:snapToGrid/>
              <w:spacing w:before="204" w:line="360" w:lineRule="exact"/>
              <w:ind w:left="429" w:right="171" w:hanging="247"/>
              <w:textAlignment w:val="auto"/>
              <w:rPr>
                <w:rFonts w:ascii="宋体" w:hAnsi="宋体" w:eastAsia="宋体" w:cs="宋体"/>
                <w:b/>
                <w:bCs/>
                <w:color w:val="auto"/>
                <w:spacing w:val="-7"/>
                <w:sz w:val="22"/>
                <w:szCs w:val="22"/>
              </w:rPr>
            </w:pPr>
            <w:r>
              <w:rPr>
                <w:rFonts w:ascii="宋体" w:hAnsi="宋体" w:eastAsia="宋体" w:cs="宋体"/>
                <w:b/>
                <w:bCs/>
                <w:color w:val="auto"/>
                <w:spacing w:val="-7"/>
                <w:sz w:val="22"/>
                <w:szCs w:val="22"/>
              </w:rPr>
              <w:t>项目实施方</w:t>
            </w:r>
          </w:p>
          <w:p w14:paraId="222BF2D3">
            <w:pPr>
              <w:pStyle w:val="110"/>
              <w:keepNext w:val="0"/>
              <w:keepLines w:val="0"/>
              <w:pageBreakBefore w:val="0"/>
              <w:widowControl w:val="0"/>
              <w:kinsoku/>
              <w:wordWrap/>
              <w:overflowPunct/>
              <w:topLinePunct w:val="0"/>
              <w:bidi w:val="0"/>
              <w:adjustRightInd/>
              <w:snapToGrid/>
              <w:spacing w:before="204" w:line="360" w:lineRule="exact"/>
              <w:ind w:left="429" w:right="171" w:hanging="247"/>
              <w:textAlignment w:val="auto"/>
              <w:rPr>
                <w:color w:val="auto"/>
                <w:sz w:val="20"/>
                <w:szCs w:val="20"/>
              </w:rPr>
            </w:pPr>
            <w:r>
              <w:rPr>
                <w:rFonts w:ascii="宋体" w:hAnsi="宋体" w:eastAsia="宋体" w:cs="宋体"/>
                <w:b/>
                <w:bCs/>
                <w:color w:val="auto"/>
                <w:spacing w:val="-7"/>
                <w:sz w:val="22"/>
                <w:szCs w:val="22"/>
              </w:rPr>
              <w:t>案分（满分 80 分）</w:t>
            </w:r>
          </w:p>
        </w:tc>
        <w:tc>
          <w:tcPr>
            <w:tcW w:w="1286" w:type="dxa"/>
            <w:tcBorders>
              <w:left w:val="single" w:color="auto" w:sz="4" w:space="0"/>
            </w:tcBorders>
            <w:vAlign w:val="top"/>
          </w:tcPr>
          <w:p w14:paraId="3BCF0BF9">
            <w:pPr>
              <w:pStyle w:val="110"/>
              <w:keepNext w:val="0"/>
              <w:keepLines w:val="0"/>
              <w:pageBreakBefore w:val="0"/>
              <w:widowControl w:val="0"/>
              <w:kinsoku/>
              <w:wordWrap/>
              <w:overflowPunct/>
              <w:topLinePunct w:val="0"/>
              <w:bidi w:val="0"/>
              <w:adjustRightInd/>
              <w:snapToGrid/>
              <w:spacing w:before="128" w:line="360" w:lineRule="exact"/>
              <w:ind w:left="157"/>
              <w:textAlignment w:val="auto"/>
              <w:rPr>
                <w:b/>
                <w:bCs/>
                <w:color w:val="auto"/>
                <w:spacing w:val="-5"/>
                <w:sz w:val="22"/>
                <w:szCs w:val="22"/>
              </w:rPr>
            </w:pPr>
            <w:r>
              <w:rPr>
                <w:b/>
                <w:bCs/>
                <w:color w:val="auto"/>
                <w:spacing w:val="-5"/>
                <w:sz w:val="22"/>
                <w:szCs w:val="22"/>
              </w:rPr>
              <w:t>（1）综合</w:t>
            </w:r>
          </w:p>
          <w:p w14:paraId="4869F117">
            <w:pPr>
              <w:pStyle w:val="110"/>
              <w:keepNext w:val="0"/>
              <w:keepLines w:val="0"/>
              <w:pageBreakBefore w:val="0"/>
              <w:widowControl w:val="0"/>
              <w:kinsoku/>
              <w:wordWrap/>
              <w:overflowPunct/>
              <w:topLinePunct w:val="0"/>
              <w:bidi w:val="0"/>
              <w:adjustRightInd/>
              <w:snapToGrid/>
              <w:spacing w:before="130" w:line="360" w:lineRule="exact"/>
              <w:ind w:left="206"/>
              <w:textAlignment w:val="auto"/>
              <w:rPr>
                <w:color w:val="auto"/>
                <w:sz w:val="22"/>
                <w:szCs w:val="22"/>
              </w:rPr>
            </w:pPr>
            <w:r>
              <w:rPr>
                <w:b/>
                <w:bCs/>
                <w:color w:val="auto"/>
                <w:spacing w:val="-4"/>
                <w:sz w:val="22"/>
                <w:szCs w:val="22"/>
              </w:rPr>
              <w:t>服务方案</w:t>
            </w:r>
          </w:p>
          <w:p w14:paraId="0C37E1D0">
            <w:pPr>
              <w:pStyle w:val="110"/>
              <w:keepNext w:val="0"/>
              <w:keepLines w:val="0"/>
              <w:pageBreakBefore w:val="0"/>
              <w:widowControl w:val="0"/>
              <w:kinsoku/>
              <w:wordWrap/>
              <w:overflowPunct/>
              <w:topLinePunct w:val="0"/>
              <w:bidi w:val="0"/>
              <w:adjustRightInd/>
              <w:snapToGrid/>
              <w:spacing w:before="204" w:line="360" w:lineRule="exact"/>
              <w:ind w:left="429" w:right="171" w:hanging="247"/>
              <w:textAlignment w:val="auto"/>
              <w:rPr>
                <w:color w:val="auto"/>
                <w:sz w:val="22"/>
                <w:szCs w:val="22"/>
              </w:rPr>
            </w:pPr>
            <w:r>
              <w:rPr>
                <w:b/>
                <w:bCs/>
                <w:color w:val="auto"/>
                <w:spacing w:val="-7"/>
                <w:sz w:val="22"/>
                <w:szCs w:val="22"/>
              </w:rPr>
              <w:t>分（满</w:t>
            </w:r>
            <w:r>
              <w:rPr>
                <w:color w:val="auto"/>
                <w:spacing w:val="-41"/>
                <w:sz w:val="22"/>
                <w:szCs w:val="22"/>
              </w:rPr>
              <w:t xml:space="preserve"> </w:t>
            </w:r>
            <w:r>
              <w:rPr>
                <w:b/>
                <w:bCs/>
                <w:color w:val="auto"/>
                <w:spacing w:val="-7"/>
                <w:sz w:val="22"/>
                <w:szCs w:val="22"/>
              </w:rPr>
              <w:t>20</w:t>
            </w:r>
            <w:r>
              <w:rPr>
                <w:color w:val="auto"/>
                <w:sz w:val="22"/>
                <w:szCs w:val="22"/>
              </w:rPr>
              <w:t xml:space="preserve"> </w:t>
            </w:r>
            <w:r>
              <w:rPr>
                <w:b/>
                <w:bCs/>
                <w:color w:val="auto"/>
                <w:spacing w:val="-8"/>
                <w:sz w:val="22"/>
                <w:szCs w:val="22"/>
              </w:rPr>
              <w:t>分）</w:t>
            </w:r>
          </w:p>
        </w:tc>
        <w:tc>
          <w:tcPr>
            <w:tcW w:w="6243" w:type="dxa"/>
            <w:vAlign w:val="top"/>
          </w:tcPr>
          <w:p w14:paraId="310999FD">
            <w:pPr>
              <w:pStyle w:val="110"/>
              <w:keepNext w:val="0"/>
              <w:keepLines w:val="0"/>
              <w:pageBreakBefore w:val="0"/>
              <w:widowControl w:val="0"/>
              <w:kinsoku/>
              <w:wordWrap/>
              <w:overflowPunct/>
              <w:topLinePunct w:val="0"/>
              <w:bidi w:val="0"/>
              <w:adjustRightInd/>
              <w:snapToGrid/>
              <w:spacing w:before="129" w:line="360" w:lineRule="exact"/>
              <w:ind w:firstLine="448" w:firstLineChars="200"/>
              <w:textAlignment w:val="auto"/>
              <w:rPr>
                <w:color w:val="auto"/>
                <w:spacing w:val="2"/>
                <w:sz w:val="22"/>
                <w:szCs w:val="22"/>
              </w:rPr>
            </w:pPr>
            <w:r>
              <w:rPr>
                <w:color w:val="auto"/>
                <w:spacing w:val="2"/>
                <w:sz w:val="22"/>
                <w:szCs w:val="22"/>
              </w:rPr>
              <w:t>由评审小组成员根据响应文件中提供的服务实施方案</w:t>
            </w:r>
            <w:r>
              <w:rPr>
                <w:rFonts w:hint="eastAsia"/>
                <w:color w:val="auto"/>
                <w:spacing w:val="2"/>
                <w:sz w:val="22"/>
                <w:szCs w:val="22"/>
                <w:lang w:eastAsia="zh-CN"/>
              </w:rPr>
              <w:t>，</w:t>
            </w:r>
            <w:r>
              <w:rPr>
                <w:color w:val="auto"/>
                <w:spacing w:val="1"/>
                <w:sz w:val="22"/>
                <w:szCs w:val="22"/>
              </w:rPr>
              <w:t>包</w:t>
            </w:r>
          </w:p>
          <w:p w14:paraId="575D4015">
            <w:pPr>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color w:val="auto"/>
                <w:sz w:val="22"/>
                <w:szCs w:val="22"/>
              </w:rPr>
            </w:pPr>
            <w:r>
              <w:rPr>
                <w:rFonts w:hint="eastAsia"/>
                <w:color w:val="auto"/>
                <w:spacing w:val="-1"/>
                <w:sz w:val="22"/>
                <w:szCs w:val="22"/>
                <w:lang w:eastAsia="zh-CN"/>
              </w:rPr>
              <w:t>括</w:t>
            </w:r>
            <w:r>
              <w:rPr>
                <w:color w:val="auto"/>
                <w:spacing w:val="-1"/>
                <w:sz w:val="22"/>
                <w:szCs w:val="22"/>
              </w:rPr>
              <w:t>但不限于</w:t>
            </w:r>
            <w:r>
              <w:rPr>
                <w:rFonts w:hint="eastAsia" w:ascii="宋体" w:hAnsi="宋体" w:eastAsia="宋体" w:cs="宋体"/>
                <w:bCs/>
                <w:color w:val="auto"/>
                <w:sz w:val="21"/>
                <w:szCs w:val="21"/>
                <w:highlight w:val="none"/>
              </w:rPr>
              <w:t>投标人对项目采购背景、项目工作特点和重点的认识，项目服务整体设想和策划，内部管理架构、工作计划、服务质量保障，</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以及对项目服务工作的实施开展等方面进行评审打分：</w:t>
            </w:r>
          </w:p>
          <w:p w14:paraId="02908DC8">
            <w:pPr>
              <w:pStyle w:val="110"/>
              <w:keepNext w:val="0"/>
              <w:keepLines w:val="0"/>
              <w:pageBreakBefore w:val="0"/>
              <w:widowControl w:val="0"/>
              <w:kinsoku/>
              <w:wordWrap/>
              <w:overflowPunct/>
              <w:topLinePunct w:val="0"/>
              <w:bidi w:val="0"/>
              <w:adjustRightInd/>
              <w:snapToGrid/>
              <w:spacing w:before="31" w:line="360" w:lineRule="exact"/>
              <w:ind w:left="118" w:right="492"/>
              <w:textAlignment w:val="auto"/>
              <w:rPr>
                <w:color w:val="auto"/>
                <w:spacing w:val="-4"/>
                <w:sz w:val="22"/>
                <w:szCs w:val="22"/>
              </w:rPr>
            </w:pPr>
            <w:r>
              <w:rPr>
                <w:b/>
                <w:bCs/>
                <w:color w:val="auto"/>
                <w:spacing w:val="-3"/>
                <w:sz w:val="22"/>
                <w:szCs w:val="22"/>
              </w:rPr>
              <w:t>一档（5</w:t>
            </w:r>
            <w:r>
              <w:rPr>
                <w:color w:val="auto"/>
                <w:spacing w:val="-40"/>
                <w:sz w:val="22"/>
                <w:szCs w:val="22"/>
              </w:rPr>
              <w:t xml:space="preserve"> </w:t>
            </w:r>
            <w:r>
              <w:rPr>
                <w:b/>
                <w:bCs/>
                <w:color w:val="auto"/>
                <w:spacing w:val="-3"/>
                <w:sz w:val="22"/>
                <w:szCs w:val="22"/>
              </w:rPr>
              <w:t>分</w:t>
            </w:r>
            <w:r>
              <w:rPr>
                <w:b/>
                <w:bCs/>
                <w:color w:val="auto"/>
                <w:spacing w:val="2"/>
                <w:sz w:val="22"/>
                <w:szCs w:val="22"/>
              </w:rPr>
              <w:t>）：</w:t>
            </w:r>
            <w:r>
              <w:rPr>
                <w:color w:val="auto"/>
                <w:spacing w:val="-3"/>
                <w:sz w:val="22"/>
                <w:szCs w:val="22"/>
              </w:rPr>
              <w:t>服务实施方案简单，合理性、操作性</w:t>
            </w:r>
            <w:r>
              <w:rPr>
                <w:color w:val="auto"/>
                <w:spacing w:val="-4"/>
                <w:sz w:val="22"/>
                <w:szCs w:val="22"/>
              </w:rPr>
              <w:t>低的。</w:t>
            </w:r>
          </w:p>
          <w:p w14:paraId="7B5D0833">
            <w:pPr>
              <w:pStyle w:val="110"/>
              <w:keepNext w:val="0"/>
              <w:keepLines w:val="0"/>
              <w:pageBreakBefore w:val="0"/>
              <w:widowControl w:val="0"/>
              <w:kinsoku/>
              <w:wordWrap/>
              <w:overflowPunct/>
              <w:topLinePunct w:val="0"/>
              <w:bidi w:val="0"/>
              <w:adjustRightInd/>
              <w:snapToGrid/>
              <w:spacing w:before="31" w:line="360" w:lineRule="exact"/>
              <w:ind w:left="118" w:right="492"/>
              <w:textAlignment w:val="auto"/>
              <w:rPr>
                <w:color w:val="auto"/>
                <w:sz w:val="22"/>
                <w:szCs w:val="22"/>
              </w:rPr>
            </w:pPr>
            <w:r>
              <w:rPr>
                <w:b/>
                <w:bCs/>
                <w:color w:val="auto"/>
                <w:spacing w:val="-2"/>
                <w:sz w:val="22"/>
                <w:szCs w:val="22"/>
              </w:rPr>
              <w:t>二档（10</w:t>
            </w:r>
            <w:r>
              <w:rPr>
                <w:color w:val="auto"/>
                <w:spacing w:val="-43"/>
                <w:sz w:val="22"/>
                <w:szCs w:val="22"/>
              </w:rPr>
              <w:t xml:space="preserve"> </w:t>
            </w:r>
            <w:r>
              <w:rPr>
                <w:b/>
                <w:bCs/>
                <w:color w:val="auto"/>
                <w:spacing w:val="-2"/>
                <w:sz w:val="22"/>
                <w:szCs w:val="22"/>
              </w:rPr>
              <w:t>分</w:t>
            </w:r>
            <w:r>
              <w:rPr>
                <w:b/>
                <w:bCs/>
                <w:color w:val="auto"/>
                <w:spacing w:val="3"/>
                <w:sz w:val="22"/>
                <w:szCs w:val="22"/>
              </w:rPr>
              <w:t>）：</w:t>
            </w:r>
            <w:r>
              <w:rPr>
                <w:color w:val="auto"/>
                <w:spacing w:val="-2"/>
                <w:sz w:val="22"/>
                <w:szCs w:val="22"/>
              </w:rPr>
              <w:t>服务实施方案简单，内容基本可行。</w:t>
            </w:r>
          </w:p>
          <w:p w14:paraId="1314F389">
            <w:pPr>
              <w:pStyle w:val="110"/>
              <w:keepNext w:val="0"/>
              <w:keepLines w:val="0"/>
              <w:pageBreakBefore w:val="0"/>
              <w:widowControl w:val="0"/>
              <w:kinsoku/>
              <w:wordWrap/>
              <w:overflowPunct/>
              <w:topLinePunct w:val="0"/>
              <w:bidi w:val="0"/>
              <w:adjustRightInd/>
              <w:snapToGrid/>
              <w:spacing w:before="32" w:line="360" w:lineRule="exact"/>
              <w:ind w:left="115" w:right="107"/>
              <w:textAlignment w:val="auto"/>
              <w:rPr>
                <w:color w:val="auto"/>
                <w:sz w:val="22"/>
                <w:szCs w:val="22"/>
              </w:rPr>
            </w:pPr>
            <w:r>
              <w:rPr>
                <w:b/>
                <w:bCs/>
                <w:color w:val="auto"/>
                <w:spacing w:val="-3"/>
                <w:sz w:val="22"/>
                <w:szCs w:val="22"/>
              </w:rPr>
              <w:t>三档（15</w:t>
            </w:r>
            <w:r>
              <w:rPr>
                <w:color w:val="auto"/>
                <w:spacing w:val="-43"/>
                <w:sz w:val="22"/>
                <w:szCs w:val="22"/>
              </w:rPr>
              <w:t xml:space="preserve"> </w:t>
            </w:r>
            <w:r>
              <w:rPr>
                <w:b/>
                <w:bCs/>
                <w:color w:val="auto"/>
                <w:spacing w:val="-3"/>
                <w:sz w:val="22"/>
                <w:szCs w:val="22"/>
              </w:rPr>
              <w:t>分</w:t>
            </w:r>
            <w:r>
              <w:rPr>
                <w:b/>
                <w:bCs/>
                <w:color w:val="auto"/>
                <w:spacing w:val="-9"/>
                <w:sz w:val="22"/>
                <w:szCs w:val="22"/>
              </w:rPr>
              <w:t>）</w:t>
            </w:r>
            <w:r>
              <w:rPr>
                <w:color w:val="auto"/>
                <w:spacing w:val="-22"/>
                <w:sz w:val="22"/>
                <w:szCs w:val="22"/>
              </w:rPr>
              <w:t xml:space="preserve"> </w:t>
            </w:r>
            <w:r>
              <w:rPr>
                <w:b/>
                <w:bCs/>
                <w:color w:val="auto"/>
                <w:spacing w:val="-9"/>
                <w:sz w:val="22"/>
                <w:szCs w:val="22"/>
              </w:rPr>
              <w:t>：</w:t>
            </w:r>
            <w:r>
              <w:rPr>
                <w:color w:val="auto"/>
                <w:spacing w:val="-3"/>
                <w:sz w:val="22"/>
                <w:szCs w:val="22"/>
              </w:rPr>
              <w:t>服务实施方案详细，有简单的管理方式</w:t>
            </w:r>
            <w:r>
              <w:rPr>
                <w:color w:val="auto"/>
                <w:spacing w:val="-4"/>
                <w:sz w:val="22"/>
                <w:szCs w:val="22"/>
              </w:rPr>
              <w:t>和工作</w:t>
            </w:r>
            <w:r>
              <w:rPr>
                <w:color w:val="auto"/>
                <w:sz w:val="22"/>
                <w:szCs w:val="22"/>
              </w:rPr>
              <w:t xml:space="preserve"> </w:t>
            </w:r>
            <w:r>
              <w:rPr>
                <w:color w:val="auto"/>
                <w:spacing w:val="-1"/>
                <w:sz w:val="22"/>
                <w:szCs w:val="22"/>
              </w:rPr>
              <w:t>计划，质量保证措施及进度保证措施基本可行。</w:t>
            </w:r>
          </w:p>
          <w:p w14:paraId="45C56DA6">
            <w:pPr>
              <w:pStyle w:val="110"/>
              <w:keepNext w:val="0"/>
              <w:keepLines w:val="0"/>
              <w:pageBreakBefore w:val="0"/>
              <w:widowControl w:val="0"/>
              <w:kinsoku/>
              <w:wordWrap/>
              <w:overflowPunct/>
              <w:topLinePunct w:val="0"/>
              <w:bidi w:val="0"/>
              <w:adjustRightInd/>
              <w:snapToGrid/>
              <w:spacing w:before="31" w:line="360" w:lineRule="exact"/>
              <w:ind w:left="115" w:right="46" w:firstLine="20"/>
              <w:jc w:val="both"/>
              <w:textAlignment w:val="auto"/>
              <w:rPr>
                <w:color w:val="auto"/>
                <w:sz w:val="22"/>
                <w:szCs w:val="22"/>
              </w:rPr>
            </w:pPr>
            <w:r>
              <w:rPr>
                <w:b/>
                <w:bCs/>
                <w:color w:val="auto"/>
                <w:spacing w:val="-2"/>
                <w:sz w:val="22"/>
                <w:szCs w:val="22"/>
              </w:rPr>
              <w:t>四档（20</w:t>
            </w:r>
            <w:r>
              <w:rPr>
                <w:color w:val="auto"/>
                <w:spacing w:val="-43"/>
                <w:sz w:val="22"/>
                <w:szCs w:val="22"/>
              </w:rPr>
              <w:t xml:space="preserve"> </w:t>
            </w:r>
            <w:r>
              <w:rPr>
                <w:b/>
                <w:bCs/>
                <w:color w:val="auto"/>
                <w:spacing w:val="-2"/>
                <w:sz w:val="22"/>
                <w:szCs w:val="22"/>
              </w:rPr>
              <w:t>分</w:t>
            </w:r>
            <w:r>
              <w:rPr>
                <w:b/>
                <w:bCs/>
                <w:color w:val="auto"/>
                <w:spacing w:val="11"/>
                <w:sz w:val="22"/>
                <w:szCs w:val="22"/>
              </w:rPr>
              <w:t>）：</w:t>
            </w:r>
            <w:r>
              <w:rPr>
                <w:color w:val="auto"/>
                <w:spacing w:val="-2"/>
                <w:sz w:val="22"/>
                <w:szCs w:val="22"/>
              </w:rPr>
              <w:t>服务实施方案详细且科学合理，</w:t>
            </w:r>
            <w:r>
              <w:rPr>
                <w:rFonts w:hint="eastAsia"/>
                <w:color w:val="auto"/>
                <w:spacing w:val="-1"/>
                <w:sz w:val="22"/>
                <w:szCs w:val="22"/>
                <w:lang w:eastAsia="zh-CN"/>
              </w:rPr>
              <w:t>对项目采购背景理解透彻；服务工作的重难点分析到位并有有效的解决措施；</w:t>
            </w:r>
            <w:r>
              <w:rPr>
                <w:color w:val="auto"/>
                <w:spacing w:val="-2"/>
                <w:sz w:val="22"/>
                <w:szCs w:val="22"/>
              </w:rPr>
              <w:t>有切实可行的</w:t>
            </w:r>
            <w:r>
              <w:rPr>
                <w:color w:val="auto"/>
                <w:spacing w:val="-3"/>
                <w:sz w:val="22"/>
                <w:szCs w:val="22"/>
              </w:rPr>
              <w:t>拟采取的管理方式和切合实际的工作计划，质量保证措施到位，</w:t>
            </w:r>
            <w:r>
              <w:rPr>
                <w:color w:val="auto"/>
                <w:spacing w:val="-1"/>
                <w:sz w:val="22"/>
                <w:szCs w:val="22"/>
              </w:rPr>
              <w:t>整体规划技术路线清晰，思路合理，可操作性强。</w:t>
            </w:r>
          </w:p>
        </w:tc>
      </w:tr>
      <w:tr w14:paraId="0A71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566" w:type="dxa"/>
            <w:vMerge w:val="continue"/>
            <w:tcBorders>
              <w:top w:val="nil"/>
              <w:left w:val="single" w:color="auto" w:sz="4" w:space="0"/>
              <w:bottom w:val="nil"/>
              <w:right w:val="single" w:color="auto" w:sz="4" w:space="0"/>
            </w:tcBorders>
            <w:vAlign w:val="top"/>
          </w:tcPr>
          <w:p w14:paraId="6B88D064">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left w:val="single" w:color="auto" w:sz="4" w:space="0"/>
              <w:bottom w:val="nil"/>
              <w:right w:val="single" w:color="auto" w:sz="4" w:space="0"/>
            </w:tcBorders>
            <w:vAlign w:val="top"/>
          </w:tcPr>
          <w:p w14:paraId="765B667E">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tcBorders>
              <w:left w:val="single" w:color="auto" w:sz="4" w:space="0"/>
            </w:tcBorders>
            <w:vAlign w:val="top"/>
          </w:tcPr>
          <w:p w14:paraId="5E059D2A">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6E2E769F">
            <w:pPr>
              <w:pStyle w:val="110"/>
              <w:keepNext w:val="0"/>
              <w:keepLines w:val="0"/>
              <w:pageBreakBefore w:val="0"/>
              <w:widowControl w:val="0"/>
              <w:kinsoku/>
              <w:wordWrap/>
              <w:overflowPunct/>
              <w:topLinePunct w:val="0"/>
              <w:bidi w:val="0"/>
              <w:adjustRightInd/>
              <w:snapToGrid/>
              <w:spacing w:before="71" w:line="360" w:lineRule="exact"/>
              <w:ind w:left="63" w:right="53" w:firstLine="4"/>
              <w:jc w:val="both"/>
              <w:textAlignment w:val="auto"/>
              <w:rPr>
                <w:color w:val="auto"/>
                <w:sz w:val="22"/>
                <w:szCs w:val="22"/>
              </w:rPr>
            </w:pPr>
            <w:r>
              <w:rPr>
                <w:b/>
                <w:bCs/>
                <w:color w:val="auto"/>
                <w:spacing w:val="-11"/>
                <w:sz w:val="22"/>
                <w:szCs w:val="22"/>
              </w:rPr>
              <w:t>（2）沟通协</w:t>
            </w:r>
            <w:r>
              <w:rPr>
                <w:color w:val="auto"/>
                <w:sz w:val="22"/>
                <w:szCs w:val="22"/>
              </w:rPr>
              <w:t xml:space="preserve"> </w:t>
            </w:r>
            <w:r>
              <w:rPr>
                <w:b/>
                <w:bCs/>
                <w:color w:val="auto"/>
                <w:spacing w:val="14"/>
                <w:sz w:val="22"/>
                <w:szCs w:val="22"/>
              </w:rPr>
              <w:t>调解决方</w:t>
            </w:r>
            <w:r>
              <w:rPr>
                <w:color w:val="auto"/>
                <w:sz w:val="22"/>
                <w:szCs w:val="22"/>
              </w:rPr>
              <w:t xml:space="preserve">  </w:t>
            </w:r>
            <w:r>
              <w:rPr>
                <w:b/>
                <w:bCs/>
                <w:color w:val="auto"/>
                <w:spacing w:val="-22"/>
                <w:sz w:val="22"/>
                <w:szCs w:val="22"/>
              </w:rPr>
              <w:t>案分（满分</w:t>
            </w:r>
            <w:r>
              <w:rPr>
                <w:color w:val="auto"/>
                <w:spacing w:val="-40"/>
                <w:sz w:val="22"/>
                <w:szCs w:val="22"/>
              </w:rPr>
              <w:t xml:space="preserve"> </w:t>
            </w:r>
            <w:r>
              <w:rPr>
                <w:b/>
                <w:bCs/>
                <w:color w:val="auto"/>
                <w:spacing w:val="-22"/>
                <w:sz w:val="22"/>
                <w:szCs w:val="22"/>
              </w:rPr>
              <w:t>6</w:t>
            </w:r>
          </w:p>
          <w:p w14:paraId="2EA3B06F">
            <w:pPr>
              <w:pStyle w:val="110"/>
              <w:keepNext w:val="0"/>
              <w:keepLines w:val="0"/>
              <w:pageBreakBefore w:val="0"/>
              <w:widowControl w:val="0"/>
              <w:kinsoku/>
              <w:wordWrap/>
              <w:overflowPunct/>
              <w:topLinePunct w:val="0"/>
              <w:bidi w:val="0"/>
              <w:adjustRightInd/>
              <w:snapToGrid/>
              <w:spacing w:before="31" w:line="360" w:lineRule="exact"/>
              <w:ind w:left="429"/>
              <w:textAlignment w:val="auto"/>
              <w:rPr>
                <w:color w:val="auto"/>
                <w:sz w:val="22"/>
                <w:szCs w:val="22"/>
              </w:rPr>
            </w:pPr>
            <w:r>
              <w:rPr>
                <w:b/>
                <w:bCs/>
                <w:color w:val="auto"/>
                <w:spacing w:val="-8"/>
                <w:sz w:val="22"/>
                <w:szCs w:val="22"/>
              </w:rPr>
              <w:t>分）</w:t>
            </w:r>
          </w:p>
        </w:tc>
        <w:tc>
          <w:tcPr>
            <w:tcW w:w="6243" w:type="dxa"/>
            <w:vAlign w:val="top"/>
          </w:tcPr>
          <w:p w14:paraId="3C761FD9">
            <w:pPr>
              <w:pStyle w:val="110"/>
              <w:keepNext w:val="0"/>
              <w:keepLines w:val="0"/>
              <w:pageBreakBefore w:val="0"/>
              <w:widowControl w:val="0"/>
              <w:kinsoku/>
              <w:wordWrap/>
              <w:overflowPunct/>
              <w:topLinePunct w:val="0"/>
              <w:bidi w:val="0"/>
              <w:adjustRightInd/>
              <w:snapToGrid/>
              <w:spacing w:before="127" w:line="360" w:lineRule="exact"/>
              <w:ind w:left="330" w:leftChars="157" w:right="104" w:firstLine="223" w:firstLineChars="99"/>
              <w:textAlignment w:val="auto"/>
              <w:rPr>
                <w:color w:val="auto"/>
                <w:sz w:val="22"/>
                <w:szCs w:val="22"/>
              </w:rPr>
            </w:pPr>
            <w:r>
              <w:rPr>
                <w:color w:val="auto"/>
                <w:spacing w:val="3"/>
                <w:sz w:val="22"/>
                <w:szCs w:val="22"/>
              </w:rPr>
              <w:t>根据投标人与业主、公安等相关部门的沟通协调解</w:t>
            </w:r>
            <w:r>
              <w:rPr>
                <w:color w:val="auto"/>
                <w:spacing w:val="2"/>
                <w:sz w:val="22"/>
                <w:szCs w:val="22"/>
              </w:rPr>
              <w:t>决方案是否</w:t>
            </w:r>
            <w:r>
              <w:rPr>
                <w:color w:val="auto"/>
                <w:spacing w:val="-1"/>
                <w:sz w:val="22"/>
                <w:szCs w:val="22"/>
              </w:rPr>
              <w:t>完备、全面、高效进行评审打分：</w:t>
            </w:r>
          </w:p>
          <w:p w14:paraId="4ACFFE65">
            <w:pPr>
              <w:pStyle w:val="110"/>
              <w:keepNext w:val="0"/>
              <w:keepLines w:val="0"/>
              <w:pageBreakBefore w:val="0"/>
              <w:widowControl w:val="0"/>
              <w:kinsoku/>
              <w:wordWrap/>
              <w:overflowPunct/>
              <w:topLinePunct w:val="0"/>
              <w:bidi w:val="0"/>
              <w:adjustRightInd/>
              <w:snapToGrid/>
              <w:spacing w:before="32" w:line="360" w:lineRule="exact"/>
              <w:ind w:left="118"/>
              <w:textAlignment w:val="auto"/>
              <w:rPr>
                <w:color w:val="auto"/>
                <w:sz w:val="22"/>
                <w:szCs w:val="22"/>
              </w:rPr>
            </w:pPr>
            <w:r>
              <w:rPr>
                <w:b/>
                <w:bCs/>
                <w:color w:val="auto"/>
                <w:spacing w:val="-3"/>
                <w:sz w:val="22"/>
                <w:szCs w:val="22"/>
              </w:rPr>
              <w:t>一档（2</w:t>
            </w:r>
            <w:r>
              <w:rPr>
                <w:color w:val="auto"/>
                <w:spacing w:val="-40"/>
                <w:sz w:val="22"/>
                <w:szCs w:val="22"/>
              </w:rPr>
              <w:t xml:space="preserve"> </w:t>
            </w:r>
            <w:r>
              <w:rPr>
                <w:b/>
                <w:bCs/>
                <w:color w:val="auto"/>
                <w:spacing w:val="-3"/>
                <w:sz w:val="22"/>
                <w:szCs w:val="22"/>
              </w:rPr>
              <w:t>分</w:t>
            </w:r>
            <w:r>
              <w:rPr>
                <w:b/>
                <w:bCs/>
                <w:color w:val="auto"/>
                <w:spacing w:val="-2"/>
                <w:sz w:val="22"/>
                <w:szCs w:val="22"/>
              </w:rPr>
              <w:t>）：</w:t>
            </w:r>
            <w:r>
              <w:rPr>
                <w:color w:val="auto"/>
                <w:spacing w:val="-3"/>
                <w:sz w:val="22"/>
                <w:szCs w:val="22"/>
              </w:rPr>
              <w:t>方案简单，不够完备。</w:t>
            </w:r>
          </w:p>
          <w:p w14:paraId="1903B9CB">
            <w:pPr>
              <w:pStyle w:val="110"/>
              <w:keepNext w:val="0"/>
              <w:keepLines w:val="0"/>
              <w:pageBreakBefore w:val="0"/>
              <w:widowControl w:val="0"/>
              <w:kinsoku/>
              <w:wordWrap/>
              <w:overflowPunct/>
              <w:topLinePunct w:val="0"/>
              <w:bidi w:val="0"/>
              <w:adjustRightInd/>
              <w:snapToGrid/>
              <w:spacing w:before="206" w:line="360" w:lineRule="exact"/>
              <w:ind w:left="118"/>
              <w:textAlignment w:val="auto"/>
              <w:rPr>
                <w:color w:val="auto"/>
                <w:sz w:val="22"/>
                <w:szCs w:val="22"/>
              </w:rPr>
            </w:pPr>
            <w:r>
              <w:rPr>
                <w:b/>
                <w:bCs/>
                <w:color w:val="auto"/>
                <w:spacing w:val="-2"/>
                <w:sz w:val="22"/>
                <w:szCs w:val="22"/>
              </w:rPr>
              <w:t>二档（4</w:t>
            </w:r>
            <w:r>
              <w:rPr>
                <w:color w:val="auto"/>
                <w:spacing w:val="-40"/>
                <w:sz w:val="22"/>
                <w:szCs w:val="22"/>
              </w:rPr>
              <w:t xml:space="preserve"> </w:t>
            </w:r>
            <w:r>
              <w:rPr>
                <w:b/>
                <w:bCs/>
                <w:color w:val="auto"/>
                <w:spacing w:val="-2"/>
                <w:sz w:val="22"/>
                <w:szCs w:val="22"/>
              </w:rPr>
              <w:t>分</w:t>
            </w:r>
            <w:r>
              <w:rPr>
                <w:b/>
                <w:bCs/>
                <w:color w:val="auto"/>
                <w:spacing w:val="1"/>
                <w:sz w:val="22"/>
                <w:szCs w:val="22"/>
              </w:rPr>
              <w:t>）：</w:t>
            </w:r>
            <w:r>
              <w:rPr>
                <w:color w:val="auto"/>
                <w:spacing w:val="-2"/>
                <w:sz w:val="22"/>
                <w:szCs w:val="22"/>
              </w:rPr>
              <w:t>方案比较全面，沟通协调规划路线较为清晰。</w:t>
            </w:r>
          </w:p>
          <w:p w14:paraId="196C11D9">
            <w:pPr>
              <w:pStyle w:val="110"/>
              <w:keepNext w:val="0"/>
              <w:keepLines w:val="0"/>
              <w:pageBreakBefore w:val="0"/>
              <w:widowControl w:val="0"/>
              <w:kinsoku/>
              <w:wordWrap/>
              <w:overflowPunct/>
              <w:topLinePunct w:val="0"/>
              <w:bidi w:val="0"/>
              <w:adjustRightInd/>
              <w:snapToGrid/>
              <w:spacing w:before="205" w:line="360" w:lineRule="exact"/>
              <w:jc w:val="center"/>
              <w:textAlignment w:val="auto"/>
              <w:rPr>
                <w:color w:val="auto"/>
                <w:sz w:val="22"/>
                <w:szCs w:val="22"/>
              </w:rPr>
            </w:pPr>
            <w:r>
              <w:rPr>
                <w:b/>
                <w:bCs/>
                <w:color w:val="auto"/>
                <w:spacing w:val="-5"/>
                <w:sz w:val="22"/>
                <w:szCs w:val="22"/>
              </w:rPr>
              <w:t>三档（6</w:t>
            </w:r>
            <w:r>
              <w:rPr>
                <w:color w:val="auto"/>
                <w:spacing w:val="-44"/>
                <w:sz w:val="22"/>
                <w:szCs w:val="22"/>
              </w:rPr>
              <w:t xml:space="preserve"> </w:t>
            </w:r>
            <w:r>
              <w:rPr>
                <w:b/>
                <w:bCs/>
                <w:color w:val="auto"/>
                <w:spacing w:val="-5"/>
                <w:sz w:val="22"/>
                <w:szCs w:val="22"/>
              </w:rPr>
              <w:t>分</w:t>
            </w:r>
            <w:r>
              <w:rPr>
                <w:b/>
                <w:bCs/>
                <w:color w:val="auto"/>
                <w:spacing w:val="-7"/>
                <w:sz w:val="22"/>
                <w:szCs w:val="22"/>
              </w:rPr>
              <w:t>）：</w:t>
            </w:r>
            <w:r>
              <w:rPr>
                <w:color w:val="auto"/>
                <w:spacing w:val="-5"/>
                <w:sz w:val="22"/>
                <w:szCs w:val="22"/>
              </w:rPr>
              <w:t>方案全面、高效，沟通协调规划路线清晰可行。</w:t>
            </w:r>
          </w:p>
        </w:tc>
      </w:tr>
      <w:tr w14:paraId="5C7A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7" w:hRule="atLeast"/>
        </w:trPr>
        <w:tc>
          <w:tcPr>
            <w:tcW w:w="566" w:type="dxa"/>
            <w:vMerge w:val="continue"/>
            <w:tcBorders>
              <w:top w:val="nil"/>
              <w:left w:val="single" w:color="auto" w:sz="4" w:space="0"/>
              <w:bottom w:val="nil"/>
              <w:right w:val="single" w:color="auto" w:sz="4" w:space="0"/>
            </w:tcBorders>
            <w:vAlign w:val="top"/>
          </w:tcPr>
          <w:p w14:paraId="3C6455EE">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left w:val="single" w:color="auto" w:sz="4" w:space="0"/>
              <w:bottom w:val="nil"/>
              <w:right w:val="single" w:color="auto" w:sz="4" w:space="0"/>
            </w:tcBorders>
            <w:vAlign w:val="top"/>
          </w:tcPr>
          <w:p w14:paraId="442867A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tcBorders>
              <w:left w:val="single" w:color="auto" w:sz="4" w:space="0"/>
            </w:tcBorders>
            <w:vAlign w:val="top"/>
          </w:tcPr>
          <w:p w14:paraId="16201D3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B25A356">
            <w:pPr>
              <w:pStyle w:val="110"/>
              <w:keepNext w:val="0"/>
              <w:keepLines w:val="0"/>
              <w:pageBreakBefore w:val="0"/>
              <w:widowControl w:val="0"/>
              <w:kinsoku/>
              <w:wordWrap/>
              <w:overflowPunct/>
              <w:topLinePunct w:val="0"/>
              <w:bidi w:val="0"/>
              <w:adjustRightInd/>
              <w:snapToGrid/>
              <w:spacing w:before="72" w:line="360" w:lineRule="exact"/>
              <w:ind w:left="96" w:right="53" w:hanging="28"/>
              <w:jc w:val="both"/>
              <w:textAlignment w:val="auto"/>
              <w:rPr>
                <w:color w:val="auto"/>
                <w:sz w:val="22"/>
                <w:szCs w:val="22"/>
              </w:rPr>
            </w:pPr>
            <w:r>
              <w:rPr>
                <w:b/>
                <w:bCs/>
                <w:color w:val="auto"/>
                <w:spacing w:val="-11"/>
                <w:sz w:val="22"/>
                <w:szCs w:val="22"/>
              </w:rPr>
              <w:t>（3）管理规</w:t>
            </w:r>
            <w:r>
              <w:rPr>
                <w:color w:val="auto"/>
                <w:sz w:val="22"/>
                <w:szCs w:val="22"/>
              </w:rPr>
              <w:t xml:space="preserve"> </w:t>
            </w:r>
            <w:r>
              <w:rPr>
                <w:b/>
                <w:bCs/>
                <w:color w:val="auto"/>
                <w:spacing w:val="-4"/>
                <w:sz w:val="22"/>
                <w:szCs w:val="22"/>
              </w:rPr>
              <w:t>章制度与档</w:t>
            </w:r>
            <w:r>
              <w:rPr>
                <w:color w:val="auto"/>
                <w:spacing w:val="1"/>
                <w:sz w:val="22"/>
                <w:szCs w:val="22"/>
              </w:rPr>
              <w:t xml:space="preserve"> </w:t>
            </w:r>
            <w:r>
              <w:rPr>
                <w:b/>
                <w:bCs/>
                <w:color w:val="auto"/>
                <w:spacing w:val="-4"/>
                <w:sz w:val="22"/>
                <w:szCs w:val="22"/>
              </w:rPr>
              <w:t>案建立制度</w:t>
            </w:r>
            <w:r>
              <w:rPr>
                <w:color w:val="auto"/>
                <w:spacing w:val="1"/>
                <w:sz w:val="22"/>
                <w:szCs w:val="22"/>
              </w:rPr>
              <w:t xml:space="preserve"> </w:t>
            </w:r>
            <w:r>
              <w:rPr>
                <w:b/>
                <w:bCs/>
                <w:color w:val="auto"/>
                <w:spacing w:val="2"/>
                <w:sz w:val="22"/>
                <w:szCs w:val="22"/>
              </w:rPr>
              <w:t>分（满分</w:t>
            </w:r>
            <w:r>
              <w:rPr>
                <w:color w:val="auto"/>
                <w:spacing w:val="-46"/>
                <w:sz w:val="22"/>
                <w:szCs w:val="22"/>
              </w:rPr>
              <w:t xml:space="preserve"> </w:t>
            </w:r>
            <w:r>
              <w:rPr>
                <w:b/>
                <w:bCs/>
                <w:color w:val="auto"/>
                <w:spacing w:val="2"/>
                <w:sz w:val="22"/>
                <w:szCs w:val="22"/>
              </w:rPr>
              <w:t>9</w:t>
            </w:r>
          </w:p>
          <w:p w14:paraId="21087C32">
            <w:pPr>
              <w:pStyle w:val="110"/>
              <w:keepNext w:val="0"/>
              <w:keepLines w:val="0"/>
              <w:pageBreakBefore w:val="0"/>
              <w:widowControl w:val="0"/>
              <w:kinsoku/>
              <w:wordWrap/>
              <w:overflowPunct/>
              <w:topLinePunct w:val="0"/>
              <w:bidi w:val="0"/>
              <w:adjustRightInd/>
              <w:snapToGrid/>
              <w:spacing w:before="31" w:line="360" w:lineRule="exact"/>
              <w:ind w:left="429"/>
              <w:textAlignment w:val="auto"/>
              <w:rPr>
                <w:color w:val="auto"/>
                <w:sz w:val="22"/>
                <w:szCs w:val="22"/>
              </w:rPr>
            </w:pPr>
            <w:r>
              <w:rPr>
                <w:b/>
                <w:bCs/>
                <w:color w:val="auto"/>
                <w:spacing w:val="-8"/>
                <w:sz w:val="22"/>
                <w:szCs w:val="22"/>
              </w:rPr>
              <w:t>分）</w:t>
            </w:r>
          </w:p>
        </w:tc>
        <w:tc>
          <w:tcPr>
            <w:tcW w:w="6243" w:type="dxa"/>
            <w:vAlign w:val="top"/>
          </w:tcPr>
          <w:p w14:paraId="24B7C82A">
            <w:pPr>
              <w:pStyle w:val="110"/>
              <w:keepNext w:val="0"/>
              <w:keepLines w:val="0"/>
              <w:pageBreakBefore w:val="0"/>
              <w:widowControl w:val="0"/>
              <w:kinsoku/>
              <w:wordWrap/>
              <w:overflowPunct/>
              <w:topLinePunct w:val="0"/>
              <w:bidi w:val="0"/>
              <w:adjustRightInd/>
              <w:snapToGrid/>
              <w:spacing w:before="126" w:line="360" w:lineRule="exact"/>
              <w:ind w:left="117" w:right="107" w:firstLine="1"/>
              <w:textAlignment w:val="auto"/>
              <w:rPr>
                <w:color w:val="auto"/>
                <w:sz w:val="22"/>
                <w:szCs w:val="22"/>
              </w:rPr>
            </w:pPr>
            <w:r>
              <w:rPr>
                <w:b/>
                <w:bCs/>
                <w:color w:val="auto"/>
                <w:spacing w:val="-3"/>
                <w:sz w:val="22"/>
                <w:szCs w:val="22"/>
              </w:rPr>
              <w:t>一档（5</w:t>
            </w:r>
            <w:r>
              <w:rPr>
                <w:color w:val="auto"/>
                <w:spacing w:val="-45"/>
                <w:sz w:val="22"/>
                <w:szCs w:val="22"/>
              </w:rPr>
              <w:t xml:space="preserve"> </w:t>
            </w:r>
            <w:r>
              <w:rPr>
                <w:b/>
                <w:bCs/>
                <w:color w:val="auto"/>
                <w:spacing w:val="-3"/>
                <w:sz w:val="22"/>
                <w:szCs w:val="22"/>
              </w:rPr>
              <w:t>分</w:t>
            </w:r>
            <w:r>
              <w:rPr>
                <w:b/>
                <w:bCs/>
                <w:color w:val="auto"/>
                <w:spacing w:val="-18"/>
                <w:sz w:val="22"/>
                <w:szCs w:val="22"/>
              </w:rPr>
              <w:t>）：</w:t>
            </w:r>
            <w:r>
              <w:rPr>
                <w:color w:val="auto"/>
                <w:spacing w:val="-3"/>
                <w:sz w:val="22"/>
                <w:szCs w:val="22"/>
              </w:rPr>
              <w:t>有基本的管理规章制度及档案建</w:t>
            </w:r>
            <w:r>
              <w:rPr>
                <w:color w:val="auto"/>
                <w:spacing w:val="-4"/>
                <w:sz w:val="22"/>
                <w:szCs w:val="22"/>
              </w:rPr>
              <w:t>立制度，制度简</w:t>
            </w:r>
            <w:r>
              <w:rPr>
                <w:color w:val="auto"/>
                <w:spacing w:val="-5"/>
                <w:sz w:val="22"/>
                <w:szCs w:val="22"/>
              </w:rPr>
              <w:t>单；</w:t>
            </w:r>
          </w:p>
          <w:p w14:paraId="60688BAF">
            <w:pPr>
              <w:pStyle w:val="110"/>
              <w:keepNext w:val="0"/>
              <w:keepLines w:val="0"/>
              <w:pageBreakBefore w:val="0"/>
              <w:widowControl w:val="0"/>
              <w:kinsoku/>
              <w:wordWrap/>
              <w:overflowPunct/>
              <w:topLinePunct w:val="0"/>
              <w:bidi w:val="0"/>
              <w:adjustRightInd/>
              <w:snapToGrid/>
              <w:spacing w:before="30" w:line="360" w:lineRule="exact"/>
              <w:ind w:left="119" w:right="107" w:hanging="1"/>
              <w:textAlignment w:val="auto"/>
              <w:rPr>
                <w:color w:val="auto"/>
                <w:sz w:val="22"/>
                <w:szCs w:val="22"/>
              </w:rPr>
            </w:pPr>
            <w:r>
              <w:rPr>
                <w:b/>
                <w:bCs/>
                <w:color w:val="auto"/>
                <w:spacing w:val="-4"/>
                <w:sz w:val="22"/>
                <w:szCs w:val="22"/>
              </w:rPr>
              <w:t>二档（7</w:t>
            </w:r>
            <w:r>
              <w:rPr>
                <w:color w:val="auto"/>
                <w:spacing w:val="-46"/>
                <w:sz w:val="22"/>
                <w:szCs w:val="22"/>
              </w:rPr>
              <w:t xml:space="preserve"> </w:t>
            </w:r>
            <w:r>
              <w:rPr>
                <w:b/>
                <w:bCs/>
                <w:color w:val="auto"/>
                <w:spacing w:val="-4"/>
                <w:sz w:val="22"/>
                <w:szCs w:val="22"/>
              </w:rPr>
              <w:t>分</w:t>
            </w:r>
            <w:r>
              <w:rPr>
                <w:b/>
                <w:bCs/>
                <w:color w:val="auto"/>
                <w:spacing w:val="-8"/>
                <w:sz w:val="22"/>
                <w:szCs w:val="22"/>
              </w:rPr>
              <w:t>）：</w:t>
            </w:r>
            <w:r>
              <w:rPr>
                <w:color w:val="auto"/>
                <w:spacing w:val="-4"/>
                <w:sz w:val="22"/>
                <w:szCs w:val="22"/>
              </w:rPr>
              <w:t>管理规章制度及档案建立制度较完善，比较切合</w:t>
            </w:r>
            <w:r>
              <w:rPr>
                <w:color w:val="auto"/>
                <w:spacing w:val="-3"/>
                <w:sz w:val="22"/>
                <w:szCs w:val="22"/>
              </w:rPr>
              <w:t>实际情况。</w:t>
            </w:r>
          </w:p>
          <w:p w14:paraId="72254CAC">
            <w:pPr>
              <w:pStyle w:val="110"/>
              <w:keepNext w:val="0"/>
              <w:keepLines w:val="0"/>
              <w:pageBreakBefore w:val="0"/>
              <w:widowControl w:val="0"/>
              <w:kinsoku/>
              <w:wordWrap/>
              <w:overflowPunct/>
              <w:topLinePunct w:val="0"/>
              <w:bidi w:val="0"/>
              <w:adjustRightInd/>
              <w:snapToGrid/>
              <w:spacing w:before="30" w:line="360" w:lineRule="exact"/>
              <w:ind w:left="116" w:right="104" w:hanging="1"/>
              <w:textAlignment w:val="auto"/>
              <w:rPr>
                <w:color w:val="auto"/>
                <w:sz w:val="22"/>
                <w:szCs w:val="22"/>
              </w:rPr>
            </w:pPr>
            <w:r>
              <w:rPr>
                <w:b/>
                <w:bCs/>
                <w:color w:val="auto"/>
                <w:spacing w:val="-3"/>
                <w:sz w:val="22"/>
                <w:szCs w:val="22"/>
              </w:rPr>
              <w:t>三档（9</w:t>
            </w:r>
            <w:r>
              <w:rPr>
                <w:color w:val="auto"/>
                <w:spacing w:val="-46"/>
                <w:sz w:val="22"/>
                <w:szCs w:val="22"/>
              </w:rPr>
              <w:t xml:space="preserve"> </w:t>
            </w:r>
            <w:r>
              <w:rPr>
                <w:b/>
                <w:bCs/>
                <w:color w:val="auto"/>
                <w:spacing w:val="-3"/>
                <w:sz w:val="22"/>
                <w:szCs w:val="22"/>
              </w:rPr>
              <w:t>分</w:t>
            </w:r>
            <w:r>
              <w:rPr>
                <w:b/>
                <w:bCs/>
                <w:color w:val="auto"/>
                <w:spacing w:val="-15"/>
                <w:sz w:val="22"/>
                <w:szCs w:val="22"/>
              </w:rPr>
              <w:t>）：</w:t>
            </w:r>
            <w:r>
              <w:rPr>
                <w:color w:val="auto"/>
                <w:spacing w:val="-3"/>
                <w:sz w:val="22"/>
                <w:szCs w:val="22"/>
              </w:rPr>
              <w:t>管理规章制度及档案建立制度完善</w:t>
            </w:r>
            <w:r>
              <w:rPr>
                <w:color w:val="auto"/>
                <w:spacing w:val="-4"/>
                <w:sz w:val="22"/>
                <w:szCs w:val="22"/>
              </w:rPr>
              <w:t>，切合实际情</w:t>
            </w:r>
            <w:r>
              <w:rPr>
                <w:color w:val="auto"/>
                <w:spacing w:val="-1"/>
                <w:sz w:val="22"/>
                <w:szCs w:val="22"/>
              </w:rPr>
              <w:t>况，与本项目采购服务需求相符合。</w:t>
            </w:r>
          </w:p>
        </w:tc>
      </w:tr>
      <w:tr w14:paraId="0C39A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566" w:type="dxa"/>
            <w:vMerge w:val="continue"/>
            <w:tcBorders>
              <w:top w:val="nil"/>
              <w:left w:val="single" w:color="auto" w:sz="4" w:space="0"/>
              <w:bottom w:val="nil"/>
              <w:right w:val="single" w:color="auto" w:sz="4" w:space="0"/>
            </w:tcBorders>
            <w:vAlign w:val="top"/>
          </w:tcPr>
          <w:p w14:paraId="464F910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left w:val="single" w:color="auto" w:sz="4" w:space="0"/>
              <w:bottom w:val="nil"/>
              <w:right w:val="single" w:color="auto" w:sz="4" w:space="0"/>
            </w:tcBorders>
            <w:vAlign w:val="top"/>
          </w:tcPr>
          <w:p w14:paraId="34C1557E">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tcBorders>
              <w:left w:val="single" w:color="auto" w:sz="4" w:space="0"/>
            </w:tcBorders>
            <w:vAlign w:val="top"/>
          </w:tcPr>
          <w:p w14:paraId="47D6811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0E541C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2E60B78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DF60AC4">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4DCC799">
            <w:pPr>
              <w:pStyle w:val="110"/>
              <w:keepNext w:val="0"/>
              <w:keepLines w:val="0"/>
              <w:pageBreakBefore w:val="0"/>
              <w:widowControl w:val="0"/>
              <w:kinsoku/>
              <w:wordWrap/>
              <w:overflowPunct/>
              <w:topLinePunct w:val="0"/>
              <w:bidi w:val="0"/>
              <w:adjustRightInd/>
              <w:snapToGrid/>
              <w:spacing w:before="72" w:line="360" w:lineRule="exact"/>
              <w:ind w:left="113" w:right="53" w:hanging="45"/>
              <w:textAlignment w:val="auto"/>
              <w:rPr>
                <w:color w:val="auto"/>
                <w:sz w:val="22"/>
                <w:szCs w:val="22"/>
              </w:rPr>
            </w:pPr>
            <w:r>
              <w:rPr>
                <w:b/>
                <w:bCs/>
                <w:color w:val="auto"/>
                <w:spacing w:val="-11"/>
                <w:sz w:val="22"/>
                <w:szCs w:val="22"/>
              </w:rPr>
              <w:t>（4）拟投入</w:t>
            </w:r>
            <w:r>
              <w:rPr>
                <w:color w:val="auto"/>
                <w:sz w:val="22"/>
                <w:szCs w:val="22"/>
              </w:rPr>
              <w:t xml:space="preserve"> </w:t>
            </w:r>
            <w:r>
              <w:rPr>
                <w:b/>
                <w:bCs/>
                <w:color w:val="auto"/>
                <w:spacing w:val="-7"/>
                <w:sz w:val="22"/>
                <w:szCs w:val="22"/>
              </w:rPr>
              <w:t>的专业人员</w:t>
            </w:r>
          </w:p>
          <w:p w14:paraId="29A322C6">
            <w:pPr>
              <w:pStyle w:val="110"/>
              <w:keepNext w:val="0"/>
              <w:keepLines w:val="0"/>
              <w:pageBreakBefore w:val="0"/>
              <w:widowControl w:val="0"/>
              <w:kinsoku/>
              <w:wordWrap/>
              <w:overflowPunct/>
              <w:topLinePunct w:val="0"/>
              <w:bidi w:val="0"/>
              <w:adjustRightInd/>
              <w:snapToGrid/>
              <w:spacing w:before="30" w:line="360" w:lineRule="exact"/>
              <w:ind w:left="208" w:right="89" w:hanging="113"/>
              <w:textAlignment w:val="auto"/>
              <w:rPr>
                <w:color w:val="auto"/>
                <w:sz w:val="22"/>
                <w:szCs w:val="22"/>
              </w:rPr>
            </w:pPr>
            <w:r>
              <w:rPr>
                <w:b/>
                <w:bCs/>
                <w:color w:val="auto"/>
                <w:spacing w:val="-4"/>
                <w:sz w:val="22"/>
                <w:szCs w:val="22"/>
              </w:rPr>
              <w:t>配备分（满</w:t>
            </w:r>
            <w:r>
              <w:rPr>
                <w:color w:val="auto"/>
                <w:spacing w:val="3"/>
                <w:sz w:val="22"/>
                <w:szCs w:val="22"/>
              </w:rPr>
              <w:t xml:space="preserve"> </w:t>
            </w:r>
            <w:r>
              <w:rPr>
                <w:b/>
                <w:bCs/>
                <w:color w:val="auto"/>
                <w:spacing w:val="-10"/>
                <w:sz w:val="22"/>
                <w:szCs w:val="22"/>
              </w:rPr>
              <w:t>分</w:t>
            </w:r>
            <w:r>
              <w:rPr>
                <w:color w:val="auto"/>
                <w:spacing w:val="-46"/>
                <w:sz w:val="22"/>
                <w:szCs w:val="22"/>
              </w:rPr>
              <w:t xml:space="preserve"> </w:t>
            </w:r>
            <w:r>
              <w:rPr>
                <w:b/>
                <w:bCs/>
                <w:color w:val="auto"/>
                <w:spacing w:val="-10"/>
                <w:sz w:val="22"/>
                <w:szCs w:val="22"/>
              </w:rPr>
              <w:t>9</w:t>
            </w:r>
            <w:r>
              <w:rPr>
                <w:color w:val="auto"/>
                <w:spacing w:val="-43"/>
                <w:sz w:val="22"/>
                <w:szCs w:val="22"/>
              </w:rPr>
              <w:t xml:space="preserve"> </w:t>
            </w:r>
            <w:r>
              <w:rPr>
                <w:b/>
                <w:bCs/>
                <w:color w:val="auto"/>
                <w:spacing w:val="-10"/>
                <w:sz w:val="22"/>
                <w:szCs w:val="22"/>
              </w:rPr>
              <w:t>分）</w:t>
            </w:r>
          </w:p>
        </w:tc>
        <w:tc>
          <w:tcPr>
            <w:tcW w:w="6243" w:type="dxa"/>
            <w:vAlign w:val="top"/>
          </w:tcPr>
          <w:p w14:paraId="21AF1EA7">
            <w:pPr>
              <w:pStyle w:val="110"/>
              <w:keepNext w:val="0"/>
              <w:keepLines w:val="0"/>
              <w:pageBreakBefore w:val="0"/>
              <w:widowControl w:val="0"/>
              <w:kinsoku/>
              <w:wordWrap/>
              <w:overflowPunct/>
              <w:topLinePunct w:val="0"/>
              <w:bidi w:val="0"/>
              <w:adjustRightInd/>
              <w:snapToGrid/>
              <w:spacing w:before="128" w:line="360" w:lineRule="exact"/>
              <w:ind w:left="118"/>
              <w:textAlignment w:val="auto"/>
              <w:rPr>
                <w:color w:val="auto"/>
                <w:sz w:val="22"/>
                <w:szCs w:val="22"/>
              </w:rPr>
            </w:pPr>
            <w:r>
              <w:rPr>
                <w:b/>
                <w:bCs/>
                <w:color w:val="auto"/>
                <w:spacing w:val="-2"/>
                <w:sz w:val="22"/>
                <w:szCs w:val="22"/>
              </w:rPr>
              <w:t>一档（5</w:t>
            </w:r>
            <w:r>
              <w:rPr>
                <w:color w:val="auto"/>
                <w:spacing w:val="-2"/>
                <w:sz w:val="22"/>
                <w:szCs w:val="22"/>
              </w:rPr>
              <w:t xml:space="preserve"> </w:t>
            </w:r>
            <w:r>
              <w:rPr>
                <w:b/>
                <w:bCs/>
                <w:color w:val="auto"/>
                <w:spacing w:val="-2"/>
                <w:sz w:val="22"/>
                <w:szCs w:val="22"/>
              </w:rPr>
              <w:t>分</w:t>
            </w:r>
            <w:r>
              <w:rPr>
                <w:b/>
                <w:bCs/>
                <w:color w:val="auto"/>
                <w:spacing w:val="7"/>
                <w:sz w:val="22"/>
                <w:szCs w:val="22"/>
              </w:rPr>
              <w:t>）：</w:t>
            </w:r>
            <w:r>
              <w:rPr>
                <w:color w:val="auto"/>
                <w:spacing w:val="-2"/>
                <w:sz w:val="22"/>
                <w:szCs w:val="22"/>
              </w:rPr>
              <w:t>人员配备基本满足招标需求；</w:t>
            </w:r>
          </w:p>
          <w:p w14:paraId="535D76A2">
            <w:pPr>
              <w:pStyle w:val="110"/>
              <w:keepNext w:val="0"/>
              <w:keepLines w:val="0"/>
              <w:pageBreakBefore w:val="0"/>
              <w:widowControl w:val="0"/>
              <w:kinsoku/>
              <w:wordWrap/>
              <w:overflowPunct/>
              <w:topLinePunct w:val="0"/>
              <w:bidi w:val="0"/>
              <w:adjustRightInd/>
              <w:snapToGrid/>
              <w:spacing w:before="207" w:line="360" w:lineRule="exact"/>
              <w:ind w:left="115" w:right="107" w:firstLine="3"/>
              <w:textAlignment w:val="auto"/>
              <w:rPr>
                <w:color w:val="auto"/>
                <w:sz w:val="22"/>
                <w:szCs w:val="22"/>
              </w:rPr>
            </w:pPr>
            <w:r>
              <w:rPr>
                <w:b/>
                <w:bCs/>
                <w:color w:val="auto"/>
                <w:spacing w:val="1"/>
                <w:sz w:val="22"/>
                <w:szCs w:val="22"/>
              </w:rPr>
              <w:t>二档（7</w:t>
            </w:r>
            <w:r>
              <w:rPr>
                <w:color w:val="auto"/>
                <w:spacing w:val="1"/>
                <w:sz w:val="22"/>
                <w:szCs w:val="22"/>
              </w:rPr>
              <w:t xml:space="preserve"> </w:t>
            </w:r>
            <w:r>
              <w:rPr>
                <w:b/>
                <w:bCs/>
                <w:color w:val="auto"/>
                <w:spacing w:val="1"/>
                <w:sz w:val="22"/>
                <w:szCs w:val="22"/>
              </w:rPr>
              <w:t>分</w:t>
            </w:r>
            <w:r>
              <w:rPr>
                <w:b/>
                <w:bCs/>
                <w:color w:val="auto"/>
                <w:spacing w:val="14"/>
                <w:sz w:val="22"/>
                <w:szCs w:val="22"/>
              </w:rPr>
              <w:t>）：</w:t>
            </w:r>
            <w:r>
              <w:rPr>
                <w:color w:val="auto"/>
                <w:spacing w:val="1"/>
                <w:sz w:val="22"/>
                <w:szCs w:val="22"/>
              </w:rPr>
              <w:t>人员配备满足招标需求，配置较为合理，素质</w:t>
            </w:r>
            <w:r>
              <w:rPr>
                <w:color w:val="auto"/>
                <w:spacing w:val="-3"/>
                <w:sz w:val="22"/>
                <w:szCs w:val="22"/>
              </w:rPr>
              <w:t>较高；</w:t>
            </w:r>
          </w:p>
          <w:p w14:paraId="66309DA5">
            <w:pPr>
              <w:pStyle w:val="110"/>
              <w:keepNext w:val="0"/>
              <w:keepLines w:val="0"/>
              <w:pageBreakBefore w:val="0"/>
              <w:widowControl w:val="0"/>
              <w:kinsoku/>
              <w:wordWrap/>
              <w:overflowPunct/>
              <w:topLinePunct w:val="0"/>
              <w:bidi w:val="0"/>
              <w:adjustRightInd/>
              <w:snapToGrid/>
              <w:spacing w:before="29" w:line="360" w:lineRule="exact"/>
              <w:ind w:left="114" w:right="46"/>
              <w:jc w:val="both"/>
              <w:textAlignment w:val="auto"/>
              <w:rPr>
                <w:color w:val="auto"/>
                <w:sz w:val="22"/>
                <w:szCs w:val="22"/>
              </w:rPr>
            </w:pPr>
            <w:r>
              <w:rPr>
                <w:b/>
                <w:bCs/>
                <w:color w:val="auto"/>
                <w:spacing w:val="-4"/>
                <w:sz w:val="22"/>
                <w:szCs w:val="22"/>
              </w:rPr>
              <w:t>三档（9</w:t>
            </w:r>
            <w:r>
              <w:rPr>
                <w:color w:val="auto"/>
                <w:spacing w:val="-4"/>
                <w:sz w:val="22"/>
                <w:szCs w:val="22"/>
              </w:rPr>
              <w:t xml:space="preserve"> </w:t>
            </w:r>
            <w:r>
              <w:rPr>
                <w:b/>
                <w:bCs/>
                <w:color w:val="auto"/>
                <w:spacing w:val="-4"/>
                <w:sz w:val="22"/>
                <w:szCs w:val="22"/>
              </w:rPr>
              <w:t>分</w:t>
            </w:r>
            <w:r>
              <w:rPr>
                <w:b/>
                <w:bCs/>
                <w:color w:val="auto"/>
                <w:spacing w:val="3"/>
                <w:sz w:val="22"/>
                <w:szCs w:val="22"/>
              </w:rPr>
              <w:t>）：</w:t>
            </w:r>
            <w:r>
              <w:rPr>
                <w:color w:val="auto"/>
                <w:spacing w:val="-4"/>
                <w:sz w:val="22"/>
                <w:szCs w:val="22"/>
              </w:rPr>
              <w:t>人员配备完全满足</w:t>
            </w:r>
            <w:r>
              <w:rPr>
                <w:rFonts w:hint="eastAsia"/>
                <w:color w:val="auto"/>
                <w:spacing w:val="-4"/>
                <w:sz w:val="22"/>
                <w:szCs w:val="22"/>
                <w:lang w:eastAsia="zh-CN"/>
              </w:rPr>
              <w:t>并</w:t>
            </w:r>
            <w:r>
              <w:rPr>
                <w:color w:val="auto"/>
                <w:spacing w:val="-4"/>
                <w:sz w:val="22"/>
                <w:szCs w:val="22"/>
              </w:rPr>
              <w:t>优于招标需求，配置合理，</w:t>
            </w:r>
            <w:r>
              <w:rPr>
                <w:color w:val="auto"/>
                <w:spacing w:val="1"/>
                <w:sz w:val="22"/>
                <w:szCs w:val="22"/>
              </w:rPr>
              <w:t xml:space="preserve"> </w:t>
            </w:r>
            <w:r>
              <w:rPr>
                <w:color w:val="auto"/>
                <w:spacing w:val="3"/>
                <w:sz w:val="22"/>
                <w:szCs w:val="22"/>
              </w:rPr>
              <w:t>素质高</w:t>
            </w:r>
            <w:r>
              <w:rPr>
                <w:rFonts w:hint="eastAsia"/>
                <w:color w:val="auto"/>
                <w:spacing w:val="3"/>
                <w:sz w:val="22"/>
                <w:szCs w:val="22"/>
                <w:lang w:eastAsia="zh-CN"/>
              </w:rPr>
              <w:t>：</w:t>
            </w:r>
            <w:r>
              <w:rPr>
                <w:rFonts w:hint="eastAsia" w:ascii="宋体" w:hAnsi="宋体" w:eastAsia="宋体" w:cs="宋体"/>
                <w:spacing w:val="0"/>
                <w:kern w:val="2"/>
                <w:sz w:val="21"/>
                <w:szCs w:val="21"/>
                <w:lang w:val="en-US" w:eastAsia="zh-CN" w:bidi="ar"/>
              </w:rPr>
              <w:t>拟派任本项目的项目管理员（项目现场主管）具备高级物业管理师注册职业资格证书；拟</w:t>
            </w:r>
            <w:r>
              <w:rPr>
                <w:rFonts w:hint="eastAsia" w:ascii="宋体" w:hAnsi="宋体" w:eastAsia="宋体" w:cs="宋体"/>
                <w:kern w:val="2"/>
                <w:sz w:val="21"/>
                <w:szCs w:val="21"/>
                <w:lang w:val="en-US" w:eastAsia="zh-CN" w:bidi="ar"/>
              </w:rPr>
              <w:t>派本项目的保安队长具备保安员二级技师以上（含二级）</w:t>
            </w:r>
            <w:r>
              <w:rPr>
                <w:rFonts w:hint="eastAsia" w:ascii="宋体" w:hAnsi="宋体" w:eastAsia="宋体" w:cs="宋体"/>
                <w:spacing w:val="0"/>
                <w:kern w:val="2"/>
                <w:sz w:val="21"/>
                <w:szCs w:val="21"/>
                <w:lang w:val="en-US" w:eastAsia="zh-CN" w:bidi="ar"/>
              </w:rPr>
              <w:t>职业资格；拟派本项目的水电工同时持有高压和低压电工操作证。</w:t>
            </w:r>
            <w:r>
              <w:rPr>
                <w:color w:val="auto"/>
                <w:spacing w:val="3"/>
                <w:sz w:val="22"/>
                <w:szCs w:val="22"/>
              </w:rPr>
              <w:t>（如以上关键岗位条件满足并提供相关证书复印</w:t>
            </w:r>
            <w:r>
              <w:rPr>
                <w:color w:val="auto"/>
                <w:spacing w:val="2"/>
                <w:sz w:val="22"/>
                <w:szCs w:val="22"/>
              </w:rPr>
              <w:t>件可综合</w:t>
            </w:r>
            <w:r>
              <w:rPr>
                <w:color w:val="auto"/>
                <w:spacing w:val="-2"/>
                <w:sz w:val="22"/>
                <w:szCs w:val="22"/>
              </w:rPr>
              <w:t>评定为9分）。</w:t>
            </w:r>
          </w:p>
        </w:tc>
      </w:tr>
      <w:tr w14:paraId="3CD4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566" w:type="dxa"/>
            <w:vMerge w:val="restart"/>
            <w:tcBorders>
              <w:top w:val="nil"/>
              <w:bottom w:val="nil"/>
            </w:tcBorders>
            <w:vAlign w:val="top"/>
          </w:tcPr>
          <w:p w14:paraId="2AEB6F75">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restart"/>
            <w:tcBorders>
              <w:top w:val="nil"/>
              <w:bottom w:val="nil"/>
            </w:tcBorders>
            <w:vAlign w:val="top"/>
          </w:tcPr>
          <w:p w14:paraId="6E86E51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vAlign w:val="top"/>
          </w:tcPr>
          <w:p w14:paraId="6667EA26">
            <w:pPr>
              <w:pStyle w:val="110"/>
              <w:keepNext w:val="0"/>
              <w:keepLines w:val="0"/>
              <w:pageBreakBefore w:val="0"/>
              <w:widowControl w:val="0"/>
              <w:kinsoku/>
              <w:wordWrap/>
              <w:overflowPunct/>
              <w:topLinePunct w:val="0"/>
              <w:bidi w:val="0"/>
              <w:adjustRightInd/>
              <w:snapToGrid/>
              <w:spacing w:before="130" w:line="360" w:lineRule="exact"/>
              <w:ind w:left="68"/>
              <w:jc w:val="center"/>
              <w:textAlignment w:val="auto"/>
              <w:rPr>
                <w:color w:val="auto"/>
                <w:sz w:val="22"/>
                <w:szCs w:val="22"/>
              </w:rPr>
            </w:pPr>
            <w:r>
              <w:rPr>
                <w:b/>
                <w:bCs/>
                <w:color w:val="auto"/>
                <w:spacing w:val="-18"/>
                <w:sz w:val="22"/>
                <w:szCs w:val="22"/>
              </w:rPr>
              <w:t>（5）人员培</w:t>
            </w:r>
            <w:r>
              <w:rPr>
                <w:color w:val="auto"/>
                <w:spacing w:val="1"/>
                <w:sz w:val="22"/>
                <w:szCs w:val="22"/>
              </w:rPr>
              <w:t xml:space="preserve">  </w:t>
            </w:r>
            <w:r>
              <w:rPr>
                <w:b/>
                <w:bCs/>
                <w:color w:val="auto"/>
                <w:spacing w:val="-6"/>
                <w:sz w:val="22"/>
                <w:szCs w:val="22"/>
              </w:rPr>
              <w:t>训、管理分</w:t>
            </w:r>
            <w:r>
              <w:rPr>
                <w:color w:val="auto"/>
                <w:spacing w:val="1"/>
                <w:sz w:val="22"/>
                <w:szCs w:val="22"/>
              </w:rPr>
              <w:t xml:space="preserve">  </w:t>
            </w:r>
            <w:r>
              <w:rPr>
                <w:b/>
                <w:bCs/>
                <w:color w:val="auto"/>
                <w:spacing w:val="-2"/>
                <w:sz w:val="22"/>
                <w:szCs w:val="22"/>
              </w:rPr>
              <w:t>（满分9分）</w:t>
            </w:r>
          </w:p>
        </w:tc>
        <w:tc>
          <w:tcPr>
            <w:tcW w:w="6243" w:type="dxa"/>
            <w:vAlign w:val="top"/>
          </w:tcPr>
          <w:p w14:paraId="52C72BFD">
            <w:pPr>
              <w:pStyle w:val="110"/>
              <w:keepNext w:val="0"/>
              <w:keepLines w:val="0"/>
              <w:pageBreakBefore w:val="0"/>
              <w:widowControl w:val="0"/>
              <w:kinsoku/>
              <w:wordWrap/>
              <w:overflowPunct/>
              <w:topLinePunct w:val="0"/>
              <w:bidi w:val="0"/>
              <w:adjustRightInd/>
              <w:snapToGrid/>
              <w:spacing w:before="130" w:line="360" w:lineRule="exact"/>
              <w:ind w:left="115" w:right="713" w:firstLine="3"/>
              <w:jc w:val="both"/>
              <w:textAlignment w:val="auto"/>
              <w:rPr>
                <w:color w:val="auto"/>
                <w:spacing w:val="-4"/>
                <w:sz w:val="22"/>
                <w:szCs w:val="22"/>
              </w:rPr>
            </w:pPr>
            <w:r>
              <w:rPr>
                <w:b/>
                <w:bCs/>
                <w:color w:val="auto"/>
                <w:spacing w:val="-4"/>
                <w:sz w:val="22"/>
                <w:szCs w:val="22"/>
              </w:rPr>
              <w:t>一档（5</w:t>
            </w:r>
            <w:r>
              <w:rPr>
                <w:color w:val="auto"/>
                <w:spacing w:val="-40"/>
                <w:sz w:val="22"/>
                <w:szCs w:val="22"/>
              </w:rPr>
              <w:t xml:space="preserve"> </w:t>
            </w:r>
            <w:r>
              <w:rPr>
                <w:b/>
                <w:bCs/>
                <w:color w:val="auto"/>
                <w:spacing w:val="-4"/>
                <w:sz w:val="22"/>
                <w:szCs w:val="22"/>
              </w:rPr>
              <w:t>分</w:t>
            </w:r>
            <w:r>
              <w:rPr>
                <w:b/>
                <w:bCs/>
                <w:color w:val="auto"/>
                <w:spacing w:val="10"/>
                <w:sz w:val="22"/>
                <w:szCs w:val="22"/>
              </w:rPr>
              <w:t>）：</w:t>
            </w:r>
            <w:r>
              <w:rPr>
                <w:color w:val="auto"/>
                <w:spacing w:val="-4"/>
                <w:sz w:val="22"/>
                <w:szCs w:val="22"/>
              </w:rPr>
              <w:t>方案比较简单，不够全面，针对性不强。</w:t>
            </w:r>
          </w:p>
          <w:p w14:paraId="3D12CF75">
            <w:pPr>
              <w:pStyle w:val="110"/>
              <w:keepNext w:val="0"/>
              <w:keepLines w:val="0"/>
              <w:pageBreakBefore w:val="0"/>
              <w:widowControl w:val="0"/>
              <w:kinsoku/>
              <w:wordWrap/>
              <w:overflowPunct/>
              <w:topLinePunct w:val="0"/>
              <w:bidi w:val="0"/>
              <w:adjustRightInd/>
              <w:snapToGrid/>
              <w:spacing w:before="130" w:line="360" w:lineRule="exact"/>
              <w:ind w:left="115" w:right="713" w:firstLine="3"/>
              <w:jc w:val="both"/>
              <w:textAlignment w:val="auto"/>
              <w:rPr>
                <w:color w:val="auto"/>
                <w:sz w:val="22"/>
                <w:szCs w:val="22"/>
              </w:rPr>
            </w:pPr>
            <w:r>
              <w:rPr>
                <w:b/>
                <w:bCs/>
                <w:color w:val="auto"/>
                <w:spacing w:val="-3"/>
                <w:sz w:val="22"/>
                <w:szCs w:val="22"/>
              </w:rPr>
              <w:t>二档（7</w:t>
            </w:r>
            <w:r>
              <w:rPr>
                <w:color w:val="auto"/>
                <w:spacing w:val="-41"/>
                <w:sz w:val="22"/>
                <w:szCs w:val="22"/>
              </w:rPr>
              <w:t xml:space="preserve"> </w:t>
            </w:r>
            <w:r>
              <w:rPr>
                <w:b/>
                <w:bCs/>
                <w:color w:val="auto"/>
                <w:spacing w:val="-3"/>
                <w:sz w:val="22"/>
                <w:szCs w:val="22"/>
              </w:rPr>
              <w:t>分</w:t>
            </w:r>
            <w:r>
              <w:rPr>
                <w:b/>
                <w:bCs/>
                <w:color w:val="auto"/>
                <w:spacing w:val="3"/>
                <w:sz w:val="22"/>
                <w:szCs w:val="22"/>
              </w:rPr>
              <w:t>）：</w:t>
            </w:r>
            <w:r>
              <w:rPr>
                <w:color w:val="auto"/>
                <w:spacing w:val="-3"/>
                <w:sz w:val="22"/>
                <w:szCs w:val="22"/>
              </w:rPr>
              <w:t>方案比较详细、完整，有一定的</w:t>
            </w:r>
            <w:r>
              <w:rPr>
                <w:color w:val="auto"/>
                <w:spacing w:val="-4"/>
                <w:sz w:val="22"/>
                <w:szCs w:val="22"/>
              </w:rPr>
              <w:t>针对性。</w:t>
            </w:r>
            <w:r>
              <w:rPr>
                <w:color w:val="auto"/>
                <w:sz w:val="22"/>
                <w:szCs w:val="22"/>
              </w:rPr>
              <w:t xml:space="preserve"> </w:t>
            </w:r>
          </w:p>
          <w:p w14:paraId="25992A7B">
            <w:pPr>
              <w:pStyle w:val="110"/>
              <w:keepNext w:val="0"/>
              <w:keepLines w:val="0"/>
              <w:pageBreakBefore w:val="0"/>
              <w:widowControl w:val="0"/>
              <w:kinsoku/>
              <w:wordWrap/>
              <w:overflowPunct/>
              <w:topLinePunct w:val="0"/>
              <w:bidi w:val="0"/>
              <w:adjustRightInd/>
              <w:snapToGrid/>
              <w:spacing w:before="130" w:line="360" w:lineRule="exact"/>
              <w:ind w:left="115" w:right="713" w:firstLine="3"/>
              <w:jc w:val="both"/>
              <w:textAlignment w:val="auto"/>
              <w:rPr>
                <w:color w:val="auto"/>
                <w:sz w:val="22"/>
                <w:szCs w:val="22"/>
              </w:rPr>
            </w:pPr>
            <w:r>
              <w:rPr>
                <w:b/>
                <w:bCs/>
                <w:color w:val="auto"/>
                <w:spacing w:val="-3"/>
                <w:sz w:val="22"/>
                <w:szCs w:val="22"/>
              </w:rPr>
              <w:t>三档（9</w:t>
            </w:r>
            <w:r>
              <w:rPr>
                <w:color w:val="auto"/>
                <w:spacing w:val="-41"/>
                <w:sz w:val="22"/>
                <w:szCs w:val="22"/>
              </w:rPr>
              <w:t xml:space="preserve"> </w:t>
            </w:r>
            <w:r>
              <w:rPr>
                <w:b/>
                <w:bCs/>
                <w:color w:val="auto"/>
                <w:spacing w:val="-3"/>
                <w:sz w:val="22"/>
                <w:szCs w:val="22"/>
              </w:rPr>
              <w:t>分</w:t>
            </w:r>
            <w:r>
              <w:rPr>
                <w:b/>
                <w:bCs/>
                <w:color w:val="auto"/>
                <w:spacing w:val="3"/>
                <w:sz w:val="22"/>
                <w:szCs w:val="22"/>
              </w:rPr>
              <w:t>）：</w:t>
            </w:r>
            <w:r>
              <w:rPr>
                <w:color w:val="auto"/>
                <w:spacing w:val="-3"/>
                <w:sz w:val="22"/>
                <w:szCs w:val="22"/>
              </w:rPr>
              <w:t>方案详细、合理、完整可行，针</w:t>
            </w:r>
            <w:r>
              <w:rPr>
                <w:color w:val="auto"/>
                <w:spacing w:val="-4"/>
                <w:sz w:val="22"/>
                <w:szCs w:val="22"/>
              </w:rPr>
              <w:t>对性强。</w:t>
            </w:r>
          </w:p>
        </w:tc>
      </w:tr>
      <w:tr w14:paraId="5551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6" w:hRule="atLeast"/>
        </w:trPr>
        <w:tc>
          <w:tcPr>
            <w:tcW w:w="566" w:type="dxa"/>
            <w:vMerge w:val="continue"/>
            <w:tcBorders>
              <w:top w:val="nil"/>
              <w:bottom w:val="nil"/>
            </w:tcBorders>
            <w:vAlign w:val="top"/>
          </w:tcPr>
          <w:p w14:paraId="27DD4449">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bottom w:val="nil"/>
            </w:tcBorders>
            <w:vAlign w:val="top"/>
          </w:tcPr>
          <w:p w14:paraId="26F661FC">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vAlign w:val="top"/>
          </w:tcPr>
          <w:p w14:paraId="3D0120F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3BE2BDA4">
            <w:pPr>
              <w:pStyle w:val="110"/>
              <w:keepNext w:val="0"/>
              <w:keepLines w:val="0"/>
              <w:pageBreakBefore w:val="0"/>
              <w:widowControl w:val="0"/>
              <w:kinsoku/>
              <w:wordWrap/>
              <w:overflowPunct/>
              <w:topLinePunct w:val="0"/>
              <w:bidi w:val="0"/>
              <w:adjustRightInd/>
              <w:snapToGrid/>
              <w:spacing w:before="71" w:line="360" w:lineRule="exact"/>
              <w:ind w:left="98" w:right="53" w:hanging="30"/>
              <w:jc w:val="center"/>
              <w:textAlignment w:val="auto"/>
              <w:rPr>
                <w:color w:val="auto"/>
                <w:sz w:val="22"/>
                <w:szCs w:val="22"/>
              </w:rPr>
            </w:pPr>
            <w:r>
              <w:rPr>
                <w:b/>
                <w:bCs/>
                <w:color w:val="auto"/>
                <w:spacing w:val="-11"/>
                <w:sz w:val="22"/>
                <w:szCs w:val="22"/>
              </w:rPr>
              <w:t>（6）拟投入</w:t>
            </w:r>
            <w:r>
              <w:rPr>
                <w:color w:val="auto"/>
                <w:sz w:val="22"/>
                <w:szCs w:val="22"/>
              </w:rPr>
              <w:t xml:space="preserve"> </w:t>
            </w:r>
            <w:r>
              <w:rPr>
                <w:b/>
                <w:bCs/>
                <w:color w:val="auto"/>
                <w:spacing w:val="7"/>
                <w:sz w:val="22"/>
                <w:szCs w:val="22"/>
              </w:rPr>
              <w:t>的物资装/</w:t>
            </w:r>
            <w:r>
              <w:rPr>
                <w:color w:val="auto"/>
                <w:sz w:val="22"/>
                <w:szCs w:val="22"/>
              </w:rPr>
              <w:t xml:space="preserve">  </w:t>
            </w:r>
            <w:r>
              <w:rPr>
                <w:b/>
                <w:bCs/>
                <w:color w:val="auto"/>
                <w:spacing w:val="-4"/>
                <w:sz w:val="22"/>
                <w:szCs w:val="22"/>
              </w:rPr>
              <w:t>设备分（满</w:t>
            </w:r>
            <w:r>
              <w:rPr>
                <w:color w:val="auto"/>
                <w:sz w:val="22"/>
                <w:szCs w:val="22"/>
              </w:rPr>
              <w:t xml:space="preserve"> </w:t>
            </w:r>
            <w:r>
              <w:rPr>
                <w:b/>
                <w:bCs/>
                <w:color w:val="auto"/>
                <w:spacing w:val="17"/>
                <w:sz w:val="22"/>
                <w:szCs w:val="22"/>
              </w:rPr>
              <w:t>分</w:t>
            </w:r>
            <w:r>
              <w:rPr>
                <w:color w:val="auto"/>
                <w:spacing w:val="-44"/>
                <w:sz w:val="22"/>
                <w:szCs w:val="22"/>
              </w:rPr>
              <w:t xml:space="preserve"> </w:t>
            </w:r>
            <w:r>
              <w:rPr>
                <w:b/>
                <w:bCs/>
                <w:color w:val="auto"/>
                <w:spacing w:val="17"/>
                <w:sz w:val="22"/>
                <w:szCs w:val="22"/>
              </w:rPr>
              <w:t>9</w:t>
            </w:r>
            <w:r>
              <w:rPr>
                <w:color w:val="auto"/>
                <w:spacing w:val="-44"/>
                <w:sz w:val="22"/>
                <w:szCs w:val="22"/>
              </w:rPr>
              <w:t xml:space="preserve"> </w:t>
            </w:r>
            <w:r>
              <w:rPr>
                <w:b/>
                <w:bCs/>
                <w:color w:val="auto"/>
                <w:spacing w:val="17"/>
                <w:sz w:val="22"/>
                <w:szCs w:val="22"/>
              </w:rPr>
              <w:t>分）</w:t>
            </w:r>
          </w:p>
        </w:tc>
        <w:tc>
          <w:tcPr>
            <w:tcW w:w="6243" w:type="dxa"/>
            <w:vAlign w:val="top"/>
          </w:tcPr>
          <w:p w14:paraId="095B648E">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18C8AF91">
            <w:pPr>
              <w:pStyle w:val="110"/>
              <w:keepNext w:val="0"/>
              <w:keepLines w:val="0"/>
              <w:pageBreakBefore w:val="0"/>
              <w:widowControl w:val="0"/>
              <w:kinsoku/>
              <w:wordWrap/>
              <w:overflowPunct/>
              <w:topLinePunct w:val="0"/>
              <w:bidi w:val="0"/>
              <w:adjustRightInd/>
              <w:snapToGrid/>
              <w:spacing w:before="72" w:line="360" w:lineRule="exact"/>
              <w:ind w:left="118"/>
              <w:textAlignment w:val="auto"/>
              <w:rPr>
                <w:color w:val="auto"/>
                <w:sz w:val="22"/>
                <w:szCs w:val="22"/>
              </w:rPr>
            </w:pPr>
            <w:r>
              <w:rPr>
                <w:b/>
                <w:bCs/>
                <w:color w:val="auto"/>
                <w:spacing w:val="-2"/>
                <w:sz w:val="22"/>
                <w:szCs w:val="22"/>
              </w:rPr>
              <w:t>一档（5</w:t>
            </w:r>
            <w:r>
              <w:rPr>
                <w:color w:val="auto"/>
                <w:spacing w:val="-40"/>
                <w:sz w:val="22"/>
                <w:szCs w:val="22"/>
              </w:rPr>
              <w:t xml:space="preserve"> </w:t>
            </w:r>
            <w:r>
              <w:rPr>
                <w:b/>
                <w:bCs/>
                <w:color w:val="auto"/>
                <w:spacing w:val="-2"/>
                <w:sz w:val="22"/>
                <w:szCs w:val="22"/>
              </w:rPr>
              <w:t>分</w:t>
            </w:r>
            <w:r>
              <w:rPr>
                <w:b/>
                <w:bCs/>
                <w:color w:val="auto"/>
                <w:spacing w:val="4"/>
                <w:sz w:val="22"/>
                <w:szCs w:val="22"/>
              </w:rPr>
              <w:t>）：</w:t>
            </w:r>
            <w:r>
              <w:rPr>
                <w:color w:val="auto"/>
                <w:spacing w:val="-2"/>
                <w:sz w:val="22"/>
                <w:szCs w:val="22"/>
              </w:rPr>
              <w:t>装备/设备配置要求基本满足采购需求。</w:t>
            </w:r>
          </w:p>
          <w:p w14:paraId="5A9BA24C">
            <w:pPr>
              <w:pStyle w:val="110"/>
              <w:keepNext w:val="0"/>
              <w:keepLines w:val="0"/>
              <w:pageBreakBefore w:val="0"/>
              <w:widowControl w:val="0"/>
              <w:kinsoku/>
              <w:wordWrap/>
              <w:overflowPunct/>
              <w:topLinePunct w:val="0"/>
              <w:bidi w:val="0"/>
              <w:adjustRightInd/>
              <w:snapToGrid/>
              <w:spacing w:before="205" w:line="360" w:lineRule="exact"/>
              <w:ind w:left="115" w:right="107" w:firstLine="3"/>
              <w:textAlignment w:val="auto"/>
              <w:rPr>
                <w:color w:val="auto"/>
                <w:sz w:val="22"/>
                <w:szCs w:val="22"/>
              </w:rPr>
            </w:pPr>
            <w:r>
              <w:rPr>
                <w:b/>
                <w:bCs/>
                <w:color w:val="auto"/>
                <w:spacing w:val="-1"/>
                <w:sz w:val="22"/>
                <w:szCs w:val="22"/>
              </w:rPr>
              <w:t>二档（7</w:t>
            </w:r>
            <w:r>
              <w:rPr>
                <w:color w:val="auto"/>
                <w:spacing w:val="-42"/>
                <w:sz w:val="22"/>
                <w:szCs w:val="22"/>
              </w:rPr>
              <w:t xml:space="preserve"> </w:t>
            </w:r>
            <w:r>
              <w:rPr>
                <w:b/>
                <w:bCs/>
                <w:color w:val="auto"/>
                <w:spacing w:val="-1"/>
                <w:sz w:val="22"/>
                <w:szCs w:val="22"/>
              </w:rPr>
              <w:t>分</w:t>
            </w:r>
            <w:r>
              <w:rPr>
                <w:b/>
                <w:bCs/>
                <w:color w:val="auto"/>
                <w:spacing w:val="6"/>
                <w:sz w:val="22"/>
                <w:szCs w:val="22"/>
              </w:rPr>
              <w:t>）：</w:t>
            </w:r>
            <w:r>
              <w:rPr>
                <w:color w:val="auto"/>
                <w:spacing w:val="-1"/>
                <w:sz w:val="22"/>
                <w:szCs w:val="22"/>
              </w:rPr>
              <w:t>装备/设备配置要求满足采购需求，配置合理。</w:t>
            </w:r>
            <w:r>
              <w:rPr>
                <w:color w:val="auto"/>
                <w:sz w:val="22"/>
                <w:szCs w:val="22"/>
              </w:rPr>
              <w:t xml:space="preserve"> </w:t>
            </w:r>
          </w:p>
          <w:p w14:paraId="12CE2682">
            <w:pPr>
              <w:pStyle w:val="110"/>
              <w:keepNext w:val="0"/>
              <w:keepLines w:val="0"/>
              <w:pageBreakBefore w:val="0"/>
              <w:widowControl w:val="0"/>
              <w:kinsoku/>
              <w:wordWrap/>
              <w:overflowPunct/>
              <w:topLinePunct w:val="0"/>
              <w:bidi w:val="0"/>
              <w:adjustRightInd/>
              <w:snapToGrid/>
              <w:spacing w:before="205" w:line="360" w:lineRule="exact"/>
              <w:ind w:left="115" w:right="107" w:firstLine="3"/>
              <w:textAlignment w:val="auto"/>
              <w:rPr>
                <w:color w:val="auto"/>
                <w:sz w:val="22"/>
                <w:szCs w:val="22"/>
              </w:rPr>
            </w:pPr>
            <w:r>
              <w:rPr>
                <w:b/>
                <w:bCs/>
                <w:color w:val="auto"/>
                <w:spacing w:val="-1"/>
                <w:sz w:val="22"/>
                <w:szCs w:val="22"/>
              </w:rPr>
              <w:t>三档（9</w:t>
            </w:r>
            <w:r>
              <w:rPr>
                <w:color w:val="auto"/>
                <w:spacing w:val="-44"/>
                <w:sz w:val="22"/>
                <w:szCs w:val="22"/>
              </w:rPr>
              <w:t xml:space="preserve"> </w:t>
            </w:r>
            <w:r>
              <w:rPr>
                <w:b/>
                <w:bCs/>
                <w:color w:val="auto"/>
                <w:spacing w:val="-1"/>
                <w:sz w:val="22"/>
                <w:szCs w:val="22"/>
              </w:rPr>
              <w:t>分</w:t>
            </w:r>
            <w:r>
              <w:rPr>
                <w:b/>
                <w:bCs/>
                <w:color w:val="auto"/>
                <w:spacing w:val="9"/>
                <w:sz w:val="22"/>
                <w:szCs w:val="22"/>
              </w:rPr>
              <w:t>）：</w:t>
            </w:r>
            <w:r>
              <w:rPr>
                <w:color w:val="auto"/>
                <w:spacing w:val="-1"/>
                <w:sz w:val="22"/>
                <w:szCs w:val="22"/>
              </w:rPr>
              <w:t>装备/设备配置优于采购需求，更能有效保障服</w:t>
            </w:r>
            <w:r>
              <w:rPr>
                <w:color w:val="auto"/>
                <w:spacing w:val="-2"/>
                <w:sz w:val="22"/>
                <w:szCs w:val="22"/>
              </w:rPr>
              <w:t>务质量的实现。</w:t>
            </w:r>
          </w:p>
        </w:tc>
      </w:tr>
      <w:tr w14:paraId="5AA2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566" w:type="dxa"/>
            <w:vMerge w:val="continue"/>
            <w:tcBorders>
              <w:top w:val="nil"/>
              <w:bottom w:val="nil"/>
            </w:tcBorders>
            <w:vAlign w:val="top"/>
          </w:tcPr>
          <w:p w14:paraId="4882DDF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bottom w:val="nil"/>
            </w:tcBorders>
            <w:vAlign w:val="top"/>
          </w:tcPr>
          <w:p w14:paraId="04804D62">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vAlign w:val="top"/>
          </w:tcPr>
          <w:p w14:paraId="42CC5E18">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87D64B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871F73A">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4C1B213">
            <w:pPr>
              <w:pStyle w:val="110"/>
              <w:keepNext w:val="0"/>
              <w:keepLines w:val="0"/>
              <w:pageBreakBefore w:val="0"/>
              <w:widowControl w:val="0"/>
              <w:kinsoku/>
              <w:wordWrap/>
              <w:overflowPunct/>
              <w:topLinePunct w:val="0"/>
              <w:bidi w:val="0"/>
              <w:adjustRightInd/>
              <w:snapToGrid/>
              <w:spacing w:before="72" w:line="360" w:lineRule="exact"/>
              <w:ind w:left="63" w:right="53" w:firstLine="4"/>
              <w:jc w:val="center"/>
              <w:textAlignment w:val="auto"/>
              <w:rPr>
                <w:color w:val="auto"/>
                <w:sz w:val="22"/>
                <w:szCs w:val="22"/>
              </w:rPr>
            </w:pPr>
            <w:r>
              <w:rPr>
                <w:b/>
                <w:bCs/>
                <w:color w:val="auto"/>
                <w:spacing w:val="-11"/>
                <w:sz w:val="22"/>
                <w:szCs w:val="22"/>
              </w:rPr>
              <w:t>（7）应急预</w:t>
            </w:r>
            <w:r>
              <w:rPr>
                <w:color w:val="auto"/>
                <w:sz w:val="22"/>
                <w:szCs w:val="22"/>
              </w:rPr>
              <w:t xml:space="preserve"> </w:t>
            </w:r>
            <w:r>
              <w:rPr>
                <w:b/>
                <w:bCs/>
                <w:color w:val="auto"/>
                <w:spacing w:val="-22"/>
                <w:sz w:val="22"/>
                <w:szCs w:val="22"/>
              </w:rPr>
              <w:t>案分（满分</w:t>
            </w:r>
            <w:r>
              <w:rPr>
                <w:color w:val="auto"/>
                <w:spacing w:val="-40"/>
                <w:sz w:val="22"/>
                <w:szCs w:val="22"/>
              </w:rPr>
              <w:t xml:space="preserve"> </w:t>
            </w:r>
            <w:r>
              <w:rPr>
                <w:b/>
                <w:bCs/>
                <w:color w:val="auto"/>
                <w:spacing w:val="-22"/>
                <w:sz w:val="22"/>
                <w:szCs w:val="22"/>
              </w:rPr>
              <w:t>9</w:t>
            </w:r>
            <w:r>
              <w:rPr>
                <w:color w:val="auto"/>
                <w:sz w:val="22"/>
                <w:szCs w:val="22"/>
              </w:rPr>
              <w:t xml:space="preserve"> </w:t>
            </w:r>
            <w:r>
              <w:rPr>
                <w:b/>
                <w:bCs/>
                <w:color w:val="auto"/>
                <w:spacing w:val="-8"/>
                <w:sz w:val="22"/>
                <w:szCs w:val="22"/>
              </w:rPr>
              <w:t>分）</w:t>
            </w:r>
          </w:p>
        </w:tc>
        <w:tc>
          <w:tcPr>
            <w:tcW w:w="6243" w:type="dxa"/>
            <w:vAlign w:val="top"/>
          </w:tcPr>
          <w:p w14:paraId="2EF177E9">
            <w:pPr>
              <w:pStyle w:val="110"/>
              <w:keepNext w:val="0"/>
              <w:keepLines w:val="0"/>
              <w:pageBreakBefore w:val="0"/>
              <w:widowControl w:val="0"/>
              <w:kinsoku/>
              <w:wordWrap/>
              <w:overflowPunct/>
              <w:topLinePunct w:val="0"/>
              <w:bidi w:val="0"/>
              <w:adjustRightInd/>
              <w:snapToGrid/>
              <w:spacing w:before="127" w:line="360" w:lineRule="exact"/>
              <w:ind w:left="118"/>
              <w:textAlignment w:val="auto"/>
              <w:rPr>
                <w:color w:val="auto"/>
                <w:sz w:val="22"/>
                <w:szCs w:val="22"/>
              </w:rPr>
            </w:pPr>
            <w:r>
              <w:rPr>
                <w:b/>
                <w:bCs/>
                <w:color w:val="auto"/>
                <w:spacing w:val="-3"/>
                <w:sz w:val="22"/>
                <w:szCs w:val="22"/>
              </w:rPr>
              <w:t>一档（5</w:t>
            </w:r>
            <w:r>
              <w:rPr>
                <w:color w:val="auto"/>
                <w:spacing w:val="-41"/>
                <w:sz w:val="22"/>
                <w:szCs w:val="22"/>
              </w:rPr>
              <w:t xml:space="preserve"> </w:t>
            </w:r>
            <w:r>
              <w:rPr>
                <w:b/>
                <w:bCs/>
                <w:color w:val="auto"/>
                <w:spacing w:val="-3"/>
                <w:sz w:val="22"/>
                <w:szCs w:val="22"/>
              </w:rPr>
              <w:t>分</w:t>
            </w:r>
            <w:r>
              <w:rPr>
                <w:b/>
                <w:bCs/>
                <w:color w:val="auto"/>
                <w:spacing w:val="7"/>
                <w:sz w:val="22"/>
                <w:szCs w:val="22"/>
              </w:rPr>
              <w:t>）：</w:t>
            </w:r>
            <w:r>
              <w:rPr>
                <w:color w:val="auto"/>
                <w:spacing w:val="-3"/>
                <w:sz w:val="22"/>
                <w:szCs w:val="22"/>
              </w:rPr>
              <w:t>预案简单，可操作性不强。</w:t>
            </w:r>
          </w:p>
          <w:p w14:paraId="40A8E3F9">
            <w:pPr>
              <w:pStyle w:val="110"/>
              <w:keepNext w:val="0"/>
              <w:keepLines w:val="0"/>
              <w:pageBreakBefore w:val="0"/>
              <w:widowControl w:val="0"/>
              <w:kinsoku/>
              <w:wordWrap/>
              <w:overflowPunct/>
              <w:topLinePunct w:val="0"/>
              <w:bidi w:val="0"/>
              <w:adjustRightInd/>
              <w:snapToGrid/>
              <w:spacing w:before="207" w:line="360" w:lineRule="exact"/>
              <w:ind w:left="118" w:right="104"/>
              <w:textAlignment w:val="auto"/>
              <w:rPr>
                <w:color w:val="auto"/>
                <w:sz w:val="22"/>
                <w:szCs w:val="22"/>
              </w:rPr>
            </w:pPr>
            <w:r>
              <w:rPr>
                <w:b/>
                <w:bCs/>
                <w:color w:val="auto"/>
                <w:spacing w:val="-4"/>
                <w:sz w:val="22"/>
                <w:szCs w:val="22"/>
              </w:rPr>
              <w:t>二档（7</w:t>
            </w:r>
            <w:r>
              <w:rPr>
                <w:color w:val="auto"/>
                <w:spacing w:val="-43"/>
                <w:sz w:val="22"/>
                <w:szCs w:val="22"/>
              </w:rPr>
              <w:t xml:space="preserve"> </w:t>
            </w:r>
            <w:r>
              <w:rPr>
                <w:b/>
                <w:bCs/>
                <w:color w:val="auto"/>
                <w:spacing w:val="-4"/>
                <w:sz w:val="22"/>
                <w:szCs w:val="22"/>
              </w:rPr>
              <w:t>分</w:t>
            </w:r>
            <w:r>
              <w:rPr>
                <w:b/>
                <w:bCs/>
                <w:color w:val="auto"/>
                <w:spacing w:val="-8"/>
                <w:sz w:val="22"/>
                <w:szCs w:val="22"/>
              </w:rPr>
              <w:t>）：</w:t>
            </w:r>
            <w:r>
              <w:rPr>
                <w:color w:val="auto"/>
                <w:spacing w:val="-4"/>
                <w:sz w:val="22"/>
                <w:szCs w:val="22"/>
              </w:rPr>
              <w:t>预案较符合采购要求，对突发事件的发生，一般</w:t>
            </w:r>
            <w:r>
              <w:rPr>
                <w:color w:val="auto"/>
                <w:spacing w:val="-1"/>
                <w:sz w:val="22"/>
                <w:szCs w:val="22"/>
              </w:rPr>
              <w:t>性响应，结构较合理、应急处置预案内容较详细、完善。</w:t>
            </w:r>
          </w:p>
          <w:p w14:paraId="71851C97">
            <w:pPr>
              <w:pStyle w:val="110"/>
              <w:keepNext w:val="0"/>
              <w:keepLines w:val="0"/>
              <w:pageBreakBefore w:val="0"/>
              <w:widowControl w:val="0"/>
              <w:kinsoku/>
              <w:wordWrap/>
              <w:overflowPunct/>
              <w:topLinePunct w:val="0"/>
              <w:bidi w:val="0"/>
              <w:adjustRightInd/>
              <w:snapToGrid/>
              <w:spacing w:before="30" w:line="360" w:lineRule="exact"/>
              <w:ind w:left="115" w:right="107"/>
              <w:textAlignment w:val="auto"/>
              <w:rPr>
                <w:color w:val="auto"/>
                <w:sz w:val="22"/>
                <w:szCs w:val="22"/>
              </w:rPr>
            </w:pPr>
            <w:r>
              <w:rPr>
                <w:b/>
                <w:bCs/>
                <w:color w:val="auto"/>
                <w:spacing w:val="-4"/>
                <w:sz w:val="22"/>
                <w:szCs w:val="22"/>
              </w:rPr>
              <w:t>三档（9</w:t>
            </w:r>
            <w:r>
              <w:rPr>
                <w:color w:val="auto"/>
                <w:spacing w:val="-44"/>
                <w:sz w:val="22"/>
                <w:szCs w:val="22"/>
              </w:rPr>
              <w:t xml:space="preserve"> </w:t>
            </w:r>
            <w:r>
              <w:rPr>
                <w:b/>
                <w:bCs/>
                <w:color w:val="auto"/>
                <w:spacing w:val="-4"/>
                <w:sz w:val="22"/>
                <w:szCs w:val="22"/>
              </w:rPr>
              <w:t>分</w:t>
            </w:r>
            <w:r>
              <w:rPr>
                <w:b/>
                <w:bCs/>
                <w:color w:val="auto"/>
                <w:spacing w:val="-6"/>
                <w:sz w:val="22"/>
                <w:szCs w:val="22"/>
              </w:rPr>
              <w:t>）</w:t>
            </w:r>
            <w:r>
              <w:rPr>
                <w:color w:val="auto"/>
                <w:spacing w:val="-6"/>
                <w:sz w:val="22"/>
                <w:szCs w:val="22"/>
              </w:rPr>
              <w:t>：</w:t>
            </w:r>
            <w:r>
              <w:rPr>
                <w:color w:val="auto"/>
                <w:spacing w:val="-4"/>
                <w:sz w:val="22"/>
                <w:szCs w:val="22"/>
              </w:rPr>
              <w:t>预案完全符合采购要求，对突发事件的发生，如</w:t>
            </w:r>
            <w:r>
              <w:rPr>
                <w:color w:val="auto"/>
                <w:spacing w:val="3"/>
                <w:sz w:val="22"/>
                <w:szCs w:val="22"/>
              </w:rPr>
              <w:t>安全事故等应急处置预案等内容全面，即时</w:t>
            </w:r>
            <w:r>
              <w:rPr>
                <w:color w:val="auto"/>
                <w:spacing w:val="2"/>
                <w:sz w:val="22"/>
                <w:szCs w:val="22"/>
              </w:rPr>
              <w:t>响应，时效性强，</w:t>
            </w:r>
            <w:r>
              <w:rPr>
                <w:color w:val="auto"/>
                <w:sz w:val="22"/>
                <w:szCs w:val="22"/>
              </w:rPr>
              <w:t xml:space="preserve"> </w:t>
            </w:r>
            <w:r>
              <w:rPr>
                <w:color w:val="auto"/>
                <w:spacing w:val="-1"/>
                <w:sz w:val="22"/>
                <w:szCs w:val="22"/>
              </w:rPr>
              <w:t>方案详实、科学，可操作性强。</w:t>
            </w:r>
          </w:p>
        </w:tc>
      </w:tr>
      <w:tr w14:paraId="74E9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566" w:type="dxa"/>
            <w:vMerge w:val="continue"/>
            <w:tcBorders>
              <w:top w:val="nil"/>
              <w:bottom w:val="single" w:color="auto" w:sz="4" w:space="0"/>
            </w:tcBorders>
            <w:vAlign w:val="top"/>
          </w:tcPr>
          <w:p w14:paraId="62201AB4">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417" w:type="dxa"/>
            <w:vMerge w:val="continue"/>
            <w:tcBorders>
              <w:top w:val="nil"/>
              <w:bottom w:val="single" w:color="auto" w:sz="4" w:space="0"/>
            </w:tcBorders>
            <w:vAlign w:val="top"/>
          </w:tcPr>
          <w:p w14:paraId="14A2BFC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tc>
        <w:tc>
          <w:tcPr>
            <w:tcW w:w="1286" w:type="dxa"/>
            <w:tcBorders>
              <w:bottom w:val="single" w:color="auto" w:sz="4" w:space="0"/>
            </w:tcBorders>
            <w:vAlign w:val="top"/>
          </w:tcPr>
          <w:p w14:paraId="7B6BC3CC">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3EEA53E6">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078401B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1FBDF5A2">
            <w:pPr>
              <w:pStyle w:val="110"/>
              <w:keepNext w:val="0"/>
              <w:keepLines w:val="0"/>
              <w:pageBreakBefore w:val="0"/>
              <w:widowControl w:val="0"/>
              <w:kinsoku/>
              <w:wordWrap/>
              <w:overflowPunct/>
              <w:topLinePunct w:val="0"/>
              <w:bidi w:val="0"/>
              <w:adjustRightInd/>
              <w:snapToGrid/>
              <w:spacing w:before="71" w:line="360" w:lineRule="exact"/>
              <w:ind w:left="62" w:right="53" w:firstLine="6"/>
              <w:jc w:val="center"/>
              <w:textAlignment w:val="auto"/>
              <w:rPr>
                <w:color w:val="auto"/>
                <w:sz w:val="22"/>
                <w:szCs w:val="22"/>
              </w:rPr>
            </w:pPr>
            <w:r>
              <w:rPr>
                <w:b/>
                <w:bCs/>
                <w:color w:val="auto"/>
                <w:spacing w:val="-11"/>
                <w:sz w:val="22"/>
                <w:szCs w:val="22"/>
              </w:rPr>
              <w:t>（8）服务承</w:t>
            </w:r>
            <w:r>
              <w:rPr>
                <w:color w:val="auto"/>
                <w:sz w:val="22"/>
                <w:szCs w:val="22"/>
              </w:rPr>
              <w:t xml:space="preserve"> </w:t>
            </w:r>
            <w:r>
              <w:rPr>
                <w:b/>
                <w:bCs/>
                <w:color w:val="auto"/>
                <w:spacing w:val="-21"/>
                <w:sz w:val="22"/>
                <w:szCs w:val="22"/>
              </w:rPr>
              <w:t>诺分（满分</w:t>
            </w:r>
            <w:r>
              <w:rPr>
                <w:color w:val="auto"/>
                <w:spacing w:val="-44"/>
                <w:sz w:val="22"/>
                <w:szCs w:val="22"/>
              </w:rPr>
              <w:t xml:space="preserve"> </w:t>
            </w:r>
            <w:r>
              <w:rPr>
                <w:b/>
                <w:bCs/>
                <w:color w:val="auto"/>
                <w:spacing w:val="-21"/>
                <w:sz w:val="22"/>
                <w:szCs w:val="22"/>
              </w:rPr>
              <w:t>9</w:t>
            </w:r>
            <w:r>
              <w:rPr>
                <w:color w:val="auto"/>
                <w:sz w:val="22"/>
                <w:szCs w:val="22"/>
              </w:rPr>
              <w:t xml:space="preserve"> </w:t>
            </w:r>
            <w:r>
              <w:rPr>
                <w:b/>
                <w:bCs/>
                <w:color w:val="auto"/>
                <w:spacing w:val="-7"/>
                <w:sz w:val="22"/>
                <w:szCs w:val="22"/>
              </w:rPr>
              <w:t>分）</w:t>
            </w:r>
          </w:p>
        </w:tc>
        <w:tc>
          <w:tcPr>
            <w:tcW w:w="6243" w:type="dxa"/>
            <w:vAlign w:val="top"/>
          </w:tcPr>
          <w:p w14:paraId="1A86C630">
            <w:pPr>
              <w:pStyle w:val="110"/>
              <w:keepNext w:val="0"/>
              <w:keepLines w:val="0"/>
              <w:pageBreakBefore w:val="0"/>
              <w:widowControl w:val="0"/>
              <w:kinsoku/>
              <w:wordWrap/>
              <w:overflowPunct/>
              <w:topLinePunct w:val="0"/>
              <w:bidi w:val="0"/>
              <w:adjustRightInd/>
              <w:snapToGrid/>
              <w:spacing w:before="127" w:line="360" w:lineRule="exact"/>
              <w:ind w:left="118"/>
              <w:textAlignment w:val="auto"/>
              <w:rPr>
                <w:color w:val="auto"/>
                <w:sz w:val="22"/>
                <w:szCs w:val="22"/>
              </w:rPr>
            </w:pPr>
            <w:r>
              <w:rPr>
                <w:b/>
                <w:bCs/>
                <w:color w:val="auto"/>
                <w:spacing w:val="-2"/>
                <w:sz w:val="22"/>
                <w:szCs w:val="22"/>
              </w:rPr>
              <w:t>一档（5</w:t>
            </w:r>
            <w:r>
              <w:rPr>
                <w:color w:val="auto"/>
                <w:spacing w:val="-41"/>
                <w:sz w:val="22"/>
                <w:szCs w:val="22"/>
              </w:rPr>
              <w:t xml:space="preserve"> </w:t>
            </w:r>
            <w:r>
              <w:rPr>
                <w:b/>
                <w:bCs/>
                <w:color w:val="auto"/>
                <w:spacing w:val="-2"/>
                <w:sz w:val="22"/>
                <w:szCs w:val="22"/>
              </w:rPr>
              <w:t>分</w:t>
            </w:r>
            <w:r>
              <w:rPr>
                <w:b/>
                <w:bCs/>
                <w:color w:val="auto"/>
                <w:spacing w:val="5"/>
                <w:sz w:val="22"/>
                <w:szCs w:val="22"/>
              </w:rPr>
              <w:t>）</w:t>
            </w:r>
            <w:r>
              <w:rPr>
                <w:color w:val="auto"/>
                <w:spacing w:val="5"/>
                <w:sz w:val="22"/>
                <w:szCs w:val="22"/>
              </w:rPr>
              <w:t>：</w:t>
            </w:r>
            <w:r>
              <w:rPr>
                <w:color w:val="auto"/>
                <w:spacing w:val="-2"/>
                <w:sz w:val="22"/>
                <w:szCs w:val="22"/>
              </w:rPr>
              <w:t>服务承诺方案简单，各项服务措施不全面。</w:t>
            </w:r>
          </w:p>
          <w:p w14:paraId="446380B9">
            <w:pPr>
              <w:pStyle w:val="110"/>
              <w:keepNext w:val="0"/>
              <w:keepLines w:val="0"/>
              <w:pageBreakBefore w:val="0"/>
              <w:widowControl w:val="0"/>
              <w:kinsoku/>
              <w:wordWrap/>
              <w:overflowPunct/>
              <w:topLinePunct w:val="0"/>
              <w:bidi w:val="0"/>
              <w:adjustRightInd/>
              <w:snapToGrid/>
              <w:spacing w:before="206" w:line="360" w:lineRule="exact"/>
              <w:ind w:left="118"/>
              <w:textAlignment w:val="auto"/>
              <w:rPr>
                <w:color w:val="auto"/>
                <w:sz w:val="22"/>
                <w:szCs w:val="22"/>
              </w:rPr>
            </w:pPr>
            <w:r>
              <w:rPr>
                <w:b/>
                <w:bCs/>
                <w:color w:val="auto"/>
                <w:spacing w:val="-2"/>
                <w:sz w:val="22"/>
                <w:szCs w:val="22"/>
              </w:rPr>
              <w:t>二档（7</w:t>
            </w:r>
            <w:r>
              <w:rPr>
                <w:color w:val="auto"/>
                <w:spacing w:val="-41"/>
                <w:sz w:val="22"/>
                <w:szCs w:val="22"/>
              </w:rPr>
              <w:t xml:space="preserve"> </w:t>
            </w:r>
            <w:r>
              <w:rPr>
                <w:b/>
                <w:bCs/>
                <w:color w:val="auto"/>
                <w:spacing w:val="-2"/>
                <w:sz w:val="22"/>
                <w:szCs w:val="22"/>
              </w:rPr>
              <w:t>分</w:t>
            </w:r>
            <w:r>
              <w:rPr>
                <w:b/>
                <w:bCs/>
                <w:color w:val="auto"/>
                <w:spacing w:val="5"/>
                <w:sz w:val="22"/>
                <w:szCs w:val="22"/>
              </w:rPr>
              <w:t>）：</w:t>
            </w:r>
            <w:r>
              <w:rPr>
                <w:color w:val="auto"/>
                <w:spacing w:val="-2"/>
                <w:sz w:val="22"/>
                <w:szCs w:val="22"/>
              </w:rPr>
              <w:t>服务承诺方案较完整，各项服务措施较全面。</w:t>
            </w:r>
          </w:p>
          <w:p w14:paraId="6B39CC28">
            <w:pPr>
              <w:pStyle w:val="110"/>
              <w:keepNext w:val="0"/>
              <w:keepLines w:val="0"/>
              <w:pageBreakBefore w:val="0"/>
              <w:widowControl w:val="0"/>
              <w:kinsoku/>
              <w:wordWrap/>
              <w:overflowPunct/>
              <w:topLinePunct w:val="0"/>
              <w:bidi w:val="0"/>
              <w:adjustRightInd/>
              <w:snapToGrid/>
              <w:spacing w:before="204" w:line="360" w:lineRule="exact"/>
              <w:ind w:left="115" w:right="46"/>
              <w:jc w:val="both"/>
              <w:textAlignment w:val="auto"/>
              <w:rPr>
                <w:color w:val="auto"/>
                <w:sz w:val="22"/>
                <w:szCs w:val="22"/>
              </w:rPr>
            </w:pPr>
            <w:r>
              <w:rPr>
                <w:b/>
                <w:bCs/>
                <w:color w:val="auto"/>
                <w:spacing w:val="-4"/>
                <w:sz w:val="22"/>
                <w:szCs w:val="22"/>
              </w:rPr>
              <w:t>三档（9</w:t>
            </w:r>
            <w:r>
              <w:rPr>
                <w:color w:val="auto"/>
                <w:spacing w:val="-44"/>
                <w:sz w:val="22"/>
                <w:szCs w:val="22"/>
              </w:rPr>
              <w:t xml:space="preserve"> </w:t>
            </w:r>
            <w:r>
              <w:rPr>
                <w:b/>
                <w:bCs/>
                <w:color w:val="auto"/>
                <w:spacing w:val="-4"/>
                <w:sz w:val="22"/>
                <w:szCs w:val="22"/>
              </w:rPr>
              <w:t>分</w:t>
            </w:r>
            <w:r>
              <w:rPr>
                <w:b/>
                <w:bCs/>
                <w:color w:val="auto"/>
                <w:spacing w:val="-7"/>
                <w:sz w:val="22"/>
                <w:szCs w:val="22"/>
              </w:rPr>
              <w:t>）：</w:t>
            </w:r>
            <w:r>
              <w:rPr>
                <w:color w:val="auto"/>
                <w:spacing w:val="-4"/>
                <w:sz w:val="22"/>
                <w:szCs w:val="22"/>
              </w:rPr>
              <w:t>服务承诺比较细致、合理、可行，保障响应措施</w:t>
            </w:r>
            <w:r>
              <w:rPr>
                <w:color w:val="auto"/>
                <w:spacing w:val="-6"/>
                <w:sz w:val="22"/>
                <w:szCs w:val="22"/>
              </w:rPr>
              <w:t>有力，并承诺提供 7×24 服务热线，响应时</w:t>
            </w:r>
            <w:r>
              <w:rPr>
                <w:color w:val="auto"/>
                <w:spacing w:val="-7"/>
                <w:sz w:val="22"/>
                <w:szCs w:val="22"/>
              </w:rPr>
              <w:t>间短，快捷、迅速，</w:t>
            </w:r>
            <w:r>
              <w:rPr>
                <w:color w:val="auto"/>
                <w:sz w:val="22"/>
                <w:szCs w:val="22"/>
              </w:rPr>
              <w:t xml:space="preserve"> </w:t>
            </w:r>
            <w:r>
              <w:rPr>
                <w:color w:val="auto"/>
                <w:spacing w:val="-3"/>
                <w:sz w:val="22"/>
                <w:szCs w:val="22"/>
              </w:rPr>
              <w:t>服务承诺详细，项目的后续服务得到有力的保障，且切实可行，</w:t>
            </w:r>
            <w:r>
              <w:rPr>
                <w:color w:val="auto"/>
                <w:sz w:val="22"/>
                <w:szCs w:val="22"/>
              </w:rPr>
              <w:t xml:space="preserve"> </w:t>
            </w:r>
            <w:r>
              <w:rPr>
                <w:color w:val="auto"/>
                <w:spacing w:val="-1"/>
                <w:sz w:val="22"/>
                <w:szCs w:val="22"/>
              </w:rPr>
              <w:t>服务承诺和保障措施考虑周全、完整详细。</w:t>
            </w:r>
          </w:p>
        </w:tc>
      </w:tr>
      <w:tr w14:paraId="710B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66" w:type="dxa"/>
            <w:tcBorders>
              <w:top w:val="single" w:color="auto" w:sz="4" w:space="0"/>
            </w:tcBorders>
            <w:vAlign w:val="top"/>
          </w:tcPr>
          <w:p w14:paraId="0E465F78">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3E95B7E2">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5ABCBB77">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3314099">
            <w:pPr>
              <w:pStyle w:val="110"/>
              <w:keepNext w:val="0"/>
              <w:keepLines w:val="0"/>
              <w:pageBreakBefore w:val="0"/>
              <w:widowControl w:val="0"/>
              <w:kinsoku/>
              <w:wordWrap/>
              <w:overflowPunct/>
              <w:topLinePunct w:val="0"/>
              <w:bidi w:val="0"/>
              <w:adjustRightInd/>
              <w:snapToGrid/>
              <w:spacing w:before="65" w:line="360" w:lineRule="exact"/>
              <w:ind w:left="239"/>
              <w:textAlignment w:val="auto"/>
              <w:rPr>
                <w:color w:val="auto"/>
                <w:sz w:val="20"/>
                <w:szCs w:val="20"/>
              </w:rPr>
            </w:pPr>
            <w:r>
              <w:rPr>
                <w:b/>
                <w:bCs/>
                <w:color w:val="auto"/>
                <w:spacing w:val="-3"/>
                <w:sz w:val="20"/>
                <w:szCs w:val="20"/>
              </w:rPr>
              <w:t>3</w:t>
            </w:r>
          </w:p>
        </w:tc>
        <w:tc>
          <w:tcPr>
            <w:tcW w:w="1417" w:type="dxa"/>
            <w:tcBorders>
              <w:top w:val="single" w:color="auto" w:sz="4" w:space="0"/>
            </w:tcBorders>
            <w:vAlign w:val="top"/>
          </w:tcPr>
          <w:p w14:paraId="0C25F4F0">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47BD1711">
            <w:pPr>
              <w:pStyle w:val="110"/>
              <w:keepNext w:val="0"/>
              <w:keepLines w:val="0"/>
              <w:pageBreakBefore w:val="0"/>
              <w:widowControl w:val="0"/>
              <w:kinsoku/>
              <w:wordWrap/>
              <w:overflowPunct/>
              <w:topLinePunct w:val="0"/>
              <w:bidi w:val="0"/>
              <w:adjustRightInd/>
              <w:snapToGrid/>
              <w:spacing w:before="71" w:line="360" w:lineRule="exact"/>
              <w:ind w:left="150"/>
              <w:textAlignment w:val="auto"/>
              <w:rPr>
                <w:rFonts w:ascii="宋体" w:hAnsi="宋体" w:eastAsia="宋体" w:cs="宋体"/>
                <w:b/>
                <w:bCs/>
                <w:color w:val="auto"/>
                <w:spacing w:val="-4"/>
                <w:sz w:val="22"/>
                <w:szCs w:val="22"/>
              </w:rPr>
            </w:pPr>
            <w:r>
              <w:rPr>
                <w:rFonts w:ascii="宋体" w:hAnsi="宋体" w:eastAsia="宋体" w:cs="宋体"/>
                <w:b/>
                <w:bCs/>
                <w:color w:val="auto"/>
                <w:spacing w:val="-4"/>
                <w:sz w:val="22"/>
                <w:szCs w:val="22"/>
              </w:rPr>
              <w:t>商务分</w:t>
            </w:r>
          </w:p>
          <w:p w14:paraId="16A7010C">
            <w:pPr>
              <w:pStyle w:val="110"/>
              <w:keepNext w:val="0"/>
              <w:keepLines w:val="0"/>
              <w:pageBreakBefore w:val="0"/>
              <w:widowControl w:val="0"/>
              <w:kinsoku/>
              <w:wordWrap/>
              <w:overflowPunct/>
              <w:topLinePunct w:val="0"/>
              <w:bidi w:val="0"/>
              <w:adjustRightInd/>
              <w:snapToGrid/>
              <w:spacing w:before="71" w:line="360" w:lineRule="exact"/>
              <w:ind w:left="150"/>
              <w:textAlignment w:val="auto"/>
              <w:rPr>
                <w:color w:val="auto"/>
                <w:sz w:val="20"/>
                <w:szCs w:val="20"/>
              </w:rPr>
            </w:pPr>
            <w:r>
              <w:rPr>
                <w:rFonts w:ascii="宋体" w:hAnsi="宋体" w:eastAsia="宋体" w:cs="宋体"/>
                <w:b/>
                <w:bCs/>
                <w:color w:val="auto"/>
                <w:spacing w:val="-4"/>
                <w:sz w:val="22"/>
                <w:szCs w:val="22"/>
              </w:rPr>
              <w:t>（满分 10 分）</w:t>
            </w:r>
          </w:p>
        </w:tc>
        <w:tc>
          <w:tcPr>
            <w:tcW w:w="1286" w:type="dxa"/>
            <w:tcBorders>
              <w:top w:val="single" w:color="auto" w:sz="4" w:space="0"/>
            </w:tcBorders>
            <w:vAlign w:val="top"/>
          </w:tcPr>
          <w:p w14:paraId="783E5B6D">
            <w:pPr>
              <w:keepNext w:val="0"/>
              <w:keepLines w:val="0"/>
              <w:pageBreakBefore w:val="0"/>
              <w:widowControl w:val="0"/>
              <w:kinsoku/>
              <w:wordWrap/>
              <w:overflowPunct/>
              <w:topLinePunct w:val="0"/>
              <w:bidi w:val="0"/>
              <w:adjustRightInd/>
              <w:snapToGrid/>
              <w:spacing w:line="360" w:lineRule="exact"/>
              <w:textAlignment w:val="auto"/>
              <w:rPr>
                <w:rFonts w:ascii="Arial"/>
                <w:color w:val="auto"/>
                <w:sz w:val="21"/>
              </w:rPr>
            </w:pPr>
          </w:p>
          <w:p w14:paraId="7B3BB993">
            <w:pPr>
              <w:pStyle w:val="110"/>
              <w:keepNext w:val="0"/>
              <w:keepLines w:val="0"/>
              <w:pageBreakBefore w:val="0"/>
              <w:widowControl w:val="0"/>
              <w:kinsoku/>
              <w:wordWrap/>
              <w:overflowPunct/>
              <w:topLinePunct w:val="0"/>
              <w:bidi w:val="0"/>
              <w:adjustRightInd/>
              <w:snapToGrid/>
              <w:spacing w:before="71" w:line="360" w:lineRule="exact"/>
              <w:ind w:left="150"/>
              <w:textAlignment w:val="auto"/>
              <w:rPr>
                <w:color w:val="auto"/>
                <w:sz w:val="22"/>
                <w:szCs w:val="22"/>
              </w:rPr>
            </w:pPr>
            <w:r>
              <w:rPr>
                <w:b/>
                <w:bCs/>
                <w:color w:val="auto"/>
                <w:spacing w:val="-4"/>
                <w:sz w:val="22"/>
                <w:szCs w:val="22"/>
              </w:rPr>
              <w:t>业绩</w:t>
            </w:r>
            <w:r>
              <w:rPr>
                <w:rFonts w:hint="eastAsia"/>
                <w:b/>
                <w:bCs/>
                <w:color w:val="auto"/>
                <w:spacing w:val="-4"/>
                <w:sz w:val="22"/>
                <w:szCs w:val="22"/>
                <w:lang w:eastAsia="zh-CN"/>
              </w:rPr>
              <w:t>分</w:t>
            </w:r>
            <w:r>
              <w:rPr>
                <w:b/>
                <w:bCs/>
                <w:color w:val="auto"/>
                <w:spacing w:val="-8"/>
                <w:sz w:val="22"/>
                <w:szCs w:val="22"/>
              </w:rPr>
              <w:t>（满分</w:t>
            </w:r>
            <w:r>
              <w:rPr>
                <w:color w:val="auto"/>
                <w:spacing w:val="-29"/>
                <w:sz w:val="22"/>
                <w:szCs w:val="22"/>
              </w:rPr>
              <w:t xml:space="preserve"> </w:t>
            </w:r>
            <w:r>
              <w:rPr>
                <w:b/>
                <w:bCs/>
                <w:color w:val="auto"/>
                <w:spacing w:val="-8"/>
                <w:sz w:val="22"/>
                <w:szCs w:val="22"/>
              </w:rPr>
              <w:t>10</w:t>
            </w:r>
            <w:r>
              <w:rPr>
                <w:color w:val="auto"/>
                <w:sz w:val="22"/>
                <w:szCs w:val="22"/>
              </w:rPr>
              <w:t xml:space="preserve"> </w:t>
            </w:r>
            <w:r>
              <w:rPr>
                <w:b/>
                <w:bCs/>
                <w:color w:val="auto"/>
                <w:spacing w:val="-8"/>
                <w:sz w:val="22"/>
                <w:szCs w:val="22"/>
              </w:rPr>
              <w:t>分）</w:t>
            </w:r>
          </w:p>
        </w:tc>
        <w:tc>
          <w:tcPr>
            <w:tcW w:w="6243" w:type="dxa"/>
            <w:vAlign w:val="top"/>
          </w:tcPr>
          <w:p w14:paraId="39EAF592">
            <w:pPr>
              <w:pStyle w:val="110"/>
              <w:keepNext w:val="0"/>
              <w:keepLines w:val="0"/>
              <w:pageBreakBefore w:val="0"/>
              <w:widowControl w:val="0"/>
              <w:kinsoku/>
              <w:wordWrap/>
              <w:overflowPunct/>
              <w:topLinePunct w:val="0"/>
              <w:bidi w:val="0"/>
              <w:adjustRightInd/>
              <w:snapToGrid/>
              <w:spacing w:before="126" w:line="360" w:lineRule="exact"/>
              <w:ind w:left="116" w:right="104" w:firstLine="1"/>
              <w:jc w:val="both"/>
              <w:textAlignment w:val="auto"/>
              <w:rPr>
                <w:color w:val="auto"/>
                <w:sz w:val="22"/>
                <w:szCs w:val="22"/>
              </w:rPr>
            </w:pPr>
            <w:r>
              <w:rPr>
                <w:color w:val="auto"/>
                <w:spacing w:val="-5"/>
                <w:sz w:val="22"/>
                <w:szCs w:val="22"/>
              </w:rPr>
              <w:t>202</w:t>
            </w:r>
            <w:r>
              <w:rPr>
                <w:rFonts w:hint="eastAsia"/>
                <w:color w:val="auto"/>
                <w:spacing w:val="-5"/>
                <w:sz w:val="22"/>
                <w:szCs w:val="22"/>
                <w:lang w:val="en-US" w:eastAsia="zh-CN"/>
              </w:rPr>
              <w:t>2</w:t>
            </w:r>
            <w:r>
              <w:rPr>
                <w:color w:val="auto"/>
                <w:spacing w:val="-30"/>
                <w:sz w:val="22"/>
                <w:szCs w:val="22"/>
              </w:rPr>
              <w:t xml:space="preserve"> </w:t>
            </w:r>
            <w:r>
              <w:rPr>
                <w:color w:val="auto"/>
                <w:spacing w:val="-5"/>
                <w:sz w:val="22"/>
                <w:szCs w:val="22"/>
              </w:rPr>
              <w:t>年</w:t>
            </w:r>
            <w:r>
              <w:rPr>
                <w:color w:val="auto"/>
                <w:spacing w:val="-30"/>
                <w:sz w:val="22"/>
                <w:szCs w:val="22"/>
              </w:rPr>
              <w:t xml:space="preserve"> </w:t>
            </w:r>
            <w:r>
              <w:rPr>
                <w:color w:val="auto"/>
                <w:spacing w:val="-5"/>
                <w:sz w:val="22"/>
                <w:szCs w:val="22"/>
              </w:rPr>
              <w:t>1</w:t>
            </w:r>
            <w:r>
              <w:rPr>
                <w:color w:val="auto"/>
                <w:spacing w:val="-41"/>
                <w:sz w:val="22"/>
                <w:szCs w:val="22"/>
              </w:rPr>
              <w:t xml:space="preserve"> </w:t>
            </w:r>
            <w:r>
              <w:rPr>
                <w:color w:val="auto"/>
                <w:spacing w:val="-5"/>
                <w:sz w:val="22"/>
                <w:szCs w:val="22"/>
              </w:rPr>
              <w:t>月</w:t>
            </w:r>
            <w:r>
              <w:rPr>
                <w:color w:val="auto"/>
                <w:spacing w:val="-30"/>
                <w:sz w:val="22"/>
                <w:szCs w:val="22"/>
              </w:rPr>
              <w:t xml:space="preserve"> </w:t>
            </w:r>
            <w:r>
              <w:rPr>
                <w:color w:val="auto"/>
                <w:spacing w:val="-5"/>
                <w:sz w:val="22"/>
                <w:szCs w:val="22"/>
              </w:rPr>
              <w:t>1 日至今投标人提供类似业绩的每一个得</w:t>
            </w:r>
            <w:r>
              <w:rPr>
                <w:color w:val="auto"/>
                <w:spacing w:val="-44"/>
                <w:sz w:val="22"/>
                <w:szCs w:val="22"/>
              </w:rPr>
              <w:t xml:space="preserve"> </w:t>
            </w:r>
            <w:r>
              <w:rPr>
                <w:rFonts w:hint="eastAsia"/>
                <w:color w:val="auto"/>
                <w:spacing w:val="-44"/>
                <w:sz w:val="22"/>
                <w:szCs w:val="22"/>
                <w:lang w:val="en-US" w:eastAsia="zh-CN"/>
              </w:rPr>
              <w:t>1</w:t>
            </w:r>
            <w:r>
              <w:rPr>
                <w:color w:val="auto"/>
                <w:spacing w:val="-44"/>
                <w:sz w:val="22"/>
                <w:szCs w:val="22"/>
              </w:rPr>
              <w:t xml:space="preserve"> </w:t>
            </w:r>
            <w:r>
              <w:rPr>
                <w:color w:val="auto"/>
                <w:spacing w:val="-5"/>
                <w:sz w:val="22"/>
                <w:szCs w:val="22"/>
              </w:rPr>
              <w:t>分，本</w:t>
            </w:r>
            <w:r>
              <w:rPr>
                <w:color w:val="auto"/>
                <w:spacing w:val="1"/>
                <w:sz w:val="22"/>
                <w:szCs w:val="22"/>
              </w:rPr>
              <w:t>项最多得</w:t>
            </w:r>
            <w:r>
              <w:rPr>
                <w:color w:val="auto"/>
                <w:spacing w:val="-21"/>
                <w:sz w:val="22"/>
                <w:szCs w:val="22"/>
              </w:rPr>
              <w:t xml:space="preserve"> </w:t>
            </w:r>
            <w:r>
              <w:rPr>
                <w:color w:val="auto"/>
                <w:spacing w:val="1"/>
                <w:sz w:val="22"/>
                <w:szCs w:val="22"/>
              </w:rPr>
              <w:t>10</w:t>
            </w:r>
            <w:r>
              <w:rPr>
                <w:color w:val="auto"/>
                <w:spacing w:val="-44"/>
                <w:sz w:val="22"/>
                <w:szCs w:val="22"/>
              </w:rPr>
              <w:t xml:space="preserve"> </w:t>
            </w:r>
            <w:r>
              <w:rPr>
                <w:color w:val="auto"/>
                <w:spacing w:val="1"/>
                <w:sz w:val="22"/>
                <w:szCs w:val="22"/>
              </w:rPr>
              <w:t>分 （在投标文件中提供合同或中标（成交）通知</w:t>
            </w:r>
            <w:r>
              <w:rPr>
                <w:color w:val="auto"/>
                <w:spacing w:val="3"/>
                <w:sz w:val="22"/>
                <w:szCs w:val="22"/>
              </w:rPr>
              <w:t>书复印件并加盖单位公章，投标人如提供同一个</w:t>
            </w:r>
            <w:r>
              <w:rPr>
                <w:color w:val="auto"/>
                <w:spacing w:val="2"/>
                <w:sz w:val="22"/>
                <w:szCs w:val="22"/>
              </w:rPr>
              <w:t>项目有多个标</w:t>
            </w:r>
            <w:r>
              <w:rPr>
                <w:color w:val="auto"/>
                <w:spacing w:val="-1"/>
                <w:sz w:val="22"/>
                <w:szCs w:val="22"/>
              </w:rPr>
              <w:t>段中标的业绩证明</w:t>
            </w:r>
            <w:r>
              <w:rPr>
                <w:rFonts w:hint="eastAsia"/>
                <w:color w:val="auto"/>
                <w:spacing w:val="-1"/>
                <w:sz w:val="22"/>
                <w:szCs w:val="22"/>
                <w:lang w:eastAsia="zh-CN"/>
              </w:rPr>
              <w:t>或同一采购单位不同年份的业绩</w:t>
            </w:r>
            <w:r>
              <w:rPr>
                <w:color w:val="auto"/>
                <w:spacing w:val="-1"/>
                <w:sz w:val="22"/>
                <w:szCs w:val="22"/>
              </w:rPr>
              <w:t>，</w:t>
            </w:r>
            <w:r>
              <w:rPr>
                <w:rFonts w:hint="eastAsia"/>
                <w:color w:val="auto"/>
                <w:spacing w:val="-1"/>
                <w:sz w:val="22"/>
                <w:szCs w:val="22"/>
                <w:lang w:eastAsia="zh-CN"/>
              </w:rPr>
              <w:t>均</w:t>
            </w:r>
            <w:r>
              <w:rPr>
                <w:color w:val="auto"/>
                <w:spacing w:val="-1"/>
                <w:sz w:val="22"/>
                <w:szCs w:val="22"/>
              </w:rPr>
              <w:t>按一个项目</w:t>
            </w:r>
            <w:r>
              <w:rPr>
                <w:rFonts w:hint="eastAsia"/>
                <w:color w:val="auto"/>
                <w:spacing w:val="-1"/>
                <w:sz w:val="22"/>
                <w:szCs w:val="22"/>
                <w:lang w:eastAsia="zh-CN"/>
              </w:rPr>
              <w:t>业绩</w:t>
            </w:r>
            <w:r>
              <w:rPr>
                <w:color w:val="auto"/>
                <w:spacing w:val="-1"/>
                <w:sz w:val="22"/>
                <w:szCs w:val="22"/>
              </w:rPr>
              <w:t>计分，不重复计分。）</w:t>
            </w:r>
          </w:p>
        </w:tc>
      </w:tr>
      <w:tr w14:paraId="2AD0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12" w:type="dxa"/>
            <w:gridSpan w:val="4"/>
            <w:vAlign w:val="top"/>
          </w:tcPr>
          <w:p w14:paraId="13783593">
            <w:pPr>
              <w:pStyle w:val="110"/>
              <w:keepNext w:val="0"/>
              <w:keepLines w:val="0"/>
              <w:pageBreakBefore w:val="0"/>
              <w:widowControl w:val="0"/>
              <w:kinsoku/>
              <w:wordWrap/>
              <w:overflowPunct/>
              <w:topLinePunct w:val="0"/>
              <w:bidi w:val="0"/>
              <w:adjustRightInd/>
              <w:snapToGrid/>
              <w:spacing w:before="152" w:line="360" w:lineRule="exact"/>
              <w:ind w:left="120"/>
              <w:textAlignment w:val="auto"/>
              <w:rPr>
                <w:color w:val="auto"/>
                <w:sz w:val="20"/>
                <w:szCs w:val="20"/>
              </w:rPr>
            </w:pPr>
            <w:r>
              <w:rPr>
                <w:b/>
                <w:bCs/>
                <w:color w:val="auto"/>
                <w:spacing w:val="3"/>
                <w:sz w:val="20"/>
                <w:szCs w:val="20"/>
              </w:rPr>
              <w:t>总得分=1+2+3。</w:t>
            </w:r>
          </w:p>
        </w:tc>
      </w:tr>
    </w:tbl>
    <w:p w14:paraId="0EDAA2F6">
      <w:pPr>
        <w:spacing w:before="156" w:line="219" w:lineRule="auto"/>
        <w:ind w:left="503"/>
        <w:outlineLvl w:val="0"/>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四、成交候选人推荐原则</w:t>
      </w:r>
      <w:bookmarkEnd w:id="32"/>
    </w:p>
    <w:p w14:paraId="11D67CA5">
      <w:pPr>
        <w:spacing w:before="3" w:line="412" w:lineRule="auto"/>
        <w:ind w:left="37" w:right="94" w:firstLine="418"/>
        <w:jc w:val="both"/>
        <w:rPr>
          <w:rFonts w:hint="eastAsia" w:ascii="宋体" w:hAnsi="宋体" w:eastAsia="宋体" w:cs="宋体"/>
          <w:spacing w:val="-2"/>
          <w:sz w:val="21"/>
          <w:szCs w:val="21"/>
        </w:rPr>
      </w:pPr>
      <w:r>
        <w:rPr>
          <w:rFonts w:hint="eastAsia" w:ascii="宋体" w:hAnsi="宋体" w:eastAsia="宋体" w:cs="宋体"/>
          <w:spacing w:val="-2"/>
          <w:sz w:val="21"/>
          <w:szCs w:val="21"/>
        </w:rPr>
        <w:t>（一）评标委员会将根据得分由高到低排列次序（得分相同时，以最终报价（最后报价） 由低到高顺序排列；得分相同且最终报价（最后报价）相同的，按实施方案得分由高到低顺序排列)并推荐中标候选人 3 名，得分最高的中标候选人为中标人。采购人应当确定评标委员会推荐排名第一的中标候选人为中标人。</w:t>
      </w:r>
    </w:p>
    <w:p w14:paraId="5CF521BA">
      <w:pPr>
        <w:spacing w:before="3" w:line="412" w:lineRule="auto"/>
        <w:ind w:left="37" w:right="94" w:firstLine="418"/>
        <w:jc w:val="both"/>
        <w:rPr>
          <w:rFonts w:hint="eastAsia" w:ascii="宋体" w:hAnsi="宋体" w:eastAsia="宋体" w:cs="宋体"/>
          <w:spacing w:val="-2"/>
          <w:sz w:val="21"/>
          <w:szCs w:val="21"/>
        </w:rPr>
      </w:pPr>
      <w:r>
        <w:rPr>
          <w:rFonts w:hint="eastAsia" w:ascii="宋体" w:hAnsi="宋体" w:eastAsia="宋体" w:cs="宋体"/>
          <w:spacing w:val="-2"/>
          <w:sz w:val="21"/>
          <w:szCs w:val="21"/>
        </w:rPr>
        <w:t>除非有法定事由，如排名第一的中标候选人放弃成交、因不可抗力不能履行合同、不按照招标文 件要求提交履约保证金，或者被查实存在影响成交结果的违法行为等情形，不符合成交条件的。该等 情况下，采购人可以按照评标委员会提出的中标候选人名单排序依法确定其他中标候选人为中标人，也可以重新组织采购。</w:t>
      </w:r>
    </w:p>
    <w:p w14:paraId="3296F1F4">
      <w:pPr>
        <w:spacing w:before="3" w:line="412" w:lineRule="auto"/>
        <w:ind w:left="37" w:right="94" w:firstLine="418"/>
        <w:jc w:val="both"/>
        <w:rPr>
          <w:rFonts w:ascii="宋体" w:hAnsi="宋体" w:eastAsia="宋体" w:cs="宋体"/>
          <w:sz w:val="21"/>
          <w:szCs w:val="21"/>
        </w:rPr>
      </w:pPr>
      <w:r>
        <w:rPr>
          <w:rFonts w:hint="eastAsia" w:ascii="宋体" w:hAnsi="宋体" w:eastAsia="宋体" w:cs="宋体"/>
          <w:spacing w:val="-2"/>
          <w:sz w:val="21"/>
          <w:szCs w:val="21"/>
        </w:rPr>
        <w:t>（二）评标委员会认为投标人投标报价明显低于其他通过符合性审查投标人的投标报价，有可能 影响产品（或服务）质量或者不能诚信履约的，应当要求其在现场合理的时间内提供书面说明，必要时提交相关证明材料；投标人不能证明其投标报价合理性的，评标委员会应当将其作为无效响应处理</w:t>
      </w:r>
      <w:r>
        <w:rPr>
          <w:rFonts w:ascii="宋体" w:hAnsi="宋体" w:eastAsia="宋体" w:cs="宋体"/>
          <w:spacing w:val="-2"/>
          <w:sz w:val="21"/>
          <w:szCs w:val="21"/>
        </w:rPr>
        <w:t>。</w:t>
      </w:r>
    </w:p>
    <w:p w14:paraId="266DEB15">
      <w:pPr>
        <w:pStyle w:val="20"/>
        <w:outlineLvl w:val="0"/>
        <w:rPr>
          <w:rStyle w:val="33"/>
          <w:rFonts w:hint="eastAsia" w:ascii="宋体" w:hAnsi="宋体" w:eastAsia="宋体" w:cs="宋体"/>
          <w:b/>
          <w:bCs/>
          <w:color w:val="auto"/>
          <w:highlight w:val="none"/>
        </w:rPr>
        <w:sectPr>
          <w:headerReference r:id="rId9" w:type="default"/>
          <w:footerReference r:id="rId10" w:type="default"/>
          <w:pgSz w:w="11906" w:h="16838"/>
          <w:pgMar w:top="1134" w:right="1134" w:bottom="1134" w:left="1134" w:header="851" w:footer="567" w:gutter="0"/>
          <w:cols w:space="720" w:num="1"/>
          <w:titlePg/>
          <w:docGrid w:type="lines" w:linePitch="312" w:charSpace="0"/>
        </w:sectPr>
      </w:pPr>
      <w:bookmarkStart w:id="33" w:name="_Toc31481"/>
    </w:p>
    <w:p w14:paraId="7A8342DF">
      <w:pPr>
        <w:pStyle w:val="20"/>
        <w:outlineLvl w:val="0"/>
        <w:rPr>
          <w:rStyle w:val="33"/>
          <w:rFonts w:hint="eastAsia" w:ascii="宋体" w:hAnsi="宋体" w:eastAsia="宋体" w:cs="宋体"/>
          <w:b/>
          <w:bCs/>
          <w:color w:val="auto"/>
          <w:highlight w:val="none"/>
        </w:rPr>
      </w:pPr>
      <w:r>
        <w:rPr>
          <w:rStyle w:val="33"/>
          <w:rFonts w:hint="eastAsia" w:ascii="宋体" w:hAnsi="宋体" w:eastAsia="宋体" w:cs="宋体"/>
          <w:b/>
          <w:bCs/>
          <w:color w:val="auto"/>
          <w:highlight w:val="none"/>
        </w:rPr>
        <w:t>第六章  竞争性磋商响应文件（格式）</w:t>
      </w:r>
      <w:bookmarkEnd w:id="33"/>
    </w:p>
    <w:p w14:paraId="71922BBC">
      <w:pPr>
        <w:rPr>
          <w:rStyle w:val="33"/>
          <w:rFonts w:hint="eastAsia" w:ascii="宋体" w:hAnsi="宋体" w:eastAsia="宋体" w:cs="宋体"/>
          <w:color w:val="auto"/>
          <w:highlight w:val="none"/>
        </w:rPr>
      </w:pPr>
    </w:p>
    <w:p w14:paraId="3C883FBC">
      <w:pPr>
        <w:rPr>
          <w:rStyle w:val="33"/>
          <w:rFonts w:hint="eastAsia" w:ascii="宋体" w:hAnsi="宋体" w:eastAsia="宋体" w:cs="宋体"/>
          <w:color w:val="auto"/>
          <w:highlight w:val="none"/>
        </w:rPr>
      </w:pPr>
    </w:p>
    <w:p w14:paraId="355CFB69">
      <w:pPr>
        <w:rPr>
          <w:rStyle w:val="33"/>
          <w:rFonts w:hint="eastAsia" w:ascii="宋体" w:hAnsi="宋体" w:eastAsia="宋体" w:cs="宋体"/>
          <w:color w:val="auto"/>
          <w:sz w:val="24"/>
          <w:szCs w:val="24"/>
          <w:highlight w:val="none"/>
        </w:rPr>
      </w:pPr>
    </w:p>
    <w:p w14:paraId="13A158CA">
      <w:pP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竞争性磋商响应文件封面格式 ：    </w:t>
      </w:r>
    </w:p>
    <w:p w14:paraId="1B54A392">
      <w:pPr>
        <w:rPr>
          <w:rStyle w:val="33"/>
          <w:rFonts w:hint="eastAsia" w:ascii="宋体" w:hAnsi="宋体" w:eastAsia="宋体" w:cs="宋体"/>
          <w:color w:val="auto"/>
          <w:sz w:val="24"/>
          <w:szCs w:val="24"/>
          <w:highlight w:val="none"/>
        </w:rPr>
      </w:pPr>
    </w:p>
    <w:p w14:paraId="1E909FD2">
      <w:pPr>
        <w:rPr>
          <w:rStyle w:val="33"/>
          <w:rFonts w:hint="eastAsia" w:ascii="宋体" w:hAnsi="宋体" w:eastAsia="宋体" w:cs="宋体"/>
          <w:color w:val="auto"/>
          <w:sz w:val="24"/>
          <w:szCs w:val="24"/>
          <w:highlight w:val="none"/>
        </w:rPr>
      </w:pPr>
    </w:p>
    <w:p w14:paraId="5F67EDD4">
      <w:pPr>
        <w:jc w:val="right"/>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w:t>
      </w:r>
    </w:p>
    <w:p w14:paraId="4DC51EEF">
      <w:pPr>
        <w:jc w:val="right"/>
        <w:rPr>
          <w:rStyle w:val="33"/>
          <w:rFonts w:hint="eastAsia" w:ascii="宋体" w:hAnsi="宋体" w:eastAsia="宋体" w:cs="宋体"/>
          <w:color w:val="auto"/>
          <w:sz w:val="24"/>
          <w:szCs w:val="24"/>
          <w:highlight w:val="none"/>
        </w:rPr>
      </w:pPr>
    </w:p>
    <w:p w14:paraId="1C917467">
      <w:pPr>
        <w:jc w:val="right"/>
        <w:rPr>
          <w:rStyle w:val="33"/>
          <w:rFonts w:hint="eastAsia" w:ascii="宋体" w:hAnsi="宋体" w:eastAsia="宋体" w:cs="宋体"/>
          <w:color w:val="auto"/>
          <w:sz w:val="24"/>
          <w:szCs w:val="24"/>
          <w:highlight w:val="none"/>
        </w:rPr>
      </w:pPr>
    </w:p>
    <w:p w14:paraId="7BEEDA4B">
      <w:pPr>
        <w:jc w:val="right"/>
        <w:rPr>
          <w:rStyle w:val="33"/>
          <w:rFonts w:hint="eastAsia" w:ascii="宋体" w:hAnsi="宋体" w:eastAsia="宋体" w:cs="宋体"/>
          <w:color w:val="auto"/>
          <w:sz w:val="24"/>
          <w:szCs w:val="24"/>
          <w:highlight w:val="none"/>
        </w:rPr>
      </w:pPr>
    </w:p>
    <w:p w14:paraId="3F51DFED">
      <w:pPr>
        <w:ind w:right="480"/>
        <w:jc w:val="right"/>
        <w:rPr>
          <w:rStyle w:val="33"/>
          <w:rFonts w:hint="eastAsia" w:ascii="宋体" w:hAnsi="宋体" w:eastAsia="宋体" w:cs="宋体"/>
          <w:color w:val="auto"/>
          <w:sz w:val="24"/>
          <w:szCs w:val="24"/>
          <w:highlight w:val="none"/>
        </w:rPr>
      </w:pPr>
    </w:p>
    <w:p w14:paraId="68796235">
      <w:pPr>
        <w:jc w:val="right"/>
        <w:rPr>
          <w:rStyle w:val="33"/>
          <w:rFonts w:hint="eastAsia" w:ascii="宋体" w:hAnsi="宋体" w:eastAsia="宋体" w:cs="宋体"/>
          <w:color w:val="auto"/>
          <w:sz w:val="24"/>
          <w:szCs w:val="24"/>
          <w:highlight w:val="none"/>
        </w:rPr>
      </w:pPr>
    </w:p>
    <w:p w14:paraId="28FF2825">
      <w:pPr>
        <w:jc w:val="right"/>
        <w:rPr>
          <w:rStyle w:val="33"/>
          <w:rFonts w:hint="eastAsia" w:ascii="宋体" w:hAnsi="宋体" w:eastAsia="宋体" w:cs="宋体"/>
          <w:color w:val="auto"/>
          <w:sz w:val="24"/>
          <w:szCs w:val="24"/>
          <w:highlight w:val="none"/>
        </w:rPr>
      </w:pPr>
    </w:p>
    <w:p w14:paraId="47D5563A">
      <w:pPr>
        <w:jc w:val="right"/>
        <w:rPr>
          <w:rStyle w:val="33"/>
          <w:rFonts w:hint="eastAsia" w:ascii="宋体" w:hAnsi="宋体" w:eastAsia="宋体" w:cs="宋体"/>
          <w:color w:val="auto"/>
          <w:sz w:val="24"/>
          <w:szCs w:val="24"/>
          <w:highlight w:val="none"/>
        </w:rPr>
      </w:pPr>
    </w:p>
    <w:p w14:paraId="4A331F8C">
      <w:pPr>
        <w:jc w:val="center"/>
        <w:rPr>
          <w:rStyle w:val="33"/>
          <w:rFonts w:hint="eastAsia" w:ascii="宋体" w:hAnsi="宋体" w:eastAsia="宋体" w:cs="宋体"/>
          <w:color w:val="auto"/>
          <w:sz w:val="24"/>
          <w:szCs w:val="24"/>
          <w:highlight w:val="none"/>
        </w:rPr>
      </w:pPr>
      <w:r>
        <w:rPr>
          <w:rStyle w:val="33"/>
          <w:rFonts w:hint="eastAsia" w:ascii="宋体" w:hAnsi="宋体" w:eastAsia="宋体" w:cs="宋体"/>
          <w:b/>
          <w:color w:val="auto"/>
          <w:sz w:val="44"/>
          <w:szCs w:val="44"/>
          <w:highlight w:val="none"/>
        </w:rPr>
        <w:t>竞争性磋商响应文件（封面）</w:t>
      </w:r>
    </w:p>
    <w:p w14:paraId="08347767">
      <w:pPr>
        <w:rPr>
          <w:rStyle w:val="33"/>
          <w:rFonts w:hint="eastAsia" w:ascii="宋体" w:hAnsi="宋体" w:eastAsia="宋体" w:cs="宋体"/>
          <w:color w:val="auto"/>
          <w:sz w:val="24"/>
          <w:szCs w:val="24"/>
          <w:highlight w:val="none"/>
        </w:rPr>
      </w:pPr>
    </w:p>
    <w:p w14:paraId="136913A4">
      <w:pPr>
        <w:rPr>
          <w:rStyle w:val="33"/>
          <w:rFonts w:hint="eastAsia" w:ascii="宋体" w:hAnsi="宋体" w:eastAsia="宋体" w:cs="宋体"/>
          <w:color w:val="auto"/>
          <w:sz w:val="24"/>
          <w:szCs w:val="24"/>
          <w:highlight w:val="none"/>
        </w:rPr>
      </w:pPr>
    </w:p>
    <w:p w14:paraId="3556E8AD">
      <w:pPr>
        <w:rPr>
          <w:rStyle w:val="33"/>
          <w:rFonts w:hint="eastAsia" w:ascii="宋体" w:hAnsi="宋体" w:eastAsia="宋体" w:cs="宋体"/>
          <w:color w:val="auto"/>
          <w:sz w:val="24"/>
          <w:szCs w:val="24"/>
          <w:highlight w:val="none"/>
        </w:rPr>
      </w:pPr>
    </w:p>
    <w:p w14:paraId="5F43F978">
      <w:pPr>
        <w:rPr>
          <w:rStyle w:val="33"/>
          <w:rFonts w:hint="eastAsia" w:ascii="宋体" w:hAnsi="宋体" w:eastAsia="宋体" w:cs="宋体"/>
          <w:color w:val="auto"/>
          <w:sz w:val="24"/>
          <w:szCs w:val="24"/>
          <w:highlight w:val="none"/>
        </w:rPr>
      </w:pPr>
    </w:p>
    <w:p w14:paraId="3745981C">
      <w:pPr>
        <w:rPr>
          <w:rStyle w:val="33"/>
          <w:rFonts w:hint="eastAsia" w:ascii="宋体" w:hAnsi="宋体" w:eastAsia="宋体" w:cs="宋体"/>
          <w:color w:val="auto"/>
          <w:sz w:val="24"/>
          <w:szCs w:val="24"/>
          <w:highlight w:val="none"/>
        </w:rPr>
      </w:pPr>
    </w:p>
    <w:p w14:paraId="4E60EB10">
      <w:pPr>
        <w:rPr>
          <w:rStyle w:val="33"/>
          <w:rFonts w:hint="eastAsia" w:ascii="宋体" w:hAnsi="宋体" w:eastAsia="宋体" w:cs="宋体"/>
          <w:color w:val="auto"/>
          <w:sz w:val="24"/>
          <w:szCs w:val="24"/>
          <w:highlight w:val="none"/>
        </w:rPr>
      </w:pPr>
    </w:p>
    <w:p w14:paraId="6990DB39">
      <w:pPr>
        <w:rPr>
          <w:rStyle w:val="33"/>
          <w:rFonts w:hint="eastAsia" w:ascii="宋体" w:hAnsi="宋体" w:eastAsia="宋体" w:cs="宋体"/>
          <w:color w:val="auto"/>
          <w:sz w:val="24"/>
          <w:szCs w:val="24"/>
          <w:highlight w:val="none"/>
        </w:rPr>
      </w:pPr>
    </w:p>
    <w:p w14:paraId="1F108060">
      <w:pPr>
        <w:ind w:firstLine="2040" w:firstLineChars="85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项目名称 ：</w:t>
      </w:r>
    </w:p>
    <w:p w14:paraId="38E1DA92">
      <w:pPr>
        <w:rPr>
          <w:rStyle w:val="33"/>
          <w:rFonts w:hint="eastAsia" w:ascii="宋体" w:hAnsi="宋体" w:eastAsia="宋体" w:cs="宋体"/>
          <w:color w:val="auto"/>
          <w:sz w:val="24"/>
          <w:szCs w:val="24"/>
          <w:highlight w:val="none"/>
        </w:rPr>
      </w:pPr>
    </w:p>
    <w:p w14:paraId="51033CE1">
      <w:pPr>
        <w:rPr>
          <w:rStyle w:val="33"/>
          <w:rFonts w:hint="eastAsia" w:ascii="宋体" w:hAnsi="宋体" w:eastAsia="宋体" w:cs="宋体"/>
          <w:color w:val="auto"/>
          <w:sz w:val="24"/>
          <w:szCs w:val="24"/>
          <w:highlight w:val="none"/>
        </w:rPr>
      </w:pPr>
    </w:p>
    <w:p w14:paraId="6E161F8C">
      <w:pPr>
        <w:ind w:firstLine="2040" w:firstLineChars="85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项目编号 ：</w:t>
      </w:r>
    </w:p>
    <w:p w14:paraId="7456B446">
      <w:pPr>
        <w:rPr>
          <w:rStyle w:val="33"/>
          <w:rFonts w:hint="eastAsia" w:ascii="宋体" w:hAnsi="宋体" w:eastAsia="宋体" w:cs="宋体"/>
          <w:color w:val="auto"/>
          <w:sz w:val="24"/>
          <w:szCs w:val="24"/>
          <w:highlight w:val="none"/>
        </w:rPr>
      </w:pPr>
    </w:p>
    <w:p w14:paraId="5845B0A1">
      <w:pPr>
        <w:rPr>
          <w:rStyle w:val="33"/>
          <w:rFonts w:hint="eastAsia" w:ascii="宋体" w:hAnsi="宋体" w:eastAsia="宋体" w:cs="宋体"/>
          <w:color w:val="auto"/>
          <w:sz w:val="24"/>
          <w:szCs w:val="24"/>
          <w:highlight w:val="none"/>
        </w:rPr>
      </w:pPr>
    </w:p>
    <w:p w14:paraId="490B71C2">
      <w:pPr>
        <w:ind w:firstLine="2040" w:firstLineChars="85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磋商供应商名称 ：</w:t>
      </w:r>
    </w:p>
    <w:p w14:paraId="1BD906DA">
      <w:pPr>
        <w:rPr>
          <w:rStyle w:val="33"/>
          <w:rFonts w:hint="eastAsia" w:ascii="宋体" w:hAnsi="宋体" w:eastAsia="宋体" w:cs="宋体"/>
          <w:color w:val="auto"/>
          <w:sz w:val="24"/>
          <w:szCs w:val="24"/>
          <w:highlight w:val="none"/>
        </w:rPr>
      </w:pPr>
    </w:p>
    <w:p w14:paraId="133F981D">
      <w:pPr>
        <w:rPr>
          <w:rStyle w:val="33"/>
          <w:rFonts w:hint="eastAsia" w:ascii="宋体" w:hAnsi="宋体" w:eastAsia="宋体" w:cs="宋体"/>
          <w:color w:val="auto"/>
          <w:sz w:val="24"/>
          <w:szCs w:val="24"/>
          <w:highlight w:val="none"/>
        </w:rPr>
      </w:pPr>
    </w:p>
    <w:p w14:paraId="15137920">
      <w:pPr>
        <w:ind w:firstLine="2040" w:firstLineChars="850"/>
        <w:rPr>
          <w:rStyle w:val="33"/>
          <w:rFonts w:hint="eastAsia" w:ascii="宋体" w:hAnsi="宋体" w:eastAsia="宋体" w:cs="宋体"/>
          <w:color w:val="auto"/>
          <w:sz w:val="24"/>
          <w:szCs w:val="24"/>
          <w:highlight w:val="none"/>
          <w:u w:val="single"/>
        </w:rPr>
      </w:pPr>
      <w:r>
        <w:rPr>
          <w:rStyle w:val="33"/>
          <w:rFonts w:hint="eastAsia" w:ascii="宋体" w:hAnsi="宋体" w:eastAsia="宋体" w:cs="宋体"/>
          <w:color w:val="auto"/>
          <w:sz w:val="24"/>
          <w:szCs w:val="24"/>
          <w:highlight w:val="none"/>
        </w:rPr>
        <w:t xml:space="preserve">地址： </w:t>
      </w:r>
    </w:p>
    <w:p w14:paraId="73451CEA">
      <w:pPr>
        <w:rPr>
          <w:rStyle w:val="33"/>
          <w:rFonts w:hint="eastAsia" w:ascii="宋体" w:hAnsi="宋体" w:eastAsia="宋体" w:cs="宋体"/>
          <w:color w:val="auto"/>
          <w:sz w:val="24"/>
          <w:szCs w:val="24"/>
          <w:highlight w:val="none"/>
        </w:rPr>
      </w:pPr>
    </w:p>
    <w:p w14:paraId="0568D9CC">
      <w:pPr>
        <w:rPr>
          <w:rStyle w:val="33"/>
          <w:rFonts w:hint="eastAsia" w:ascii="宋体" w:hAnsi="宋体" w:eastAsia="宋体" w:cs="宋体"/>
          <w:color w:val="auto"/>
          <w:sz w:val="24"/>
          <w:szCs w:val="24"/>
          <w:highlight w:val="none"/>
        </w:rPr>
      </w:pPr>
    </w:p>
    <w:p w14:paraId="076B2272">
      <w:pPr>
        <w:spacing w:line="480" w:lineRule="auto"/>
        <w:ind w:firstLine="2040" w:firstLineChars="85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highlight w:val="none"/>
        </w:rPr>
        <w:t>法定代表人（或授权代表）签字：</w:t>
      </w:r>
    </w:p>
    <w:p w14:paraId="660AEF62">
      <w:pPr>
        <w:rPr>
          <w:rStyle w:val="33"/>
          <w:rFonts w:hint="eastAsia" w:ascii="宋体" w:hAnsi="宋体" w:eastAsia="宋体" w:cs="宋体"/>
          <w:color w:val="auto"/>
          <w:sz w:val="24"/>
          <w:szCs w:val="24"/>
          <w:highlight w:val="none"/>
        </w:rPr>
      </w:pPr>
    </w:p>
    <w:p w14:paraId="489F469B">
      <w:pPr>
        <w:rPr>
          <w:rStyle w:val="33"/>
          <w:rFonts w:hint="eastAsia" w:ascii="宋体" w:hAnsi="宋体" w:eastAsia="宋体" w:cs="宋体"/>
          <w:color w:val="auto"/>
          <w:sz w:val="24"/>
          <w:szCs w:val="24"/>
          <w:highlight w:val="none"/>
        </w:rPr>
      </w:pPr>
    </w:p>
    <w:p w14:paraId="5871328B">
      <w:pPr>
        <w:rPr>
          <w:rStyle w:val="33"/>
          <w:rFonts w:hint="eastAsia" w:ascii="宋体" w:hAnsi="宋体" w:eastAsia="宋体" w:cs="宋体"/>
          <w:color w:val="auto"/>
          <w:sz w:val="24"/>
          <w:szCs w:val="24"/>
          <w:highlight w:val="none"/>
        </w:rPr>
      </w:pPr>
    </w:p>
    <w:p w14:paraId="452E4A2A">
      <w:pPr>
        <w:rPr>
          <w:rStyle w:val="33"/>
          <w:rFonts w:hint="eastAsia" w:ascii="宋体" w:hAnsi="宋体" w:eastAsia="宋体" w:cs="宋体"/>
          <w:color w:val="auto"/>
          <w:sz w:val="24"/>
          <w:szCs w:val="24"/>
          <w:highlight w:val="none"/>
        </w:rPr>
      </w:pPr>
    </w:p>
    <w:p w14:paraId="7C96FD1E">
      <w:pPr>
        <w:rPr>
          <w:rStyle w:val="33"/>
          <w:rFonts w:hint="eastAsia" w:ascii="宋体" w:hAnsi="宋体" w:eastAsia="宋体" w:cs="宋体"/>
          <w:color w:val="auto"/>
          <w:sz w:val="24"/>
          <w:szCs w:val="24"/>
          <w:highlight w:val="none"/>
        </w:rPr>
      </w:pPr>
    </w:p>
    <w:p w14:paraId="3862F0EE">
      <w:pP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年      月      日  </w:t>
      </w:r>
    </w:p>
    <w:p w14:paraId="4405C241">
      <w:pPr>
        <w:rPr>
          <w:rStyle w:val="33"/>
          <w:rFonts w:hint="eastAsia" w:ascii="宋体" w:hAnsi="宋体" w:eastAsia="宋体" w:cs="宋体"/>
          <w:color w:val="auto"/>
          <w:highlight w:val="none"/>
        </w:rPr>
      </w:pPr>
    </w:p>
    <w:p w14:paraId="5213052D">
      <w:pPr>
        <w:rPr>
          <w:rStyle w:val="33"/>
          <w:rFonts w:hint="eastAsia" w:ascii="宋体" w:hAnsi="宋体" w:eastAsia="宋体" w:cs="宋体"/>
          <w:color w:val="auto"/>
          <w:highlight w:val="none"/>
        </w:rPr>
      </w:pPr>
    </w:p>
    <w:p w14:paraId="7B3822F3">
      <w:pPr>
        <w:rPr>
          <w:rStyle w:val="33"/>
          <w:rFonts w:hint="eastAsia" w:ascii="宋体" w:hAnsi="宋体" w:eastAsia="宋体" w:cs="宋体"/>
          <w:color w:val="auto"/>
          <w:highlight w:val="none"/>
        </w:rPr>
      </w:pPr>
    </w:p>
    <w:p w14:paraId="42091F88">
      <w:pPr>
        <w:rPr>
          <w:rStyle w:val="33"/>
          <w:rFonts w:hint="eastAsia" w:ascii="宋体" w:hAnsi="宋体" w:eastAsia="宋体" w:cs="宋体"/>
          <w:color w:val="auto"/>
          <w:highlight w:val="none"/>
        </w:rPr>
      </w:pPr>
    </w:p>
    <w:p w14:paraId="6FC50021">
      <w:pPr>
        <w:rPr>
          <w:rStyle w:val="33"/>
          <w:rFonts w:hint="eastAsia" w:ascii="宋体" w:hAnsi="宋体" w:eastAsia="宋体" w:cs="宋体"/>
          <w:color w:val="auto"/>
          <w:highlight w:val="none"/>
        </w:rPr>
      </w:pPr>
    </w:p>
    <w:p w14:paraId="2CD82465">
      <w:pPr>
        <w:jc w:val="center"/>
        <w:rPr>
          <w:rStyle w:val="33"/>
          <w:rFonts w:hint="eastAsia" w:ascii="宋体" w:hAnsi="宋体" w:eastAsia="宋体" w:cs="宋体"/>
          <w:b/>
          <w:color w:val="auto"/>
          <w:sz w:val="36"/>
          <w:szCs w:val="36"/>
          <w:highlight w:val="none"/>
        </w:rPr>
      </w:pPr>
    </w:p>
    <w:p w14:paraId="153A080E">
      <w:pPr>
        <w:jc w:val="center"/>
        <w:rPr>
          <w:rStyle w:val="33"/>
          <w:rFonts w:hint="eastAsia" w:ascii="宋体" w:hAnsi="宋体" w:eastAsia="宋体" w:cs="宋体"/>
          <w:color w:val="auto"/>
          <w:sz w:val="48"/>
          <w:szCs w:val="48"/>
          <w:highlight w:val="none"/>
        </w:rPr>
      </w:pPr>
      <w:r>
        <w:rPr>
          <w:rStyle w:val="33"/>
          <w:rFonts w:hint="eastAsia" w:ascii="宋体" w:hAnsi="宋体" w:eastAsia="宋体" w:cs="宋体"/>
          <w:b/>
          <w:color w:val="auto"/>
          <w:sz w:val="36"/>
          <w:szCs w:val="36"/>
          <w:highlight w:val="none"/>
        </w:rPr>
        <w:t>目   录</w:t>
      </w:r>
    </w:p>
    <w:p w14:paraId="7A9B1314">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一、 报价文件</w:t>
      </w:r>
    </w:p>
    <w:p w14:paraId="623F9DC2">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（1）磋商书；（必须提供，加盖单位公章）</w:t>
      </w:r>
    </w:p>
    <w:p w14:paraId="5BEEF412">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（2）磋商报价表；（必须提供，加盖单位公章）</w:t>
      </w:r>
    </w:p>
    <w:p w14:paraId="6F39F117">
      <w:pPr>
        <w:spacing w:line="420" w:lineRule="exact"/>
        <w:ind w:firstLine="315" w:firstLineChars="150"/>
        <w:rPr>
          <w:rStyle w:val="33"/>
          <w:rFonts w:hint="eastAsia" w:ascii="宋体" w:hAnsi="宋体" w:eastAsia="宋体" w:cs="宋体"/>
          <w:color w:val="auto"/>
          <w:szCs w:val="21"/>
          <w:highlight w:val="none"/>
        </w:rPr>
      </w:pPr>
      <w:r>
        <w:rPr>
          <w:rStyle w:val="33"/>
          <w:rFonts w:hint="eastAsia" w:ascii="宋体" w:hAnsi="宋体" w:cs="宋体"/>
          <w:color w:val="auto"/>
          <w:szCs w:val="21"/>
          <w:highlight w:val="none"/>
          <w:lang w:eastAsia="zh-CN"/>
        </w:rPr>
        <w:t>二、</w:t>
      </w:r>
      <w:r>
        <w:rPr>
          <w:rStyle w:val="33"/>
          <w:rFonts w:hint="eastAsia" w:ascii="宋体" w:hAnsi="宋体" w:eastAsia="宋体" w:cs="宋体"/>
          <w:color w:val="auto"/>
          <w:szCs w:val="21"/>
          <w:highlight w:val="none"/>
        </w:rPr>
        <w:t>资格证明文件；</w:t>
      </w:r>
    </w:p>
    <w:p w14:paraId="444481BD">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（1）营业执照副本复印件； </w:t>
      </w:r>
    </w:p>
    <w:p w14:paraId="5CE36AB7">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（2）磋商供应商资格声明； </w:t>
      </w:r>
    </w:p>
    <w:p w14:paraId="00222DE0">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（3）法定代表人有效的身份证正反面复印件； </w:t>
      </w:r>
    </w:p>
    <w:p w14:paraId="46456806">
      <w:pPr>
        <w:spacing w:line="420" w:lineRule="exact"/>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 xml:space="preserve">（4）法定代表人授权书及委托代理人身份证正反面复印件； </w:t>
      </w:r>
    </w:p>
    <w:p w14:paraId="278A1ECC">
      <w:pPr>
        <w:spacing w:line="420" w:lineRule="exact"/>
        <w:ind w:firstLine="105" w:firstLineChars="50"/>
        <w:rPr>
          <w:rStyle w:val="33"/>
          <w:rFonts w:hint="eastAsia" w:ascii="宋体" w:hAnsi="宋体" w:eastAsia="宋体" w:cs="宋体"/>
          <w:color w:val="auto"/>
          <w:kern w:val="0"/>
          <w:highlight w:val="none"/>
        </w:rPr>
      </w:pPr>
      <w:r>
        <w:rPr>
          <w:rStyle w:val="33"/>
          <w:rFonts w:hint="eastAsia" w:ascii="宋体" w:hAnsi="宋体" w:eastAsia="宋体" w:cs="宋体"/>
          <w:color w:val="auto"/>
          <w:szCs w:val="21"/>
          <w:highlight w:val="none"/>
        </w:rPr>
        <w:t>（5）</w:t>
      </w:r>
      <w:r>
        <w:rPr>
          <w:rStyle w:val="33"/>
          <w:rFonts w:hint="eastAsia" w:ascii="宋体" w:hAnsi="宋体" w:eastAsia="宋体" w:cs="宋体"/>
          <w:color w:val="auto"/>
          <w:kern w:val="0"/>
          <w:highlight w:val="none"/>
        </w:rPr>
        <w:t xml:space="preserve">贵港市政府采购项目投标资格承诺函；  </w:t>
      </w:r>
    </w:p>
    <w:p w14:paraId="29717D51">
      <w:pPr>
        <w:spacing w:line="420" w:lineRule="exact"/>
        <w:ind w:firstLine="105" w:firstLineChars="50"/>
        <w:rPr>
          <w:rStyle w:val="33"/>
          <w:rFonts w:hint="eastAsia" w:ascii="宋体" w:hAnsi="宋体" w:cs="宋体"/>
          <w:color w:val="auto"/>
          <w:szCs w:val="21"/>
          <w:highlight w:val="none"/>
          <w:lang w:eastAsia="zh-CN"/>
        </w:rPr>
      </w:pPr>
      <w:r>
        <w:rPr>
          <w:rStyle w:val="33"/>
          <w:rFonts w:hint="eastAsia" w:ascii="宋体" w:hAnsi="宋体" w:cs="宋体"/>
          <w:color w:val="auto"/>
          <w:szCs w:val="21"/>
          <w:highlight w:val="none"/>
        </w:rPr>
        <w:t>（</w:t>
      </w:r>
      <w:r>
        <w:rPr>
          <w:rStyle w:val="33"/>
          <w:rFonts w:hint="eastAsia" w:ascii="宋体" w:hAnsi="宋体" w:cs="宋体"/>
          <w:color w:val="auto"/>
          <w:szCs w:val="21"/>
          <w:highlight w:val="none"/>
          <w:lang w:val="en-US"/>
        </w:rPr>
        <w:t>6</w:t>
      </w:r>
      <w:r>
        <w:rPr>
          <w:rStyle w:val="33"/>
          <w:rFonts w:hint="eastAsia" w:ascii="宋体" w:hAnsi="宋体" w:cs="宋体"/>
          <w:color w:val="auto"/>
          <w:szCs w:val="21"/>
          <w:highlight w:val="none"/>
        </w:rPr>
        <w:t>）中小企业声明函；</w:t>
      </w:r>
    </w:p>
    <w:p w14:paraId="43CB404E">
      <w:pPr>
        <w:spacing w:line="360" w:lineRule="auto"/>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lang w:val="en-US"/>
        </w:rPr>
        <w:t>7</w:t>
      </w: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rPr>
        <w:t>无其他关联企业同时投标声明函</w:t>
      </w:r>
    </w:p>
    <w:p w14:paraId="1D2B305C">
      <w:pPr>
        <w:spacing w:line="360" w:lineRule="auto"/>
        <w:ind w:firstLine="105" w:firstLineChars="5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lang w:val="en-US"/>
        </w:rPr>
        <w:t>8</w:t>
      </w:r>
      <w:r>
        <w:rPr>
          <w:rStyle w:val="33"/>
          <w:rFonts w:hint="eastAsia" w:ascii="宋体" w:hAnsi="宋体" w:eastAsia="宋体" w:cs="宋体"/>
          <w:color w:val="auto"/>
          <w:szCs w:val="21"/>
          <w:highlight w:val="none"/>
        </w:rPr>
        <w:t>）磋商供应商认为可以证明其能力或业绩的其他材料；</w:t>
      </w:r>
    </w:p>
    <w:p w14:paraId="7942E948">
      <w:pPr>
        <w:spacing w:line="360" w:lineRule="auto"/>
        <w:ind w:firstLine="105" w:firstLineChars="50"/>
        <w:rPr>
          <w:rStyle w:val="33"/>
          <w:rFonts w:hint="eastAsia" w:ascii="宋体" w:hAnsi="宋体" w:cs="宋体"/>
          <w:color w:val="auto"/>
          <w:szCs w:val="21"/>
          <w:highlight w:val="none"/>
          <w:lang w:eastAsia="zh-CN"/>
        </w:rPr>
      </w:pP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lang w:val="en-US"/>
        </w:rPr>
        <w:t>9</w:t>
      </w:r>
      <w:r>
        <w:rPr>
          <w:rStyle w:val="33"/>
          <w:rFonts w:hint="eastAsia" w:ascii="宋体" w:hAnsi="宋体" w:eastAsia="宋体" w:cs="宋体"/>
          <w:color w:val="auto"/>
          <w:szCs w:val="21"/>
          <w:highlight w:val="none"/>
        </w:rPr>
        <w:t>）磋商文件列明的其他证明材料；</w:t>
      </w:r>
    </w:p>
    <w:p w14:paraId="3F2BB15E">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cs="宋体"/>
          <w:color w:val="auto"/>
          <w:szCs w:val="21"/>
          <w:highlight w:val="none"/>
          <w:lang w:eastAsia="zh-CN"/>
        </w:rPr>
        <w:t>三</w:t>
      </w:r>
      <w:r>
        <w:rPr>
          <w:rStyle w:val="33"/>
          <w:rFonts w:hint="eastAsia" w:ascii="宋体" w:hAnsi="宋体" w:eastAsia="宋体" w:cs="宋体"/>
          <w:color w:val="auto"/>
          <w:szCs w:val="21"/>
          <w:highlight w:val="none"/>
        </w:rPr>
        <w:t xml:space="preserve">、商务及技术文件 </w:t>
      </w:r>
    </w:p>
    <w:p w14:paraId="32DA1D92">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（1）企业情况；</w:t>
      </w:r>
      <w:r>
        <w:rPr>
          <w:rFonts w:hint="eastAsia" w:ascii="宋体" w:hAnsi="宋体" w:eastAsia="宋体" w:cs="宋体"/>
          <w:color w:val="auto"/>
          <w:highlight w:val="none"/>
        </w:rPr>
        <w:tab/>
      </w:r>
    </w:p>
    <w:p w14:paraId="183C7978">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（2）项目实施服务方案；</w:t>
      </w:r>
    </w:p>
    <w:p w14:paraId="5CD2FF10">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（3）服务承诺书；</w:t>
      </w:r>
    </w:p>
    <w:p w14:paraId="67D2C4FF">
      <w:pPr>
        <w:spacing w:line="420" w:lineRule="exact"/>
        <w:ind w:firstLine="210" w:firstLineChars="100"/>
        <w:rPr>
          <w:rStyle w:val="33"/>
          <w:rFonts w:hint="eastAsia" w:ascii="宋体" w:hAnsi="宋体" w:eastAsia="宋体" w:cs="宋体"/>
          <w:b/>
          <w:color w:val="auto"/>
          <w:szCs w:val="21"/>
          <w:highlight w:val="none"/>
        </w:rPr>
      </w:pPr>
      <w:r>
        <w:rPr>
          <w:rStyle w:val="33"/>
          <w:rFonts w:hint="eastAsia" w:ascii="宋体" w:hAnsi="宋体" w:eastAsia="宋体" w:cs="宋体"/>
          <w:color w:val="auto"/>
          <w:szCs w:val="21"/>
          <w:highlight w:val="none"/>
        </w:rPr>
        <w:t>（4）拟投入项目的人员情况一览表</w:t>
      </w:r>
      <w:r>
        <w:rPr>
          <w:rStyle w:val="33"/>
          <w:rFonts w:hint="eastAsia" w:ascii="宋体" w:hAnsi="宋体" w:eastAsia="宋体" w:cs="宋体"/>
          <w:b/>
          <w:color w:val="auto"/>
          <w:szCs w:val="21"/>
          <w:highlight w:val="none"/>
        </w:rPr>
        <w:t>；</w:t>
      </w:r>
    </w:p>
    <w:p w14:paraId="6169AA01">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cs="宋体"/>
          <w:bCs/>
          <w:color w:val="auto"/>
          <w:szCs w:val="21"/>
          <w:highlight w:val="none"/>
          <w:lang w:eastAsia="zh-CN"/>
        </w:rPr>
        <w:t>（</w:t>
      </w:r>
      <w:r>
        <w:rPr>
          <w:rStyle w:val="33"/>
          <w:rFonts w:hint="eastAsia" w:ascii="宋体" w:hAnsi="宋体" w:cs="宋体"/>
          <w:bCs/>
          <w:color w:val="auto"/>
          <w:szCs w:val="21"/>
          <w:highlight w:val="none"/>
          <w:lang w:val="en-US" w:eastAsia="zh-CN"/>
        </w:rPr>
        <w:t>5</w:t>
      </w:r>
      <w:r>
        <w:rPr>
          <w:rStyle w:val="33"/>
          <w:rFonts w:hint="eastAsia" w:ascii="宋体" w:hAnsi="宋体" w:eastAsia="宋体" w:cs="宋体"/>
          <w:bCs/>
          <w:color w:val="auto"/>
          <w:szCs w:val="21"/>
          <w:highlight w:val="none"/>
        </w:rPr>
        <w:t>）商务响应表；</w:t>
      </w:r>
    </w:p>
    <w:p w14:paraId="57164E20">
      <w:pPr>
        <w:spacing w:line="420" w:lineRule="exact"/>
        <w:ind w:firstLine="210" w:firstLineChars="10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w:t>
      </w:r>
      <w:r>
        <w:rPr>
          <w:rStyle w:val="33"/>
          <w:rFonts w:hint="eastAsia" w:ascii="宋体" w:hAnsi="宋体" w:cs="宋体"/>
          <w:color w:val="auto"/>
          <w:szCs w:val="21"/>
          <w:highlight w:val="none"/>
          <w:lang w:val="en-US" w:eastAsia="zh-CN"/>
        </w:rPr>
        <w:t>6</w:t>
      </w:r>
      <w:r>
        <w:rPr>
          <w:rStyle w:val="33"/>
          <w:rFonts w:hint="eastAsia" w:ascii="宋体" w:hAnsi="宋体" w:eastAsia="宋体" w:cs="宋体"/>
          <w:color w:val="auto"/>
          <w:szCs w:val="21"/>
          <w:highlight w:val="none"/>
        </w:rPr>
        <w:t>）磋商供应商认为有必要提供的</w:t>
      </w:r>
      <w:r>
        <w:rPr>
          <w:rStyle w:val="33"/>
          <w:rFonts w:hint="eastAsia" w:ascii="宋体" w:hAnsi="宋体" w:cs="宋体"/>
          <w:color w:val="auto"/>
          <w:szCs w:val="21"/>
          <w:highlight w:val="none"/>
        </w:rPr>
        <w:t>其他</w:t>
      </w:r>
      <w:r>
        <w:rPr>
          <w:rStyle w:val="33"/>
          <w:rFonts w:hint="eastAsia" w:ascii="宋体" w:hAnsi="宋体" w:eastAsia="宋体" w:cs="宋体"/>
          <w:color w:val="auto"/>
          <w:szCs w:val="21"/>
          <w:highlight w:val="none"/>
        </w:rPr>
        <w:t>文件及资料。</w:t>
      </w:r>
    </w:p>
    <w:p w14:paraId="2833EE3B">
      <w:pPr>
        <w:spacing w:line="420" w:lineRule="exact"/>
        <w:ind w:firstLine="210" w:firstLineChars="100"/>
        <w:rPr>
          <w:rStyle w:val="33"/>
          <w:rFonts w:hint="eastAsia" w:ascii="宋体" w:hAnsi="宋体" w:eastAsia="宋体" w:cs="宋体"/>
          <w:color w:val="auto"/>
          <w:szCs w:val="21"/>
          <w:highlight w:val="none"/>
        </w:rPr>
      </w:pPr>
    </w:p>
    <w:p w14:paraId="6A17E5EA">
      <w:pPr>
        <w:spacing w:line="420" w:lineRule="exact"/>
        <w:ind w:firstLine="482" w:firstLineChars="100"/>
        <w:rPr>
          <w:rStyle w:val="33"/>
          <w:rFonts w:hint="eastAsia" w:ascii="宋体" w:hAnsi="宋体" w:eastAsia="宋体" w:cs="宋体"/>
          <w:b/>
          <w:color w:val="auto"/>
          <w:sz w:val="48"/>
          <w:szCs w:val="48"/>
          <w:highlight w:val="none"/>
        </w:rPr>
      </w:pPr>
    </w:p>
    <w:p w14:paraId="484AB8D9">
      <w:pPr>
        <w:spacing w:line="420" w:lineRule="exact"/>
        <w:ind w:firstLine="482" w:firstLineChars="100"/>
        <w:rPr>
          <w:rStyle w:val="33"/>
          <w:rFonts w:hint="eastAsia" w:ascii="宋体" w:hAnsi="宋体" w:eastAsia="宋体" w:cs="宋体"/>
          <w:b/>
          <w:color w:val="auto"/>
          <w:sz w:val="48"/>
          <w:szCs w:val="48"/>
          <w:highlight w:val="none"/>
        </w:rPr>
      </w:pPr>
    </w:p>
    <w:p w14:paraId="7BA692E1">
      <w:pPr>
        <w:spacing w:line="420" w:lineRule="exact"/>
        <w:ind w:firstLine="482" w:firstLineChars="100"/>
        <w:rPr>
          <w:rStyle w:val="33"/>
          <w:rFonts w:hint="eastAsia" w:ascii="宋体" w:hAnsi="宋体" w:eastAsia="宋体" w:cs="宋体"/>
          <w:b/>
          <w:color w:val="auto"/>
          <w:sz w:val="48"/>
          <w:szCs w:val="48"/>
          <w:highlight w:val="none"/>
        </w:rPr>
      </w:pPr>
    </w:p>
    <w:p w14:paraId="7E1C7AFC">
      <w:pPr>
        <w:spacing w:line="420" w:lineRule="exact"/>
        <w:ind w:firstLine="482" w:firstLineChars="100"/>
        <w:rPr>
          <w:rStyle w:val="33"/>
          <w:rFonts w:hint="eastAsia" w:ascii="宋体" w:hAnsi="宋体" w:eastAsia="宋体" w:cs="宋体"/>
          <w:b/>
          <w:color w:val="auto"/>
          <w:sz w:val="48"/>
          <w:szCs w:val="48"/>
          <w:highlight w:val="none"/>
        </w:rPr>
      </w:pPr>
    </w:p>
    <w:p w14:paraId="660133E5">
      <w:pPr>
        <w:spacing w:line="420" w:lineRule="exact"/>
        <w:ind w:firstLine="482" w:firstLineChars="100"/>
        <w:rPr>
          <w:rStyle w:val="33"/>
          <w:rFonts w:hint="eastAsia" w:ascii="宋体" w:hAnsi="宋体" w:eastAsia="宋体" w:cs="宋体"/>
          <w:b/>
          <w:color w:val="auto"/>
          <w:sz w:val="48"/>
          <w:szCs w:val="48"/>
          <w:highlight w:val="none"/>
        </w:rPr>
      </w:pPr>
    </w:p>
    <w:p w14:paraId="4D242992">
      <w:pPr>
        <w:spacing w:line="420" w:lineRule="exact"/>
        <w:ind w:firstLine="482" w:firstLineChars="100"/>
        <w:rPr>
          <w:rStyle w:val="33"/>
          <w:rFonts w:hint="eastAsia" w:ascii="宋体" w:hAnsi="宋体" w:eastAsia="宋体" w:cs="宋体"/>
          <w:b/>
          <w:color w:val="auto"/>
          <w:sz w:val="48"/>
          <w:szCs w:val="48"/>
          <w:highlight w:val="none"/>
        </w:rPr>
      </w:pPr>
    </w:p>
    <w:p w14:paraId="52586FB9">
      <w:pPr>
        <w:spacing w:line="420" w:lineRule="exact"/>
        <w:ind w:firstLine="482" w:firstLineChars="100"/>
        <w:rPr>
          <w:rStyle w:val="33"/>
          <w:rFonts w:hint="eastAsia" w:ascii="宋体" w:hAnsi="宋体" w:eastAsia="宋体" w:cs="宋体"/>
          <w:b/>
          <w:color w:val="auto"/>
          <w:sz w:val="48"/>
          <w:szCs w:val="48"/>
          <w:highlight w:val="none"/>
        </w:rPr>
      </w:pPr>
    </w:p>
    <w:p w14:paraId="70B450A5">
      <w:pPr>
        <w:spacing w:line="420" w:lineRule="exact"/>
        <w:ind w:firstLine="482" w:firstLineChars="100"/>
        <w:rPr>
          <w:rStyle w:val="33"/>
          <w:rFonts w:hint="eastAsia" w:ascii="宋体" w:hAnsi="宋体" w:eastAsia="宋体" w:cs="宋体"/>
          <w:b/>
          <w:color w:val="auto"/>
          <w:sz w:val="48"/>
          <w:szCs w:val="48"/>
          <w:highlight w:val="none"/>
        </w:rPr>
      </w:pPr>
    </w:p>
    <w:p w14:paraId="619D8A25">
      <w:pPr>
        <w:rPr>
          <w:rStyle w:val="33"/>
          <w:rFonts w:hint="eastAsia" w:ascii="宋体" w:hAnsi="宋体" w:eastAsia="宋体" w:cs="宋体"/>
          <w:b/>
          <w:color w:val="auto"/>
          <w:sz w:val="36"/>
          <w:szCs w:val="36"/>
          <w:highlight w:val="none"/>
        </w:rPr>
      </w:pPr>
    </w:p>
    <w:p w14:paraId="3DC5ACCF">
      <w:pPr>
        <w:pStyle w:val="31"/>
        <w:outlineLvl w:val="0"/>
        <w:rPr>
          <w:rStyle w:val="33"/>
          <w:rFonts w:hint="eastAsia" w:ascii="宋体" w:hAnsi="宋体" w:eastAsia="宋体" w:cs="宋体"/>
          <w:b/>
          <w:bCs/>
          <w:color w:val="auto"/>
          <w:highlight w:val="none"/>
        </w:rPr>
      </w:pPr>
      <w:bookmarkStart w:id="34" w:name="_Toc18377"/>
      <w:r>
        <w:rPr>
          <w:rStyle w:val="33"/>
          <w:rFonts w:hint="eastAsia" w:ascii="宋体" w:hAnsi="宋体" w:eastAsia="宋体" w:cs="宋体"/>
          <w:b/>
          <w:bCs/>
          <w:color w:val="auto"/>
          <w:highlight w:val="none"/>
        </w:rPr>
        <w:t>报价文件</w:t>
      </w:r>
      <w:bookmarkEnd w:id="34"/>
    </w:p>
    <w:p w14:paraId="2525B040">
      <w:pPr>
        <w:pStyle w:val="31"/>
        <w:outlineLvl w:val="1"/>
        <w:rPr>
          <w:rStyle w:val="33"/>
          <w:rFonts w:hint="eastAsia" w:ascii="宋体" w:hAnsi="宋体" w:eastAsia="宋体" w:cs="宋体"/>
          <w:b/>
          <w:bCs/>
          <w:color w:val="auto"/>
          <w:highlight w:val="none"/>
        </w:rPr>
      </w:pPr>
      <w:bookmarkStart w:id="35" w:name="_Toc18579"/>
      <w:r>
        <w:rPr>
          <w:rStyle w:val="33"/>
          <w:rFonts w:hint="eastAsia" w:ascii="宋体" w:hAnsi="宋体" w:eastAsia="宋体" w:cs="宋体"/>
          <w:b/>
          <w:bCs/>
          <w:color w:val="auto"/>
          <w:highlight w:val="none"/>
        </w:rPr>
        <w:t>一、磋  商  书</w:t>
      </w:r>
      <w:bookmarkEnd w:id="35"/>
    </w:p>
    <w:p w14:paraId="086DE14B">
      <w:pPr>
        <w:rPr>
          <w:rStyle w:val="33"/>
          <w:rFonts w:hint="eastAsia" w:ascii="宋体" w:hAnsi="宋体" w:eastAsia="宋体" w:cs="宋体"/>
          <w:color w:val="auto"/>
          <w:highlight w:val="none"/>
        </w:rPr>
      </w:pPr>
    </w:p>
    <w:p w14:paraId="7C6F4DF6">
      <w:pPr>
        <w:spacing w:line="500" w:lineRule="exact"/>
        <w:rPr>
          <w:rStyle w:val="33"/>
          <w:rFonts w:hint="eastAsia" w:ascii="宋体" w:hAnsi="宋体" w:eastAsia="宋体" w:cs="宋体"/>
          <w:color w:val="auto"/>
          <w:sz w:val="24"/>
          <w:highlight w:val="none"/>
          <w:lang w:eastAsia="zh-CN"/>
        </w:rPr>
      </w:pPr>
      <w:r>
        <w:rPr>
          <w:rStyle w:val="33"/>
          <w:rFonts w:hint="eastAsia" w:ascii="宋体" w:hAnsi="宋体" w:eastAsia="宋体" w:cs="宋体"/>
          <w:color w:val="auto"/>
          <w:sz w:val="24"/>
          <w:highlight w:val="none"/>
        </w:rPr>
        <w:t>致:</w:t>
      </w:r>
      <w:r>
        <w:rPr>
          <w:rStyle w:val="33"/>
          <w:rFonts w:hint="eastAsia" w:ascii="宋体" w:hAnsi="宋体" w:cs="宋体"/>
          <w:color w:val="auto"/>
          <w:sz w:val="24"/>
          <w:szCs w:val="24"/>
          <w:highlight w:val="none"/>
          <w:lang w:eastAsia="zh-CN"/>
        </w:rPr>
        <w:t>广西宝盛工程咨询有限公司</w:t>
      </w:r>
    </w:p>
    <w:p w14:paraId="7AD6D2BA">
      <w:pPr>
        <w:spacing w:line="500" w:lineRule="exact"/>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 xml:space="preserve">    1、经考察现场并研究竞争性磋商文件和有关文件和有关资料，我方愿完全按本磋商文件的要求，承担本</w:t>
      </w:r>
      <w:r>
        <w:rPr>
          <w:rStyle w:val="33"/>
          <w:rFonts w:hint="eastAsia" w:ascii="宋体" w:hAnsi="宋体" w:cs="宋体"/>
          <w:color w:val="auto"/>
          <w:sz w:val="24"/>
          <w:highlight w:val="none"/>
        </w:rPr>
        <w:t>项目</w:t>
      </w:r>
      <w:r>
        <w:rPr>
          <w:rStyle w:val="33"/>
          <w:rFonts w:hint="eastAsia" w:ascii="宋体" w:hAnsi="宋体" w:eastAsia="宋体" w:cs="宋体"/>
          <w:color w:val="auto"/>
          <w:sz w:val="24"/>
          <w:highlight w:val="none"/>
        </w:rPr>
        <w:t>所产生的相关风险。</w:t>
      </w:r>
    </w:p>
    <w:p w14:paraId="2964CE3B">
      <w:pPr>
        <w:spacing w:line="500" w:lineRule="exact"/>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 xml:space="preserve">    2、一旦我方成交，我方保证在特许协议条款中规定的日期开始组织实施本项目。</w:t>
      </w:r>
    </w:p>
    <w:p w14:paraId="1B878A93">
      <w:pPr>
        <w:spacing w:line="500" w:lineRule="exact"/>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 xml:space="preserve">    3、我方同意本响应文件在磋商截止期之日起有效期为</w:t>
      </w:r>
      <w:r>
        <w:rPr>
          <w:rStyle w:val="33"/>
          <w:rFonts w:hint="eastAsia" w:ascii="宋体" w:hAnsi="宋体" w:cs="宋体"/>
          <w:color w:val="auto"/>
          <w:sz w:val="24"/>
          <w:highlight w:val="none"/>
          <w:u w:val="single"/>
          <w:lang w:val="en-US" w:eastAsia="zh-CN"/>
        </w:rPr>
        <w:t xml:space="preserve">   </w:t>
      </w:r>
      <w:r>
        <w:rPr>
          <w:rStyle w:val="33"/>
          <w:rFonts w:hint="eastAsia" w:ascii="宋体" w:hAnsi="宋体" w:eastAsia="宋体" w:cs="宋体"/>
          <w:color w:val="auto"/>
          <w:sz w:val="24"/>
          <w:highlight w:val="none"/>
        </w:rPr>
        <w:t>个日历日。</w:t>
      </w:r>
    </w:p>
    <w:p w14:paraId="01BBB4C8">
      <w:pPr>
        <w:spacing w:line="500" w:lineRule="exact"/>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 xml:space="preserve">    4、除非另外达成协议并生效，你方的成交通知和本响应文件将构成约束我方与采购双方的合同。</w:t>
      </w:r>
    </w:p>
    <w:p w14:paraId="73874870">
      <w:pPr>
        <w:spacing w:line="500" w:lineRule="exact"/>
        <w:ind w:firstLine="480"/>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5、我方的磋商报价金额为人民币</w:t>
      </w:r>
      <w:r>
        <w:rPr>
          <w:rStyle w:val="33"/>
          <w:rFonts w:hint="eastAsia" w:ascii="宋体" w:hAnsi="宋体" w:eastAsia="宋体" w:cs="宋体"/>
          <w:color w:val="auto"/>
          <w:sz w:val="24"/>
          <w:highlight w:val="none"/>
          <w:u w:val="single"/>
        </w:rPr>
        <w:t xml:space="preserve">    大写   元整（￥小写   元）</w:t>
      </w:r>
      <w:r>
        <w:rPr>
          <w:rStyle w:val="33"/>
          <w:rFonts w:hint="eastAsia" w:ascii="宋体" w:hAnsi="宋体" w:eastAsia="宋体" w:cs="宋体"/>
          <w:color w:val="auto"/>
          <w:sz w:val="24"/>
          <w:highlight w:val="none"/>
        </w:rPr>
        <w:t>，服务期限：</w:t>
      </w:r>
      <w:r>
        <w:rPr>
          <w:rStyle w:val="33"/>
          <w:rFonts w:hint="eastAsia" w:ascii="宋体" w:hAnsi="宋体" w:cs="宋体"/>
          <w:color w:val="auto"/>
          <w:sz w:val="24"/>
          <w:highlight w:val="none"/>
          <w:u w:val="single"/>
          <w:lang w:val="en-US" w:eastAsia="zh-CN"/>
        </w:rPr>
        <w:t xml:space="preserve">    </w:t>
      </w:r>
      <w:r>
        <w:rPr>
          <w:rStyle w:val="33"/>
          <w:rFonts w:hint="eastAsia" w:ascii="宋体" w:hAnsi="宋体" w:eastAsia="宋体" w:cs="宋体"/>
          <w:color w:val="auto"/>
          <w:sz w:val="24"/>
          <w:highlight w:val="none"/>
        </w:rPr>
        <w:t>。</w:t>
      </w:r>
    </w:p>
    <w:p w14:paraId="1DA272BA">
      <w:pPr>
        <w:spacing w:line="500" w:lineRule="exact"/>
        <w:ind w:firstLine="570"/>
        <w:rPr>
          <w:rStyle w:val="33"/>
          <w:rFonts w:hint="eastAsia" w:ascii="宋体" w:hAnsi="宋体" w:eastAsia="宋体" w:cs="宋体"/>
          <w:color w:val="auto"/>
          <w:sz w:val="24"/>
          <w:highlight w:val="none"/>
        </w:rPr>
      </w:pPr>
    </w:p>
    <w:p w14:paraId="0B995FB7">
      <w:pPr>
        <w:spacing w:line="500" w:lineRule="exact"/>
        <w:ind w:firstLine="570"/>
        <w:rPr>
          <w:rStyle w:val="33"/>
          <w:rFonts w:hint="eastAsia" w:ascii="宋体" w:hAnsi="宋体" w:eastAsia="宋体" w:cs="宋体"/>
          <w:color w:val="auto"/>
          <w:sz w:val="24"/>
          <w:highlight w:val="none"/>
        </w:rPr>
      </w:pPr>
    </w:p>
    <w:p w14:paraId="28AFBA7E">
      <w:pPr>
        <w:spacing w:line="500" w:lineRule="exact"/>
        <w:ind w:firstLine="570"/>
        <w:rPr>
          <w:rStyle w:val="33"/>
          <w:rFonts w:hint="eastAsia" w:ascii="宋体" w:hAnsi="宋体" w:eastAsia="宋体" w:cs="宋体"/>
          <w:color w:val="auto"/>
          <w:sz w:val="24"/>
          <w:highlight w:val="none"/>
          <w:u w:val="single"/>
        </w:rPr>
      </w:pPr>
      <w:r>
        <w:rPr>
          <w:rStyle w:val="33"/>
          <w:rFonts w:hint="eastAsia" w:ascii="宋体" w:hAnsi="宋体" w:eastAsia="宋体" w:cs="宋体"/>
          <w:color w:val="auto"/>
          <w:sz w:val="24"/>
          <w:highlight w:val="none"/>
        </w:rPr>
        <w:t>磋商供应商名称：</w:t>
      </w:r>
      <w:r>
        <w:rPr>
          <w:rStyle w:val="33"/>
          <w:rFonts w:hint="eastAsia" w:ascii="宋体" w:hAnsi="宋体" w:eastAsia="宋体" w:cs="宋体"/>
          <w:color w:val="auto"/>
          <w:sz w:val="24"/>
          <w:highlight w:val="none"/>
          <w:u w:val="single"/>
        </w:rPr>
        <w:t xml:space="preserve">                   （全称并加盖公章）                </w:t>
      </w:r>
    </w:p>
    <w:p w14:paraId="44017DEC">
      <w:pPr>
        <w:spacing w:line="500" w:lineRule="exact"/>
        <w:ind w:firstLine="570"/>
        <w:rPr>
          <w:rStyle w:val="33"/>
          <w:rFonts w:hint="eastAsia" w:ascii="宋体" w:hAnsi="宋体" w:eastAsia="宋体" w:cs="宋体"/>
          <w:color w:val="auto"/>
          <w:sz w:val="24"/>
          <w:highlight w:val="none"/>
        </w:rPr>
      </w:pPr>
    </w:p>
    <w:p w14:paraId="30F18038">
      <w:pPr>
        <w:spacing w:line="500" w:lineRule="exact"/>
        <w:ind w:firstLine="570"/>
        <w:rPr>
          <w:rStyle w:val="33"/>
          <w:rFonts w:hint="eastAsia" w:ascii="宋体" w:hAnsi="宋体" w:eastAsia="宋体" w:cs="宋体"/>
          <w:color w:val="auto"/>
          <w:sz w:val="24"/>
          <w:highlight w:val="none"/>
          <w:u w:val="single"/>
        </w:rPr>
      </w:pPr>
      <w:r>
        <w:rPr>
          <w:rStyle w:val="33"/>
          <w:rFonts w:hint="eastAsia" w:ascii="宋体" w:hAnsi="宋体" w:eastAsia="宋体" w:cs="宋体"/>
          <w:color w:val="auto"/>
          <w:sz w:val="24"/>
          <w:highlight w:val="none"/>
        </w:rPr>
        <w:t>磋商供应商法定代表人（或授权代表）签字：</w:t>
      </w:r>
    </w:p>
    <w:p w14:paraId="0337B65E">
      <w:pPr>
        <w:spacing w:line="500" w:lineRule="exact"/>
        <w:ind w:firstLine="570"/>
        <w:rPr>
          <w:rStyle w:val="33"/>
          <w:rFonts w:hint="eastAsia" w:ascii="宋体" w:hAnsi="宋体" w:eastAsia="宋体" w:cs="宋体"/>
          <w:color w:val="auto"/>
          <w:sz w:val="24"/>
          <w:highlight w:val="none"/>
        </w:rPr>
      </w:pPr>
    </w:p>
    <w:p w14:paraId="62441664">
      <w:pPr>
        <w:spacing w:line="500" w:lineRule="exact"/>
        <w:ind w:firstLine="570"/>
        <w:rPr>
          <w:rStyle w:val="33"/>
          <w:rFonts w:hint="eastAsia" w:ascii="宋体" w:hAnsi="宋体" w:eastAsia="宋体" w:cs="宋体"/>
          <w:color w:val="auto"/>
          <w:sz w:val="24"/>
          <w:highlight w:val="none"/>
          <w:u w:val="single"/>
        </w:rPr>
      </w:pPr>
      <w:r>
        <w:rPr>
          <w:rStyle w:val="33"/>
          <w:rFonts w:hint="eastAsia" w:ascii="宋体" w:hAnsi="宋体" w:eastAsia="宋体" w:cs="宋体"/>
          <w:color w:val="auto"/>
          <w:sz w:val="24"/>
          <w:highlight w:val="none"/>
        </w:rPr>
        <w:t>地址：</w:t>
      </w:r>
      <w:r>
        <w:rPr>
          <w:rStyle w:val="33"/>
          <w:rFonts w:hint="eastAsia" w:ascii="宋体" w:hAnsi="宋体" w:eastAsia="宋体" w:cs="宋体"/>
          <w:color w:val="auto"/>
          <w:sz w:val="24"/>
          <w:highlight w:val="none"/>
          <w:u w:val="single"/>
        </w:rPr>
        <w:t xml:space="preserve">                  （包括电话、电传、传真号、邮编）          </w:t>
      </w:r>
    </w:p>
    <w:p w14:paraId="757EF5B4">
      <w:pPr>
        <w:spacing w:line="500" w:lineRule="exact"/>
        <w:ind w:firstLine="570"/>
        <w:rPr>
          <w:rStyle w:val="33"/>
          <w:rFonts w:hint="eastAsia" w:ascii="宋体" w:hAnsi="宋体" w:eastAsia="宋体" w:cs="宋体"/>
          <w:color w:val="auto"/>
          <w:sz w:val="24"/>
          <w:highlight w:val="none"/>
        </w:rPr>
      </w:pPr>
    </w:p>
    <w:p w14:paraId="2F7F3B4C">
      <w:pPr>
        <w:spacing w:line="480" w:lineRule="auto"/>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 xml:space="preserve">                               日期： 年月日</w:t>
      </w:r>
    </w:p>
    <w:p w14:paraId="052FE2C1">
      <w:pPr>
        <w:spacing w:line="480" w:lineRule="auto"/>
        <w:jc w:val="center"/>
        <w:rPr>
          <w:rStyle w:val="33"/>
          <w:rFonts w:hint="eastAsia" w:ascii="宋体" w:hAnsi="宋体" w:eastAsia="宋体" w:cs="宋体"/>
          <w:color w:val="auto"/>
          <w:sz w:val="24"/>
          <w:highlight w:val="none"/>
        </w:rPr>
      </w:pPr>
    </w:p>
    <w:p w14:paraId="33BAA327">
      <w:pPr>
        <w:spacing w:line="480" w:lineRule="auto"/>
        <w:jc w:val="center"/>
        <w:rPr>
          <w:rStyle w:val="33"/>
          <w:rFonts w:hint="eastAsia" w:ascii="宋体" w:hAnsi="宋体" w:eastAsia="宋体" w:cs="宋体"/>
          <w:color w:val="auto"/>
          <w:sz w:val="24"/>
          <w:highlight w:val="none"/>
        </w:rPr>
      </w:pPr>
    </w:p>
    <w:p w14:paraId="5BE198B0">
      <w:pPr>
        <w:spacing w:line="480" w:lineRule="auto"/>
        <w:jc w:val="center"/>
        <w:rPr>
          <w:rStyle w:val="33"/>
          <w:rFonts w:hint="eastAsia" w:ascii="宋体" w:hAnsi="宋体" w:eastAsia="宋体" w:cs="宋体"/>
          <w:color w:val="auto"/>
          <w:sz w:val="24"/>
          <w:highlight w:val="none"/>
        </w:rPr>
      </w:pPr>
    </w:p>
    <w:p w14:paraId="69C6BCC3">
      <w:pPr>
        <w:spacing w:line="480" w:lineRule="auto"/>
        <w:jc w:val="center"/>
        <w:rPr>
          <w:rStyle w:val="33"/>
          <w:rFonts w:hint="eastAsia" w:ascii="宋体" w:hAnsi="宋体" w:eastAsia="宋体" w:cs="宋体"/>
          <w:color w:val="auto"/>
          <w:sz w:val="24"/>
          <w:highlight w:val="none"/>
        </w:rPr>
      </w:pPr>
    </w:p>
    <w:p w14:paraId="6B03073B">
      <w:pPr>
        <w:spacing w:line="480" w:lineRule="auto"/>
        <w:jc w:val="center"/>
        <w:rPr>
          <w:rStyle w:val="33"/>
          <w:rFonts w:hint="eastAsia" w:ascii="宋体" w:hAnsi="宋体" w:eastAsia="宋体" w:cs="宋体"/>
          <w:color w:val="auto"/>
          <w:sz w:val="24"/>
          <w:highlight w:val="none"/>
        </w:rPr>
      </w:pPr>
    </w:p>
    <w:p w14:paraId="3A5FD72A">
      <w:pPr>
        <w:spacing w:line="480" w:lineRule="auto"/>
        <w:jc w:val="center"/>
        <w:rPr>
          <w:rStyle w:val="33"/>
          <w:rFonts w:hint="eastAsia" w:ascii="宋体" w:hAnsi="宋体" w:eastAsia="宋体" w:cs="宋体"/>
          <w:color w:val="auto"/>
          <w:sz w:val="24"/>
          <w:highlight w:val="none"/>
        </w:rPr>
      </w:pPr>
    </w:p>
    <w:p w14:paraId="0F1B4FBC">
      <w:pPr>
        <w:pStyle w:val="31"/>
        <w:outlineLvl w:val="1"/>
        <w:rPr>
          <w:rStyle w:val="33"/>
          <w:rFonts w:hint="eastAsia" w:ascii="宋体" w:hAnsi="宋体" w:eastAsia="宋体" w:cs="宋体"/>
          <w:b/>
          <w:bCs/>
          <w:color w:val="auto"/>
          <w:highlight w:val="none"/>
        </w:rPr>
      </w:pPr>
      <w:bookmarkStart w:id="36" w:name="_Toc20152"/>
      <w:r>
        <w:rPr>
          <w:rStyle w:val="33"/>
          <w:rFonts w:hint="eastAsia" w:ascii="宋体" w:hAnsi="宋体" w:eastAsia="宋体" w:cs="宋体"/>
          <w:b/>
          <w:bCs/>
          <w:color w:val="auto"/>
          <w:highlight w:val="none"/>
        </w:rPr>
        <w:t>二、磋商报价表</w:t>
      </w:r>
      <w:bookmarkEnd w:id="36"/>
    </w:p>
    <w:p w14:paraId="223460B1">
      <w:pPr>
        <w:spacing w:line="420" w:lineRule="exact"/>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项目编号:</w:t>
      </w:r>
    </w:p>
    <w:p w14:paraId="5F854ED5">
      <w:pPr>
        <w:spacing w:line="420" w:lineRule="exact"/>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项目名称:</w:t>
      </w:r>
    </w:p>
    <w:p w14:paraId="195ECEAD">
      <w:pPr>
        <w:spacing w:line="420" w:lineRule="exact"/>
        <w:rPr>
          <w:rStyle w:val="33"/>
          <w:rFonts w:hint="eastAsia" w:ascii="宋体" w:hAnsi="宋体" w:eastAsia="宋体" w:cs="宋体"/>
          <w:color w:val="auto"/>
          <w:szCs w:val="21"/>
          <w:highlight w:val="none"/>
          <w:u w:val="single"/>
        </w:rPr>
      </w:pPr>
    </w:p>
    <w:tbl>
      <w:tblPr>
        <w:tblStyle w:val="22"/>
        <w:tblW w:w="93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930"/>
        <w:gridCol w:w="4252"/>
        <w:gridCol w:w="709"/>
        <w:gridCol w:w="1417"/>
        <w:gridCol w:w="1302"/>
        <w:gridCol w:w="17"/>
      </w:tblGrid>
      <w:tr w14:paraId="6D68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123E31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kern w:val="0"/>
                <w:sz w:val="24"/>
                <w:highlight w:val="none"/>
              </w:rPr>
              <w:t>序号</w:t>
            </w:r>
          </w:p>
        </w:tc>
        <w:tc>
          <w:tcPr>
            <w:tcW w:w="930" w:type="dxa"/>
            <w:tcBorders>
              <w:top w:val="single" w:color="000000" w:sz="4" w:space="0"/>
              <w:left w:val="single" w:color="000000" w:sz="4" w:space="0"/>
              <w:bottom w:val="single" w:color="000000" w:sz="4" w:space="0"/>
              <w:right w:val="single" w:color="000000" w:sz="4" w:space="0"/>
            </w:tcBorders>
            <w:vAlign w:val="center"/>
          </w:tcPr>
          <w:p w14:paraId="6D6B3A98">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服务名称</w:t>
            </w:r>
          </w:p>
        </w:tc>
        <w:tc>
          <w:tcPr>
            <w:tcW w:w="4252" w:type="dxa"/>
            <w:tcBorders>
              <w:top w:val="single" w:color="000000" w:sz="4" w:space="0"/>
              <w:left w:val="single" w:color="000000" w:sz="4" w:space="0"/>
              <w:bottom w:val="single" w:color="000000" w:sz="4" w:space="0"/>
              <w:right w:val="single" w:color="000000" w:sz="4" w:space="0"/>
            </w:tcBorders>
            <w:vAlign w:val="center"/>
          </w:tcPr>
          <w:p w14:paraId="314D5AB6">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服务内容</w:t>
            </w:r>
          </w:p>
        </w:tc>
        <w:tc>
          <w:tcPr>
            <w:tcW w:w="709" w:type="dxa"/>
            <w:tcBorders>
              <w:top w:val="single" w:color="000000" w:sz="4" w:space="0"/>
              <w:left w:val="single" w:color="000000" w:sz="4" w:space="0"/>
              <w:bottom w:val="single" w:color="000000" w:sz="4" w:space="0"/>
              <w:right w:val="single" w:color="000000" w:sz="4" w:space="0"/>
            </w:tcBorders>
            <w:vAlign w:val="center"/>
          </w:tcPr>
          <w:p w14:paraId="08FE141F">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数量①</w:t>
            </w:r>
          </w:p>
        </w:tc>
        <w:tc>
          <w:tcPr>
            <w:tcW w:w="1417" w:type="dxa"/>
            <w:tcBorders>
              <w:top w:val="single" w:color="000000" w:sz="4" w:space="0"/>
              <w:left w:val="single" w:color="000000" w:sz="4" w:space="0"/>
              <w:bottom w:val="single" w:color="000000" w:sz="4" w:space="0"/>
              <w:right w:val="single" w:color="000000" w:sz="4" w:space="0"/>
            </w:tcBorders>
            <w:vAlign w:val="center"/>
          </w:tcPr>
          <w:p w14:paraId="081E4892">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单价（元）②</w:t>
            </w: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4F3D475E">
            <w:pPr>
              <w:pStyle w:val="48"/>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单项合价（元）</w:t>
            </w:r>
          </w:p>
          <w:p w14:paraId="22E06DA6">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highlight w:val="none"/>
              </w:rPr>
              <w:t>③=①×②</w:t>
            </w:r>
          </w:p>
        </w:tc>
      </w:tr>
      <w:tr w14:paraId="7E97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60F5AB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r>
              <w:rPr>
                <w:rStyle w:val="33"/>
                <w:rFonts w:hint="eastAsia" w:ascii="宋体" w:hAnsi="宋体" w:eastAsia="宋体" w:cs="宋体"/>
                <w:color w:val="auto"/>
                <w:kern w:val="0"/>
                <w:sz w:val="24"/>
                <w:highlight w:val="none"/>
              </w:rPr>
              <w:t>1</w:t>
            </w:r>
          </w:p>
        </w:tc>
        <w:tc>
          <w:tcPr>
            <w:tcW w:w="930" w:type="dxa"/>
            <w:tcBorders>
              <w:top w:val="single" w:color="000000" w:sz="4" w:space="0"/>
              <w:left w:val="single" w:color="000000" w:sz="4" w:space="0"/>
              <w:bottom w:val="single" w:color="000000" w:sz="4" w:space="0"/>
              <w:right w:val="single" w:color="000000" w:sz="4" w:space="0"/>
            </w:tcBorders>
            <w:vAlign w:val="center"/>
          </w:tcPr>
          <w:p w14:paraId="75F508D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60CEE66D">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CE4BCC8">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994A55B">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16018352">
            <w:pPr>
              <w:keepNext w:val="0"/>
              <w:keepLines w:val="0"/>
              <w:widowControl/>
              <w:suppressLineNumbers w:val="0"/>
              <w:tabs>
                <w:tab w:val="left" w:pos="1418"/>
              </w:tabs>
              <w:snapToGrid w:val="0"/>
              <w:spacing w:before="50" w:beforeAutospacing="0" w:after="50" w:afterAutospacing="0" w:line="400" w:lineRule="exact"/>
              <w:ind w:left="0" w:right="0"/>
              <w:jc w:val="center"/>
              <w:rPr>
                <w:rStyle w:val="33"/>
                <w:rFonts w:hint="eastAsia" w:ascii="宋体" w:hAnsi="宋体" w:eastAsia="宋体" w:cs="宋体"/>
                <w:color w:val="auto"/>
                <w:sz w:val="24"/>
                <w:highlight w:val="none"/>
              </w:rPr>
            </w:pPr>
          </w:p>
        </w:tc>
      </w:tr>
      <w:tr w14:paraId="3AFF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29E45F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kern w:val="0"/>
                <w:sz w:val="24"/>
                <w:highlight w:val="none"/>
              </w:rPr>
            </w:pPr>
            <w:r>
              <w:rPr>
                <w:rStyle w:val="33"/>
                <w:rFonts w:hint="eastAsia" w:ascii="宋体" w:hAnsi="宋体" w:eastAsia="宋体" w:cs="宋体"/>
                <w:color w:val="auto"/>
                <w:kern w:val="0"/>
                <w:sz w:val="24"/>
                <w:highlight w:val="none"/>
              </w:rPr>
              <w:t>2</w:t>
            </w:r>
          </w:p>
        </w:tc>
        <w:tc>
          <w:tcPr>
            <w:tcW w:w="930" w:type="dxa"/>
            <w:tcBorders>
              <w:top w:val="single" w:color="000000" w:sz="4" w:space="0"/>
              <w:left w:val="single" w:color="000000" w:sz="4" w:space="0"/>
              <w:bottom w:val="single" w:color="000000" w:sz="4" w:space="0"/>
              <w:right w:val="single" w:color="000000" w:sz="4" w:space="0"/>
            </w:tcBorders>
            <w:vAlign w:val="center"/>
          </w:tcPr>
          <w:p w14:paraId="0F9B33D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16B26BB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325CC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04C5B5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775D8B47">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r>
      <w:tr w14:paraId="1AFC0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6B23319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kern w:val="0"/>
                <w:sz w:val="24"/>
                <w:highlight w:val="none"/>
              </w:rPr>
            </w:pPr>
            <w:r>
              <w:rPr>
                <w:rStyle w:val="33"/>
                <w:rFonts w:hint="eastAsia" w:ascii="宋体" w:hAnsi="宋体" w:eastAsia="宋体" w:cs="宋体"/>
                <w:color w:val="auto"/>
                <w:kern w:val="0"/>
                <w:sz w:val="24"/>
                <w:highlight w:val="none"/>
              </w:rPr>
              <w:t>3</w:t>
            </w:r>
          </w:p>
        </w:tc>
        <w:tc>
          <w:tcPr>
            <w:tcW w:w="930" w:type="dxa"/>
            <w:tcBorders>
              <w:top w:val="single" w:color="000000" w:sz="4" w:space="0"/>
              <w:left w:val="single" w:color="000000" w:sz="4" w:space="0"/>
              <w:bottom w:val="single" w:color="000000" w:sz="4" w:space="0"/>
              <w:right w:val="single" w:color="000000" w:sz="4" w:space="0"/>
            </w:tcBorders>
            <w:vAlign w:val="center"/>
          </w:tcPr>
          <w:p w14:paraId="6819A9F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2C12CC3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05993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2719B6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11B02D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r>
      <w:tr w14:paraId="44C8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BEA045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kern w:val="0"/>
                <w:sz w:val="24"/>
                <w:highlight w:val="none"/>
              </w:rPr>
            </w:pPr>
            <w:r>
              <w:rPr>
                <w:rStyle w:val="33"/>
                <w:rFonts w:hint="eastAsia" w:ascii="宋体" w:hAnsi="宋体" w:eastAsia="宋体" w:cs="宋体"/>
                <w:color w:val="auto"/>
                <w:kern w:val="0"/>
                <w:sz w:val="24"/>
                <w:highlight w:val="none"/>
              </w:rPr>
              <w:t>4</w:t>
            </w:r>
          </w:p>
        </w:tc>
        <w:tc>
          <w:tcPr>
            <w:tcW w:w="930" w:type="dxa"/>
            <w:tcBorders>
              <w:top w:val="single" w:color="000000" w:sz="4" w:space="0"/>
              <w:left w:val="single" w:color="000000" w:sz="4" w:space="0"/>
              <w:bottom w:val="single" w:color="000000" w:sz="4" w:space="0"/>
              <w:right w:val="single" w:color="000000" w:sz="4" w:space="0"/>
            </w:tcBorders>
            <w:vAlign w:val="center"/>
          </w:tcPr>
          <w:p w14:paraId="00C3857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61A445F6">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14C954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BC49D85">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D5EFF2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r>
      <w:tr w14:paraId="5B4B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EFAFCD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kern w:val="0"/>
                <w:sz w:val="24"/>
                <w:highlight w:val="none"/>
              </w:rPr>
            </w:pPr>
            <w:r>
              <w:rPr>
                <w:rStyle w:val="33"/>
                <w:rFonts w:hint="eastAsia" w:ascii="宋体" w:hAnsi="宋体" w:eastAsia="宋体" w:cs="宋体"/>
                <w:color w:val="auto"/>
                <w:kern w:val="0"/>
                <w:sz w:val="24"/>
                <w:highlight w:val="none"/>
              </w:rPr>
              <w:t>5</w:t>
            </w:r>
          </w:p>
        </w:tc>
        <w:tc>
          <w:tcPr>
            <w:tcW w:w="930" w:type="dxa"/>
            <w:tcBorders>
              <w:top w:val="single" w:color="000000" w:sz="4" w:space="0"/>
              <w:left w:val="single" w:color="000000" w:sz="4" w:space="0"/>
              <w:bottom w:val="single" w:color="000000" w:sz="4" w:space="0"/>
              <w:right w:val="single" w:color="000000" w:sz="4" w:space="0"/>
            </w:tcBorders>
            <w:vAlign w:val="center"/>
          </w:tcPr>
          <w:p w14:paraId="3316A4B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4056FDA1">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FC6CC1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ADE0FE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A855D7B">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highlight w:val="none"/>
              </w:rPr>
            </w:pPr>
          </w:p>
        </w:tc>
      </w:tr>
      <w:tr w14:paraId="4254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825" w:hRule="atLeast"/>
        </w:trPr>
        <w:tc>
          <w:tcPr>
            <w:tcW w:w="9348" w:type="dxa"/>
            <w:gridSpan w:val="6"/>
            <w:tcBorders>
              <w:top w:val="single" w:color="000000" w:sz="4" w:space="0"/>
              <w:left w:val="single" w:color="000000" w:sz="4" w:space="0"/>
              <w:bottom w:val="single" w:color="000000" w:sz="4" w:space="0"/>
              <w:right w:val="single" w:color="000000" w:sz="4" w:space="0"/>
            </w:tcBorders>
          </w:tcPr>
          <w:p w14:paraId="7017A6BB">
            <w:pPr>
              <w:keepNext w:val="0"/>
              <w:keepLines w:val="0"/>
              <w:widowControl/>
              <w:suppressLineNumbers w:val="0"/>
              <w:spacing w:before="0" w:beforeAutospacing="0" w:after="0" w:afterAutospacing="0"/>
              <w:ind w:left="0" w:right="0"/>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总报价：人民币</w:t>
            </w:r>
            <w:r>
              <w:rPr>
                <w:rStyle w:val="33"/>
                <w:rFonts w:hint="eastAsia" w:ascii="宋体" w:hAnsi="宋体" w:eastAsia="宋体" w:cs="宋体"/>
                <w:color w:val="auto"/>
                <w:sz w:val="24"/>
                <w:highlight w:val="none"/>
                <w:u w:val="single"/>
              </w:rPr>
              <w:t xml:space="preserve">（大写）               </w:t>
            </w:r>
            <w:r>
              <w:rPr>
                <w:rStyle w:val="33"/>
                <w:rFonts w:hint="eastAsia" w:ascii="宋体" w:hAnsi="宋体" w:eastAsia="宋体" w:cs="宋体"/>
                <w:color w:val="auto"/>
                <w:sz w:val="24"/>
                <w:highlight w:val="none"/>
              </w:rPr>
              <w:t>(¥小写)</w:t>
            </w:r>
          </w:p>
          <w:p w14:paraId="5F6718C3">
            <w:pPr>
              <w:keepNext w:val="0"/>
              <w:keepLines w:val="0"/>
              <w:widowControl/>
              <w:suppressLineNumbers w:val="0"/>
              <w:spacing w:before="0" w:beforeAutospacing="0" w:after="0" w:afterAutospacing="0"/>
              <w:ind w:left="0" w:right="0"/>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合同履行期限：</w:t>
            </w:r>
          </w:p>
        </w:tc>
      </w:tr>
      <w:tr w14:paraId="2F6C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1066" w:hRule="atLeast"/>
        </w:trPr>
        <w:tc>
          <w:tcPr>
            <w:tcW w:w="9348" w:type="dxa"/>
            <w:gridSpan w:val="6"/>
            <w:tcBorders>
              <w:top w:val="single" w:color="000000" w:sz="4" w:space="0"/>
              <w:left w:val="single" w:color="000000" w:sz="4" w:space="0"/>
              <w:bottom w:val="single" w:color="000000" w:sz="4" w:space="0"/>
              <w:right w:val="single" w:color="000000" w:sz="4" w:space="0"/>
            </w:tcBorders>
          </w:tcPr>
          <w:p w14:paraId="16AF239D">
            <w:pPr>
              <w:keepNext w:val="0"/>
              <w:keepLines w:val="0"/>
              <w:widowControl/>
              <w:suppressLineNumbers w:val="0"/>
              <w:spacing w:before="0" w:beforeAutospacing="0" w:after="0" w:afterAutospacing="0" w:line="360" w:lineRule="auto"/>
              <w:ind w:left="0" w:right="0"/>
              <w:rPr>
                <w:rStyle w:val="33"/>
                <w:rFonts w:hint="eastAsia" w:ascii="宋体" w:hAnsi="宋体" w:eastAsia="宋体" w:cs="宋体"/>
                <w:b/>
                <w:color w:val="auto"/>
                <w:highlight w:val="none"/>
              </w:rPr>
            </w:pPr>
            <w:r>
              <w:rPr>
                <w:rStyle w:val="33"/>
                <w:rFonts w:hint="eastAsia" w:ascii="宋体" w:hAnsi="宋体" w:eastAsia="宋体" w:cs="宋体"/>
                <w:b/>
                <w:color w:val="auto"/>
                <w:szCs w:val="21"/>
                <w:highlight w:val="none"/>
              </w:rPr>
              <w:t>注：1、所有价格均用人民币表示，单位为元，精确到个位数。</w:t>
            </w:r>
          </w:p>
          <w:p w14:paraId="21300338">
            <w:pPr>
              <w:keepNext w:val="0"/>
              <w:keepLines w:val="0"/>
              <w:widowControl/>
              <w:suppressLineNumbers w:val="0"/>
              <w:spacing w:before="0" w:beforeAutospacing="0" w:after="0" w:afterAutospacing="0" w:line="360" w:lineRule="auto"/>
              <w:ind w:left="0" w:right="0" w:firstLine="405"/>
              <w:rPr>
                <w:rStyle w:val="33"/>
                <w:rFonts w:hint="eastAsia" w:ascii="宋体" w:hAnsi="宋体" w:eastAsia="宋体" w:cs="宋体"/>
                <w:color w:val="auto"/>
                <w:highlight w:val="none"/>
              </w:rPr>
            </w:pPr>
            <w:r>
              <w:rPr>
                <w:rStyle w:val="33"/>
                <w:rFonts w:hint="eastAsia" w:ascii="宋体" w:hAnsi="宋体" w:eastAsia="宋体" w:cs="宋体"/>
                <w:b/>
                <w:color w:val="auto"/>
                <w:highlight w:val="none"/>
              </w:rPr>
              <w:t>2、磋商供应商</w:t>
            </w:r>
            <w:r>
              <w:rPr>
                <w:rStyle w:val="33"/>
                <w:rFonts w:hint="eastAsia" w:ascii="宋体" w:hAnsi="宋体" w:eastAsia="宋体" w:cs="宋体"/>
                <w:b/>
                <w:bCs/>
                <w:color w:val="auto"/>
                <w:highlight w:val="none"/>
              </w:rPr>
              <w:t>所</w:t>
            </w:r>
            <w:r>
              <w:rPr>
                <w:rStyle w:val="33"/>
                <w:rFonts w:hint="eastAsia" w:ascii="宋体" w:hAnsi="宋体" w:eastAsia="宋体" w:cs="宋体"/>
                <w:b/>
                <w:color w:val="auto"/>
                <w:highlight w:val="none"/>
              </w:rPr>
              <w:t>报价</w:t>
            </w:r>
            <w:r>
              <w:rPr>
                <w:rStyle w:val="33"/>
                <w:rFonts w:hint="eastAsia" w:ascii="宋体" w:hAnsi="宋体" w:eastAsia="宋体" w:cs="宋体"/>
                <w:b/>
                <w:bCs/>
                <w:color w:val="auto"/>
                <w:highlight w:val="none"/>
              </w:rPr>
              <w:t>的所有报价表都</w:t>
            </w:r>
            <w:r>
              <w:rPr>
                <w:rStyle w:val="33"/>
                <w:rFonts w:hint="eastAsia" w:ascii="宋体" w:hAnsi="宋体" w:cs="宋体"/>
                <w:b/>
                <w:bCs/>
                <w:color w:val="auto"/>
                <w:highlight w:val="none"/>
              </w:rPr>
              <w:t>必须</w:t>
            </w:r>
            <w:r>
              <w:rPr>
                <w:rStyle w:val="33"/>
                <w:rFonts w:hint="eastAsia" w:ascii="宋体" w:hAnsi="宋体" w:eastAsia="宋体" w:cs="宋体"/>
                <w:b/>
                <w:bCs/>
                <w:color w:val="auto"/>
                <w:highlight w:val="none"/>
              </w:rPr>
              <w:t>加盖公章并签字，无盖章和签字的</w:t>
            </w:r>
            <w:r>
              <w:rPr>
                <w:rStyle w:val="33"/>
                <w:rFonts w:hint="eastAsia" w:ascii="宋体" w:hAnsi="宋体" w:eastAsia="宋体" w:cs="宋体"/>
                <w:b/>
                <w:color w:val="auto"/>
                <w:highlight w:val="none"/>
              </w:rPr>
              <w:t>报价</w:t>
            </w:r>
            <w:r>
              <w:rPr>
                <w:rStyle w:val="33"/>
                <w:rFonts w:hint="eastAsia" w:ascii="宋体" w:hAnsi="宋体" w:eastAsia="宋体" w:cs="宋体"/>
                <w:b/>
                <w:bCs/>
                <w:color w:val="auto"/>
                <w:highlight w:val="none"/>
              </w:rPr>
              <w:t>无效。</w:t>
            </w:r>
          </w:p>
        </w:tc>
      </w:tr>
    </w:tbl>
    <w:p w14:paraId="7A8E8A5A">
      <w:pPr>
        <w:spacing w:line="420" w:lineRule="exact"/>
        <w:rPr>
          <w:rStyle w:val="33"/>
          <w:rFonts w:hint="eastAsia" w:ascii="宋体" w:hAnsi="宋体" w:eastAsia="宋体" w:cs="宋体"/>
          <w:color w:val="auto"/>
          <w:szCs w:val="21"/>
          <w:highlight w:val="none"/>
          <w:u w:val="single"/>
        </w:rPr>
      </w:pPr>
    </w:p>
    <w:p w14:paraId="49D45AE4">
      <w:pPr>
        <w:pStyle w:val="48"/>
        <w:spacing w:line="360" w:lineRule="auto"/>
        <w:ind w:left="0" w:leftChars="0"/>
        <w:rPr>
          <w:rStyle w:val="33"/>
          <w:rFonts w:hint="eastAsia" w:ascii="宋体" w:hAnsi="宋体" w:eastAsia="宋体" w:cs="宋体"/>
          <w:color w:val="auto"/>
          <w:highlight w:val="none"/>
        </w:rPr>
      </w:pPr>
    </w:p>
    <w:p w14:paraId="148E9B2D">
      <w:pPr>
        <w:pStyle w:val="48"/>
        <w:spacing w:line="500" w:lineRule="exact"/>
        <w:rPr>
          <w:rStyle w:val="33"/>
          <w:rFonts w:hint="eastAsia" w:ascii="宋体" w:hAnsi="宋体" w:eastAsia="宋体" w:cs="宋体"/>
          <w:color w:val="auto"/>
          <w:highlight w:val="none"/>
        </w:rPr>
      </w:pPr>
    </w:p>
    <w:p w14:paraId="42BAA597">
      <w:pPr>
        <w:pStyle w:val="48"/>
        <w:spacing w:line="500" w:lineRule="exact"/>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磋商供应商名称（签章）：</w:t>
      </w:r>
    </w:p>
    <w:p w14:paraId="2BC10157">
      <w:pPr>
        <w:pStyle w:val="48"/>
        <w:spacing w:line="500" w:lineRule="exact"/>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法定代表人或授权代表（签字）:</w:t>
      </w:r>
    </w:p>
    <w:p w14:paraId="2D9AF3EC">
      <w:pPr>
        <w:spacing w:line="360" w:lineRule="auto"/>
        <w:rPr>
          <w:rStyle w:val="33"/>
          <w:rFonts w:hint="eastAsia" w:ascii="宋体" w:hAnsi="宋体" w:eastAsia="宋体" w:cs="宋体"/>
          <w:color w:val="auto"/>
          <w:highlight w:val="none"/>
        </w:rPr>
      </w:pPr>
      <w:r>
        <w:rPr>
          <w:rStyle w:val="33"/>
          <w:rFonts w:hint="eastAsia" w:ascii="宋体" w:hAnsi="宋体" w:eastAsia="宋体" w:cs="宋体"/>
          <w:color w:val="auto"/>
          <w:szCs w:val="21"/>
          <w:highlight w:val="none"/>
        </w:rPr>
        <w:t>报价时间：年月日</w:t>
      </w:r>
    </w:p>
    <w:p w14:paraId="407D7105">
      <w:pPr>
        <w:rPr>
          <w:rStyle w:val="33"/>
          <w:rFonts w:hint="eastAsia" w:ascii="宋体" w:hAnsi="宋体" w:eastAsia="宋体" w:cs="宋体"/>
          <w:color w:val="auto"/>
          <w:highlight w:val="none"/>
        </w:rPr>
      </w:pPr>
    </w:p>
    <w:p w14:paraId="063B67E9">
      <w:pPr>
        <w:rPr>
          <w:rStyle w:val="33"/>
          <w:rFonts w:hint="eastAsia" w:ascii="宋体" w:hAnsi="宋体" w:eastAsia="宋体" w:cs="宋体"/>
          <w:color w:val="auto"/>
          <w:highlight w:val="none"/>
        </w:rPr>
      </w:pPr>
    </w:p>
    <w:p w14:paraId="5B90F122">
      <w:pPr>
        <w:rPr>
          <w:rStyle w:val="33"/>
          <w:rFonts w:hint="eastAsia" w:ascii="宋体" w:hAnsi="宋体" w:eastAsia="宋体" w:cs="宋体"/>
          <w:color w:val="auto"/>
          <w:highlight w:val="none"/>
        </w:rPr>
      </w:pPr>
    </w:p>
    <w:p w14:paraId="6155274E">
      <w:pPr>
        <w:rPr>
          <w:rStyle w:val="33"/>
          <w:rFonts w:hint="eastAsia" w:ascii="宋体" w:hAnsi="宋体" w:eastAsia="宋体" w:cs="宋体"/>
          <w:color w:val="auto"/>
          <w:highlight w:val="none"/>
        </w:rPr>
      </w:pPr>
    </w:p>
    <w:p w14:paraId="36F679D5">
      <w:pPr>
        <w:rPr>
          <w:rStyle w:val="33"/>
          <w:rFonts w:hint="eastAsia" w:ascii="宋体" w:hAnsi="宋体" w:eastAsia="宋体" w:cs="宋体"/>
          <w:color w:val="auto"/>
          <w:highlight w:val="none"/>
        </w:rPr>
      </w:pPr>
    </w:p>
    <w:p w14:paraId="0FE5A981">
      <w:pPr>
        <w:rPr>
          <w:rStyle w:val="33"/>
          <w:rFonts w:hint="eastAsia" w:ascii="宋体" w:hAnsi="宋体" w:eastAsia="宋体" w:cs="宋体"/>
          <w:color w:val="auto"/>
          <w:highlight w:val="none"/>
        </w:rPr>
      </w:pPr>
    </w:p>
    <w:p w14:paraId="1DEC22E3">
      <w:pPr>
        <w:rPr>
          <w:rStyle w:val="33"/>
          <w:rFonts w:hint="eastAsia" w:ascii="宋体" w:hAnsi="宋体" w:eastAsia="宋体" w:cs="宋体"/>
          <w:color w:val="auto"/>
          <w:highlight w:val="none"/>
        </w:rPr>
      </w:pPr>
    </w:p>
    <w:p w14:paraId="75E44269">
      <w:pPr>
        <w:rPr>
          <w:rStyle w:val="33"/>
          <w:rFonts w:hint="eastAsia" w:ascii="宋体" w:hAnsi="宋体" w:eastAsia="宋体" w:cs="宋体"/>
          <w:color w:val="auto"/>
          <w:highlight w:val="none"/>
        </w:rPr>
      </w:pPr>
    </w:p>
    <w:p w14:paraId="6A6815F7">
      <w:pPr>
        <w:rPr>
          <w:rStyle w:val="33"/>
          <w:rFonts w:hint="eastAsia" w:ascii="宋体" w:hAnsi="宋体" w:eastAsia="宋体" w:cs="宋体"/>
          <w:color w:val="auto"/>
          <w:highlight w:val="none"/>
        </w:rPr>
      </w:pPr>
    </w:p>
    <w:p w14:paraId="0C56819D">
      <w:pPr>
        <w:rPr>
          <w:rStyle w:val="33"/>
          <w:rFonts w:hint="eastAsia" w:ascii="宋体" w:hAnsi="宋体" w:eastAsia="宋体" w:cs="宋体"/>
          <w:color w:val="auto"/>
          <w:highlight w:val="none"/>
        </w:rPr>
      </w:pPr>
    </w:p>
    <w:p w14:paraId="4BD01D64">
      <w:pPr>
        <w:rPr>
          <w:rStyle w:val="33"/>
          <w:rFonts w:hint="eastAsia" w:ascii="宋体" w:hAnsi="宋体" w:eastAsia="宋体" w:cs="宋体"/>
          <w:color w:val="auto"/>
          <w:highlight w:val="none"/>
        </w:rPr>
      </w:pPr>
    </w:p>
    <w:p w14:paraId="4C960D73">
      <w:pPr>
        <w:pStyle w:val="31"/>
        <w:outlineLvl w:val="0"/>
        <w:rPr>
          <w:rStyle w:val="33"/>
          <w:rFonts w:hint="eastAsia" w:ascii="宋体" w:hAnsi="宋体" w:eastAsia="宋体" w:cs="宋体"/>
          <w:b/>
          <w:bCs/>
          <w:color w:val="auto"/>
          <w:highlight w:val="none"/>
        </w:rPr>
      </w:pPr>
      <w:bookmarkStart w:id="37" w:name="_Toc10287"/>
      <w:r>
        <w:rPr>
          <w:rStyle w:val="33"/>
          <w:rFonts w:hint="eastAsia" w:ascii="宋体" w:hAnsi="宋体" w:eastAsia="宋体" w:cs="宋体"/>
          <w:b/>
          <w:bCs/>
          <w:color w:val="auto"/>
          <w:highlight w:val="none"/>
        </w:rPr>
        <w:t>资格证明文件</w:t>
      </w:r>
      <w:bookmarkEnd w:id="37"/>
    </w:p>
    <w:p w14:paraId="4F71E62C">
      <w:pPr>
        <w:spacing w:line="420" w:lineRule="exact"/>
        <w:ind w:firstLine="105" w:firstLineChars="50"/>
        <w:outlineLvl w:val="1"/>
        <w:rPr>
          <w:rStyle w:val="33"/>
          <w:rFonts w:hint="eastAsia" w:ascii="宋体" w:hAnsi="宋体" w:eastAsia="宋体" w:cs="宋体"/>
          <w:b/>
          <w:color w:val="auto"/>
          <w:szCs w:val="21"/>
          <w:highlight w:val="none"/>
        </w:rPr>
      </w:pPr>
      <w:bookmarkStart w:id="38" w:name="_Toc1985"/>
      <w:r>
        <w:rPr>
          <w:rStyle w:val="33"/>
          <w:rFonts w:hint="eastAsia" w:ascii="宋体" w:hAnsi="宋体" w:eastAsia="宋体" w:cs="宋体"/>
          <w:b/>
          <w:color w:val="auto"/>
          <w:szCs w:val="21"/>
          <w:highlight w:val="none"/>
        </w:rPr>
        <w:t>（1）营业执照副本复印件；</w:t>
      </w:r>
      <w:bookmarkEnd w:id="38"/>
      <w:r>
        <w:rPr>
          <w:rStyle w:val="33"/>
          <w:rFonts w:hint="eastAsia" w:ascii="宋体" w:hAnsi="宋体" w:eastAsia="宋体" w:cs="宋体"/>
          <w:b/>
          <w:color w:val="auto"/>
          <w:szCs w:val="21"/>
          <w:highlight w:val="none"/>
        </w:rPr>
        <w:t xml:space="preserve"> </w:t>
      </w:r>
    </w:p>
    <w:p w14:paraId="141D63D5">
      <w:pPr>
        <w:spacing w:line="420" w:lineRule="exact"/>
        <w:ind w:firstLine="105" w:firstLineChars="50"/>
        <w:outlineLvl w:val="1"/>
        <w:rPr>
          <w:rStyle w:val="33"/>
          <w:rFonts w:hint="eastAsia" w:ascii="宋体" w:hAnsi="宋体" w:eastAsia="宋体" w:cs="宋体"/>
          <w:b/>
          <w:color w:val="auto"/>
          <w:szCs w:val="21"/>
          <w:highlight w:val="none"/>
        </w:rPr>
      </w:pPr>
      <w:bookmarkStart w:id="39" w:name="_Toc22037"/>
      <w:r>
        <w:rPr>
          <w:rStyle w:val="33"/>
          <w:rFonts w:hint="eastAsia" w:ascii="宋体" w:hAnsi="宋体" w:eastAsia="宋体" w:cs="宋体"/>
          <w:b/>
          <w:color w:val="auto"/>
          <w:szCs w:val="21"/>
          <w:highlight w:val="none"/>
        </w:rPr>
        <w:t>（2）磋商供应商资格声明；</w:t>
      </w:r>
      <w:bookmarkEnd w:id="39"/>
      <w:r>
        <w:rPr>
          <w:rStyle w:val="33"/>
          <w:rFonts w:hint="eastAsia" w:ascii="宋体" w:hAnsi="宋体" w:eastAsia="宋体" w:cs="宋体"/>
          <w:b/>
          <w:color w:val="auto"/>
          <w:szCs w:val="21"/>
          <w:highlight w:val="none"/>
        </w:rPr>
        <w:t xml:space="preserve"> </w:t>
      </w:r>
    </w:p>
    <w:p w14:paraId="142C047F">
      <w:pPr>
        <w:spacing w:line="500" w:lineRule="exact"/>
        <w:jc w:val="center"/>
        <w:rPr>
          <w:rStyle w:val="33"/>
          <w:rFonts w:hint="eastAsia" w:ascii="宋体" w:hAnsi="宋体" w:eastAsia="宋体" w:cs="宋体"/>
          <w:b/>
          <w:color w:val="auto"/>
          <w:sz w:val="28"/>
          <w:szCs w:val="28"/>
          <w:highlight w:val="none"/>
        </w:rPr>
      </w:pPr>
      <w:r>
        <w:rPr>
          <w:rStyle w:val="33"/>
          <w:rFonts w:hint="eastAsia" w:ascii="宋体" w:hAnsi="宋体" w:eastAsia="宋体" w:cs="宋体"/>
          <w:b/>
          <w:color w:val="auto"/>
          <w:sz w:val="28"/>
          <w:szCs w:val="28"/>
          <w:highlight w:val="none"/>
        </w:rPr>
        <w:t>磋商供应商的资格声明</w:t>
      </w:r>
    </w:p>
    <w:p w14:paraId="04A65B5F">
      <w:pPr>
        <w:spacing w:line="500" w:lineRule="exact"/>
        <w:ind w:firstLine="750" w:firstLineChars="250"/>
        <w:jc w:val="left"/>
        <w:rPr>
          <w:rStyle w:val="33"/>
          <w:rFonts w:hint="eastAsia" w:ascii="宋体" w:hAnsi="宋体" w:eastAsia="宋体" w:cs="宋体"/>
          <w:color w:val="auto"/>
          <w:sz w:val="30"/>
          <w:szCs w:val="30"/>
          <w:highlight w:val="none"/>
        </w:rPr>
      </w:pPr>
    </w:p>
    <w:p w14:paraId="67C799AC">
      <w:pPr>
        <w:spacing w:line="500" w:lineRule="exact"/>
        <w:rPr>
          <w:rStyle w:val="33"/>
          <w:rFonts w:hint="eastAsia" w:ascii="宋体" w:hAnsi="宋体" w:eastAsia="宋体" w:cs="宋体"/>
          <w:color w:val="auto"/>
          <w:sz w:val="24"/>
          <w:szCs w:val="24"/>
          <w:highlight w:val="none"/>
        </w:rPr>
      </w:pPr>
      <w:r>
        <w:rPr>
          <w:rStyle w:val="33"/>
          <w:rFonts w:hint="eastAsia" w:ascii="宋体" w:hAnsi="宋体" w:cs="宋体"/>
          <w:color w:val="auto"/>
          <w:sz w:val="24"/>
          <w:szCs w:val="24"/>
          <w:highlight w:val="none"/>
          <w:lang w:eastAsia="zh-CN"/>
        </w:rPr>
        <w:t>广西宝盛工程咨询有限公司</w:t>
      </w:r>
      <w:r>
        <w:rPr>
          <w:rStyle w:val="33"/>
          <w:rFonts w:hint="eastAsia" w:ascii="宋体" w:hAnsi="宋体" w:eastAsia="宋体" w:cs="宋体"/>
          <w:color w:val="auto"/>
          <w:sz w:val="24"/>
          <w:szCs w:val="24"/>
          <w:highlight w:val="none"/>
        </w:rPr>
        <w:t>：</w:t>
      </w:r>
    </w:p>
    <w:p w14:paraId="51982BF0">
      <w:pPr>
        <w:spacing w:line="500" w:lineRule="exact"/>
        <w:ind w:firstLine="480" w:firstLineChars="20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我方愿意参加贵方年月日</w:t>
      </w:r>
      <w:r>
        <w:rPr>
          <w:rStyle w:val="33"/>
          <w:rFonts w:hint="eastAsia" w:ascii="宋体" w:hAnsi="宋体" w:eastAsia="宋体" w:cs="宋体"/>
          <w:color w:val="auto"/>
          <w:sz w:val="24"/>
          <w:szCs w:val="24"/>
          <w:highlight w:val="none"/>
          <w:u w:val="single"/>
        </w:rPr>
        <w:t xml:space="preserve">   （项目名称、项目编号）  </w:t>
      </w:r>
      <w:r>
        <w:rPr>
          <w:rStyle w:val="33"/>
          <w:rFonts w:hint="eastAsia" w:ascii="宋体" w:hAnsi="宋体" w:eastAsia="宋体" w:cs="宋体"/>
          <w:color w:val="auto"/>
          <w:sz w:val="24"/>
          <w:szCs w:val="24"/>
          <w:highlight w:val="none"/>
        </w:rPr>
        <w:t>的竞争性磋商活动，并证明资格文件和所要求的说明是真实的和准确无误的。</w:t>
      </w:r>
    </w:p>
    <w:p w14:paraId="0B08F927">
      <w:pPr>
        <w:spacing w:line="500" w:lineRule="exact"/>
        <w:ind w:firstLine="480" w:firstLineChars="200"/>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本磋商供应商对可能要求的进一步的资格资料表示理解和同意，并同意按采购文件的要求提供相关资格证明材料。</w:t>
      </w:r>
    </w:p>
    <w:p w14:paraId="412AEBE2">
      <w:pPr>
        <w:spacing w:line="500" w:lineRule="exact"/>
        <w:ind w:left="720" w:leftChars="343" w:firstLine="600"/>
        <w:rPr>
          <w:rStyle w:val="33"/>
          <w:rFonts w:hint="eastAsia" w:ascii="宋体" w:hAnsi="宋体" w:eastAsia="宋体" w:cs="宋体"/>
          <w:color w:val="auto"/>
          <w:sz w:val="24"/>
          <w:szCs w:val="24"/>
          <w:highlight w:val="none"/>
        </w:rPr>
      </w:pPr>
    </w:p>
    <w:p w14:paraId="609A55B2">
      <w:pPr>
        <w:spacing w:line="500" w:lineRule="exact"/>
        <w:ind w:left="720" w:leftChars="343" w:firstLine="600"/>
        <w:rPr>
          <w:rStyle w:val="33"/>
          <w:rFonts w:hint="eastAsia" w:ascii="宋体" w:hAnsi="宋体" w:eastAsia="宋体" w:cs="宋体"/>
          <w:color w:val="auto"/>
          <w:sz w:val="24"/>
          <w:szCs w:val="24"/>
          <w:highlight w:val="none"/>
        </w:rPr>
      </w:pPr>
    </w:p>
    <w:p w14:paraId="438A942A">
      <w:pPr>
        <w:spacing w:line="500" w:lineRule="exact"/>
        <w:ind w:left="720" w:leftChars="343" w:firstLine="600"/>
        <w:rPr>
          <w:rStyle w:val="33"/>
          <w:rFonts w:hint="eastAsia" w:ascii="宋体" w:hAnsi="宋体" w:eastAsia="宋体" w:cs="宋体"/>
          <w:color w:val="auto"/>
          <w:sz w:val="24"/>
          <w:szCs w:val="24"/>
          <w:highlight w:val="none"/>
        </w:rPr>
      </w:pPr>
    </w:p>
    <w:p w14:paraId="66CB88B5">
      <w:pPr>
        <w:spacing w:line="500" w:lineRule="exact"/>
        <w:ind w:left="720" w:leftChars="343" w:firstLine="600"/>
        <w:rPr>
          <w:rStyle w:val="33"/>
          <w:rFonts w:hint="eastAsia" w:ascii="宋体" w:hAnsi="宋体" w:eastAsia="宋体" w:cs="宋体"/>
          <w:color w:val="auto"/>
          <w:sz w:val="24"/>
          <w:szCs w:val="24"/>
          <w:highlight w:val="none"/>
        </w:rPr>
      </w:pPr>
    </w:p>
    <w:p w14:paraId="38B9C539">
      <w:pPr>
        <w:spacing w:line="500" w:lineRule="exact"/>
        <w:ind w:left="720" w:leftChars="343" w:firstLine="600"/>
        <w:rPr>
          <w:rStyle w:val="33"/>
          <w:rFonts w:hint="eastAsia" w:ascii="宋体" w:hAnsi="宋体" w:eastAsia="宋体" w:cs="宋体"/>
          <w:color w:val="auto"/>
          <w:sz w:val="24"/>
          <w:szCs w:val="24"/>
          <w:highlight w:val="none"/>
        </w:rPr>
      </w:pPr>
    </w:p>
    <w:p w14:paraId="41928F42">
      <w:pPr>
        <w:spacing w:line="480" w:lineRule="auto"/>
        <w:ind w:firstLine="570"/>
        <w:rPr>
          <w:rStyle w:val="33"/>
          <w:rFonts w:hint="eastAsia" w:ascii="宋体" w:hAnsi="宋体" w:eastAsia="宋体" w:cs="宋体"/>
          <w:color w:val="auto"/>
          <w:sz w:val="24"/>
          <w:szCs w:val="24"/>
          <w:highlight w:val="none"/>
          <w:u w:val="single"/>
        </w:rPr>
      </w:pPr>
      <w:r>
        <w:rPr>
          <w:rStyle w:val="33"/>
          <w:rFonts w:hint="eastAsia" w:ascii="宋体" w:hAnsi="宋体" w:eastAsia="宋体" w:cs="宋体"/>
          <w:color w:val="auto"/>
          <w:sz w:val="24"/>
          <w:szCs w:val="24"/>
          <w:highlight w:val="none"/>
        </w:rPr>
        <w:t>磋商供应商名称：</w:t>
      </w:r>
      <w:r>
        <w:rPr>
          <w:rStyle w:val="33"/>
          <w:rFonts w:hint="eastAsia" w:ascii="宋体" w:hAnsi="宋体" w:eastAsia="宋体" w:cs="宋体"/>
          <w:color w:val="auto"/>
          <w:sz w:val="24"/>
          <w:szCs w:val="24"/>
          <w:highlight w:val="none"/>
          <w:u w:val="single"/>
        </w:rPr>
        <w:t xml:space="preserve">                                    （加盖公章）</w:t>
      </w:r>
    </w:p>
    <w:p w14:paraId="60A4B48E">
      <w:pPr>
        <w:spacing w:line="480" w:lineRule="auto"/>
        <w:ind w:firstLine="570"/>
        <w:rPr>
          <w:rStyle w:val="33"/>
          <w:rFonts w:hint="eastAsia" w:ascii="宋体" w:hAnsi="宋体" w:eastAsia="宋体" w:cs="宋体"/>
          <w:color w:val="auto"/>
          <w:sz w:val="24"/>
          <w:szCs w:val="24"/>
          <w:highlight w:val="none"/>
          <w:u w:val="single"/>
        </w:rPr>
      </w:pPr>
      <w:r>
        <w:rPr>
          <w:rStyle w:val="33"/>
          <w:rFonts w:hint="eastAsia" w:ascii="宋体" w:hAnsi="宋体" w:eastAsia="宋体" w:cs="宋体"/>
          <w:color w:val="auto"/>
          <w:sz w:val="24"/>
          <w:szCs w:val="24"/>
          <w:highlight w:val="none"/>
        </w:rPr>
        <w:t>法定代表人（或授权代表）签字：</w:t>
      </w:r>
    </w:p>
    <w:p w14:paraId="6AB07C65">
      <w:pPr>
        <w:spacing w:line="420" w:lineRule="exact"/>
        <w:ind w:firstLine="600" w:firstLineChars="250"/>
        <w:rPr>
          <w:rStyle w:val="33"/>
          <w:rFonts w:hint="eastAsia" w:ascii="宋体" w:hAnsi="宋体" w:eastAsia="宋体" w:cs="宋体"/>
          <w:b/>
          <w:color w:val="auto"/>
          <w:szCs w:val="21"/>
          <w:highlight w:val="none"/>
        </w:rPr>
      </w:pPr>
      <w:r>
        <w:rPr>
          <w:rStyle w:val="33"/>
          <w:rFonts w:hint="eastAsia" w:ascii="宋体" w:hAnsi="宋体" w:eastAsia="宋体" w:cs="宋体"/>
          <w:color w:val="auto"/>
          <w:sz w:val="24"/>
          <w:szCs w:val="24"/>
          <w:highlight w:val="none"/>
        </w:rPr>
        <w:t>地址：    电话/传真：</w:t>
      </w:r>
    </w:p>
    <w:p w14:paraId="3183B1FF">
      <w:pPr>
        <w:spacing w:line="420" w:lineRule="exact"/>
        <w:ind w:firstLine="105" w:firstLineChars="50"/>
        <w:rPr>
          <w:rStyle w:val="33"/>
          <w:rFonts w:hint="eastAsia" w:ascii="宋体" w:hAnsi="宋体" w:eastAsia="宋体" w:cs="宋体"/>
          <w:b/>
          <w:color w:val="auto"/>
          <w:szCs w:val="21"/>
          <w:highlight w:val="none"/>
        </w:rPr>
      </w:pPr>
    </w:p>
    <w:p w14:paraId="2C3999F6">
      <w:pPr>
        <w:spacing w:line="420" w:lineRule="exact"/>
        <w:ind w:firstLine="105" w:firstLineChars="50"/>
        <w:rPr>
          <w:rStyle w:val="33"/>
          <w:rFonts w:hint="eastAsia" w:ascii="宋体" w:hAnsi="宋体" w:eastAsia="宋体" w:cs="宋体"/>
          <w:b/>
          <w:color w:val="auto"/>
          <w:szCs w:val="21"/>
          <w:highlight w:val="none"/>
        </w:rPr>
      </w:pPr>
    </w:p>
    <w:p w14:paraId="1FB8CCB2">
      <w:pPr>
        <w:spacing w:line="420" w:lineRule="exact"/>
        <w:ind w:firstLine="105" w:firstLineChars="50"/>
        <w:rPr>
          <w:rStyle w:val="33"/>
          <w:rFonts w:hint="eastAsia" w:ascii="宋体" w:hAnsi="宋体" w:eastAsia="宋体" w:cs="宋体"/>
          <w:b/>
          <w:color w:val="auto"/>
          <w:szCs w:val="21"/>
          <w:highlight w:val="none"/>
        </w:rPr>
      </w:pPr>
    </w:p>
    <w:p w14:paraId="6B3C1C47">
      <w:pPr>
        <w:spacing w:line="420" w:lineRule="exact"/>
        <w:ind w:firstLine="105" w:firstLineChars="50"/>
        <w:rPr>
          <w:rStyle w:val="33"/>
          <w:rFonts w:hint="eastAsia" w:ascii="宋体" w:hAnsi="宋体" w:eastAsia="宋体" w:cs="宋体"/>
          <w:b/>
          <w:color w:val="auto"/>
          <w:szCs w:val="21"/>
          <w:highlight w:val="none"/>
        </w:rPr>
      </w:pPr>
    </w:p>
    <w:p w14:paraId="001174F1">
      <w:pPr>
        <w:spacing w:line="420" w:lineRule="exact"/>
        <w:ind w:firstLine="105" w:firstLineChars="50"/>
        <w:rPr>
          <w:rStyle w:val="33"/>
          <w:rFonts w:hint="eastAsia" w:ascii="宋体" w:hAnsi="宋体" w:eastAsia="宋体" w:cs="宋体"/>
          <w:b/>
          <w:color w:val="auto"/>
          <w:szCs w:val="21"/>
          <w:highlight w:val="none"/>
        </w:rPr>
      </w:pPr>
    </w:p>
    <w:p w14:paraId="054687DC">
      <w:pPr>
        <w:spacing w:line="420" w:lineRule="exact"/>
        <w:ind w:firstLine="105" w:firstLineChars="50"/>
        <w:rPr>
          <w:rStyle w:val="33"/>
          <w:rFonts w:hint="eastAsia" w:ascii="宋体" w:hAnsi="宋体" w:eastAsia="宋体" w:cs="宋体"/>
          <w:b/>
          <w:color w:val="auto"/>
          <w:szCs w:val="21"/>
          <w:highlight w:val="none"/>
        </w:rPr>
      </w:pPr>
    </w:p>
    <w:p w14:paraId="5A1F3C86">
      <w:pPr>
        <w:spacing w:line="420" w:lineRule="exact"/>
        <w:ind w:firstLine="105" w:firstLineChars="50"/>
        <w:rPr>
          <w:rStyle w:val="33"/>
          <w:rFonts w:hint="eastAsia" w:ascii="宋体" w:hAnsi="宋体" w:eastAsia="宋体" w:cs="宋体"/>
          <w:b/>
          <w:color w:val="auto"/>
          <w:szCs w:val="21"/>
          <w:highlight w:val="none"/>
        </w:rPr>
      </w:pPr>
    </w:p>
    <w:p w14:paraId="21946810">
      <w:pPr>
        <w:numPr>
          <w:ilvl w:val="0"/>
          <w:numId w:val="1"/>
        </w:numPr>
        <w:spacing w:line="420" w:lineRule="exact"/>
        <w:ind w:firstLine="105" w:firstLineChars="50"/>
        <w:outlineLvl w:val="1"/>
        <w:rPr>
          <w:rStyle w:val="33"/>
          <w:rFonts w:hint="eastAsia" w:ascii="宋体" w:hAnsi="宋体" w:eastAsia="宋体" w:cs="宋体"/>
          <w:b/>
          <w:color w:val="auto"/>
          <w:szCs w:val="21"/>
          <w:highlight w:val="none"/>
        </w:rPr>
      </w:pPr>
      <w:bookmarkStart w:id="40" w:name="_Toc20780"/>
      <w:r>
        <w:rPr>
          <w:rStyle w:val="33"/>
          <w:rFonts w:hint="eastAsia" w:ascii="宋体" w:hAnsi="宋体" w:eastAsia="宋体" w:cs="宋体"/>
          <w:b/>
          <w:color w:val="auto"/>
          <w:szCs w:val="21"/>
          <w:highlight w:val="none"/>
        </w:rPr>
        <w:t>法定代表人有效的身份证正反面复印件；</w:t>
      </w:r>
      <w:bookmarkEnd w:id="40"/>
      <w:r>
        <w:rPr>
          <w:rStyle w:val="33"/>
          <w:rFonts w:hint="eastAsia" w:ascii="宋体" w:hAnsi="宋体" w:eastAsia="宋体" w:cs="宋体"/>
          <w:b/>
          <w:color w:val="auto"/>
          <w:szCs w:val="21"/>
          <w:highlight w:val="none"/>
        </w:rPr>
        <w:t xml:space="preserve"> </w:t>
      </w:r>
    </w:p>
    <w:p w14:paraId="3FA2AE57">
      <w:pPr>
        <w:spacing w:line="420" w:lineRule="exact"/>
        <w:rPr>
          <w:rStyle w:val="33"/>
          <w:rFonts w:hint="eastAsia" w:ascii="宋体" w:hAnsi="宋体" w:eastAsia="宋体" w:cs="宋体"/>
          <w:b/>
          <w:color w:val="auto"/>
          <w:szCs w:val="21"/>
          <w:highlight w:val="none"/>
        </w:rPr>
      </w:pPr>
    </w:p>
    <w:p w14:paraId="27490FC9">
      <w:pPr>
        <w:spacing w:line="420" w:lineRule="exact"/>
        <w:rPr>
          <w:rStyle w:val="33"/>
          <w:rFonts w:hint="eastAsia" w:ascii="宋体" w:hAnsi="宋体" w:eastAsia="宋体" w:cs="宋体"/>
          <w:b/>
          <w:color w:val="auto"/>
          <w:szCs w:val="21"/>
          <w:highlight w:val="none"/>
        </w:rPr>
      </w:pPr>
    </w:p>
    <w:p w14:paraId="74166A3E">
      <w:pPr>
        <w:spacing w:line="420" w:lineRule="exact"/>
        <w:rPr>
          <w:rStyle w:val="33"/>
          <w:rFonts w:hint="eastAsia" w:ascii="宋体" w:hAnsi="宋体" w:eastAsia="宋体" w:cs="宋体"/>
          <w:b/>
          <w:color w:val="auto"/>
          <w:szCs w:val="21"/>
          <w:highlight w:val="none"/>
        </w:rPr>
      </w:pPr>
    </w:p>
    <w:p w14:paraId="2040AE7A">
      <w:pPr>
        <w:spacing w:line="420" w:lineRule="exact"/>
        <w:rPr>
          <w:rStyle w:val="33"/>
          <w:rFonts w:hint="eastAsia" w:ascii="宋体" w:hAnsi="宋体" w:eastAsia="宋体" w:cs="宋体"/>
          <w:b/>
          <w:color w:val="auto"/>
          <w:szCs w:val="21"/>
          <w:highlight w:val="none"/>
        </w:rPr>
      </w:pPr>
    </w:p>
    <w:p w14:paraId="795BD666">
      <w:pPr>
        <w:spacing w:line="420" w:lineRule="exact"/>
        <w:rPr>
          <w:rStyle w:val="33"/>
          <w:rFonts w:hint="eastAsia" w:ascii="宋体" w:hAnsi="宋体" w:eastAsia="宋体" w:cs="宋体"/>
          <w:b/>
          <w:color w:val="auto"/>
          <w:szCs w:val="21"/>
          <w:highlight w:val="none"/>
        </w:rPr>
      </w:pPr>
    </w:p>
    <w:p w14:paraId="1AB00A37">
      <w:pPr>
        <w:spacing w:line="420" w:lineRule="exact"/>
        <w:ind w:firstLine="105" w:firstLineChars="50"/>
        <w:outlineLvl w:val="1"/>
        <w:rPr>
          <w:rStyle w:val="33"/>
          <w:rFonts w:hint="eastAsia" w:ascii="宋体" w:hAnsi="宋体" w:eastAsia="宋体" w:cs="宋体"/>
          <w:b/>
          <w:color w:val="auto"/>
          <w:szCs w:val="21"/>
          <w:highlight w:val="none"/>
        </w:rPr>
      </w:pPr>
      <w:bookmarkStart w:id="41" w:name="_Toc26143"/>
      <w:r>
        <w:rPr>
          <w:rStyle w:val="33"/>
          <w:rFonts w:hint="eastAsia" w:ascii="宋体" w:hAnsi="宋体" w:eastAsia="宋体" w:cs="宋体"/>
          <w:b/>
          <w:color w:val="auto"/>
          <w:szCs w:val="21"/>
          <w:highlight w:val="none"/>
        </w:rPr>
        <w:t>（4）法定代表人授权书及委托代理人身份证正反面复印件；</w:t>
      </w:r>
      <w:bookmarkEnd w:id="41"/>
      <w:r>
        <w:rPr>
          <w:rStyle w:val="33"/>
          <w:rFonts w:hint="eastAsia" w:ascii="宋体" w:hAnsi="宋体" w:eastAsia="宋体" w:cs="宋体"/>
          <w:b/>
          <w:color w:val="auto"/>
          <w:szCs w:val="21"/>
          <w:highlight w:val="none"/>
        </w:rPr>
        <w:t xml:space="preserve"> </w:t>
      </w:r>
    </w:p>
    <w:p w14:paraId="25BB9876">
      <w:pPr>
        <w:spacing w:line="420" w:lineRule="exact"/>
        <w:ind w:firstLine="105" w:firstLineChars="50"/>
        <w:rPr>
          <w:rStyle w:val="33"/>
          <w:rFonts w:hint="eastAsia" w:ascii="宋体" w:hAnsi="宋体" w:eastAsia="宋体" w:cs="宋体"/>
          <w:b/>
          <w:color w:val="auto"/>
          <w:szCs w:val="21"/>
          <w:highlight w:val="none"/>
        </w:rPr>
      </w:pPr>
    </w:p>
    <w:p w14:paraId="0045F149">
      <w:pPr>
        <w:snapToGrid w:val="0"/>
        <w:spacing w:line="300" w:lineRule="auto"/>
        <w:jc w:val="center"/>
        <w:rPr>
          <w:rStyle w:val="33"/>
          <w:rFonts w:hint="eastAsia" w:ascii="宋体" w:hAnsi="宋体" w:eastAsia="宋体" w:cs="宋体"/>
          <w:b/>
          <w:color w:val="auto"/>
          <w:sz w:val="32"/>
          <w:szCs w:val="32"/>
          <w:highlight w:val="none"/>
        </w:rPr>
      </w:pPr>
      <w:r>
        <w:rPr>
          <w:rStyle w:val="33"/>
          <w:rFonts w:hint="eastAsia" w:ascii="宋体" w:hAnsi="宋体" w:eastAsia="宋体" w:cs="宋体"/>
          <w:b/>
          <w:color w:val="auto"/>
          <w:sz w:val="32"/>
          <w:szCs w:val="32"/>
          <w:highlight w:val="none"/>
        </w:rPr>
        <w:t>法定代表人授权委托书</w:t>
      </w:r>
    </w:p>
    <w:p w14:paraId="3A336828">
      <w:pPr>
        <w:snapToGrid w:val="0"/>
        <w:spacing w:line="300" w:lineRule="auto"/>
        <w:rPr>
          <w:rStyle w:val="33"/>
          <w:rFonts w:hint="eastAsia" w:ascii="宋体" w:hAnsi="宋体" w:eastAsia="宋体" w:cs="宋体"/>
          <w:color w:val="auto"/>
          <w:szCs w:val="21"/>
          <w:highlight w:val="none"/>
        </w:rPr>
      </w:pPr>
    </w:p>
    <w:p w14:paraId="6CC9BBD3">
      <w:pPr>
        <w:snapToGrid w:val="0"/>
        <w:spacing w:line="360" w:lineRule="auto"/>
        <w:rPr>
          <w:rStyle w:val="33"/>
          <w:rFonts w:hint="eastAsia" w:ascii="宋体" w:hAnsi="宋体" w:eastAsia="宋体" w:cs="宋体"/>
          <w:b/>
          <w:bCs/>
          <w:color w:val="auto"/>
          <w:sz w:val="24"/>
          <w:szCs w:val="20"/>
          <w:highlight w:val="none"/>
        </w:rPr>
      </w:pPr>
      <w:r>
        <w:rPr>
          <w:rStyle w:val="33"/>
          <w:rFonts w:hint="eastAsia" w:ascii="宋体" w:hAnsi="宋体" w:eastAsia="宋体" w:cs="宋体"/>
          <w:bCs/>
          <w:color w:val="auto"/>
          <w:sz w:val="24"/>
          <w:highlight w:val="none"/>
        </w:rPr>
        <w:t>致：</w:t>
      </w:r>
      <w:r>
        <w:rPr>
          <w:rStyle w:val="33"/>
          <w:rFonts w:hint="eastAsia" w:ascii="宋体" w:hAnsi="宋体" w:cs="宋体"/>
          <w:color w:val="auto"/>
          <w:sz w:val="24"/>
          <w:highlight w:val="none"/>
          <w:u w:val="single"/>
          <w:lang w:eastAsia="zh-CN"/>
        </w:rPr>
        <w:t>广西宝盛工程咨询有限公司</w:t>
      </w:r>
      <w:r>
        <w:rPr>
          <w:rStyle w:val="33"/>
          <w:rFonts w:hint="eastAsia" w:ascii="宋体" w:hAnsi="宋体" w:eastAsia="宋体" w:cs="宋体"/>
          <w:color w:val="auto"/>
          <w:sz w:val="24"/>
          <w:highlight w:val="none"/>
        </w:rPr>
        <w:t>：</w:t>
      </w:r>
    </w:p>
    <w:p w14:paraId="67F78C26">
      <w:pPr>
        <w:snapToGrid w:val="0"/>
        <w:spacing w:line="360" w:lineRule="auto"/>
        <w:ind w:firstLine="559" w:firstLineChars="233"/>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highlight w:val="none"/>
        </w:rPr>
        <w:t>我</w:t>
      </w:r>
      <w:r>
        <w:rPr>
          <w:rStyle w:val="33"/>
          <w:rFonts w:hint="eastAsia" w:ascii="宋体" w:hAnsi="宋体" w:cs="宋体"/>
          <w:color w:val="auto"/>
          <w:sz w:val="24"/>
          <w:highlight w:val="none"/>
          <w:u w:val="single"/>
          <w:lang w:val="en-US" w:eastAsia="zh-CN"/>
        </w:rPr>
        <w:t xml:space="preserve">   </w:t>
      </w:r>
      <w:r>
        <w:rPr>
          <w:rStyle w:val="33"/>
          <w:rFonts w:hint="eastAsia" w:ascii="宋体" w:hAnsi="宋体" w:eastAsia="宋体" w:cs="宋体"/>
          <w:color w:val="auto"/>
          <w:sz w:val="24"/>
          <w:highlight w:val="none"/>
        </w:rPr>
        <w:t>（姓名）系</w:t>
      </w:r>
      <w:r>
        <w:rPr>
          <w:rStyle w:val="33"/>
          <w:rFonts w:hint="eastAsia" w:ascii="宋体" w:hAnsi="宋体" w:cs="宋体"/>
          <w:color w:val="auto"/>
          <w:sz w:val="24"/>
          <w:highlight w:val="none"/>
          <w:u w:val="single"/>
          <w:lang w:val="en-US" w:eastAsia="zh-CN"/>
        </w:rPr>
        <w:t xml:space="preserve">    </w:t>
      </w:r>
      <w:r>
        <w:rPr>
          <w:rStyle w:val="33"/>
          <w:rFonts w:hint="eastAsia" w:ascii="宋体" w:hAnsi="宋体" w:eastAsia="宋体" w:cs="宋体"/>
          <w:color w:val="auto"/>
          <w:sz w:val="24"/>
          <w:highlight w:val="none"/>
        </w:rPr>
        <w:t>（供应商名称）的法定代表人，现授权委托本单位在职职工</w:t>
      </w:r>
      <w:r>
        <w:rPr>
          <w:rStyle w:val="33"/>
          <w:rFonts w:hint="eastAsia" w:ascii="宋体" w:hAnsi="宋体" w:cs="宋体"/>
          <w:color w:val="auto"/>
          <w:sz w:val="24"/>
          <w:highlight w:val="none"/>
          <w:lang w:val="en-US" w:eastAsia="zh-CN"/>
        </w:rPr>
        <w:t xml:space="preserve"> </w:t>
      </w:r>
      <w:r>
        <w:rPr>
          <w:rStyle w:val="33"/>
          <w:rFonts w:hint="eastAsia" w:ascii="宋体" w:hAnsi="宋体" w:eastAsia="宋体" w:cs="宋体"/>
          <w:color w:val="auto"/>
          <w:sz w:val="24"/>
          <w:highlight w:val="none"/>
        </w:rPr>
        <w:t xml:space="preserve"> （姓名）以我方的名义参加项目的磋商活动，并代表我方全权办理针对上述项目的递交文件、磋商、澄清、签约等具体事务和签署相关文件。</w:t>
      </w:r>
    </w:p>
    <w:p w14:paraId="548D399A">
      <w:pPr>
        <w:snapToGrid w:val="0"/>
        <w:spacing w:line="360" w:lineRule="auto"/>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highlight w:val="none"/>
        </w:rPr>
        <w:t xml:space="preserve">    我方对被授权人的签名事项负全部责任。</w:t>
      </w:r>
    </w:p>
    <w:p w14:paraId="1D103910">
      <w:pPr>
        <w:snapToGrid w:val="0"/>
        <w:spacing w:line="360" w:lineRule="auto"/>
        <w:ind w:firstLine="480"/>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highlight w:val="none"/>
          <w:u w:val="single"/>
        </w:rPr>
        <w:t>在撤销授权的书面通知以前，本授权书一直有效。</w:t>
      </w:r>
      <w:r>
        <w:rPr>
          <w:rStyle w:val="33"/>
          <w:rFonts w:hint="eastAsia" w:ascii="宋体" w:hAnsi="宋体" w:eastAsia="宋体" w:cs="宋体"/>
          <w:color w:val="auto"/>
          <w:sz w:val="24"/>
          <w:highlight w:val="none"/>
        </w:rPr>
        <w:t>被授权人在授权书有效期内签署的所有文件不因授权的撤销而失效。</w:t>
      </w:r>
    </w:p>
    <w:p w14:paraId="6EE3B631">
      <w:pPr>
        <w:snapToGrid w:val="0"/>
        <w:spacing w:line="360" w:lineRule="auto"/>
        <w:ind w:firstLine="480"/>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被授权人无转委托权，特此委托。</w:t>
      </w:r>
    </w:p>
    <w:p w14:paraId="15AA08E1">
      <w:pPr>
        <w:snapToGrid w:val="0"/>
        <w:spacing w:line="360" w:lineRule="auto"/>
        <w:ind w:firstLine="480"/>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highlight w:val="none"/>
        </w:rPr>
        <w:t>附：法定代表人身份证明及被授权人有效身份证正反面复印件</w:t>
      </w:r>
    </w:p>
    <w:p w14:paraId="13EE742B">
      <w:pPr>
        <w:snapToGrid w:val="0"/>
        <w:spacing w:before="156" w:after="50"/>
        <w:rPr>
          <w:rStyle w:val="33"/>
          <w:rFonts w:hint="eastAsia" w:ascii="宋体" w:hAnsi="宋体" w:eastAsia="宋体" w:cs="宋体"/>
          <w:color w:val="auto"/>
          <w:sz w:val="24"/>
          <w:szCs w:val="20"/>
          <w:highlight w:val="none"/>
        </w:rPr>
      </w:pPr>
    </w:p>
    <w:p w14:paraId="4A62036E">
      <w:pPr>
        <w:snapToGrid w:val="0"/>
        <w:spacing w:before="156" w:after="50"/>
        <w:rPr>
          <w:rStyle w:val="33"/>
          <w:rFonts w:hint="eastAsia" w:ascii="宋体" w:hAnsi="宋体" w:eastAsia="宋体" w:cs="宋体"/>
          <w:color w:val="auto"/>
          <w:sz w:val="24"/>
          <w:highlight w:val="none"/>
          <w:u w:val="single"/>
        </w:rPr>
      </w:pPr>
      <w:r>
        <w:rPr>
          <w:rStyle w:val="33"/>
          <w:rFonts w:hint="eastAsia" w:ascii="宋体" w:hAnsi="宋体" w:eastAsia="宋体" w:cs="宋体"/>
          <w:color w:val="auto"/>
          <w:sz w:val="24"/>
          <w:highlight w:val="none"/>
        </w:rPr>
        <w:t>被授权人（签字）：            法定代表人（签字）：</w:t>
      </w:r>
      <w:r>
        <w:rPr>
          <w:rStyle w:val="33"/>
          <w:rFonts w:hint="eastAsia" w:ascii="宋体" w:hAnsi="宋体" w:eastAsia="宋体" w:cs="宋体"/>
          <w:color w:val="auto"/>
          <w:sz w:val="24"/>
          <w:highlight w:val="none"/>
          <w:u w:val="single"/>
        </w:rPr>
        <w:t xml:space="preserve">             </w:t>
      </w:r>
    </w:p>
    <w:p w14:paraId="157698B7">
      <w:pPr>
        <w:snapToGrid w:val="0"/>
        <w:spacing w:before="156" w:after="50"/>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highlight w:val="none"/>
        </w:rPr>
        <w:t>所在部门职务：                      职务：</w:t>
      </w:r>
      <w:r>
        <w:rPr>
          <w:rStyle w:val="33"/>
          <w:rFonts w:hint="eastAsia" w:ascii="宋体" w:hAnsi="宋体" w:eastAsia="宋体" w:cs="宋体"/>
          <w:color w:val="auto"/>
          <w:sz w:val="24"/>
          <w:highlight w:val="none"/>
          <w:u w:val="single"/>
        </w:rPr>
        <w:t xml:space="preserve">                   </w:t>
      </w:r>
    </w:p>
    <w:p w14:paraId="693D83AE">
      <w:pPr>
        <w:snapToGrid w:val="0"/>
        <w:spacing w:before="156" w:after="50"/>
        <w:rPr>
          <w:rStyle w:val="33"/>
          <w:rFonts w:hint="eastAsia" w:ascii="宋体" w:hAnsi="宋体" w:eastAsia="宋体" w:cs="宋体"/>
          <w:color w:val="auto"/>
          <w:sz w:val="24"/>
          <w:highlight w:val="none"/>
        </w:rPr>
      </w:pPr>
      <w:r>
        <w:rPr>
          <w:rStyle w:val="33"/>
          <w:rFonts w:hint="eastAsia" w:ascii="宋体" w:hAnsi="宋体" w:eastAsia="宋体" w:cs="宋体"/>
          <w:color w:val="auto"/>
          <w:sz w:val="24"/>
          <w:highlight w:val="none"/>
        </w:rPr>
        <w:t>被授权人身份证号码：</w:t>
      </w:r>
      <w:r>
        <w:rPr>
          <w:rStyle w:val="33"/>
          <w:rFonts w:hint="eastAsia" w:ascii="宋体" w:hAnsi="宋体" w:eastAsia="宋体" w:cs="宋体"/>
          <w:color w:val="auto"/>
          <w:sz w:val="24"/>
          <w:highlight w:val="none"/>
          <w:u w:val="single"/>
        </w:rPr>
        <w:t xml:space="preserve">                               </w:t>
      </w:r>
    </w:p>
    <w:p w14:paraId="050DE231">
      <w:pPr>
        <w:snapToGrid w:val="0"/>
        <w:spacing w:before="156" w:after="50"/>
        <w:rPr>
          <w:rStyle w:val="33"/>
          <w:rFonts w:hint="eastAsia" w:ascii="宋体" w:hAnsi="宋体" w:eastAsia="宋体" w:cs="宋体"/>
          <w:color w:val="auto"/>
          <w:sz w:val="24"/>
          <w:highlight w:val="none"/>
        </w:rPr>
      </w:pPr>
    </w:p>
    <w:p w14:paraId="1F04DB36">
      <w:pPr>
        <w:snapToGrid w:val="0"/>
        <w:spacing w:before="156" w:after="50"/>
        <w:rPr>
          <w:rStyle w:val="33"/>
          <w:rFonts w:hint="eastAsia" w:ascii="宋体" w:hAnsi="宋体" w:eastAsia="宋体" w:cs="宋体"/>
          <w:color w:val="auto"/>
          <w:sz w:val="24"/>
          <w:szCs w:val="20"/>
          <w:highlight w:val="none"/>
        </w:rPr>
      </w:pPr>
    </w:p>
    <w:p w14:paraId="708239D8">
      <w:pPr>
        <w:snapToGrid w:val="0"/>
        <w:spacing w:before="156" w:after="50"/>
        <w:jc w:val="center"/>
        <w:rPr>
          <w:rStyle w:val="33"/>
          <w:rFonts w:hint="eastAsia" w:ascii="宋体" w:hAnsi="宋体" w:eastAsia="宋体" w:cs="宋体"/>
          <w:color w:val="auto"/>
          <w:sz w:val="24"/>
          <w:szCs w:val="20"/>
          <w:highlight w:val="none"/>
        </w:rPr>
      </w:pPr>
      <w:r>
        <w:rPr>
          <w:rStyle w:val="33"/>
          <w:rFonts w:hint="eastAsia" w:ascii="宋体" w:hAnsi="宋体" w:eastAsia="宋体" w:cs="宋体"/>
          <w:color w:val="auto"/>
          <w:sz w:val="24"/>
          <w:szCs w:val="24"/>
          <w:highlight w:val="none"/>
        </w:rPr>
        <w:t>磋商供应商名称：</w:t>
      </w:r>
      <w:r>
        <w:rPr>
          <w:rStyle w:val="33"/>
          <w:rFonts w:hint="eastAsia" w:ascii="宋体" w:hAnsi="宋体" w:eastAsia="宋体" w:cs="宋体"/>
          <w:color w:val="auto"/>
          <w:sz w:val="24"/>
          <w:szCs w:val="24"/>
          <w:highlight w:val="none"/>
          <w:u w:val="single"/>
        </w:rPr>
        <w:t xml:space="preserve">                       （加盖公章）</w:t>
      </w:r>
    </w:p>
    <w:p w14:paraId="07CDFF42">
      <w:pPr>
        <w:spacing w:line="300" w:lineRule="auto"/>
        <w:ind w:left="480" w:hanging="480"/>
        <w:rPr>
          <w:rStyle w:val="33"/>
          <w:rFonts w:hint="eastAsia" w:ascii="宋体" w:hAnsi="宋体" w:eastAsia="宋体" w:cs="宋体"/>
          <w:color w:val="auto"/>
          <w:szCs w:val="21"/>
          <w:highlight w:val="none"/>
        </w:rPr>
      </w:pPr>
      <w:r>
        <w:rPr>
          <w:rStyle w:val="33"/>
          <w:rFonts w:hint="eastAsia" w:ascii="宋体" w:hAnsi="宋体" w:eastAsia="宋体" w:cs="宋体"/>
          <w:color w:val="auto"/>
          <w:sz w:val="24"/>
          <w:highlight w:val="none"/>
        </w:rPr>
        <w:t xml:space="preserve">                                              年    月    日</w:t>
      </w:r>
    </w:p>
    <w:p w14:paraId="6F9B1463">
      <w:pPr>
        <w:spacing w:line="420" w:lineRule="exact"/>
        <w:ind w:firstLine="105" w:firstLineChars="50"/>
        <w:rPr>
          <w:rStyle w:val="33"/>
          <w:rFonts w:hint="eastAsia" w:ascii="宋体" w:hAnsi="宋体" w:eastAsia="宋体" w:cs="宋体"/>
          <w:b/>
          <w:color w:val="auto"/>
          <w:szCs w:val="21"/>
          <w:highlight w:val="none"/>
        </w:rPr>
      </w:pPr>
    </w:p>
    <w:p w14:paraId="0861A6D4">
      <w:pPr>
        <w:spacing w:line="420" w:lineRule="exact"/>
        <w:ind w:firstLine="105" w:firstLineChars="50"/>
        <w:rPr>
          <w:rStyle w:val="33"/>
          <w:rFonts w:hint="eastAsia" w:ascii="宋体" w:hAnsi="宋体" w:eastAsia="宋体" w:cs="宋体"/>
          <w:b/>
          <w:color w:val="auto"/>
          <w:szCs w:val="21"/>
          <w:highlight w:val="none"/>
        </w:rPr>
      </w:pPr>
    </w:p>
    <w:p w14:paraId="2E4A0C33">
      <w:pPr>
        <w:spacing w:line="500" w:lineRule="exact"/>
        <w:rPr>
          <w:rStyle w:val="33"/>
          <w:rFonts w:hint="eastAsia" w:ascii="宋体" w:hAnsi="宋体" w:eastAsia="宋体" w:cs="宋体"/>
          <w:b/>
          <w:color w:val="auto"/>
          <w:sz w:val="24"/>
          <w:szCs w:val="24"/>
          <w:highlight w:val="none"/>
        </w:rPr>
      </w:pPr>
      <w:r>
        <w:rPr>
          <w:rStyle w:val="33"/>
          <w:rFonts w:hint="eastAsia" w:ascii="宋体" w:hAnsi="宋体" w:eastAsia="宋体" w:cs="宋体"/>
          <w:b/>
          <w:color w:val="auto"/>
          <w:sz w:val="24"/>
          <w:szCs w:val="24"/>
          <w:highlight w:val="none"/>
        </w:rPr>
        <w:t>附：委托代理人身份证正反面复印件</w:t>
      </w:r>
    </w:p>
    <w:p w14:paraId="427FCDC0">
      <w:pPr>
        <w:spacing w:line="500" w:lineRule="exact"/>
        <w:rPr>
          <w:rStyle w:val="33"/>
          <w:rFonts w:hint="eastAsia" w:ascii="宋体" w:hAnsi="宋体" w:eastAsia="宋体" w:cs="宋体"/>
          <w:b/>
          <w:color w:val="auto"/>
          <w:sz w:val="24"/>
          <w:szCs w:val="24"/>
          <w:highlight w:val="none"/>
        </w:rPr>
      </w:pPr>
    </w:p>
    <w:p w14:paraId="1D3B5826">
      <w:pPr>
        <w:spacing w:line="500" w:lineRule="exact"/>
        <w:rPr>
          <w:rStyle w:val="33"/>
          <w:rFonts w:hint="eastAsia" w:ascii="宋体" w:hAnsi="宋体" w:eastAsia="宋体" w:cs="宋体"/>
          <w:b/>
          <w:color w:val="auto"/>
          <w:sz w:val="28"/>
          <w:szCs w:val="28"/>
          <w:highlight w:val="none"/>
        </w:rPr>
      </w:pPr>
    </w:p>
    <w:p w14:paraId="3FADB445">
      <w:pPr>
        <w:spacing w:line="500" w:lineRule="exact"/>
        <w:rPr>
          <w:rStyle w:val="33"/>
          <w:rFonts w:hint="eastAsia" w:ascii="宋体" w:hAnsi="宋体" w:eastAsia="宋体" w:cs="宋体"/>
          <w:b/>
          <w:color w:val="auto"/>
          <w:sz w:val="28"/>
          <w:szCs w:val="28"/>
          <w:highlight w:val="none"/>
        </w:rPr>
      </w:pPr>
    </w:p>
    <w:p w14:paraId="572151B9">
      <w:pPr>
        <w:spacing w:line="500" w:lineRule="exact"/>
        <w:rPr>
          <w:rStyle w:val="33"/>
          <w:rFonts w:hint="eastAsia" w:ascii="宋体" w:hAnsi="宋体" w:eastAsia="宋体" w:cs="宋体"/>
          <w:b/>
          <w:color w:val="auto"/>
          <w:sz w:val="28"/>
          <w:szCs w:val="28"/>
          <w:highlight w:val="none"/>
        </w:rPr>
      </w:pPr>
    </w:p>
    <w:p w14:paraId="6583C157">
      <w:pPr>
        <w:spacing w:line="500" w:lineRule="exact"/>
        <w:rPr>
          <w:rStyle w:val="33"/>
          <w:rFonts w:hint="eastAsia" w:ascii="宋体" w:hAnsi="宋体" w:eastAsia="宋体" w:cs="宋体"/>
          <w:b/>
          <w:color w:val="auto"/>
          <w:sz w:val="28"/>
          <w:szCs w:val="28"/>
          <w:highlight w:val="none"/>
        </w:rPr>
      </w:pPr>
    </w:p>
    <w:p w14:paraId="1FE52749">
      <w:pPr>
        <w:spacing w:line="500" w:lineRule="exact"/>
        <w:rPr>
          <w:rStyle w:val="33"/>
          <w:rFonts w:hint="eastAsia" w:ascii="宋体" w:hAnsi="宋体" w:eastAsia="宋体" w:cs="宋体"/>
          <w:b/>
          <w:color w:val="auto"/>
          <w:sz w:val="28"/>
          <w:szCs w:val="28"/>
          <w:highlight w:val="none"/>
        </w:rPr>
      </w:pPr>
    </w:p>
    <w:p w14:paraId="69C21ABD">
      <w:pPr>
        <w:spacing w:line="500" w:lineRule="exact"/>
        <w:rPr>
          <w:rStyle w:val="33"/>
          <w:rFonts w:hint="eastAsia" w:ascii="宋体" w:hAnsi="宋体" w:eastAsia="宋体" w:cs="宋体"/>
          <w:b/>
          <w:color w:val="auto"/>
          <w:sz w:val="28"/>
          <w:szCs w:val="28"/>
          <w:highlight w:val="none"/>
        </w:rPr>
      </w:pPr>
    </w:p>
    <w:p w14:paraId="0973A0AE">
      <w:pPr>
        <w:spacing w:line="420" w:lineRule="exact"/>
        <w:ind w:firstLine="105" w:firstLineChars="50"/>
        <w:outlineLvl w:val="1"/>
        <w:rPr>
          <w:rStyle w:val="33"/>
          <w:rFonts w:hint="eastAsia" w:ascii="宋体" w:hAnsi="宋体" w:eastAsia="宋体" w:cs="宋体"/>
          <w:b/>
          <w:color w:val="auto"/>
          <w:kern w:val="0"/>
          <w:highlight w:val="none"/>
        </w:rPr>
      </w:pPr>
      <w:bookmarkStart w:id="42" w:name="_Toc11092"/>
      <w:r>
        <w:rPr>
          <w:rStyle w:val="33"/>
          <w:rFonts w:hint="eastAsia" w:ascii="宋体" w:hAnsi="宋体" w:eastAsia="宋体" w:cs="宋体"/>
          <w:b/>
          <w:color w:val="auto"/>
          <w:szCs w:val="21"/>
          <w:highlight w:val="none"/>
        </w:rPr>
        <w:t>（5）</w:t>
      </w:r>
      <w:r>
        <w:rPr>
          <w:rStyle w:val="33"/>
          <w:rFonts w:hint="eastAsia" w:ascii="宋体" w:hAnsi="宋体" w:eastAsia="宋体" w:cs="宋体"/>
          <w:b/>
          <w:color w:val="auto"/>
          <w:kern w:val="0"/>
          <w:highlight w:val="none"/>
        </w:rPr>
        <w:t>贵港市政府采购项目投标资格承诺函；</w:t>
      </w:r>
      <w:bookmarkEnd w:id="42"/>
    </w:p>
    <w:p w14:paraId="4F1FF150">
      <w:pPr>
        <w:spacing w:line="420" w:lineRule="exact"/>
        <w:ind w:firstLine="105" w:firstLineChars="50"/>
        <w:rPr>
          <w:rStyle w:val="33"/>
          <w:rFonts w:hint="eastAsia" w:ascii="宋体" w:hAnsi="宋体" w:eastAsia="宋体" w:cs="宋体"/>
          <w:b/>
          <w:color w:val="auto"/>
          <w:kern w:val="0"/>
          <w:highlight w:val="none"/>
        </w:rPr>
      </w:pPr>
    </w:p>
    <w:p w14:paraId="64385C51">
      <w:pPr>
        <w:spacing w:line="420" w:lineRule="exact"/>
        <w:ind w:firstLine="105" w:firstLineChars="50"/>
        <w:rPr>
          <w:rStyle w:val="33"/>
          <w:rFonts w:hint="eastAsia" w:ascii="宋体" w:hAnsi="宋体" w:eastAsia="宋体" w:cs="宋体"/>
          <w:b/>
          <w:color w:val="auto"/>
          <w:kern w:val="0"/>
          <w:highlight w:val="none"/>
        </w:rPr>
      </w:pPr>
    </w:p>
    <w:p w14:paraId="76CF825A">
      <w:pPr>
        <w:spacing w:line="420" w:lineRule="exact"/>
        <w:ind w:firstLine="105" w:firstLineChars="50"/>
        <w:rPr>
          <w:rStyle w:val="33"/>
          <w:rFonts w:hint="eastAsia" w:ascii="宋体" w:hAnsi="宋体" w:eastAsia="宋体" w:cs="宋体"/>
          <w:b/>
          <w:color w:val="auto"/>
          <w:kern w:val="0"/>
          <w:highlight w:val="none"/>
        </w:rPr>
      </w:pPr>
    </w:p>
    <w:p w14:paraId="319E1E36">
      <w:pPr>
        <w:spacing w:after="240" w:line="360" w:lineRule="auto"/>
        <w:jc w:val="center"/>
        <w:rPr>
          <w:rStyle w:val="33"/>
          <w:rFonts w:hint="eastAsia" w:ascii="宋体" w:hAnsi="宋体" w:eastAsia="宋体" w:cs="宋体"/>
          <w:b/>
          <w:color w:val="auto"/>
          <w:sz w:val="32"/>
          <w:szCs w:val="32"/>
          <w:highlight w:val="none"/>
        </w:rPr>
      </w:pPr>
      <w:r>
        <w:rPr>
          <w:rStyle w:val="33"/>
          <w:rFonts w:hint="eastAsia" w:ascii="宋体" w:hAnsi="宋体" w:eastAsia="宋体" w:cs="宋体"/>
          <w:b/>
          <w:color w:val="auto"/>
          <w:sz w:val="32"/>
          <w:szCs w:val="32"/>
          <w:highlight w:val="none"/>
        </w:rPr>
        <w:t>贵港市政府采购项目投标资格承诺函</w:t>
      </w:r>
    </w:p>
    <w:p w14:paraId="4F938482">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本公司郑重承诺，根据《中华人民共和国政府采购法》第二十二条的规定，本公司为参加政府采购活动的合格供应商。即本公司同时满足以下条件：</w:t>
      </w:r>
    </w:p>
    <w:p w14:paraId="3FD816D2">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1.具有独立承担民事责任的能力。</w:t>
      </w:r>
    </w:p>
    <w:p w14:paraId="02C89C02">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2.具有良好的商业信誉和健全的财务会计制度。</w:t>
      </w:r>
    </w:p>
    <w:p w14:paraId="36911635">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3.具有履行合同所必需的设备和专业技术能力。</w:t>
      </w:r>
    </w:p>
    <w:p w14:paraId="02A0C93A">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4.有依法缴纳税收和社会保障资金的良好记录。</w:t>
      </w:r>
    </w:p>
    <w:p w14:paraId="7AFE1AAC">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5. 提交投标文件截止日期前三年内，在经营活动中没有重大违法记录。</w:t>
      </w:r>
    </w:p>
    <w:p w14:paraId="73BE087B">
      <w:pPr>
        <w:spacing w:line="360" w:lineRule="auto"/>
        <w:ind w:firstLine="424" w:firstLineChars="202"/>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6B05C5C1">
      <w:pPr>
        <w:spacing w:line="360" w:lineRule="auto"/>
        <w:rPr>
          <w:rStyle w:val="33"/>
          <w:rFonts w:hint="eastAsia" w:ascii="宋体" w:hAnsi="宋体" w:eastAsia="宋体" w:cs="宋体"/>
          <w:color w:val="auto"/>
          <w:szCs w:val="21"/>
          <w:highlight w:val="none"/>
        </w:rPr>
      </w:pPr>
    </w:p>
    <w:p w14:paraId="594552A6">
      <w:pPr>
        <w:spacing w:line="360" w:lineRule="auto"/>
        <w:rPr>
          <w:rStyle w:val="33"/>
          <w:rFonts w:hint="eastAsia" w:ascii="宋体" w:hAnsi="宋体" w:eastAsia="宋体" w:cs="宋体"/>
          <w:color w:val="auto"/>
          <w:szCs w:val="21"/>
          <w:highlight w:val="none"/>
        </w:rPr>
      </w:pPr>
    </w:p>
    <w:p w14:paraId="3B47A2DD">
      <w:pPr>
        <w:spacing w:line="360" w:lineRule="auto"/>
        <w:ind w:firstLine="3968" w:firstLineChars="189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企业名称（盖章）：</w:t>
      </w:r>
    </w:p>
    <w:p w14:paraId="56FD379D">
      <w:pPr>
        <w:spacing w:line="360" w:lineRule="auto"/>
        <w:ind w:firstLine="3968" w:firstLineChars="1890"/>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法定代表人（签名）：</w:t>
      </w:r>
    </w:p>
    <w:p w14:paraId="7CF4AEF9">
      <w:pPr>
        <w:spacing w:line="420" w:lineRule="exact"/>
        <w:ind w:firstLine="3990" w:firstLineChars="1900"/>
        <w:rPr>
          <w:rStyle w:val="33"/>
          <w:rFonts w:hint="eastAsia" w:ascii="宋体" w:hAnsi="宋体" w:eastAsia="宋体" w:cs="宋体"/>
          <w:b/>
          <w:color w:val="auto"/>
          <w:kern w:val="0"/>
          <w:szCs w:val="21"/>
          <w:highlight w:val="none"/>
        </w:rPr>
      </w:pPr>
      <w:r>
        <w:rPr>
          <w:rStyle w:val="33"/>
          <w:rFonts w:hint="eastAsia" w:ascii="宋体" w:hAnsi="宋体" w:eastAsia="宋体" w:cs="宋体"/>
          <w:color w:val="auto"/>
          <w:szCs w:val="21"/>
          <w:highlight w:val="none"/>
        </w:rPr>
        <w:t>日期：     年     月      日</w:t>
      </w:r>
    </w:p>
    <w:p w14:paraId="264F8866">
      <w:pPr>
        <w:spacing w:line="420" w:lineRule="exact"/>
        <w:ind w:firstLine="105" w:firstLineChars="50"/>
        <w:rPr>
          <w:rStyle w:val="33"/>
          <w:rFonts w:hint="eastAsia" w:ascii="宋体" w:hAnsi="宋体" w:eastAsia="宋体" w:cs="宋体"/>
          <w:b/>
          <w:color w:val="auto"/>
          <w:kern w:val="0"/>
          <w:highlight w:val="none"/>
        </w:rPr>
      </w:pPr>
    </w:p>
    <w:p w14:paraId="51D99613">
      <w:pPr>
        <w:spacing w:line="420" w:lineRule="exact"/>
        <w:ind w:firstLine="105" w:firstLineChars="50"/>
        <w:rPr>
          <w:rStyle w:val="33"/>
          <w:rFonts w:hint="eastAsia" w:ascii="宋体" w:hAnsi="宋体" w:eastAsia="宋体" w:cs="宋体"/>
          <w:b/>
          <w:color w:val="auto"/>
          <w:kern w:val="0"/>
          <w:highlight w:val="none"/>
        </w:rPr>
      </w:pPr>
    </w:p>
    <w:p w14:paraId="79891343">
      <w:pPr>
        <w:spacing w:line="420" w:lineRule="exact"/>
        <w:ind w:firstLine="105" w:firstLineChars="50"/>
        <w:rPr>
          <w:rStyle w:val="33"/>
          <w:rFonts w:hint="eastAsia" w:ascii="宋体" w:hAnsi="宋体" w:eastAsia="宋体" w:cs="宋体"/>
          <w:b/>
          <w:color w:val="auto"/>
          <w:kern w:val="0"/>
          <w:highlight w:val="none"/>
        </w:rPr>
      </w:pPr>
    </w:p>
    <w:p w14:paraId="483CE453">
      <w:pPr>
        <w:spacing w:line="420" w:lineRule="exact"/>
        <w:ind w:firstLine="105" w:firstLineChars="50"/>
        <w:rPr>
          <w:rStyle w:val="33"/>
          <w:rFonts w:hint="eastAsia" w:ascii="宋体" w:hAnsi="宋体" w:eastAsia="宋体" w:cs="宋体"/>
          <w:b/>
          <w:color w:val="auto"/>
          <w:kern w:val="0"/>
          <w:highlight w:val="none"/>
        </w:rPr>
      </w:pPr>
    </w:p>
    <w:p w14:paraId="56A2AB46">
      <w:pPr>
        <w:spacing w:line="420" w:lineRule="exact"/>
        <w:ind w:firstLine="105" w:firstLineChars="50"/>
        <w:rPr>
          <w:rStyle w:val="33"/>
          <w:rFonts w:hint="eastAsia" w:ascii="宋体" w:hAnsi="宋体" w:eastAsia="宋体" w:cs="宋体"/>
          <w:b/>
          <w:color w:val="auto"/>
          <w:kern w:val="0"/>
          <w:highlight w:val="none"/>
        </w:rPr>
      </w:pPr>
    </w:p>
    <w:p w14:paraId="798D2A74">
      <w:pPr>
        <w:spacing w:line="420" w:lineRule="exact"/>
        <w:ind w:firstLine="105" w:firstLineChars="50"/>
        <w:rPr>
          <w:rStyle w:val="33"/>
          <w:rFonts w:hint="eastAsia" w:ascii="宋体" w:hAnsi="宋体" w:eastAsia="宋体" w:cs="宋体"/>
          <w:b/>
          <w:color w:val="auto"/>
          <w:kern w:val="0"/>
          <w:highlight w:val="none"/>
        </w:rPr>
      </w:pPr>
    </w:p>
    <w:p w14:paraId="72C95267">
      <w:pPr>
        <w:spacing w:line="420" w:lineRule="exact"/>
        <w:ind w:firstLine="105" w:firstLineChars="50"/>
        <w:rPr>
          <w:rStyle w:val="33"/>
          <w:rFonts w:hint="eastAsia" w:ascii="宋体" w:hAnsi="宋体" w:eastAsia="宋体" w:cs="宋体"/>
          <w:b/>
          <w:color w:val="auto"/>
          <w:kern w:val="0"/>
          <w:highlight w:val="none"/>
        </w:rPr>
      </w:pPr>
    </w:p>
    <w:p w14:paraId="7BA60F19">
      <w:pPr>
        <w:spacing w:line="360" w:lineRule="auto"/>
        <w:ind w:firstLine="105" w:firstLineChars="50"/>
        <w:rPr>
          <w:rStyle w:val="33"/>
          <w:rFonts w:hint="eastAsia" w:ascii="宋体" w:hAnsi="宋体" w:eastAsia="宋体" w:cs="宋体"/>
          <w:b/>
          <w:color w:val="auto"/>
          <w:kern w:val="0"/>
          <w:highlight w:val="none"/>
        </w:rPr>
      </w:pPr>
    </w:p>
    <w:p w14:paraId="281BFBC0">
      <w:pPr>
        <w:spacing w:line="360" w:lineRule="auto"/>
        <w:ind w:firstLine="105" w:firstLineChars="50"/>
        <w:rPr>
          <w:rStyle w:val="33"/>
          <w:rFonts w:hint="eastAsia" w:ascii="宋体" w:hAnsi="宋体" w:eastAsia="宋体" w:cs="宋体"/>
          <w:b/>
          <w:color w:val="auto"/>
          <w:kern w:val="0"/>
          <w:highlight w:val="none"/>
        </w:rPr>
      </w:pPr>
    </w:p>
    <w:p w14:paraId="360130D0">
      <w:pPr>
        <w:spacing w:line="360" w:lineRule="auto"/>
        <w:ind w:firstLine="105" w:firstLineChars="50"/>
        <w:rPr>
          <w:rStyle w:val="33"/>
          <w:rFonts w:hint="eastAsia" w:ascii="宋体" w:hAnsi="宋体" w:eastAsia="宋体" w:cs="宋体"/>
          <w:b/>
          <w:color w:val="auto"/>
          <w:kern w:val="0"/>
          <w:highlight w:val="none"/>
        </w:rPr>
      </w:pPr>
    </w:p>
    <w:p w14:paraId="3C3768C6">
      <w:pPr>
        <w:spacing w:line="360" w:lineRule="auto"/>
        <w:rPr>
          <w:rStyle w:val="33"/>
          <w:rFonts w:hint="eastAsia" w:ascii="宋体" w:hAnsi="宋体" w:eastAsia="宋体" w:cs="宋体"/>
          <w:b/>
          <w:color w:val="auto"/>
          <w:kern w:val="0"/>
          <w:highlight w:val="none"/>
        </w:rPr>
      </w:pPr>
    </w:p>
    <w:p w14:paraId="77BBD87C">
      <w:pPr>
        <w:spacing w:line="360" w:lineRule="auto"/>
        <w:rPr>
          <w:rStyle w:val="33"/>
          <w:rFonts w:hint="eastAsia" w:ascii="宋体" w:hAnsi="宋体" w:eastAsia="宋体" w:cs="宋体"/>
          <w:b/>
          <w:color w:val="auto"/>
          <w:kern w:val="0"/>
          <w:highlight w:val="none"/>
        </w:rPr>
      </w:pPr>
    </w:p>
    <w:p w14:paraId="5E656D7D">
      <w:pPr>
        <w:spacing w:line="360" w:lineRule="auto"/>
        <w:ind w:firstLine="105" w:firstLineChars="50"/>
        <w:outlineLvl w:val="1"/>
        <w:rPr>
          <w:rStyle w:val="33"/>
          <w:rFonts w:hint="eastAsia" w:ascii="宋体" w:hAnsi="宋体" w:cs="宋体"/>
          <w:color w:val="auto"/>
          <w:szCs w:val="21"/>
          <w:highlight w:val="none"/>
        </w:rPr>
      </w:pPr>
      <w:bookmarkStart w:id="43" w:name="_Toc19321"/>
      <w:r>
        <w:rPr>
          <w:rStyle w:val="33"/>
          <w:rFonts w:hint="eastAsia" w:ascii="宋体" w:hAnsi="宋体" w:cs="宋体"/>
          <w:color w:val="auto"/>
          <w:szCs w:val="21"/>
          <w:highlight w:val="none"/>
        </w:rPr>
        <w:t>（</w:t>
      </w:r>
      <w:r>
        <w:rPr>
          <w:rStyle w:val="33"/>
          <w:rFonts w:hint="eastAsia" w:ascii="宋体" w:hAnsi="宋体" w:cs="宋体"/>
          <w:color w:val="auto"/>
          <w:szCs w:val="21"/>
          <w:highlight w:val="none"/>
          <w:lang w:val="en-US"/>
        </w:rPr>
        <w:t>6</w:t>
      </w:r>
      <w:r>
        <w:rPr>
          <w:rStyle w:val="33"/>
          <w:rFonts w:hint="eastAsia" w:ascii="宋体" w:hAnsi="宋体" w:cs="宋体"/>
          <w:color w:val="auto"/>
          <w:szCs w:val="21"/>
          <w:highlight w:val="none"/>
        </w:rPr>
        <w:t>）中小企业声明函</w:t>
      </w:r>
      <w:bookmarkEnd w:id="43"/>
    </w:p>
    <w:p w14:paraId="36877741">
      <w:pPr>
        <w:rPr>
          <w:rStyle w:val="33"/>
          <w:rFonts w:hint="eastAsia" w:ascii="宋体" w:hAnsi="宋体" w:eastAsia="宋体" w:cs="宋体"/>
          <w:color w:val="auto"/>
          <w:highlight w:val="none"/>
        </w:rPr>
      </w:pPr>
    </w:p>
    <w:p w14:paraId="6DFB6133">
      <w:pPr>
        <w:spacing w:after="240" w:line="588" w:lineRule="exact"/>
        <w:jc w:val="center"/>
        <w:rPr>
          <w:rStyle w:val="33"/>
          <w:rFonts w:hint="eastAsia" w:ascii="宋体" w:hAnsi="宋体" w:eastAsia="宋体" w:cs="宋体"/>
          <w:b/>
          <w:color w:val="auto"/>
          <w:spacing w:val="6"/>
          <w:sz w:val="32"/>
          <w:szCs w:val="32"/>
          <w:highlight w:val="none"/>
        </w:rPr>
      </w:pPr>
      <w:r>
        <w:rPr>
          <w:rStyle w:val="33"/>
          <w:rFonts w:hint="eastAsia" w:ascii="宋体" w:hAnsi="宋体" w:eastAsia="宋体" w:cs="宋体"/>
          <w:b/>
          <w:color w:val="auto"/>
          <w:spacing w:val="6"/>
          <w:sz w:val="32"/>
          <w:szCs w:val="32"/>
          <w:highlight w:val="none"/>
        </w:rPr>
        <w:t>中小企业声明函</w:t>
      </w:r>
    </w:p>
    <w:p w14:paraId="0FB079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43C82C8B">
      <w:pPr>
        <w:spacing w:line="360" w:lineRule="auto"/>
        <w:ind w:left="315" w:leftChars="150" w:firstLine="315" w:firstLineChars="150"/>
        <w:rPr>
          <w:rFonts w:hint="eastAsia" w:ascii="宋体" w:hAnsi="宋体" w:eastAsia="宋体" w:cs="宋体"/>
          <w:color w:val="auto"/>
          <w:highlight w:val="none"/>
        </w:rPr>
      </w:pP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物业管理</w:t>
      </w:r>
      <w:r>
        <w:rPr>
          <w:rFonts w:hint="eastAsia" w:ascii="宋体" w:hAnsi="宋体" w:eastAsia="宋体" w:cs="宋体"/>
          <w:color w:val="auto"/>
          <w:highlight w:val="none"/>
        </w:rPr>
        <w:t>；承建（承接）企业为</w:t>
      </w:r>
      <w:r>
        <w:rPr>
          <w:rFonts w:hint="eastAsia" w:ascii="宋体" w:hAnsi="宋体" w:eastAsia="宋体" w:cs="宋体"/>
          <w:i/>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人，营业收入为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 xml:space="preserve">（中型企业、小型企业、微型企业）  </w:t>
      </w:r>
      <w:r>
        <w:rPr>
          <w:rFonts w:hint="eastAsia" w:ascii="宋体" w:hAnsi="宋体" w:eastAsia="宋体" w:cs="宋体"/>
          <w:color w:val="auto"/>
          <w:highlight w:val="none"/>
        </w:rPr>
        <w:t>；</w:t>
      </w:r>
    </w:p>
    <w:p w14:paraId="3774A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47E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9898483">
      <w:pPr>
        <w:spacing w:line="360" w:lineRule="auto"/>
        <w:rPr>
          <w:rFonts w:hint="eastAsia" w:ascii="宋体" w:hAnsi="宋体" w:eastAsia="宋体" w:cs="宋体"/>
          <w:color w:val="auto"/>
          <w:highlight w:val="none"/>
        </w:rPr>
      </w:pPr>
    </w:p>
    <w:p w14:paraId="5486B3B4">
      <w:pPr>
        <w:spacing w:line="360" w:lineRule="auto"/>
        <w:rPr>
          <w:rFonts w:hint="eastAsia" w:ascii="宋体" w:hAnsi="宋体" w:eastAsia="宋体" w:cs="宋体"/>
          <w:color w:val="auto"/>
          <w:highlight w:val="none"/>
        </w:rPr>
      </w:pPr>
    </w:p>
    <w:p w14:paraId="56B608FF">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19E55094">
      <w:pPr>
        <w:spacing w:line="360" w:lineRule="auto"/>
        <w:rPr>
          <w:rFonts w:hint="eastAsia" w:ascii="宋体" w:hAnsi="宋体" w:eastAsia="宋体" w:cs="宋体"/>
          <w:color w:val="auto"/>
          <w:highlight w:val="none"/>
        </w:rPr>
      </w:pPr>
    </w:p>
    <w:p w14:paraId="6E7C1ADE">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日期：</w:t>
      </w:r>
    </w:p>
    <w:p w14:paraId="7BD3CEA0">
      <w:pPr>
        <w:spacing w:line="360" w:lineRule="auto"/>
        <w:ind w:firstLine="5460" w:firstLineChars="2600"/>
        <w:rPr>
          <w:rFonts w:hint="eastAsia" w:ascii="宋体" w:hAnsi="宋体" w:eastAsia="宋体" w:cs="宋体"/>
          <w:color w:val="auto"/>
          <w:highlight w:val="none"/>
        </w:rPr>
      </w:pPr>
    </w:p>
    <w:p w14:paraId="7AC8A779">
      <w:pPr>
        <w:ind w:firstLine="5460" w:firstLineChars="2600"/>
        <w:rPr>
          <w:rFonts w:hint="eastAsia" w:ascii="宋体" w:hAnsi="宋体" w:eastAsia="宋体" w:cs="宋体"/>
          <w:color w:val="auto"/>
          <w:highlight w:val="none"/>
        </w:rPr>
      </w:pPr>
    </w:p>
    <w:p w14:paraId="4D1EF0CE">
      <w:pPr>
        <w:ind w:firstLine="5460" w:firstLineChars="2600"/>
        <w:rPr>
          <w:rFonts w:hint="eastAsia" w:ascii="宋体" w:hAnsi="宋体" w:eastAsia="宋体" w:cs="宋体"/>
          <w:color w:val="auto"/>
          <w:highlight w:val="none"/>
        </w:rPr>
      </w:pPr>
    </w:p>
    <w:p w14:paraId="13BFA125">
      <w:pPr>
        <w:ind w:firstLine="5460" w:firstLineChars="2600"/>
        <w:rPr>
          <w:rFonts w:hint="eastAsia" w:ascii="宋体" w:hAnsi="宋体" w:eastAsia="宋体" w:cs="宋体"/>
          <w:color w:val="auto"/>
          <w:highlight w:val="none"/>
        </w:rPr>
      </w:pPr>
    </w:p>
    <w:p w14:paraId="3FD332FC">
      <w:pPr>
        <w:rPr>
          <w:rStyle w:val="33"/>
          <w:rFonts w:hint="eastAsia" w:ascii="宋体" w:hAnsi="宋体" w:eastAsia="宋体" w:cs="宋体"/>
          <w:b/>
          <w:color w:val="auto"/>
          <w:highlight w:val="none"/>
        </w:rPr>
      </w:pPr>
      <w:r>
        <w:rPr>
          <w:rFonts w:hint="eastAsia" w:ascii="宋体" w:hAnsi="宋体" w:eastAsia="宋体" w:cs="宋体"/>
          <w:b/>
          <w:color w:val="auto"/>
          <w:highlight w:val="none"/>
        </w:rPr>
        <w:t>注：从业人员、营业收入、资产总额填报上一年度数据，无上一年度数据的新成立企业可不填报。</w:t>
      </w:r>
    </w:p>
    <w:p w14:paraId="017F9E6A">
      <w:pPr>
        <w:rPr>
          <w:rStyle w:val="33"/>
          <w:rFonts w:hint="eastAsia" w:ascii="宋体" w:hAnsi="宋体" w:eastAsia="宋体" w:cs="宋体"/>
          <w:color w:val="auto"/>
          <w:highlight w:val="none"/>
        </w:rPr>
      </w:pPr>
    </w:p>
    <w:p w14:paraId="6CE59C37">
      <w:pPr>
        <w:spacing w:line="460" w:lineRule="exact"/>
        <w:rPr>
          <w:rStyle w:val="33"/>
          <w:rFonts w:hint="eastAsia" w:ascii="宋体" w:hAnsi="宋体" w:eastAsia="宋体" w:cs="宋体"/>
          <w:color w:val="auto"/>
          <w:sz w:val="24"/>
          <w:highlight w:val="none"/>
        </w:rPr>
      </w:pPr>
    </w:p>
    <w:p w14:paraId="4D3FAD0D">
      <w:pPr>
        <w:spacing w:line="460" w:lineRule="exact"/>
        <w:rPr>
          <w:rStyle w:val="33"/>
          <w:rFonts w:hint="eastAsia" w:ascii="宋体" w:hAnsi="宋体" w:eastAsia="宋体" w:cs="宋体"/>
          <w:color w:val="auto"/>
          <w:sz w:val="24"/>
          <w:highlight w:val="none"/>
        </w:rPr>
      </w:pPr>
    </w:p>
    <w:p w14:paraId="1548AAD3">
      <w:pPr>
        <w:spacing w:line="460" w:lineRule="exact"/>
        <w:rPr>
          <w:rStyle w:val="33"/>
          <w:rFonts w:hint="eastAsia" w:ascii="宋体" w:hAnsi="宋体" w:eastAsia="宋体" w:cs="宋体"/>
          <w:color w:val="auto"/>
          <w:sz w:val="24"/>
          <w:highlight w:val="none"/>
        </w:rPr>
      </w:pPr>
    </w:p>
    <w:p w14:paraId="4E93D3B5">
      <w:pPr>
        <w:spacing w:line="460" w:lineRule="exact"/>
        <w:rPr>
          <w:rStyle w:val="33"/>
          <w:rFonts w:hint="eastAsia" w:ascii="宋体" w:hAnsi="宋体" w:eastAsia="宋体" w:cs="宋体"/>
          <w:color w:val="auto"/>
          <w:sz w:val="24"/>
          <w:highlight w:val="none"/>
        </w:rPr>
      </w:pPr>
    </w:p>
    <w:p w14:paraId="01C9FB2C">
      <w:pPr>
        <w:spacing w:line="460" w:lineRule="exact"/>
        <w:rPr>
          <w:rStyle w:val="33"/>
          <w:rFonts w:hint="eastAsia" w:ascii="宋体" w:hAnsi="宋体" w:eastAsia="宋体" w:cs="宋体"/>
          <w:color w:val="auto"/>
          <w:sz w:val="24"/>
          <w:highlight w:val="none"/>
        </w:rPr>
      </w:pPr>
    </w:p>
    <w:p w14:paraId="763CA1B6">
      <w:pPr>
        <w:spacing w:line="460" w:lineRule="exact"/>
        <w:rPr>
          <w:rStyle w:val="33"/>
          <w:rFonts w:hint="eastAsia" w:ascii="宋体" w:hAnsi="宋体" w:eastAsia="宋体" w:cs="宋体"/>
          <w:color w:val="auto"/>
          <w:sz w:val="24"/>
          <w:highlight w:val="none"/>
        </w:rPr>
      </w:pPr>
    </w:p>
    <w:p w14:paraId="015B8FD2">
      <w:pPr>
        <w:spacing w:line="460" w:lineRule="exact"/>
        <w:rPr>
          <w:rStyle w:val="33"/>
          <w:rFonts w:hint="eastAsia" w:ascii="宋体" w:hAnsi="宋体" w:eastAsia="宋体" w:cs="宋体"/>
          <w:color w:val="auto"/>
          <w:sz w:val="24"/>
          <w:highlight w:val="none"/>
        </w:rPr>
      </w:pPr>
    </w:p>
    <w:p w14:paraId="3D1E11D7">
      <w:pPr>
        <w:spacing w:line="460" w:lineRule="exact"/>
        <w:rPr>
          <w:rStyle w:val="33"/>
          <w:rFonts w:hint="eastAsia" w:ascii="宋体" w:hAnsi="宋体" w:eastAsia="宋体" w:cs="宋体"/>
          <w:color w:val="auto"/>
          <w:sz w:val="24"/>
          <w:highlight w:val="none"/>
        </w:rPr>
      </w:pPr>
    </w:p>
    <w:p w14:paraId="3284F37E">
      <w:pPr>
        <w:spacing w:line="460" w:lineRule="exact"/>
        <w:rPr>
          <w:rStyle w:val="33"/>
          <w:rFonts w:hint="eastAsia" w:ascii="宋体" w:hAnsi="宋体" w:eastAsia="宋体" w:cs="宋体"/>
          <w:color w:val="auto"/>
          <w:sz w:val="24"/>
          <w:highlight w:val="none"/>
        </w:rPr>
      </w:pPr>
    </w:p>
    <w:p w14:paraId="6812C736">
      <w:pPr>
        <w:spacing w:line="460" w:lineRule="exact"/>
        <w:rPr>
          <w:rStyle w:val="33"/>
          <w:rFonts w:hint="eastAsia" w:ascii="宋体" w:hAnsi="宋体" w:eastAsia="宋体" w:cs="宋体"/>
          <w:color w:val="auto"/>
          <w:sz w:val="24"/>
          <w:highlight w:val="none"/>
        </w:rPr>
      </w:pPr>
    </w:p>
    <w:p w14:paraId="5B7EAAD3">
      <w:pPr>
        <w:spacing w:line="588" w:lineRule="exact"/>
        <w:jc w:val="center"/>
        <w:rPr>
          <w:rStyle w:val="33"/>
          <w:rFonts w:hint="eastAsia" w:ascii="宋体" w:hAnsi="宋体" w:eastAsia="宋体" w:cs="宋体"/>
          <w:b/>
          <w:color w:val="auto"/>
          <w:spacing w:val="6"/>
          <w:sz w:val="32"/>
          <w:szCs w:val="32"/>
          <w:highlight w:val="none"/>
        </w:rPr>
      </w:pPr>
    </w:p>
    <w:p w14:paraId="697472E4">
      <w:pPr>
        <w:spacing w:line="588" w:lineRule="exact"/>
        <w:jc w:val="center"/>
        <w:rPr>
          <w:rStyle w:val="33"/>
          <w:rFonts w:hint="eastAsia" w:ascii="宋体" w:hAnsi="宋体" w:eastAsia="宋体" w:cs="宋体"/>
          <w:b/>
          <w:color w:val="auto"/>
          <w:spacing w:val="6"/>
          <w:sz w:val="32"/>
          <w:szCs w:val="32"/>
          <w:highlight w:val="none"/>
        </w:rPr>
      </w:pPr>
      <w:r>
        <w:rPr>
          <w:rStyle w:val="33"/>
          <w:rFonts w:hint="eastAsia" w:ascii="宋体" w:hAnsi="宋体" w:eastAsia="宋体" w:cs="宋体"/>
          <w:b/>
          <w:color w:val="auto"/>
          <w:spacing w:val="6"/>
          <w:sz w:val="32"/>
          <w:szCs w:val="32"/>
          <w:highlight w:val="none"/>
        </w:rPr>
        <w:t>残疾人福利性单位声明函</w:t>
      </w:r>
    </w:p>
    <w:p w14:paraId="625AEAB8">
      <w:pPr>
        <w:spacing w:line="588" w:lineRule="exact"/>
        <w:rPr>
          <w:rStyle w:val="33"/>
          <w:rFonts w:hint="eastAsia" w:ascii="宋体" w:hAnsi="宋体" w:eastAsia="宋体" w:cs="宋体"/>
          <w:b/>
          <w:color w:val="auto"/>
          <w:spacing w:val="6"/>
          <w:sz w:val="30"/>
          <w:szCs w:val="30"/>
          <w:highlight w:val="none"/>
        </w:rPr>
      </w:pPr>
    </w:p>
    <w:p w14:paraId="444FC70E">
      <w:pPr>
        <w:spacing w:line="588" w:lineRule="exact"/>
        <w:ind w:firstLine="444" w:firstLineChars="200"/>
        <w:rPr>
          <w:rStyle w:val="33"/>
          <w:rFonts w:hint="eastAsia" w:ascii="宋体" w:hAnsi="宋体" w:eastAsia="宋体" w:cs="宋体"/>
          <w:color w:val="auto"/>
          <w:spacing w:val="6"/>
          <w:szCs w:val="21"/>
          <w:highlight w:val="none"/>
        </w:rPr>
      </w:pPr>
      <w:r>
        <w:rPr>
          <w:rStyle w:val="33"/>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Style w:val="33"/>
          <w:rFonts w:hint="eastAsia" w:ascii="宋体" w:hAnsi="宋体" w:cs="宋体"/>
          <w:color w:val="auto"/>
          <w:spacing w:val="6"/>
          <w:szCs w:val="21"/>
          <w:highlight w:val="none"/>
        </w:rPr>
        <w:t>〔2017〕141号</w:t>
      </w:r>
      <w:r>
        <w:rPr>
          <w:rStyle w:val="33"/>
          <w:rFonts w:hint="eastAsia" w:ascii="宋体" w:hAnsi="宋体" w:eastAsia="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563DC">
      <w:pPr>
        <w:spacing w:line="588" w:lineRule="exact"/>
        <w:ind w:firstLine="444" w:firstLineChars="200"/>
        <w:rPr>
          <w:rStyle w:val="33"/>
          <w:rFonts w:hint="eastAsia" w:ascii="宋体" w:hAnsi="宋体" w:eastAsia="宋体" w:cs="宋体"/>
          <w:color w:val="auto"/>
          <w:spacing w:val="6"/>
          <w:szCs w:val="21"/>
          <w:highlight w:val="none"/>
        </w:rPr>
      </w:pPr>
      <w:r>
        <w:rPr>
          <w:rStyle w:val="33"/>
          <w:rFonts w:hint="eastAsia" w:ascii="宋体" w:hAnsi="宋体" w:eastAsia="宋体" w:cs="宋体"/>
          <w:color w:val="auto"/>
          <w:spacing w:val="6"/>
          <w:szCs w:val="21"/>
          <w:highlight w:val="none"/>
        </w:rPr>
        <w:t>本单位对上述声明的真实性负责。如有虚假，将依法承担相应责任。</w:t>
      </w:r>
    </w:p>
    <w:p w14:paraId="6E358243">
      <w:pPr>
        <w:spacing w:line="588" w:lineRule="exact"/>
        <w:ind w:firstLine="444" w:firstLineChars="200"/>
        <w:rPr>
          <w:rStyle w:val="33"/>
          <w:rFonts w:hint="eastAsia" w:ascii="宋体" w:hAnsi="宋体" w:eastAsia="宋体" w:cs="宋体"/>
          <w:color w:val="auto"/>
          <w:spacing w:val="6"/>
          <w:szCs w:val="21"/>
          <w:highlight w:val="none"/>
        </w:rPr>
      </w:pPr>
    </w:p>
    <w:p w14:paraId="3E5400E7">
      <w:pPr>
        <w:spacing w:line="588" w:lineRule="exact"/>
        <w:ind w:firstLine="444" w:firstLineChars="200"/>
        <w:rPr>
          <w:rStyle w:val="33"/>
          <w:rFonts w:hint="eastAsia" w:ascii="宋体" w:hAnsi="宋体" w:eastAsia="宋体" w:cs="宋体"/>
          <w:color w:val="auto"/>
          <w:spacing w:val="6"/>
          <w:szCs w:val="21"/>
          <w:highlight w:val="none"/>
        </w:rPr>
      </w:pPr>
    </w:p>
    <w:p w14:paraId="07FAF67A">
      <w:pPr>
        <w:tabs>
          <w:tab w:val="left" w:pos="4860"/>
        </w:tabs>
        <w:spacing w:line="588" w:lineRule="exact"/>
        <w:ind w:right="1560" w:firstLine="444" w:firstLineChars="200"/>
        <w:jc w:val="center"/>
        <w:rPr>
          <w:rStyle w:val="33"/>
          <w:rFonts w:hint="eastAsia" w:ascii="宋体" w:hAnsi="宋体" w:eastAsia="宋体" w:cs="宋体"/>
          <w:color w:val="auto"/>
          <w:spacing w:val="6"/>
          <w:szCs w:val="21"/>
          <w:highlight w:val="none"/>
        </w:rPr>
      </w:pPr>
      <w:r>
        <w:rPr>
          <w:rStyle w:val="33"/>
          <w:rFonts w:hint="eastAsia" w:ascii="宋体" w:hAnsi="宋体" w:eastAsia="宋体" w:cs="宋体"/>
          <w:color w:val="auto"/>
          <w:spacing w:val="6"/>
          <w:szCs w:val="21"/>
          <w:highlight w:val="none"/>
        </w:rPr>
        <w:t>单位名称（盖章）：</w:t>
      </w:r>
    </w:p>
    <w:p w14:paraId="00337302">
      <w:pPr>
        <w:tabs>
          <w:tab w:val="left" w:pos="4860"/>
        </w:tabs>
        <w:spacing w:line="588" w:lineRule="exact"/>
        <w:ind w:right="1560" w:firstLine="444" w:firstLineChars="200"/>
        <w:jc w:val="center"/>
        <w:rPr>
          <w:rStyle w:val="33"/>
          <w:rFonts w:hint="eastAsia" w:ascii="宋体" w:hAnsi="宋体" w:eastAsia="宋体" w:cs="宋体"/>
          <w:color w:val="auto"/>
          <w:spacing w:val="6"/>
          <w:szCs w:val="21"/>
          <w:highlight w:val="none"/>
        </w:rPr>
        <w:sectPr>
          <w:pgSz w:w="11906" w:h="16838"/>
          <w:pgMar w:top="1134" w:right="1134" w:bottom="1134" w:left="1134" w:header="851" w:footer="567" w:gutter="0"/>
          <w:cols w:space="720" w:num="1"/>
          <w:titlePg/>
          <w:docGrid w:type="lines" w:linePitch="312" w:charSpace="0"/>
        </w:sectPr>
      </w:pPr>
      <w:r>
        <w:rPr>
          <w:rStyle w:val="33"/>
          <w:rFonts w:hint="eastAsia" w:ascii="宋体" w:hAnsi="宋体" w:eastAsia="宋体" w:cs="宋体"/>
          <w:color w:val="auto"/>
          <w:spacing w:val="6"/>
          <w:szCs w:val="21"/>
          <w:highlight w:val="none"/>
        </w:rPr>
        <w:t>日  期：</w:t>
      </w:r>
    </w:p>
    <w:p w14:paraId="1C72B8AF">
      <w:pPr>
        <w:spacing w:line="500" w:lineRule="exact"/>
        <w:ind w:left="720" w:leftChars="343"/>
        <w:outlineLvl w:val="1"/>
        <w:rPr>
          <w:rStyle w:val="33"/>
          <w:rFonts w:hint="eastAsia" w:ascii="宋体" w:hAnsi="宋体" w:eastAsia="宋体" w:cs="宋体"/>
          <w:b/>
          <w:color w:val="auto"/>
          <w:kern w:val="0"/>
          <w:highlight w:val="none"/>
        </w:rPr>
      </w:pPr>
      <w:bookmarkStart w:id="44" w:name="_Toc26604"/>
      <w:r>
        <w:rPr>
          <w:rStyle w:val="33"/>
          <w:rFonts w:hint="eastAsia" w:ascii="宋体" w:hAnsi="宋体" w:eastAsia="宋体" w:cs="宋体"/>
          <w:b/>
          <w:color w:val="auto"/>
          <w:kern w:val="0"/>
          <w:highlight w:val="none"/>
        </w:rPr>
        <w:t>（</w:t>
      </w:r>
      <w:r>
        <w:rPr>
          <w:rStyle w:val="33"/>
          <w:rFonts w:hint="eastAsia" w:ascii="宋体" w:hAnsi="宋体" w:cs="宋体"/>
          <w:b/>
          <w:color w:val="auto"/>
          <w:kern w:val="0"/>
          <w:highlight w:val="none"/>
          <w:lang w:val="en-US"/>
        </w:rPr>
        <w:t>7</w:t>
      </w:r>
      <w:r>
        <w:rPr>
          <w:rStyle w:val="33"/>
          <w:rFonts w:hint="eastAsia" w:ascii="宋体" w:hAnsi="宋体" w:eastAsia="宋体" w:cs="宋体"/>
          <w:b/>
          <w:color w:val="auto"/>
          <w:kern w:val="0"/>
          <w:highlight w:val="none"/>
        </w:rPr>
        <w:t>）</w:t>
      </w:r>
      <w:r>
        <w:rPr>
          <w:rStyle w:val="33"/>
          <w:rFonts w:hint="eastAsia" w:ascii="宋体" w:hAnsi="宋体" w:cs="宋体"/>
          <w:b/>
          <w:color w:val="auto"/>
          <w:kern w:val="0"/>
          <w:highlight w:val="none"/>
        </w:rPr>
        <w:t>无其他关联企业同时投标声明函</w:t>
      </w:r>
      <w:bookmarkEnd w:id="44"/>
    </w:p>
    <w:p w14:paraId="2682D61E">
      <w:pPr>
        <w:tabs>
          <w:tab w:val="left" w:pos="8280"/>
        </w:tabs>
        <w:spacing w:line="600" w:lineRule="exact"/>
        <w:jc w:val="center"/>
        <w:rPr>
          <w:rFonts w:ascii="宋体" w:hAnsi="宋体"/>
          <w:color w:val="auto"/>
          <w:szCs w:val="28"/>
          <w:highlight w:val="none"/>
        </w:rPr>
      </w:pPr>
      <w:r>
        <w:rPr>
          <w:rFonts w:hint="eastAsia" w:ascii="宋体" w:hAnsi="宋体"/>
          <w:b/>
          <w:color w:val="auto"/>
          <w:szCs w:val="28"/>
          <w:highlight w:val="none"/>
        </w:rPr>
        <w:t>无其他关联企业同时投标声明函</w:t>
      </w:r>
    </w:p>
    <w:p w14:paraId="1CCF9406">
      <w:pPr>
        <w:tabs>
          <w:tab w:val="left" w:pos="8280"/>
        </w:tabs>
        <w:spacing w:line="600" w:lineRule="exact"/>
        <w:rPr>
          <w:rFonts w:ascii="宋体" w:hAnsi="宋体"/>
          <w:color w:val="auto"/>
          <w:szCs w:val="28"/>
          <w:highlight w:val="none"/>
        </w:rPr>
      </w:pPr>
      <w:r>
        <w:rPr>
          <w:rFonts w:hint="eastAsia" w:ascii="宋体" w:hAnsi="宋体"/>
          <w:color w:val="auto"/>
          <w:szCs w:val="28"/>
          <w:highlight w:val="none"/>
        </w:rPr>
        <w:t>致(采购人)：</w:t>
      </w:r>
    </w:p>
    <w:p w14:paraId="121AD53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我单位声明与其他参加同一项目的政府采购活动的供应商，不存在《中华人民共和国政府采购法实施条例》第十八条规定的关联关系，包括：</w:t>
      </w:r>
    </w:p>
    <w:p w14:paraId="0D07D019">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（一）我单位法定代表人（单位负责人）在其他单位担任法定代表人（单位负责人）的企业未参与投标；</w:t>
      </w:r>
    </w:p>
    <w:p w14:paraId="100711E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（二）我单位直接控股、存在管理管理的其他企业未参与投标；</w:t>
      </w:r>
    </w:p>
    <w:p w14:paraId="58C263D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（三）我单位并未为本项目提供整体设计、规范编制或者项目管理、监理、检测等服务的情形。</w:t>
      </w:r>
    </w:p>
    <w:p w14:paraId="3AB33F4F">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（四）我单位并未与属于同一集团、协会、商会等组织成员的其他供应商按照该组织要求协同参加政府采购活动；</w:t>
      </w:r>
    </w:p>
    <w:p w14:paraId="6B47BAAB">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如采购人在</w:t>
      </w:r>
      <w:r>
        <w:rPr>
          <w:rFonts w:hint="eastAsia" w:ascii="宋体" w:hAnsi="宋体"/>
          <w:color w:val="auto"/>
          <w:szCs w:val="28"/>
          <w:highlight w:val="none"/>
          <w:lang w:eastAsia="zh-CN"/>
        </w:rPr>
        <w:t>本次</w:t>
      </w:r>
      <w:r>
        <w:rPr>
          <w:rFonts w:hint="eastAsia" w:ascii="宋体" w:hAnsi="宋体"/>
          <w:color w:val="auto"/>
          <w:szCs w:val="28"/>
          <w:highlight w:val="none"/>
        </w:rPr>
        <w:t>采购活动中，发现我单位存在上述关联关系的单位同时投标，我单位将无条件退出本次采购活动，如中标取消中标资格，并承担相应法律责任和采购各方损失。</w:t>
      </w:r>
    </w:p>
    <w:p w14:paraId="1BC7537C">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特此声明！</w:t>
      </w:r>
    </w:p>
    <w:p w14:paraId="2E68B3D4">
      <w:pPr>
        <w:spacing w:line="600" w:lineRule="exact"/>
        <w:jc w:val="right"/>
        <w:rPr>
          <w:rFonts w:ascii="宋体" w:hAnsi="宋体" w:cs="宋体"/>
          <w:bCs/>
          <w:color w:val="auto"/>
          <w:szCs w:val="28"/>
          <w:highlight w:val="none"/>
        </w:rPr>
      </w:pPr>
    </w:p>
    <w:p w14:paraId="56BDB444">
      <w:pPr>
        <w:spacing w:line="600" w:lineRule="exact"/>
        <w:jc w:val="right"/>
        <w:rPr>
          <w:rFonts w:ascii="宋体" w:hAnsi="宋体" w:cs="宋体"/>
          <w:bCs/>
          <w:color w:val="auto"/>
          <w:szCs w:val="28"/>
          <w:highlight w:val="none"/>
        </w:rPr>
      </w:pPr>
    </w:p>
    <w:p w14:paraId="53129196">
      <w:pPr>
        <w:pStyle w:val="11"/>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4F8429E3">
      <w:pPr>
        <w:pStyle w:val="11"/>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D105F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370A663E">
      <w:pPr>
        <w:spacing w:line="600" w:lineRule="exact"/>
        <w:jc w:val="right"/>
        <w:rPr>
          <w:rFonts w:ascii="宋体" w:hAnsi="宋体" w:cs="宋体"/>
          <w:bCs/>
          <w:color w:val="auto"/>
          <w:szCs w:val="28"/>
          <w:highlight w:val="none"/>
        </w:rPr>
      </w:pPr>
    </w:p>
    <w:p w14:paraId="54A95D6E">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宋体" w:eastAsia="宋体" w:cs="宋体"/>
          <w:b/>
          <w:bCs/>
          <w:color w:val="auto"/>
          <w:kern w:val="0"/>
          <w:sz w:val="24"/>
          <w:szCs w:val="28"/>
          <w:highlight w:val="none"/>
          <w:lang w:val="en-US" w:eastAsia="zh-CN" w:bidi="ar-SA"/>
        </w:rPr>
      </w:pPr>
    </w:p>
    <w:p w14:paraId="42707618">
      <w:pPr>
        <w:rPr>
          <w:rFonts w:ascii="宋体" w:hAnsi="宋体" w:cs="宋体"/>
          <w:bCs/>
          <w:color w:val="auto"/>
          <w:szCs w:val="28"/>
          <w:highlight w:val="none"/>
        </w:rPr>
      </w:pPr>
    </w:p>
    <w:p w14:paraId="469462B6">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MS Sans Serif" w:eastAsia="宋体" w:cs="Times New Roman"/>
          <w:b/>
          <w:color w:val="auto"/>
          <w:kern w:val="0"/>
          <w:sz w:val="24"/>
          <w:szCs w:val="20"/>
          <w:highlight w:val="none"/>
          <w:lang w:val="en-US" w:eastAsia="zh-CN" w:bidi="ar-SA"/>
        </w:rPr>
      </w:pPr>
    </w:p>
    <w:p w14:paraId="3A97AD84">
      <w:pPr>
        <w:rPr>
          <w:color w:val="auto"/>
          <w:highlight w:val="none"/>
        </w:rPr>
      </w:pPr>
    </w:p>
    <w:p w14:paraId="78F98D23">
      <w:pPr>
        <w:tabs>
          <w:tab w:val="left" w:pos="8280"/>
        </w:tabs>
        <w:snapToGrid w:val="0"/>
        <w:spacing w:line="4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单位负责人为同一人的企业信息表</w:t>
      </w:r>
    </w:p>
    <w:p w14:paraId="57EB9092">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4297"/>
        <w:gridCol w:w="4100"/>
        <w:gridCol w:w="870"/>
      </w:tblGrid>
      <w:tr w14:paraId="0C0991A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2107F7">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42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A7728">
            <w:pPr>
              <w:keepNext w:val="0"/>
              <w:keepLines w:val="0"/>
              <w:widowControl/>
              <w:suppressLineNumbers w:val="0"/>
              <w:spacing w:before="0" w:beforeAutospacing="0" w:after="0" w:afterAutospacing="0" w:line="460" w:lineRule="exact"/>
              <w:ind w:left="0" w:right="0" w:firstLine="210" w:firstLineChars="10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单位名称</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70B7F">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负责人姓名</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09BEA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79DC761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3957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EA5A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BDFC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9F4F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02A450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A7EE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81F3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BFD1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2F30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1E30D7F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8B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00C4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DF42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7D75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6E5C80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30D3A">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8C6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F973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C918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42486FB0">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70D17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1.单位负责人，是指单位法定代表人或者法律、行政法规规定代表单位行使职权的主要负责人。</w:t>
      </w:r>
    </w:p>
    <w:p w14:paraId="050C4B87">
      <w:pPr>
        <w:pStyle w:val="113"/>
        <w:spacing w:line="360" w:lineRule="auto"/>
        <w:ind w:firstLine="482" w:firstLineChars="200"/>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color w:val="auto"/>
          <w:szCs w:val="24"/>
          <w:highlight w:val="none"/>
        </w:rPr>
        <w:t>2.投标人不存在的，则填“无”。</w:t>
      </w:r>
    </w:p>
    <w:p w14:paraId="18D8C193">
      <w:pPr>
        <w:pStyle w:val="113"/>
        <w:spacing w:line="360" w:lineRule="auto"/>
        <w:ind w:firstLine="482" w:firstLineChars="200"/>
        <w:rPr>
          <w:rFonts w:cs="宋体" w:asciiTheme="minorEastAsia" w:hAnsiTheme="minorEastAsia" w:eastAsiaTheme="minorEastAsia"/>
          <w:bCs/>
          <w:color w:val="auto"/>
          <w:szCs w:val="24"/>
          <w:highlight w:val="none"/>
        </w:rPr>
      </w:pPr>
    </w:p>
    <w:p w14:paraId="6963B03D">
      <w:pPr>
        <w:pStyle w:val="113"/>
        <w:spacing w:line="360" w:lineRule="auto"/>
        <w:ind w:firstLine="482" w:firstLineChars="200"/>
        <w:rPr>
          <w:rFonts w:cs="宋体" w:asciiTheme="minorEastAsia" w:hAnsiTheme="minorEastAsia" w:eastAsiaTheme="minorEastAsia"/>
          <w:bCs/>
          <w:color w:val="auto"/>
          <w:szCs w:val="24"/>
          <w:highlight w:val="none"/>
        </w:rPr>
      </w:pPr>
    </w:p>
    <w:p w14:paraId="49D5B11D">
      <w:pPr>
        <w:pStyle w:val="113"/>
        <w:spacing w:line="360" w:lineRule="auto"/>
        <w:ind w:firstLine="482" w:firstLineChars="200"/>
        <w:rPr>
          <w:rFonts w:cs="宋体" w:asciiTheme="minorEastAsia" w:hAnsiTheme="minorEastAsia" w:eastAsiaTheme="minorEastAsia"/>
          <w:bCs/>
          <w:color w:val="auto"/>
          <w:szCs w:val="24"/>
          <w:highlight w:val="none"/>
        </w:rPr>
      </w:pPr>
    </w:p>
    <w:p w14:paraId="6B8CD313">
      <w:pPr>
        <w:pStyle w:val="113"/>
        <w:spacing w:line="360" w:lineRule="auto"/>
        <w:ind w:firstLine="482" w:firstLineChars="200"/>
        <w:rPr>
          <w:rFonts w:cs="宋体" w:asciiTheme="minorEastAsia" w:hAnsiTheme="minorEastAsia" w:eastAsiaTheme="minorEastAsia"/>
          <w:bCs/>
          <w:color w:val="auto"/>
          <w:szCs w:val="24"/>
          <w:highlight w:val="none"/>
        </w:rPr>
      </w:pPr>
    </w:p>
    <w:p w14:paraId="660F84FB">
      <w:pPr>
        <w:pStyle w:val="113"/>
        <w:spacing w:line="360" w:lineRule="auto"/>
        <w:ind w:firstLine="482" w:firstLineChars="200"/>
        <w:rPr>
          <w:rFonts w:cs="宋体" w:asciiTheme="minorEastAsia" w:hAnsiTheme="minorEastAsia" w:eastAsiaTheme="minorEastAsia"/>
          <w:bCs/>
          <w:color w:val="auto"/>
          <w:szCs w:val="24"/>
          <w:highlight w:val="none"/>
        </w:rPr>
      </w:pPr>
    </w:p>
    <w:p w14:paraId="13E7AAEC">
      <w:pPr>
        <w:pStyle w:val="113"/>
        <w:spacing w:line="360" w:lineRule="auto"/>
        <w:ind w:firstLine="482" w:firstLineChars="200"/>
        <w:rPr>
          <w:rFonts w:cs="宋体" w:asciiTheme="minorEastAsia" w:hAnsiTheme="minorEastAsia" w:eastAsiaTheme="minorEastAsia"/>
          <w:bCs/>
          <w:color w:val="auto"/>
          <w:szCs w:val="24"/>
          <w:highlight w:val="none"/>
        </w:rPr>
      </w:pPr>
    </w:p>
    <w:p w14:paraId="23DFCA60">
      <w:pPr>
        <w:pStyle w:val="113"/>
        <w:spacing w:line="360" w:lineRule="auto"/>
        <w:ind w:firstLine="482" w:firstLineChars="200"/>
        <w:rPr>
          <w:rFonts w:cs="宋体" w:asciiTheme="minorEastAsia" w:hAnsiTheme="minorEastAsia" w:eastAsiaTheme="minorEastAsia"/>
          <w:bCs/>
          <w:color w:val="auto"/>
          <w:szCs w:val="24"/>
          <w:highlight w:val="none"/>
        </w:rPr>
      </w:pPr>
    </w:p>
    <w:p w14:paraId="62EDEE71">
      <w:pPr>
        <w:pStyle w:val="113"/>
        <w:spacing w:line="360" w:lineRule="auto"/>
        <w:ind w:firstLine="482" w:firstLineChars="200"/>
        <w:rPr>
          <w:rFonts w:cs="宋体" w:asciiTheme="minorEastAsia" w:hAnsiTheme="minorEastAsia" w:eastAsiaTheme="minorEastAsia"/>
          <w:bCs/>
          <w:color w:val="auto"/>
          <w:szCs w:val="24"/>
          <w:highlight w:val="none"/>
        </w:rPr>
      </w:pPr>
    </w:p>
    <w:p w14:paraId="58DF551D">
      <w:pPr>
        <w:pStyle w:val="113"/>
        <w:spacing w:line="360" w:lineRule="auto"/>
        <w:ind w:firstLine="482" w:firstLineChars="200"/>
        <w:rPr>
          <w:rFonts w:cs="宋体" w:asciiTheme="minorEastAsia" w:hAnsiTheme="minorEastAsia" w:eastAsiaTheme="minorEastAsia"/>
          <w:bCs/>
          <w:color w:val="auto"/>
          <w:szCs w:val="24"/>
          <w:highlight w:val="none"/>
        </w:rPr>
      </w:pPr>
    </w:p>
    <w:p w14:paraId="39259E69">
      <w:pPr>
        <w:pStyle w:val="113"/>
        <w:spacing w:line="360" w:lineRule="auto"/>
        <w:ind w:firstLine="482" w:firstLineChars="200"/>
        <w:rPr>
          <w:rFonts w:cs="宋体" w:asciiTheme="minorEastAsia" w:hAnsiTheme="minorEastAsia" w:eastAsiaTheme="minorEastAsia"/>
          <w:bCs/>
          <w:color w:val="auto"/>
          <w:szCs w:val="24"/>
          <w:highlight w:val="none"/>
        </w:rPr>
      </w:pPr>
    </w:p>
    <w:p w14:paraId="6037B292">
      <w:pPr>
        <w:pStyle w:val="11"/>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0568F199">
      <w:pPr>
        <w:pStyle w:val="11"/>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63A6837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79D053B1">
      <w:pPr>
        <w:pStyle w:val="113"/>
        <w:spacing w:line="360" w:lineRule="auto"/>
        <w:ind w:firstLine="482" w:firstLineChars="200"/>
        <w:rPr>
          <w:rFonts w:cs="宋体" w:asciiTheme="minorEastAsia" w:hAnsiTheme="minorEastAsia" w:eastAsiaTheme="minorEastAsia"/>
          <w:bCs/>
          <w:color w:val="auto"/>
          <w:szCs w:val="24"/>
          <w:highlight w:val="none"/>
        </w:rPr>
      </w:pPr>
    </w:p>
    <w:p w14:paraId="7648E481">
      <w:pPr>
        <w:pStyle w:val="113"/>
        <w:spacing w:line="360" w:lineRule="auto"/>
        <w:ind w:firstLine="482" w:firstLineChars="200"/>
        <w:rPr>
          <w:rFonts w:cs="宋体" w:asciiTheme="minorEastAsia" w:hAnsiTheme="minorEastAsia" w:eastAsiaTheme="minorEastAsia"/>
          <w:bCs/>
          <w:color w:val="auto"/>
          <w:szCs w:val="24"/>
          <w:highlight w:val="none"/>
        </w:rPr>
      </w:pPr>
    </w:p>
    <w:p w14:paraId="3A125127">
      <w:pPr>
        <w:pStyle w:val="113"/>
        <w:spacing w:line="360" w:lineRule="auto"/>
        <w:ind w:firstLine="482" w:firstLineChars="200"/>
        <w:rPr>
          <w:rFonts w:cs="宋体" w:asciiTheme="minorEastAsia" w:hAnsiTheme="minorEastAsia" w:eastAsiaTheme="minorEastAsia"/>
          <w:bCs/>
          <w:color w:val="auto"/>
          <w:szCs w:val="24"/>
          <w:highlight w:val="none"/>
        </w:rPr>
      </w:pPr>
    </w:p>
    <w:p w14:paraId="0A82D0D9">
      <w:pPr>
        <w:pStyle w:val="113"/>
        <w:spacing w:line="360" w:lineRule="auto"/>
        <w:ind w:firstLine="482" w:firstLineChars="200"/>
        <w:rPr>
          <w:rFonts w:cs="宋体" w:asciiTheme="minorEastAsia" w:hAnsiTheme="minorEastAsia" w:eastAsiaTheme="minorEastAsia"/>
          <w:bCs/>
          <w:color w:val="auto"/>
          <w:szCs w:val="24"/>
          <w:highlight w:val="none"/>
        </w:rPr>
      </w:pPr>
    </w:p>
    <w:p w14:paraId="3130EF53">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供应商直接控股股东信息表</w:t>
      </w:r>
    </w:p>
    <w:p w14:paraId="11181BD9">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2947"/>
        <w:gridCol w:w="1350"/>
        <w:gridCol w:w="4100"/>
        <w:gridCol w:w="870"/>
      </w:tblGrid>
      <w:tr w14:paraId="6ABD092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CA2E7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294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5FC2D6">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直接控股（被控股）股东名称</w:t>
            </w:r>
          </w:p>
        </w:tc>
        <w:tc>
          <w:tcPr>
            <w:tcW w:w="135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2671C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D825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C933E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50F383E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92524">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7CDD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C16A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6A51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9DDB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2AD490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E76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6A57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60B3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3845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2AE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7A2B1CD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CBA4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33AC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534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C1B5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0F9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4E937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B405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6E27F">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34DF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020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40F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54FC6B75">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B3C4D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067C2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2.本表所指的控股关系仅限于直接控股关系，不包括间接的控股关系。公司实际控制人与公司之间的关系不属于本表所指的直接控股关系。</w:t>
      </w:r>
    </w:p>
    <w:p w14:paraId="0048603A">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3.投标人不存在直接控股股东的，则填“无”。</w:t>
      </w:r>
    </w:p>
    <w:p w14:paraId="2E04E35E">
      <w:pPr>
        <w:spacing w:line="460" w:lineRule="exact"/>
        <w:rPr>
          <w:rFonts w:cs="宋体" w:asciiTheme="minorEastAsia" w:hAnsiTheme="minorEastAsia" w:eastAsiaTheme="minorEastAsia"/>
          <w:bCs/>
          <w:color w:val="auto"/>
          <w:highlight w:val="none"/>
        </w:rPr>
      </w:pPr>
    </w:p>
    <w:p w14:paraId="247261CE">
      <w:pPr>
        <w:spacing w:line="460" w:lineRule="exact"/>
        <w:rPr>
          <w:rFonts w:cs="宋体" w:asciiTheme="minorEastAsia" w:hAnsiTheme="minorEastAsia" w:eastAsiaTheme="minorEastAsia"/>
          <w:bCs/>
          <w:color w:val="auto"/>
          <w:highlight w:val="none"/>
        </w:rPr>
      </w:pPr>
    </w:p>
    <w:p w14:paraId="2E6B8DF2">
      <w:pPr>
        <w:spacing w:line="460" w:lineRule="exact"/>
        <w:rPr>
          <w:rFonts w:cs="宋体" w:asciiTheme="minorEastAsia" w:hAnsiTheme="minorEastAsia" w:eastAsiaTheme="minorEastAsia"/>
          <w:bCs/>
          <w:color w:val="auto"/>
          <w:highlight w:val="none"/>
        </w:rPr>
      </w:pPr>
    </w:p>
    <w:p w14:paraId="2804B4A7">
      <w:pPr>
        <w:pStyle w:val="11"/>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5223D8A1">
      <w:pPr>
        <w:pStyle w:val="11"/>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314FE2E2">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9E4E39B">
      <w:pPr>
        <w:spacing w:line="460" w:lineRule="exact"/>
        <w:ind w:firstLine="3990" w:firstLineChars="1900"/>
        <w:rPr>
          <w:rFonts w:cs="宋体" w:asciiTheme="minorEastAsia" w:hAnsiTheme="minorEastAsia" w:eastAsiaTheme="minorEastAsia"/>
          <w:bCs/>
          <w:color w:val="auto"/>
          <w:highlight w:val="none"/>
        </w:rPr>
      </w:pPr>
    </w:p>
    <w:p w14:paraId="13C06FC3">
      <w:pPr>
        <w:spacing w:line="240" w:lineRule="auto"/>
        <w:rPr>
          <w:rFonts w:cs="宋体" w:asciiTheme="minorEastAsia" w:hAnsiTheme="minorEastAsia" w:eastAsiaTheme="minorEastAsia"/>
          <w:color w:val="auto"/>
          <w:highlight w:val="none"/>
        </w:rPr>
        <w:sectPr>
          <w:pgSz w:w="11906" w:h="16838"/>
          <w:pgMar w:top="1400" w:right="1304" w:bottom="1400" w:left="1304" w:header="851" w:footer="992" w:gutter="0"/>
          <w:cols w:space="720" w:num="1"/>
          <w:docGrid w:linePitch="312" w:charSpace="0"/>
        </w:sectPr>
      </w:pPr>
    </w:p>
    <w:p w14:paraId="3C10FE9B">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供应商直接管理关系信息表</w:t>
      </w:r>
    </w:p>
    <w:p w14:paraId="6B7B0FC7">
      <w:pPr>
        <w:snapToGrid w:val="0"/>
        <w:spacing w:line="240" w:lineRule="auto"/>
        <w:jc w:val="center"/>
        <w:rPr>
          <w:rFonts w:cs="宋体" w:asciiTheme="minorEastAsia" w:hAnsiTheme="minorEastAsia" w:eastAsiaTheme="minorEastAsia"/>
          <w:b/>
          <w:color w:val="auto"/>
          <w:highlight w:val="none"/>
        </w:rPr>
      </w:pPr>
    </w:p>
    <w:tbl>
      <w:tblPr>
        <w:tblStyle w:val="22"/>
        <w:tblW w:w="9652" w:type="dxa"/>
        <w:jc w:val="center"/>
        <w:shd w:val="clear" w:color="auto" w:fill="FBFBFB"/>
        <w:tblLayout w:type="fixed"/>
        <w:tblCellMar>
          <w:top w:w="0" w:type="dxa"/>
          <w:left w:w="0" w:type="dxa"/>
          <w:bottom w:w="0" w:type="dxa"/>
          <w:right w:w="0" w:type="dxa"/>
        </w:tblCellMar>
      </w:tblPr>
      <w:tblGrid>
        <w:gridCol w:w="808"/>
        <w:gridCol w:w="4367"/>
        <w:gridCol w:w="2788"/>
        <w:gridCol w:w="1689"/>
      </w:tblGrid>
      <w:tr w14:paraId="0BF4EA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1C950">
            <w:pPr>
              <w:keepNext w:val="0"/>
              <w:keepLines w:val="0"/>
              <w:widowControl/>
              <w:suppressLineNumbers w:val="0"/>
              <w:spacing w:before="0" w:beforeAutospacing="0" w:after="0" w:afterAutospacing="0" w:line="500" w:lineRule="exact"/>
              <w:ind w:left="0" w:right="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43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FCAABF">
            <w:pPr>
              <w:keepNext w:val="0"/>
              <w:keepLines w:val="0"/>
              <w:widowControl/>
              <w:suppressLineNumbers w:val="0"/>
              <w:spacing w:before="0" w:beforeAutospacing="0" w:after="0" w:afterAutospacing="0" w:line="500" w:lineRule="exact"/>
              <w:ind w:left="0" w:right="0" w:firstLine="210" w:firstLineChars="1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直接管理（被管理）关系单位名称</w:t>
            </w:r>
          </w:p>
        </w:tc>
        <w:tc>
          <w:tcPr>
            <w:tcW w:w="27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1D0D0">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95E33">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23E189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6E2C0">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5ADA">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50D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4D58">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5086D6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50F99A">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1326">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190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65A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14C6A2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B8B1">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B9F0C">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0CC3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FB1F">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39B8F6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9281D">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0B3D9">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AFC47">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AF162">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bl>
    <w:p w14:paraId="3EC6CD59">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61040485">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1.管理关系：是指不具有出资持股关系的其他单位之间存在的管理与被管理关系，如一些上下级关系的事业单位和团体组织。</w:t>
      </w:r>
    </w:p>
    <w:p w14:paraId="482B7B2D">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2.本表所指的管理关系仅限于直接管理关系，不包括间接的管理关系。</w:t>
      </w:r>
    </w:p>
    <w:p w14:paraId="6D6C8F84">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3.投标人不存在直接管理关系的，则填“无”。</w:t>
      </w:r>
    </w:p>
    <w:p w14:paraId="1B4A29F0">
      <w:pPr>
        <w:tabs>
          <w:tab w:val="left" w:pos="8280"/>
        </w:tabs>
        <w:spacing w:line="240" w:lineRule="auto"/>
        <w:ind w:firstLine="739" w:firstLineChars="352"/>
        <w:rPr>
          <w:rFonts w:cs="宋体" w:asciiTheme="minorEastAsia" w:hAnsiTheme="minorEastAsia" w:eastAsiaTheme="minorEastAsia"/>
          <w:color w:val="auto"/>
          <w:highlight w:val="none"/>
        </w:rPr>
      </w:pPr>
    </w:p>
    <w:p w14:paraId="00D05B75">
      <w:pPr>
        <w:spacing w:line="240" w:lineRule="auto"/>
        <w:rPr>
          <w:rFonts w:cs="宋体" w:asciiTheme="minorEastAsia" w:hAnsiTheme="minorEastAsia" w:eastAsiaTheme="minorEastAsia"/>
          <w:color w:val="auto"/>
          <w:highlight w:val="none"/>
        </w:rPr>
      </w:pPr>
    </w:p>
    <w:p w14:paraId="16525118">
      <w:pPr>
        <w:tabs>
          <w:tab w:val="left" w:pos="8280"/>
        </w:tabs>
        <w:spacing w:line="240" w:lineRule="auto"/>
        <w:ind w:firstLine="739" w:firstLineChars="352"/>
        <w:rPr>
          <w:rFonts w:cs="宋体" w:asciiTheme="minorEastAsia" w:hAnsiTheme="minorEastAsia" w:eastAsiaTheme="minorEastAsia"/>
          <w:color w:val="auto"/>
          <w:highlight w:val="none"/>
        </w:rPr>
      </w:pPr>
    </w:p>
    <w:p w14:paraId="7AB50297">
      <w:pPr>
        <w:spacing w:line="240" w:lineRule="auto"/>
        <w:rPr>
          <w:rFonts w:cs="宋体" w:asciiTheme="minorEastAsia" w:hAnsiTheme="minorEastAsia" w:eastAsiaTheme="minorEastAsia"/>
          <w:color w:val="auto"/>
          <w:highlight w:val="none"/>
        </w:rPr>
      </w:pPr>
    </w:p>
    <w:p w14:paraId="79EA29B7">
      <w:pPr>
        <w:spacing w:line="460" w:lineRule="exact"/>
        <w:ind w:firstLine="3570" w:firstLineChars="1700"/>
        <w:rPr>
          <w:rFonts w:cs="宋体" w:asciiTheme="minorEastAsia" w:hAnsiTheme="minorEastAsia" w:eastAsiaTheme="minorEastAsia"/>
          <w:bCs/>
          <w:color w:val="auto"/>
          <w:highlight w:val="none"/>
        </w:rPr>
      </w:pPr>
    </w:p>
    <w:p w14:paraId="0B044620">
      <w:pPr>
        <w:pStyle w:val="11"/>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7DCCF945">
      <w:pPr>
        <w:pStyle w:val="11"/>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168974">
      <w:pPr>
        <w:widowControl/>
        <w:spacing w:line="360" w:lineRule="auto"/>
        <w:rPr>
          <w:rFonts w:hint="eastAsia" w:hAnsi="宋体"/>
          <w:color w:val="auto"/>
          <w:highlight w:val="none"/>
        </w:rPr>
        <w:sectPr>
          <w:pgSz w:w="11906" w:h="16838"/>
          <w:pgMar w:top="1000" w:right="1000" w:bottom="1000" w:left="1000" w:header="720" w:footer="720" w:gutter="0"/>
          <w:cols w:space="0" w:num="1"/>
          <w:docGrid w:linePitch="312" w:charSpace="0"/>
        </w:sect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66C4BB3">
      <w:pPr>
        <w:spacing w:line="500" w:lineRule="exact"/>
        <w:ind w:left="720" w:leftChars="343"/>
        <w:outlineLvl w:val="1"/>
        <w:rPr>
          <w:rStyle w:val="33"/>
          <w:rFonts w:hint="eastAsia" w:ascii="宋体" w:hAnsi="宋体" w:eastAsia="宋体" w:cs="宋体"/>
          <w:b/>
          <w:color w:val="auto"/>
          <w:kern w:val="0"/>
          <w:highlight w:val="none"/>
        </w:rPr>
      </w:pPr>
      <w:bookmarkStart w:id="45" w:name="_Toc30561"/>
      <w:r>
        <w:rPr>
          <w:rStyle w:val="33"/>
          <w:rFonts w:hint="eastAsia" w:ascii="宋体" w:hAnsi="宋体" w:eastAsia="宋体" w:cs="宋体"/>
          <w:b/>
          <w:color w:val="auto"/>
          <w:kern w:val="0"/>
          <w:highlight w:val="none"/>
        </w:rPr>
        <w:t>（</w:t>
      </w:r>
      <w:r>
        <w:rPr>
          <w:rStyle w:val="33"/>
          <w:rFonts w:hint="eastAsia" w:ascii="宋体" w:hAnsi="宋体" w:cs="宋体"/>
          <w:b/>
          <w:color w:val="auto"/>
          <w:kern w:val="0"/>
          <w:highlight w:val="none"/>
          <w:lang w:val="en-US"/>
        </w:rPr>
        <w:t>8</w:t>
      </w:r>
      <w:r>
        <w:rPr>
          <w:rStyle w:val="33"/>
          <w:rFonts w:hint="eastAsia" w:ascii="宋体" w:hAnsi="宋体" w:eastAsia="宋体" w:cs="宋体"/>
          <w:b/>
          <w:color w:val="auto"/>
          <w:kern w:val="0"/>
          <w:highlight w:val="none"/>
        </w:rPr>
        <w:t>）磋商供应商认为可以证明其能力或业绩的其他材料；</w:t>
      </w:r>
      <w:bookmarkEnd w:id="45"/>
    </w:p>
    <w:p w14:paraId="739F467F">
      <w:pPr>
        <w:spacing w:line="500" w:lineRule="exact"/>
        <w:ind w:left="720" w:leftChars="343"/>
        <w:rPr>
          <w:rStyle w:val="33"/>
          <w:rFonts w:hint="eastAsia" w:ascii="宋体" w:hAnsi="宋体" w:eastAsia="宋体" w:cs="宋体"/>
          <w:b/>
          <w:color w:val="auto"/>
          <w:kern w:val="0"/>
          <w:highlight w:val="none"/>
        </w:rPr>
      </w:pPr>
    </w:p>
    <w:p w14:paraId="165E65FC">
      <w:pPr>
        <w:spacing w:line="500" w:lineRule="exact"/>
        <w:ind w:left="720" w:leftChars="343"/>
        <w:rPr>
          <w:rStyle w:val="33"/>
          <w:rFonts w:hint="eastAsia" w:ascii="宋体" w:hAnsi="宋体" w:eastAsia="宋体" w:cs="宋体"/>
          <w:b/>
          <w:color w:val="auto"/>
          <w:kern w:val="0"/>
          <w:highlight w:val="none"/>
        </w:rPr>
      </w:pPr>
    </w:p>
    <w:p w14:paraId="57F6A795">
      <w:pPr>
        <w:spacing w:line="500" w:lineRule="exact"/>
        <w:ind w:left="720" w:leftChars="343"/>
        <w:rPr>
          <w:rStyle w:val="33"/>
          <w:rFonts w:hint="eastAsia" w:ascii="宋体" w:hAnsi="宋体" w:eastAsia="宋体" w:cs="宋体"/>
          <w:b/>
          <w:color w:val="auto"/>
          <w:kern w:val="0"/>
          <w:highlight w:val="none"/>
        </w:rPr>
      </w:pPr>
    </w:p>
    <w:p w14:paraId="18072E31">
      <w:pPr>
        <w:spacing w:line="500" w:lineRule="exact"/>
        <w:ind w:left="720" w:leftChars="343"/>
        <w:rPr>
          <w:rStyle w:val="33"/>
          <w:rFonts w:hint="eastAsia" w:ascii="宋体" w:hAnsi="宋体" w:eastAsia="宋体" w:cs="宋体"/>
          <w:b/>
          <w:color w:val="auto"/>
          <w:kern w:val="0"/>
          <w:highlight w:val="none"/>
        </w:rPr>
      </w:pPr>
    </w:p>
    <w:p w14:paraId="5EF4129A">
      <w:pPr>
        <w:spacing w:line="500" w:lineRule="exact"/>
        <w:ind w:left="720" w:leftChars="343"/>
        <w:rPr>
          <w:rStyle w:val="33"/>
          <w:rFonts w:hint="eastAsia" w:ascii="宋体" w:hAnsi="宋体" w:eastAsia="宋体" w:cs="宋体"/>
          <w:b/>
          <w:color w:val="auto"/>
          <w:kern w:val="0"/>
          <w:highlight w:val="none"/>
        </w:rPr>
      </w:pPr>
    </w:p>
    <w:p w14:paraId="0987C11B">
      <w:pPr>
        <w:spacing w:line="500" w:lineRule="exact"/>
        <w:ind w:left="720" w:leftChars="343"/>
        <w:rPr>
          <w:rStyle w:val="33"/>
          <w:rFonts w:hint="eastAsia" w:ascii="宋体" w:hAnsi="宋体" w:eastAsia="宋体" w:cs="宋体"/>
          <w:b/>
          <w:color w:val="auto"/>
          <w:kern w:val="0"/>
          <w:highlight w:val="none"/>
        </w:rPr>
      </w:pPr>
    </w:p>
    <w:p w14:paraId="3E708D95">
      <w:pPr>
        <w:spacing w:line="500" w:lineRule="exact"/>
        <w:ind w:left="720" w:leftChars="343"/>
        <w:outlineLvl w:val="1"/>
        <w:rPr>
          <w:rStyle w:val="33"/>
          <w:rFonts w:hint="eastAsia" w:ascii="宋体" w:hAnsi="宋体" w:eastAsia="宋体" w:cs="宋体"/>
          <w:b/>
          <w:color w:val="auto"/>
          <w:kern w:val="0"/>
          <w:highlight w:val="none"/>
        </w:rPr>
        <w:sectPr>
          <w:pgSz w:w="11906" w:h="16838"/>
          <w:pgMar w:top="1134" w:right="1134" w:bottom="1134" w:left="1134" w:header="851" w:footer="567" w:gutter="0"/>
          <w:cols w:space="720" w:num="1"/>
          <w:titlePg/>
          <w:docGrid w:type="lines" w:linePitch="312" w:charSpace="0"/>
        </w:sectPr>
      </w:pPr>
      <w:bookmarkStart w:id="46" w:name="_Toc18500"/>
      <w:r>
        <w:rPr>
          <w:rStyle w:val="33"/>
          <w:rFonts w:hint="eastAsia" w:ascii="宋体" w:hAnsi="宋体" w:eastAsia="宋体" w:cs="宋体"/>
          <w:b/>
          <w:color w:val="auto"/>
          <w:kern w:val="0"/>
          <w:highlight w:val="none"/>
        </w:rPr>
        <w:t>（</w:t>
      </w:r>
      <w:r>
        <w:rPr>
          <w:rStyle w:val="33"/>
          <w:rFonts w:hint="eastAsia" w:ascii="宋体" w:hAnsi="宋体" w:cs="宋体"/>
          <w:b/>
          <w:color w:val="auto"/>
          <w:kern w:val="0"/>
          <w:highlight w:val="none"/>
          <w:lang w:val="en-US"/>
        </w:rPr>
        <w:t>9</w:t>
      </w:r>
      <w:r>
        <w:rPr>
          <w:rStyle w:val="33"/>
          <w:rFonts w:hint="eastAsia" w:ascii="宋体" w:hAnsi="宋体" w:eastAsia="宋体" w:cs="宋体"/>
          <w:b/>
          <w:color w:val="auto"/>
          <w:kern w:val="0"/>
          <w:highlight w:val="none"/>
        </w:rPr>
        <w:t>）磋商文件列明的其他证明材料；</w:t>
      </w:r>
      <w:bookmarkEnd w:id="46"/>
    </w:p>
    <w:p w14:paraId="07CADCA0">
      <w:pPr>
        <w:jc w:val="center"/>
        <w:rPr>
          <w:rStyle w:val="33"/>
          <w:rFonts w:hint="eastAsia" w:ascii="宋体" w:hAnsi="宋体" w:eastAsia="宋体" w:cs="宋体"/>
          <w:b/>
          <w:bCs/>
          <w:color w:val="auto"/>
          <w:sz w:val="30"/>
          <w:szCs w:val="30"/>
          <w:highlight w:val="none"/>
        </w:rPr>
      </w:pPr>
      <w:r>
        <w:rPr>
          <w:rStyle w:val="33"/>
          <w:rFonts w:hint="eastAsia" w:ascii="宋体" w:hAnsi="宋体" w:eastAsia="宋体" w:cs="宋体"/>
          <w:b/>
          <w:color w:val="auto"/>
          <w:sz w:val="36"/>
          <w:szCs w:val="36"/>
          <w:highlight w:val="none"/>
        </w:rPr>
        <w:t>商务及技术文件</w:t>
      </w:r>
    </w:p>
    <w:p w14:paraId="2724BC0B">
      <w:pPr>
        <w:spacing w:line="420" w:lineRule="exact"/>
        <w:ind w:firstLine="211" w:firstLineChars="100"/>
        <w:outlineLvl w:val="0"/>
        <w:rPr>
          <w:rStyle w:val="33"/>
          <w:rFonts w:hint="eastAsia" w:ascii="宋体" w:hAnsi="宋体" w:eastAsia="宋体" w:cs="宋体"/>
          <w:b/>
          <w:color w:val="auto"/>
          <w:szCs w:val="21"/>
          <w:highlight w:val="none"/>
        </w:rPr>
      </w:pPr>
      <w:bookmarkStart w:id="47" w:name="_Toc3783"/>
      <w:r>
        <w:rPr>
          <w:rStyle w:val="33"/>
          <w:rFonts w:hint="eastAsia" w:ascii="宋体" w:hAnsi="宋体" w:eastAsia="宋体" w:cs="宋体"/>
          <w:b/>
          <w:color w:val="auto"/>
          <w:szCs w:val="21"/>
          <w:highlight w:val="none"/>
        </w:rPr>
        <w:t>（1）企业情况；</w:t>
      </w:r>
      <w:r>
        <w:rPr>
          <w:rStyle w:val="33"/>
          <w:rFonts w:hint="eastAsia" w:ascii="宋体" w:hAnsi="宋体" w:eastAsia="宋体" w:cs="宋体"/>
          <w:b/>
          <w:bCs/>
          <w:color w:val="auto"/>
          <w:szCs w:val="21"/>
          <w:highlight w:val="none"/>
        </w:rPr>
        <w:t>（格式自拟）</w:t>
      </w:r>
      <w:bookmarkEnd w:id="47"/>
    </w:p>
    <w:p w14:paraId="528B32CA">
      <w:pPr>
        <w:spacing w:line="420" w:lineRule="exact"/>
        <w:ind w:firstLine="211" w:firstLineChars="100"/>
        <w:outlineLvl w:val="0"/>
        <w:rPr>
          <w:rStyle w:val="33"/>
          <w:rFonts w:hint="eastAsia" w:ascii="宋体" w:hAnsi="宋体" w:eastAsia="宋体" w:cs="宋体"/>
          <w:b/>
          <w:color w:val="auto"/>
          <w:szCs w:val="21"/>
          <w:highlight w:val="none"/>
        </w:rPr>
      </w:pPr>
      <w:bookmarkStart w:id="48" w:name="_Toc10984"/>
      <w:r>
        <w:rPr>
          <w:rStyle w:val="33"/>
          <w:rFonts w:hint="eastAsia" w:ascii="宋体" w:hAnsi="宋体" w:eastAsia="宋体" w:cs="宋体"/>
          <w:b/>
          <w:color w:val="auto"/>
          <w:szCs w:val="21"/>
          <w:highlight w:val="none"/>
        </w:rPr>
        <w:t>（2）项目实施服务方案</w:t>
      </w:r>
      <w:r>
        <w:rPr>
          <w:rStyle w:val="33"/>
          <w:rFonts w:hint="eastAsia" w:ascii="宋体" w:hAnsi="宋体" w:eastAsia="宋体" w:cs="宋体"/>
          <w:b/>
          <w:bCs/>
          <w:color w:val="auto"/>
          <w:szCs w:val="21"/>
          <w:highlight w:val="none"/>
        </w:rPr>
        <w:t>（格式自拟）</w:t>
      </w:r>
      <w:r>
        <w:rPr>
          <w:rStyle w:val="33"/>
          <w:rFonts w:hint="eastAsia" w:ascii="宋体" w:hAnsi="宋体" w:eastAsia="宋体" w:cs="宋体"/>
          <w:b/>
          <w:color w:val="auto"/>
          <w:szCs w:val="21"/>
          <w:highlight w:val="none"/>
        </w:rPr>
        <w:t>；</w:t>
      </w:r>
      <w:bookmarkEnd w:id="48"/>
    </w:p>
    <w:p w14:paraId="0A9B84A0">
      <w:pPr>
        <w:pStyle w:val="48"/>
        <w:spacing w:line="440" w:lineRule="exact"/>
        <w:ind w:firstLine="415" w:firstLineChars="198"/>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由供应商按本项目竞争性磋商文件第三章“项目采购需求”及评分办法中的评分要素自行编制。</w:t>
      </w:r>
    </w:p>
    <w:p w14:paraId="458A0A49">
      <w:pPr>
        <w:spacing w:line="420" w:lineRule="exact"/>
        <w:ind w:firstLine="211" w:firstLineChars="100"/>
        <w:rPr>
          <w:rStyle w:val="33"/>
          <w:rFonts w:hint="eastAsia" w:ascii="宋体" w:hAnsi="宋体" w:eastAsia="宋体" w:cs="宋体"/>
          <w:b/>
          <w:color w:val="auto"/>
          <w:szCs w:val="21"/>
          <w:highlight w:val="none"/>
        </w:rPr>
      </w:pPr>
    </w:p>
    <w:p w14:paraId="3CCFD26B">
      <w:pPr>
        <w:spacing w:line="420" w:lineRule="exact"/>
        <w:ind w:firstLine="211" w:firstLineChars="100"/>
        <w:rPr>
          <w:rStyle w:val="33"/>
          <w:rFonts w:hint="eastAsia" w:ascii="宋体" w:hAnsi="宋体" w:eastAsia="宋体" w:cs="宋体"/>
          <w:b/>
          <w:color w:val="auto"/>
          <w:szCs w:val="21"/>
          <w:highlight w:val="none"/>
        </w:rPr>
      </w:pPr>
    </w:p>
    <w:p w14:paraId="3D7119D1">
      <w:pPr>
        <w:spacing w:line="420" w:lineRule="exact"/>
        <w:ind w:firstLine="211" w:firstLineChars="100"/>
        <w:rPr>
          <w:rStyle w:val="33"/>
          <w:rFonts w:hint="eastAsia" w:ascii="宋体" w:hAnsi="宋体" w:eastAsia="宋体" w:cs="宋体"/>
          <w:b/>
          <w:color w:val="auto"/>
          <w:szCs w:val="21"/>
          <w:highlight w:val="none"/>
        </w:rPr>
      </w:pPr>
    </w:p>
    <w:p w14:paraId="436AB676">
      <w:pPr>
        <w:spacing w:line="420" w:lineRule="exact"/>
        <w:ind w:firstLine="211" w:firstLineChars="100"/>
        <w:rPr>
          <w:rStyle w:val="33"/>
          <w:rFonts w:hint="eastAsia" w:ascii="宋体" w:hAnsi="宋体" w:eastAsia="宋体" w:cs="宋体"/>
          <w:b/>
          <w:color w:val="auto"/>
          <w:szCs w:val="21"/>
          <w:highlight w:val="none"/>
        </w:rPr>
      </w:pPr>
    </w:p>
    <w:p w14:paraId="7D2AC43F">
      <w:pPr>
        <w:spacing w:line="420" w:lineRule="exact"/>
        <w:ind w:firstLine="211" w:firstLineChars="100"/>
        <w:rPr>
          <w:rStyle w:val="33"/>
          <w:rFonts w:hint="eastAsia" w:ascii="宋体" w:hAnsi="宋体" w:eastAsia="宋体" w:cs="宋体"/>
          <w:b/>
          <w:color w:val="auto"/>
          <w:szCs w:val="21"/>
          <w:highlight w:val="none"/>
        </w:rPr>
      </w:pPr>
    </w:p>
    <w:p w14:paraId="0FEFC55D">
      <w:pPr>
        <w:spacing w:line="420" w:lineRule="exact"/>
        <w:ind w:firstLine="211" w:firstLineChars="100"/>
        <w:rPr>
          <w:rStyle w:val="33"/>
          <w:rFonts w:hint="eastAsia" w:ascii="宋体" w:hAnsi="宋体" w:eastAsia="宋体" w:cs="宋体"/>
          <w:b/>
          <w:color w:val="auto"/>
          <w:szCs w:val="21"/>
          <w:highlight w:val="none"/>
        </w:rPr>
      </w:pPr>
    </w:p>
    <w:p w14:paraId="49617505">
      <w:pPr>
        <w:spacing w:line="420" w:lineRule="exact"/>
        <w:ind w:firstLine="211" w:firstLineChars="100"/>
        <w:rPr>
          <w:rStyle w:val="33"/>
          <w:rFonts w:hint="eastAsia" w:ascii="宋体" w:hAnsi="宋体" w:eastAsia="宋体" w:cs="宋体"/>
          <w:b/>
          <w:color w:val="auto"/>
          <w:szCs w:val="21"/>
          <w:highlight w:val="none"/>
        </w:rPr>
      </w:pPr>
    </w:p>
    <w:p w14:paraId="0B9DA2E1">
      <w:pPr>
        <w:spacing w:line="420" w:lineRule="exact"/>
        <w:ind w:firstLine="211" w:firstLineChars="100"/>
        <w:rPr>
          <w:rStyle w:val="33"/>
          <w:rFonts w:hint="eastAsia" w:ascii="宋体" w:hAnsi="宋体" w:eastAsia="宋体" w:cs="宋体"/>
          <w:b/>
          <w:color w:val="auto"/>
          <w:szCs w:val="21"/>
          <w:highlight w:val="none"/>
        </w:rPr>
      </w:pPr>
    </w:p>
    <w:p w14:paraId="5CAC3622">
      <w:pPr>
        <w:spacing w:line="420" w:lineRule="exact"/>
        <w:ind w:firstLine="211" w:firstLineChars="100"/>
        <w:rPr>
          <w:rStyle w:val="33"/>
          <w:rFonts w:hint="eastAsia" w:ascii="宋体" w:hAnsi="宋体" w:eastAsia="宋体" w:cs="宋体"/>
          <w:b/>
          <w:color w:val="auto"/>
          <w:szCs w:val="21"/>
          <w:highlight w:val="none"/>
        </w:rPr>
      </w:pPr>
    </w:p>
    <w:p w14:paraId="1BBF227D">
      <w:pPr>
        <w:spacing w:line="420" w:lineRule="exact"/>
        <w:ind w:firstLine="211" w:firstLineChars="100"/>
        <w:rPr>
          <w:rStyle w:val="33"/>
          <w:rFonts w:hint="eastAsia" w:ascii="宋体" w:hAnsi="宋体" w:eastAsia="宋体" w:cs="宋体"/>
          <w:b/>
          <w:color w:val="auto"/>
          <w:szCs w:val="21"/>
          <w:highlight w:val="none"/>
        </w:rPr>
      </w:pPr>
    </w:p>
    <w:p w14:paraId="0F9B61FB">
      <w:pPr>
        <w:spacing w:line="420" w:lineRule="exact"/>
        <w:ind w:firstLine="211" w:firstLineChars="100"/>
        <w:rPr>
          <w:rStyle w:val="33"/>
          <w:rFonts w:hint="eastAsia" w:ascii="宋体" w:hAnsi="宋体" w:eastAsia="宋体" w:cs="宋体"/>
          <w:b/>
          <w:color w:val="auto"/>
          <w:szCs w:val="21"/>
          <w:highlight w:val="none"/>
        </w:rPr>
      </w:pPr>
    </w:p>
    <w:p w14:paraId="7F93524B">
      <w:pPr>
        <w:spacing w:line="420" w:lineRule="exact"/>
        <w:ind w:firstLine="211" w:firstLineChars="100"/>
        <w:rPr>
          <w:rStyle w:val="33"/>
          <w:rFonts w:hint="eastAsia" w:ascii="宋体" w:hAnsi="宋体" w:eastAsia="宋体" w:cs="宋体"/>
          <w:b/>
          <w:color w:val="auto"/>
          <w:szCs w:val="21"/>
          <w:highlight w:val="none"/>
        </w:rPr>
      </w:pPr>
    </w:p>
    <w:p w14:paraId="50C34D31">
      <w:pPr>
        <w:pStyle w:val="48"/>
        <w:spacing w:line="600" w:lineRule="exact"/>
        <w:ind w:firstLine="1260" w:firstLineChars="600"/>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供应商（盖单位公章）：</w:t>
      </w:r>
    </w:p>
    <w:p w14:paraId="4BAA82CD">
      <w:pPr>
        <w:spacing w:line="300" w:lineRule="auto"/>
        <w:ind w:firstLine="1260" w:firstLineChars="6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法定代表人或委托代理人（签字）：</w:t>
      </w:r>
    </w:p>
    <w:p w14:paraId="3A01917A">
      <w:pPr>
        <w:spacing w:line="300" w:lineRule="auto"/>
        <w:ind w:firstLine="1260" w:firstLineChars="6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日期：</w:t>
      </w:r>
    </w:p>
    <w:p w14:paraId="4F94D6C8">
      <w:pPr>
        <w:spacing w:line="420" w:lineRule="exact"/>
        <w:ind w:firstLine="211" w:firstLineChars="100"/>
        <w:outlineLvl w:val="0"/>
        <w:rPr>
          <w:rStyle w:val="33"/>
          <w:rFonts w:hint="eastAsia" w:ascii="宋体" w:hAnsi="宋体" w:eastAsia="宋体" w:cs="宋体"/>
          <w:b/>
          <w:color w:val="auto"/>
          <w:szCs w:val="21"/>
          <w:highlight w:val="none"/>
        </w:rPr>
      </w:pPr>
      <w:bookmarkStart w:id="49" w:name="_Toc30203"/>
      <w:r>
        <w:rPr>
          <w:rStyle w:val="33"/>
          <w:rFonts w:hint="eastAsia" w:ascii="宋体" w:hAnsi="宋体" w:eastAsia="宋体" w:cs="宋体"/>
          <w:b/>
          <w:color w:val="auto"/>
          <w:szCs w:val="21"/>
          <w:highlight w:val="none"/>
        </w:rPr>
        <w:t>（3）服务承诺书</w:t>
      </w:r>
      <w:r>
        <w:rPr>
          <w:rStyle w:val="33"/>
          <w:rFonts w:hint="eastAsia" w:ascii="宋体" w:hAnsi="宋体" w:eastAsia="宋体" w:cs="宋体"/>
          <w:b/>
          <w:bCs/>
          <w:color w:val="auto"/>
          <w:szCs w:val="21"/>
          <w:highlight w:val="none"/>
        </w:rPr>
        <w:t>（格式自拟）</w:t>
      </w:r>
      <w:r>
        <w:rPr>
          <w:rStyle w:val="33"/>
          <w:rFonts w:hint="eastAsia" w:ascii="宋体" w:hAnsi="宋体" w:eastAsia="宋体" w:cs="宋体"/>
          <w:b/>
          <w:color w:val="auto"/>
          <w:szCs w:val="21"/>
          <w:highlight w:val="none"/>
        </w:rPr>
        <w:t>；</w:t>
      </w:r>
      <w:bookmarkEnd w:id="49"/>
    </w:p>
    <w:p w14:paraId="2746FE50">
      <w:pPr>
        <w:pStyle w:val="48"/>
        <w:spacing w:line="440" w:lineRule="exact"/>
        <w:ind w:firstLine="415" w:firstLineChars="198"/>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由供应商按本项目竞争性磋商文件第三章“项目采购需求”及评分办法中的评分要素自行编制。</w:t>
      </w:r>
    </w:p>
    <w:p w14:paraId="43BFBC00">
      <w:pPr>
        <w:spacing w:line="420" w:lineRule="exact"/>
        <w:ind w:firstLine="211" w:firstLineChars="100"/>
        <w:rPr>
          <w:rStyle w:val="33"/>
          <w:rFonts w:hint="eastAsia" w:ascii="宋体" w:hAnsi="宋体" w:eastAsia="宋体" w:cs="宋体"/>
          <w:b/>
          <w:color w:val="auto"/>
          <w:szCs w:val="21"/>
          <w:highlight w:val="none"/>
        </w:rPr>
      </w:pPr>
    </w:p>
    <w:p w14:paraId="0450A2C0">
      <w:pPr>
        <w:spacing w:line="420" w:lineRule="exact"/>
        <w:rPr>
          <w:rStyle w:val="33"/>
          <w:rFonts w:hint="eastAsia" w:ascii="宋体" w:hAnsi="宋体" w:eastAsia="宋体" w:cs="宋体"/>
          <w:b/>
          <w:color w:val="auto"/>
          <w:szCs w:val="21"/>
          <w:highlight w:val="none"/>
        </w:rPr>
      </w:pPr>
    </w:p>
    <w:p w14:paraId="779120C5">
      <w:pPr>
        <w:spacing w:line="420" w:lineRule="exact"/>
        <w:ind w:firstLine="211" w:firstLineChars="100"/>
        <w:rPr>
          <w:rStyle w:val="33"/>
          <w:rFonts w:hint="eastAsia" w:ascii="宋体" w:hAnsi="宋体" w:eastAsia="宋体" w:cs="宋体"/>
          <w:b/>
          <w:color w:val="auto"/>
          <w:szCs w:val="21"/>
          <w:highlight w:val="none"/>
        </w:rPr>
      </w:pPr>
    </w:p>
    <w:p w14:paraId="1460FCA9">
      <w:pPr>
        <w:spacing w:line="420" w:lineRule="exact"/>
        <w:ind w:firstLine="211" w:firstLineChars="100"/>
        <w:rPr>
          <w:rStyle w:val="33"/>
          <w:rFonts w:hint="eastAsia" w:ascii="宋体" w:hAnsi="宋体" w:eastAsia="宋体" w:cs="宋体"/>
          <w:b/>
          <w:color w:val="auto"/>
          <w:szCs w:val="21"/>
          <w:highlight w:val="none"/>
        </w:rPr>
      </w:pPr>
    </w:p>
    <w:p w14:paraId="4ECB30B6">
      <w:pPr>
        <w:spacing w:line="420" w:lineRule="exact"/>
        <w:ind w:firstLine="211" w:firstLineChars="100"/>
        <w:rPr>
          <w:rStyle w:val="33"/>
          <w:rFonts w:hint="eastAsia" w:ascii="宋体" w:hAnsi="宋体" w:eastAsia="宋体" w:cs="宋体"/>
          <w:b/>
          <w:color w:val="auto"/>
          <w:szCs w:val="21"/>
          <w:highlight w:val="none"/>
        </w:rPr>
      </w:pPr>
    </w:p>
    <w:p w14:paraId="08177303">
      <w:pPr>
        <w:spacing w:line="420" w:lineRule="exact"/>
        <w:ind w:firstLine="211" w:firstLineChars="100"/>
        <w:rPr>
          <w:rStyle w:val="33"/>
          <w:rFonts w:hint="eastAsia" w:ascii="宋体" w:hAnsi="宋体" w:eastAsia="宋体" w:cs="宋体"/>
          <w:b/>
          <w:color w:val="auto"/>
          <w:szCs w:val="21"/>
          <w:highlight w:val="none"/>
        </w:rPr>
      </w:pPr>
    </w:p>
    <w:p w14:paraId="2A4DB76B">
      <w:pPr>
        <w:pStyle w:val="48"/>
        <w:spacing w:line="600" w:lineRule="exact"/>
        <w:ind w:firstLine="1470" w:firstLineChars="700"/>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供应商（盖单位公章）：</w:t>
      </w:r>
    </w:p>
    <w:p w14:paraId="26426666">
      <w:pPr>
        <w:spacing w:line="300" w:lineRule="auto"/>
        <w:ind w:firstLine="1470" w:firstLineChars="7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法定代表人或委托代理人（签字）：</w:t>
      </w:r>
    </w:p>
    <w:p w14:paraId="598EC078">
      <w:pPr>
        <w:spacing w:line="300" w:lineRule="auto"/>
        <w:ind w:firstLine="1470" w:firstLineChars="7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日期：</w:t>
      </w:r>
    </w:p>
    <w:p w14:paraId="7B6389F9">
      <w:pPr>
        <w:spacing w:line="420" w:lineRule="exact"/>
        <w:ind w:firstLine="211" w:firstLineChars="100"/>
        <w:rPr>
          <w:rStyle w:val="33"/>
          <w:rFonts w:hint="eastAsia" w:ascii="宋体" w:hAnsi="宋体" w:eastAsia="宋体" w:cs="宋体"/>
          <w:b/>
          <w:color w:val="auto"/>
          <w:szCs w:val="21"/>
          <w:highlight w:val="none"/>
        </w:rPr>
      </w:pPr>
    </w:p>
    <w:p w14:paraId="4EA7E385">
      <w:pPr>
        <w:spacing w:line="420" w:lineRule="exact"/>
        <w:ind w:firstLine="211" w:firstLineChars="100"/>
        <w:rPr>
          <w:rStyle w:val="33"/>
          <w:rFonts w:hint="eastAsia" w:ascii="宋体" w:hAnsi="宋体" w:eastAsia="宋体" w:cs="宋体"/>
          <w:b/>
          <w:color w:val="auto"/>
          <w:szCs w:val="21"/>
          <w:highlight w:val="none"/>
        </w:rPr>
      </w:pPr>
    </w:p>
    <w:p w14:paraId="60A1068E">
      <w:pPr>
        <w:spacing w:line="420" w:lineRule="exact"/>
        <w:rPr>
          <w:rStyle w:val="33"/>
          <w:rFonts w:hint="eastAsia" w:ascii="宋体" w:hAnsi="宋体" w:eastAsia="宋体" w:cs="宋体"/>
          <w:b/>
          <w:color w:val="auto"/>
          <w:szCs w:val="21"/>
          <w:highlight w:val="none"/>
        </w:rPr>
      </w:pPr>
    </w:p>
    <w:p w14:paraId="475C9A16">
      <w:pPr>
        <w:spacing w:line="360" w:lineRule="auto"/>
        <w:jc w:val="left"/>
        <w:outlineLvl w:val="0"/>
        <w:rPr>
          <w:rStyle w:val="33"/>
          <w:rFonts w:hint="eastAsia" w:ascii="宋体" w:hAnsi="宋体" w:eastAsia="宋体" w:cs="宋体"/>
          <w:b/>
          <w:color w:val="auto"/>
          <w:szCs w:val="21"/>
          <w:highlight w:val="none"/>
        </w:rPr>
      </w:pPr>
      <w:bookmarkStart w:id="50" w:name="_Toc11024"/>
      <w:r>
        <w:rPr>
          <w:rStyle w:val="33"/>
          <w:rFonts w:hint="eastAsia" w:ascii="宋体" w:hAnsi="宋体" w:eastAsia="宋体" w:cs="宋体"/>
          <w:b/>
          <w:color w:val="auto"/>
          <w:szCs w:val="21"/>
          <w:highlight w:val="none"/>
        </w:rPr>
        <w:t>（4）拟投入项目的人员情况一览表；</w:t>
      </w:r>
      <w:bookmarkEnd w:id="50"/>
    </w:p>
    <w:p w14:paraId="5F532460">
      <w:pPr>
        <w:spacing w:after="240"/>
        <w:jc w:val="center"/>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拟投入项目的人员情况一览表</w:t>
      </w:r>
    </w:p>
    <w:tbl>
      <w:tblPr>
        <w:tblStyle w:val="22"/>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095"/>
        <w:gridCol w:w="3318"/>
        <w:gridCol w:w="1125"/>
        <w:gridCol w:w="1035"/>
        <w:gridCol w:w="1242"/>
      </w:tblGrid>
      <w:tr w14:paraId="0D1F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7FB3321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0CBDE2E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姓名</w:t>
            </w:r>
          </w:p>
        </w:tc>
        <w:tc>
          <w:tcPr>
            <w:tcW w:w="3318" w:type="dxa"/>
            <w:tcBorders>
              <w:top w:val="single" w:color="000000" w:sz="4" w:space="0"/>
              <w:left w:val="single" w:color="000000" w:sz="4" w:space="0"/>
              <w:bottom w:val="single" w:color="000000" w:sz="4" w:space="0"/>
              <w:right w:val="single" w:color="000000" w:sz="4" w:space="0"/>
            </w:tcBorders>
            <w:vAlign w:val="center"/>
          </w:tcPr>
          <w:p w14:paraId="728C02A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身份证号</w:t>
            </w:r>
          </w:p>
        </w:tc>
        <w:tc>
          <w:tcPr>
            <w:tcW w:w="1125" w:type="dxa"/>
            <w:tcBorders>
              <w:top w:val="single" w:color="000000" w:sz="4" w:space="0"/>
              <w:left w:val="single" w:color="000000" w:sz="4" w:space="0"/>
              <w:bottom w:val="single" w:color="000000" w:sz="4" w:space="0"/>
              <w:right w:val="single" w:color="000000" w:sz="4" w:space="0"/>
            </w:tcBorders>
            <w:vAlign w:val="center"/>
          </w:tcPr>
          <w:p w14:paraId="11FEB7B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学历</w:t>
            </w:r>
          </w:p>
        </w:tc>
        <w:tc>
          <w:tcPr>
            <w:tcW w:w="1035" w:type="dxa"/>
            <w:tcBorders>
              <w:top w:val="single" w:color="000000" w:sz="4" w:space="0"/>
              <w:left w:val="single" w:color="000000" w:sz="4" w:space="0"/>
              <w:bottom w:val="single" w:color="000000" w:sz="4" w:space="0"/>
              <w:right w:val="single" w:color="000000" w:sz="4" w:space="0"/>
            </w:tcBorders>
            <w:vAlign w:val="center"/>
          </w:tcPr>
          <w:p w14:paraId="0B36BC5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职务</w:t>
            </w:r>
          </w:p>
        </w:tc>
        <w:tc>
          <w:tcPr>
            <w:tcW w:w="1242" w:type="dxa"/>
            <w:tcBorders>
              <w:top w:val="single" w:color="000000" w:sz="4" w:space="0"/>
              <w:left w:val="single" w:color="000000" w:sz="4" w:space="0"/>
              <w:bottom w:val="single" w:color="000000" w:sz="4" w:space="0"/>
              <w:right w:val="single" w:color="000000" w:sz="4" w:space="0"/>
            </w:tcBorders>
            <w:vAlign w:val="center"/>
          </w:tcPr>
          <w:p w14:paraId="39E88E47">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备注</w:t>
            </w:r>
          </w:p>
        </w:tc>
      </w:tr>
      <w:tr w14:paraId="24B8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8F5281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0B786EF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8CB4A12">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41EE5AB">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7538ABD">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FD33A3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5343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D055F5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07F9D2E2">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B02590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80EF88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652B83C6">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EB4D017">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27E6B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AF5E66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35357051">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5E307D0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384AAD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178AA15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8B8C2E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59AE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A69AB6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608B0D82">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5246A6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9CED946">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3C8FC2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9AA9AA7">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537E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0BD1D25">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0804EFB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8CC32C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5263DE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03085A8B">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541081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72FD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E39C0D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2C15CE55">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41EBF0B">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34E4E64">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073E34F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5D86D9A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23C0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7FB664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7</w:t>
            </w:r>
          </w:p>
        </w:tc>
        <w:tc>
          <w:tcPr>
            <w:tcW w:w="1095" w:type="dxa"/>
            <w:tcBorders>
              <w:top w:val="single" w:color="000000" w:sz="4" w:space="0"/>
              <w:left w:val="single" w:color="000000" w:sz="4" w:space="0"/>
              <w:bottom w:val="single" w:color="000000" w:sz="4" w:space="0"/>
              <w:right w:val="single" w:color="000000" w:sz="4" w:space="0"/>
            </w:tcBorders>
            <w:vAlign w:val="center"/>
          </w:tcPr>
          <w:p w14:paraId="036ABA1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F0A9CC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FA0CB8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6908870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45D45F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31C5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2053EF6">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8</w:t>
            </w:r>
          </w:p>
        </w:tc>
        <w:tc>
          <w:tcPr>
            <w:tcW w:w="1095" w:type="dxa"/>
            <w:tcBorders>
              <w:top w:val="single" w:color="000000" w:sz="4" w:space="0"/>
              <w:left w:val="single" w:color="000000" w:sz="4" w:space="0"/>
              <w:bottom w:val="single" w:color="000000" w:sz="4" w:space="0"/>
              <w:right w:val="single" w:color="000000" w:sz="4" w:space="0"/>
            </w:tcBorders>
            <w:vAlign w:val="center"/>
          </w:tcPr>
          <w:p w14:paraId="5832679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5EEF1F7">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2B6EC1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3F51219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15101A62">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183D1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79B9C19">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4566C061">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1993A2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006B96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2ECFE6E">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46EA403">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62B2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A2ACC9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0A73ED3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869335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9CBB8DA">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7CA338AD">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B3F042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3DB0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FE9A328">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19B554E5">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AF2E62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6B03CE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D32D4B2">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501419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r w14:paraId="022B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80279BF">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0F33D71">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B2AAB9C">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B5B5F25">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B6D95DD">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EEE7D80">
            <w:pPr>
              <w:keepNext w:val="0"/>
              <w:keepLines w:val="0"/>
              <w:widowControl/>
              <w:suppressLineNumbers w:val="0"/>
              <w:spacing w:before="0" w:beforeAutospacing="0" w:after="0" w:afterAutospacing="0"/>
              <w:ind w:left="0" w:right="0"/>
              <w:jc w:val="center"/>
              <w:rPr>
                <w:rStyle w:val="33"/>
                <w:rFonts w:hint="eastAsia" w:ascii="宋体" w:hAnsi="宋体" w:eastAsia="宋体" w:cs="宋体"/>
                <w:color w:val="auto"/>
                <w:sz w:val="24"/>
                <w:szCs w:val="24"/>
                <w:highlight w:val="none"/>
              </w:rPr>
            </w:pPr>
          </w:p>
        </w:tc>
      </w:tr>
    </w:tbl>
    <w:p w14:paraId="31E85156">
      <w:pPr>
        <w:pStyle w:val="48"/>
        <w:spacing w:line="600" w:lineRule="exact"/>
        <w:ind w:firstLine="1470" w:firstLineChars="700"/>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供应商（盖单位公章）：</w:t>
      </w:r>
    </w:p>
    <w:p w14:paraId="20667E2D">
      <w:pPr>
        <w:spacing w:line="300" w:lineRule="auto"/>
        <w:ind w:firstLine="1470" w:firstLineChars="7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法定代表人或委托代理人（签字）：</w:t>
      </w:r>
    </w:p>
    <w:p w14:paraId="771D90A6">
      <w:pPr>
        <w:spacing w:line="300" w:lineRule="auto"/>
        <w:ind w:firstLine="1470" w:firstLineChars="700"/>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日期：</w:t>
      </w:r>
    </w:p>
    <w:p w14:paraId="2A53BA39">
      <w:pPr>
        <w:rPr>
          <w:rStyle w:val="33"/>
          <w:rFonts w:hint="eastAsia" w:ascii="宋体" w:hAnsi="宋体" w:eastAsia="宋体" w:cs="宋体"/>
          <w:color w:val="auto"/>
          <w:sz w:val="28"/>
          <w:szCs w:val="28"/>
          <w:highlight w:val="none"/>
        </w:rPr>
      </w:pPr>
    </w:p>
    <w:p w14:paraId="3832E3AF">
      <w:pPr>
        <w:spacing w:line="360" w:lineRule="auto"/>
        <w:jc w:val="center"/>
        <w:rPr>
          <w:rStyle w:val="33"/>
          <w:rFonts w:hint="eastAsia" w:ascii="宋体" w:hAnsi="宋体" w:eastAsia="宋体" w:cs="宋体"/>
          <w:b/>
          <w:color w:val="auto"/>
          <w:szCs w:val="21"/>
          <w:highlight w:val="none"/>
        </w:rPr>
      </w:pPr>
    </w:p>
    <w:p w14:paraId="0C865A82">
      <w:pPr>
        <w:spacing w:line="360" w:lineRule="auto"/>
        <w:jc w:val="center"/>
        <w:rPr>
          <w:rStyle w:val="33"/>
          <w:rFonts w:hint="eastAsia" w:ascii="宋体" w:hAnsi="宋体" w:eastAsia="宋体" w:cs="宋体"/>
          <w:b/>
          <w:color w:val="auto"/>
          <w:szCs w:val="21"/>
          <w:highlight w:val="none"/>
        </w:rPr>
      </w:pPr>
    </w:p>
    <w:p w14:paraId="74C0D707">
      <w:pPr>
        <w:spacing w:line="360" w:lineRule="auto"/>
        <w:jc w:val="center"/>
        <w:rPr>
          <w:rStyle w:val="33"/>
          <w:rFonts w:hint="eastAsia" w:ascii="宋体" w:hAnsi="宋体" w:eastAsia="宋体" w:cs="宋体"/>
          <w:b/>
          <w:color w:val="auto"/>
          <w:szCs w:val="21"/>
          <w:highlight w:val="none"/>
        </w:rPr>
      </w:pPr>
    </w:p>
    <w:p w14:paraId="114F2B05">
      <w:pPr>
        <w:spacing w:line="360" w:lineRule="auto"/>
        <w:jc w:val="center"/>
        <w:rPr>
          <w:rStyle w:val="33"/>
          <w:rFonts w:hint="eastAsia" w:ascii="宋体" w:hAnsi="宋体" w:eastAsia="宋体" w:cs="宋体"/>
          <w:b/>
          <w:color w:val="auto"/>
          <w:szCs w:val="21"/>
          <w:highlight w:val="none"/>
        </w:rPr>
      </w:pPr>
    </w:p>
    <w:p w14:paraId="2A537791">
      <w:pPr>
        <w:spacing w:line="360" w:lineRule="auto"/>
        <w:jc w:val="center"/>
        <w:rPr>
          <w:rStyle w:val="33"/>
          <w:rFonts w:hint="eastAsia" w:ascii="宋体" w:hAnsi="宋体" w:eastAsia="宋体" w:cs="宋体"/>
          <w:b/>
          <w:color w:val="auto"/>
          <w:szCs w:val="21"/>
          <w:highlight w:val="none"/>
        </w:rPr>
      </w:pPr>
    </w:p>
    <w:p w14:paraId="7BCFC9BC">
      <w:pPr>
        <w:spacing w:line="360" w:lineRule="auto"/>
        <w:jc w:val="center"/>
        <w:rPr>
          <w:rStyle w:val="33"/>
          <w:rFonts w:hint="eastAsia" w:ascii="宋体" w:hAnsi="宋体" w:eastAsia="宋体" w:cs="宋体"/>
          <w:b/>
          <w:color w:val="auto"/>
          <w:szCs w:val="21"/>
          <w:highlight w:val="none"/>
        </w:rPr>
      </w:pPr>
    </w:p>
    <w:p w14:paraId="1F35AA5A">
      <w:pPr>
        <w:spacing w:line="360" w:lineRule="auto"/>
        <w:jc w:val="left"/>
        <w:outlineLvl w:val="0"/>
        <w:rPr>
          <w:rStyle w:val="33"/>
          <w:rFonts w:hint="eastAsia" w:ascii="宋体" w:hAnsi="宋体" w:eastAsia="宋体" w:cs="宋体"/>
          <w:b/>
          <w:color w:val="auto"/>
          <w:szCs w:val="21"/>
          <w:highlight w:val="none"/>
          <w:lang w:eastAsia="zh-CN"/>
        </w:rPr>
      </w:pPr>
      <w:bookmarkStart w:id="51" w:name="_Toc10961"/>
      <w:r>
        <w:rPr>
          <w:rStyle w:val="33"/>
          <w:rFonts w:hint="eastAsia" w:ascii="宋体" w:hAnsi="宋体" w:eastAsia="宋体" w:cs="宋体"/>
          <w:b/>
          <w:color w:val="auto"/>
          <w:szCs w:val="21"/>
          <w:highlight w:val="none"/>
          <w:lang w:eastAsia="zh-CN"/>
        </w:rPr>
        <w:t>（</w:t>
      </w:r>
      <w:r>
        <w:rPr>
          <w:rStyle w:val="33"/>
          <w:rFonts w:hint="eastAsia" w:ascii="宋体" w:hAnsi="宋体" w:eastAsia="宋体" w:cs="宋体"/>
          <w:b/>
          <w:color w:val="auto"/>
          <w:szCs w:val="21"/>
          <w:highlight w:val="none"/>
          <w:lang w:val="en-US" w:eastAsia="zh-CN"/>
        </w:rPr>
        <w:t>5</w:t>
      </w:r>
      <w:r>
        <w:rPr>
          <w:rStyle w:val="33"/>
          <w:rFonts w:hint="eastAsia" w:ascii="宋体" w:hAnsi="宋体" w:eastAsia="宋体" w:cs="宋体"/>
          <w:b/>
          <w:color w:val="auto"/>
          <w:szCs w:val="21"/>
          <w:highlight w:val="none"/>
          <w:lang w:eastAsia="zh-CN"/>
        </w:rPr>
        <w:t>）商务响应表</w:t>
      </w:r>
      <w:bookmarkEnd w:id="51"/>
    </w:p>
    <w:p w14:paraId="7C2C0C34">
      <w:pPr>
        <w:spacing w:line="300" w:lineRule="auto"/>
        <w:jc w:val="center"/>
        <w:rPr>
          <w:rStyle w:val="33"/>
          <w:rFonts w:hint="eastAsia" w:ascii="宋体" w:hAnsi="宋体" w:eastAsia="宋体" w:cs="宋体"/>
          <w:b/>
          <w:color w:val="auto"/>
          <w:sz w:val="32"/>
          <w:szCs w:val="32"/>
          <w:highlight w:val="none"/>
        </w:rPr>
      </w:pPr>
      <w:r>
        <w:rPr>
          <w:rStyle w:val="33"/>
          <w:rFonts w:hint="eastAsia" w:ascii="宋体" w:hAnsi="宋体" w:eastAsia="宋体" w:cs="宋体"/>
          <w:b/>
          <w:color w:val="auto"/>
          <w:sz w:val="32"/>
          <w:szCs w:val="32"/>
          <w:highlight w:val="none"/>
        </w:rPr>
        <w:t>商务响应表</w:t>
      </w:r>
    </w:p>
    <w:p w14:paraId="378C2063">
      <w:pPr>
        <w:spacing w:line="300" w:lineRule="auto"/>
        <w:rPr>
          <w:rStyle w:val="33"/>
          <w:rFonts w:hint="eastAsia" w:ascii="宋体" w:hAnsi="宋体" w:eastAsia="宋体" w:cs="宋体"/>
          <w:color w:val="auto"/>
          <w:szCs w:val="21"/>
          <w:highlight w:val="none"/>
        </w:rPr>
      </w:pPr>
    </w:p>
    <w:p w14:paraId="7CF732CB">
      <w:pPr>
        <w:spacing w:line="300" w:lineRule="auto"/>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采购项目编号:</w:t>
      </w:r>
    </w:p>
    <w:p w14:paraId="00EDC452">
      <w:pPr>
        <w:spacing w:line="300" w:lineRule="auto"/>
        <w:rPr>
          <w:rStyle w:val="33"/>
          <w:rFonts w:hint="eastAsia" w:ascii="宋体" w:hAnsi="宋体" w:eastAsia="宋体" w:cs="宋体"/>
          <w:color w:val="auto"/>
          <w:szCs w:val="21"/>
          <w:highlight w:val="none"/>
        </w:rPr>
      </w:pPr>
      <w:r>
        <w:rPr>
          <w:rStyle w:val="33"/>
          <w:rFonts w:hint="eastAsia" w:ascii="宋体" w:hAnsi="宋体" w:eastAsia="宋体" w:cs="宋体"/>
          <w:color w:val="auto"/>
          <w:szCs w:val="21"/>
          <w:highlight w:val="none"/>
        </w:rPr>
        <w:t>采购项目名称:</w:t>
      </w:r>
    </w:p>
    <w:p w14:paraId="3A456709">
      <w:pPr>
        <w:spacing w:line="300" w:lineRule="auto"/>
        <w:rPr>
          <w:rStyle w:val="33"/>
          <w:rFonts w:hint="eastAsia" w:ascii="宋体" w:hAnsi="宋体" w:eastAsia="宋体" w:cs="宋体"/>
          <w:color w:val="auto"/>
          <w:szCs w:val="21"/>
          <w:highlight w:val="none"/>
        </w:rPr>
      </w:pPr>
    </w:p>
    <w:tbl>
      <w:tblPr>
        <w:tblStyle w:val="111"/>
        <w:tblW w:w="961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3857"/>
        <w:gridCol w:w="3685"/>
        <w:gridCol w:w="1423"/>
      </w:tblGrid>
      <w:tr w14:paraId="08DA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8" w:type="dxa"/>
            <w:vAlign w:val="top"/>
          </w:tcPr>
          <w:p w14:paraId="19377470">
            <w:pPr>
              <w:pStyle w:val="110"/>
              <w:spacing w:before="267" w:line="221" w:lineRule="auto"/>
              <w:ind w:left="121"/>
              <w:rPr>
                <w:sz w:val="21"/>
                <w:szCs w:val="21"/>
              </w:rPr>
            </w:pPr>
            <w:r>
              <w:rPr>
                <w:spacing w:val="-3"/>
                <w:sz w:val="21"/>
                <w:szCs w:val="21"/>
              </w:rPr>
              <w:t>项号</w:t>
            </w:r>
          </w:p>
        </w:tc>
        <w:tc>
          <w:tcPr>
            <w:tcW w:w="3857" w:type="dxa"/>
            <w:vAlign w:val="top"/>
          </w:tcPr>
          <w:p w14:paraId="70819EA7">
            <w:pPr>
              <w:pStyle w:val="110"/>
              <w:spacing w:before="267" w:line="220" w:lineRule="auto"/>
              <w:ind w:left="775"/>
              <w:rPr>
                <w:sz w:val="21"/>
                <w:szCs w:val="21"/>
              </w:rPr>
            </w:pPr>
            <w:r>
              <w:rPr>
                <w:spacing w:val="-1"/>
                <w:sz w:val="21"/>
                <w:szCs w:val="21"/>
              </w:rPr>
              <w:t>采购文件的服务内容要求</w:t>
            </w:r>
          </w:p>
        </w:tc>
        <w:tc>
          <w:tcPr>
            <w:tcW w:w="3685" w:type="dxa"/>
            <w:vAlign w:val="top"/>
          </w:tcPr>
          <w:p w14:paraId="7B6018D0">
            <w:pPr>
              <w:pStyle w:val="110"/>
              <w:spacing w:before="96" w:line="221" w:lineRule="auto"/>
              <w:ind w:left="169"/>
              <w:rPr>
                <w:sz w:val="21"/>
                <w:szCs w:val="21"/>
              </w:rPr>
            </w:pPr>
            <w:r>
              <w:rPr>
                <w:spacing w:val="-1"/>
                <w:sz w:val="21"/>
                <w:szCs w:val="21"/>
              </w:rPr>
              <w:t>竞争性磋商响应文件承诺的服务内容</w:t>
            </w:r>
          </w:p>
          <w:p w14:paraId="5AF7C46A">
            <w:pPr>
              <w:pStyle w:val="110"/>
              <w:spacing w:before="87" w:line="213" w:lineRule="auto"/>
              <w:ind w:left="1640"/>
              <w:rPr>
                <w:sz w:val="21"/>
                <w:szCs w:val="21"/>
              </w:rPr>
            </w:pPr>
            <w:r>
              <w:rPr>
                <w:spacing w:val="-2"/>
                <w:sz w:val="21"/>
                <w:szCs w:val="21"/>
              </w:rPr>
              <w:t>条款</w:t>
            </w:r>
          </w:p>
        </w:tc>
        <w:tc>
          <w:tcPr>
            <w:tcW w:w="1423" w:type="dxa"/>
            <w:vAlign w:val="top"/>
          </w:tcPr>
          <w:p w14:paraId="288D294F">
            <w:pPr>
              <w:pStyle w:val="110"/>
              <w:spacing w:before="266" w:line="221" w:lineRule="auto"/>
              <w:ind w:left="296"/>
              <w:rPr>
                <w:sz w:val="21"/>
                <w:szCs w:val="21"/>
              </w:rPr>
            </w:pPr>
            <w:r>
              <w:rPr>
                <w:spacing w:val="-2"/>
                <w:sz w:val="21"/>
                <w:szCs w:val="21"/>
              </w:rPr>
              <w:t>偏离说明</w:t>
            </w:r>
          </w:p>
        </w:tc>
      </w:tr>
      <w:tr w14:paraId="1BC7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8" w:type="dxa"/>
            <w:vAlign w:val="top"/>
          </w:tcPr>
          <w:p w14:paraId="12F02261">
            <w:pPr>
              <w:spacing w:line="266" w:lineRule="auto"/>
              <w:rPr>
                <w:rFonts w:ascii="Arial"/>
                <w:sz w:val="21"/>
              </w:rPr>
            </w:pPr>
          </w:p>
          <w:p w14:paraId="00DDB06D">
            <w:pPr>
              <w:spacing w:line="267" w:lineRule="auto"/>
              <w:rPr>
                <w:rFonts w:ascii="Arial"/>
                <w:sz w:val="21"/>
              </w:rPr>
            </w:pPr>
          </w:p>
          <w:p w14:paraId="036DC1D7">
            <w:pPr>
              <w:pStyle w:val="110"/>
              <w:spacing w:before="68" w:line="242" w:lineRule="auto"/>
              <w:ind w:left="292"/>
              <w:rPr>
                <w:sz w:val="21"/>
                <w:szCs w:val="21"/>
              </w:rPr>
            </w:pPr>
            <w:r>
              <w:rPr>
                <w:sz w:val="21"/>
                <w:szCs w:val="21"/>
              </w:rPr>
              <w:t>1</w:t>
            </w:r>
          </w:p>
        </w:tc>
        <w:tc>
          <w:tcPr>
            <w:tcW w:w="3857" w:type="dxa"/>
            <w:vAlign w:val="top"/>
          </w:tcPr>
          <w:p w14:paraId="4641782B">
            <w:pPr>
              <w:pStyle w:val="110"/>
              <w:spacing w:before="93" w:line="242" w:lineRule="auto"/>
              <w:ind w:left="127"/>
              <w:rPr>
                <w:sz w:val="21"/>
                <w:szCs w:val="21"/>
              </w:rPr>
            </w:pPr>
            <w:r>
              <w:rPr>
                <w:spacing w:val="-12"/>
                <w:sz w:val="21"/>
                <w:szCs w:val="21"/>
              </w:rPr>
              <w:t>1</w:t>
            </w:r>
            <w:r>
              <w:rPr>
                <w:spacing w:val="11"/>
                <w:sz w:val="21"/>
                <w:szCs w:val="21"/>
              </w:rPr>
              <w:t xml:space="preserve">  </w:t>
            </w:r>
            <w:r>
              <w:rPr>
                <w:spacing w:val="-12"/>
                <w:sz w:val="21"/>
                <w:szCs w:val="21"/>
              </w:rPr>
              <w:t>……</w:t>
            </w:r>
          </w:p>
          <w:p w14:paraId="01AAF64E">
            <w:pPr>
              <w:pStyle w:val="110"/>
              <w:spacing w:before="65" w:line="242" w:lineRule="auto"/>
              <w:ind w:left="114"/>
              <w:rPr>
                <w:sz w:val="21"/>
                <w:szCs w:val="21"/>
              </w:rPr>
            </w:pPr>
            <w:r>
              <w:rPr>
                <w:spacing w:val="-7"/>
                <w:sz w:val="21"/>
                <w:szCs w:val="21"/>
              </w:rPr>
              <w:t>2</w:t>
            </w:r>
            <w:r>
              <w:rPr>
                <w:spacing w:val="11"/>
                <w:sz w:val="21"/>
                <w:szCs w:val="21"/>
              </w:rPr>
              <w:t xml:space="preserve">  </w:t>
            </w:r>
            <w:r>
              <w:rPr>
                <w:spacing w:val="-7"/>
                <w:sz w:val="21"/>
                <w:szCs w:val="21"/>
              </w:rPr>
              <w:t>……</w:t>
            </w:r>
          </w:p>
          <w:p w14:paraId="088F5E71">
            <w:pPr>
              <w:pStyle w:val="110"/>
              <w:spacing w:before="65" w:line="241" w:lineRule="auto"/>
              <w:ind w:left="115"/>
              <w:rPr>
                <w:sz w:val="21"/>
                <w:szCs w:val="21"/>
              </w:rPr>
            </w:pPr>
            <w:r>
              <w:rPr>
                <w:spacing w:val="-8"/>
                <w:sz w:val="21"/>
                <w:szCs w:val="21"/>
              </w:rPr>
              <w:t>3</w:t>
            </w:r>
            <w:r>
              <w:rPr>
                <w:spacing w:val="11"/>
                <w:sz w:val="21"/>
                <w:szCs w:val="21"/>
              </w:rPr>
              <w:t xml:space="preserve">  </w:t>
            </w:r>
            <w:r>
              <w:rPr>
                <w:spacing w:val="-8"/>
                <w:sz w:val="21"/>
                <w:szCs w:val="21"/>
              </w:rPr>
              <w:t>……</w:t>
            </w:r>
          </w:p>
          <w:p w14:paraId="72A4B794">
            <w:pPr>
              <w:spacing w:before="152" w:line="35" w:lineRule="exact"/>
              <w:ind w:firstLine="125"/>
            </w:pPr>
            <w:r>
              <w:drawing>
                <wp:inline distT="0" distB="0" distL="0" distR="0">
                  <wp:extent cx="241935" cy="22225"/>
                  <wp:effectExtent l="0" t="0" r="5715" b="635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13"/>
                          <a:stretch>
                            <a:fillRect/>
                          </a:stretch>
                        </pic:blipFill>
                        <pic:spPr>
                          <a:xfrm>
                            <a:off x="0" y="0"/>
                            <a:ext cx="242423" cy="22352"/>
                          </a:xfrm>
                          <a:prstGeom prst="rect">
                            <a:avLst/>
                          </a:prstGeom>
                        </pic:spPr>
                      </pic:pic>
                    </a:graphicData>
                  </a:graphic>
                </wp:inline>
              </w:drawing>
            </w:r>
          </w:p>
        </w:tc>
        <w:tc>
          <w:tcPr>
            <w:tcW w:w="3685" w:type="dxa"/>
            <w:vAlign w:val="top"/>
          </w:tcPr>
          <w:p w14:paraId="7B3DC824">
            <w:pPr>
              <w:pStyle w:val="110"/>
              <w:spacing w:before="93" w:line="242" w:lineRule="auto"/>
              <w:ind w:left="130"/>
              <w:rPr>
                <w:sz w:val="21"/>
                <w:szCs w:val="21"/>
              </w:rPr>
            </w:pPr>
            <w:r>
              <w:rPr>
                <w:spacing w:val="-12"/>
                <w:sz w:val="21"/>
                <w:szCs w:val="21"/>
              </w:rPr>
              <w:t>1</w:t>
            </w:r>
            <w:r>
              <w:rPr>
                <w:spacing w:val="11"/>
                <w:sz w:val="21"/>
                <w:szCs w:val="21"/>
              </w:rPr>
              <w:t xml:space="preserve">  </w:t>
            </w:r>
            <w:r>
              <w:rPr>
                <w:spacing w:val="-12"/>
                <w:sz w:val="21"/>
                <w:szCs w:val="21"/>
              </w:rPr>
              <w:t>……</w:t>
            </w:r>
          </w:p>
          <w:p w14:paraId="5A8E4C1B">
            <w:pPr>
              <w:pStyle w:val="110"/>
              <w:spacing w:before="65" w:line="242" w:lineRule="auto"/>
              <w:ind w:left="116"/>
              <w:rPr>
                <w:sz w:val="21"/>
                <w:szCs w:val="21"/>
              </w:rPr>
            </w:pPr>
            <w:r>
              <w:rPr>
                <w:spacing w:val="-7"/>
                <w:sz w:val="21"/>
                <w:szCs w:val="21"/>
              </w:rPr>
              <w:t>2</w:t>
            </w:r>
            <w:r>
              <w:rPr>
                <w:spacing w:val="11"/>
                <w:sz w:val="21"/>
                <w:szCs w:val="21"/>
              </w:rPr>
              <w:t xml:space="preserve">  </w:t>
            </w:r>
            <w:r>
              <w:rPr>
                <w:spacing w:val="-7"/>
                <w:sz w:val="21"/>
                <w:szCs w:val="21"/>
              </w:rPr>
              <w:t>……</w:t>
            </w:r>
          </w:p>
          <w:p w14:paraId="408B40C7">
            <w:pPr>
              <w:pStyle w:val="110"/>
              <w:spacing w:before="65" w:line="241" w:lineRule="auto"/>
              <w:ind w:left="118"/>
              <w:rPr>
                <w:sz w:val="21"/>
                <w:szCs w:val="21"/>
              </w:rPr>
            </w:pPr>
            <w:r>
              <w:rPr>
                <w:spacing w:val="-8"/>
                <w:sz w:val="21"/>
                <w:szCs w:val="21"/>
              </w:rPr>
              <w:t>3</w:t>
            </w:r>
            <w:r>
              <w:rPr>
                <w:spacing w:val="11"/>
                <w:sz w:val="21"/>
                <w:szCs w:val="21"/>
              </w:rPr>
              <w:t xml:space="preserve">  </w:t>
            </w:r>
            <w:r>
              <w:rPr>
                <w:spacing w:val="-8"/>
                <w:sz w:val="21"/>
                <w:szCs w:val="21"/>
              </w:rPr>
              <w:t>……</w:t>
            </w:r>
          </w:p>
          <w:p w14:paraId="2E2B4C6A">
            <w:pPr>
              <w:spacing w:before="152" w:line="35" w:lineRule="exact"/>
              <w:ind w:firstLine="127"/>
            </w:pPr>
            <w:r>
              <w:drawing>
                <wp:inline distT="0" distB="0" distL="0" distR="0">
                  <wp:extent cx="241935" cy="22225"/>
                  <wp:effectExtent l="0" t="0" r="5715" b="635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4"/>
                          <a:stretch>
                            <a:fillRect/>
                          </a:stretch>
                        </pic:blipFill>
                        <pic:spPr>
                          <a:xfrm>
                            <a:off x="0" y="0"/>
                            <a:ext cx="242423" cy="22352"/>
                          </a:xfrm>
                          <a:prstGeom prst="rect">
                            <a:avLst/>
                          </a:prstGeom>
                        </pic:spPr>
                      </pic:pic>
                    </a:graphicData>
                  </a:graphic>
                </wp:inline>
              </w:drawing>
            </w:r>
          </w:p>
        </w:tc>
        <w:tc>
          <w:tcPr>
            <w:tcW w:w="1423" w:type="dxa"/>
            <w:vAlign w:val="top"/>
          </w:tcPr>
          <w:p w14:paraId="5EAF5C81">
            <w:pPr>
              <w:spacing w:line="370" w:lineRule="auto"/>
              <w:rPr>
                <w:rFonts w:ascii="Arial"/>
                <w:sz w:val="21"/>
              </w:rPr>
            </w:pPr>
          </w:p>
          <w:p w14:paraId="54083A6B">
            <w:pPr>
              <w:pStyle w:val="110"/>
              <w:spacing w:before="68" w:line="221" w:lineRule="auto"/>
              <w:ind w:left="121"/>
              <w:rPr>
                <w:sz w:val="21"/>
                <w:szCs w:val="21"/>
              </w:rPr>
            </w:pPr>
            <w:r>
              <w:rPr>
                <w:spacing w:val="-12"/>
                <w:sz w:val="21"/>
                <w:szCs w:val="21"/>
              </w:rPr>
              <w:t>正偏离（负偏</w:t>
            </w:r>
          </w:p>
          <w:p w14:paraId="585CAC3C">
            <w:pPr>
              <w:pStyle w:val="110"/>
              <w:spacing w:before="48" w:line="221" w:lineRule="auto"/>
              <w:ind w:left="120"/>
              <w:rPr>
                <w:sz w:val="21"/>
                <w:szCs w:val="21"/>
              </w:rPr>
            </w:pPr>
            <w:r>
              <w:rPr>
                <w:spacing w:val="-2"/>
                <w:sz w:val="21"/>
                <w:szCs w:val="21"/>
              </w:rPr>
              <w:t>离或无偏离）</w:t>
            </w:r>
          </w:p>
        </w:tc>
      </w:tr>
    </w:tbl>
    <w:p w14:paraId="112F2475">
      <w:pPr>
        <w:spacing w:line="300" w:lineRule="auto"/>
        <w:rPr>
          <w:rStyle w:val="33"/>
          <w:rFonts w:hint="eastAsia" w:ascii="宋体" w:hAnsi="宋体" w:eastAsia="宋体" w:cs="宋体"/>
          <w:color w:val="auto"/>
          <w:szCs w:val="21"/>
          <w:highlight w:val="none"/>
        </w:rPr>
      </w:pPr>
    </w:p>
    <w:p w14:paraId="0A04D9AD">
      <w:pPr>
        <w:spacing w:line="300" w:lineRule="auto"/>
        <w:rPr>
          <w:rStyle w:val="33"/>
          <w:rFonts w:hint="eastAsia" w:ascii="宋体" w:hAnsi="宋体" w:eastAsia="宋体" w:cs="宋体"/>
          <w:color w:val="auto"/>
          <w:szCs w:val="21"/>
          <w:highlight w:val="none"/>
        </w:rPr>
      </w:pPr>
    </w:p>
    <w:p w14:paraId="075EF523">
      <w:pPr>
        <w:spacing w:line="300" w:lineRule="auto"/>
        <w:rPr>
          <w:rStyle w:val="33"/>
          <w:rFonts w:hint="eastAsia" w:ascii="宋体" w:hAnsi="宋体" w:eastAsia="宋体" w:cs="宋体"/>
          <w:color w:val="auto"/>
          <w:szCs w:val="21"/>
          <w:highlight w:val="none"/>
        </w:rPr>
      </w:pPr>
    </w:p>
    <w:p w14:paraId="67F2C8D9">
      <w:pPr>
        <w:spacing w:before="69" w:line="221" w:lineRule="auto"/>
        <w:ind w:left="37"/>
        <w:rPr>
          <w:rFonts w:ascii="宋体" w:hAnsi="宋体" w:eastAsia="宋体" w:cs="宋体"/>
          <w:sz w:val="21"/>
          <w:szCs w:val="21"/>
        </w:rPr>
      </w:pPr>
      <w:r>
        <w:rPr>
          <w:rFonts w:ascii="宋体" w:hAnsi="宋体" w:eastAsia="宋体" w:cs="宋体"/>
          <w:b/>
          <w:bCs/>
          <w:sz w:val="21"/>
          <w:szCs w:val="21"/>
        </w:rPr>
        <w:t>注：</w:t>
      </w:r>
      <w:r>
        <w:rPr>
          <w:rFonts w:ascii="宋体" w:hAnsi="宋体" w:eastAsia="宋体" w:cs="宋体"/>
          <w:sz w:val="21"/>
          <w:szCs w:val="21"/>
        </w:rPr>
        <w:t>⑴表格内容均需按要求填写，不得留空，否则按</w:t>
      </w:r>
      <w:r>
        <w:rPr>
          <w:rFonts w:ascii="宋体" w:hAnsi="宋体" w:eastAsia="宋体" w:cs="宋体"/>
          <w:spacing w:val="-1"/>
          <w:sz w:val="21"/>
          <w:szCs w:val="21"/>
        </w:rPr>
        <w:t>竞标无效处理。</w:t>
      </w:r>
    </w:p>
    <w:p w14:paraId="12836BD2">
      <w:pPr>
        <w:spacing w:before="146" w:line="354" w:lineRule="auto"/>
        <w:ind w:left="36" w:right="30" w:firstLine="421"/>
        <w:rPr>
          <w:rFonts w:ascii="宋体" w:hAnsi="宋体" w:eastAsia="宋体" w:cs="宋体"/>
          <w:sz w:val="21"/>
          <w:szCs w:val="21"/>
        </w:rPr>
      </w:pPr>
      <w:r>
        <w:rPr>
          <w:rFonts w:ascii="宋体" w:hAnsi="宋体" w:eastAsia="宋体" w:cs="宋体"/>
          <w:spacing w:val="2"/>
          <w:sz w:val="21"/>
          <w:szCs w:val="21"/>
        </w:rPr>
        <w:t>⑵竞争性磋商响应文件承诺的商务响应低于采购文件要求时，竞标人应当如</w:t>
      </w:r>
      <w:r>
        <w:rPr>
          <w:rFonts w:ascii="宋体" w:hAnsi="宋体" w:eastAsia="宋体" w:cs="宋体"/>
          <w:spacing w:val="1"/>
          <w:sz w:val="21"/>
          <w:szCs w:val="21"/>
        </w:rPr>
        <w:t>实写明“负偏离”，否则</w:t>
      </w:r>
      <w:r>
        <w:rPr>
          <w:rFonts w:ascii="宋体" w:hAnsi="宋体" w:eastAsia="宋体" w:cs="宋体"/>
          <w:sz w:val="21"/>
          <w:szCs w:val="21"/>
        </w:rPr>
        <w:t xml:space="preserve"> </w:t>
      </w:r>
      <w:r>
        <w:rPr>
          <w:rFonts w:ascii="宋体" w:hAnsi="宋体" w:eastAsia="宋体" w:cs="宋体"/>
          <w:spacing w:val="-3"/>
          <w:sz w:val="21"/>
          <w:szCs w:val="21"/>
        </w:rPr>
        <w:t>视为虚假报价。</w:t>
      </w:r>
    </w:p>
    <w:p w14:paraId="3CFDD6F1">
      <w:pPr>
        <w:pStyle w:val="48"/>
        <w:rPr>
          <w:rStyle w:val="33"/>
          <w:rFonts w:hint="eastAsia" w:ascii="宋体" w:hAnsi="宋体" w:eastAsia="宋体" w:cs="宋体"/>
          <w:color w:val="auto"/>
          <w:highlight w:val="none"/>
        </w:rPr>
      </w:pPr>
    </w:p>
    <w:p w14:paraId="13EE7B12">
      <w:pPr>
        <w:pStyle w:val="48"/>
        <w:spacing w:line="300" w:lineRule="auto"/>
        <w:rPr>
          <w:rStyle w:val="33"/>
          <w:rFonts w:hint="eastAsia" w:ascii="宋体" w:hAnsi="宋体" w:eastAsia="宋体" w:cs="宋体"/>
          <w:color w:val="auto"/>
          <w:highlight w:val="none"/>
        </w:rPr>
      </w:pPr>
    </w:p>
    <w:p w14:paraId="36388D6D">
      <w:pPr>
        <w:pStyle w:val="48"/>
        <w:spacing w:line="300" w:lineRule="auto"/>
        <w:rPr>
          <w:rStyle w:val="33"/>
          <w:rFonts w:hint="eastAsia" w:ascii="宋体" w:hAnsi="宋体" w:eastAsia="宋体" w:cs="宋体"/>
          <w:color w:val="auto"/>
          <w:highlight w:val="none"/>
        </w:rPr>
      </w:pPr>
    </w:p>
    <w:p w14:paraId="7B86E1AB">
      <w:pPr>
        <w:pStyle w:val="48"/>
        <w:spacing w:line="360" w:lineRule="auto"/>
        <w:ind w:firstLine="3885" w:firstLineChars="1850"/>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法定代表人或授权代表（签字）:</w:t>
      </w:r>
    </w:p>
    <w:p w14:paraId="5992440F">
      <w:pPr>
        <w:pStyle w:val="48"/>
        <w:spacing w:line="360" w:lineRule="auto"/>
        <w:ind w:firstLine="4830" w:firstLineChars="2300"/>
        <w:rPr>
          <w:rStyle w:val="33"/>
          <w:rFonts w:hint="eastAsia" w:ascii="宋体" w:hAnsi="宋体" w:eastAsia="宋体" w:cs="宋体"/>
          <w:color w:val="auto"/>
          <w:highlight w:val="none"/>
          <w:u w:val="single"/>
        </w:rPr>
      </w:pPr>
      <w:r>
        <w:rPr>
          <w:rStyle w:val="33"/>
          <w:rFonts w:hint="eastAsia" w:ascii="宋体" w:hAnsi="宋体" w:eastAsia="宋体" w:cs="宋体"/>
          <w:color w:val="auto"/>
          <w:highlight w:val="none"/>
        </w:rPr>
        <w:t>供应商名称（</w:t>
      </w:r>
      <w:r>
        <w:rPr>
          <w:rStyle w:val="33"/>
          <w:rFonts w:hint="eastAsia" w:hAnsi="宋体" w:cs="宋体"/>
          <w:color w:val="auto"/>
          <w:highlight w:val="none"/>
        </w:rPr>
        <w:t>盖公章</w:t>
      </w:r>
      <w:r>
        <w:rPr>
          <w:rStyle w:val="33"/>
          <w:rFonts w:hint="eastAsia" w:ascii="宋体" w:hAnsi="宋体" w:eastAsia="宋体" w:cs="宋体"/>
          <w:color w:val="auto"/>
          <w:highlight w:val="none"/>
        </w:rPr>
        <w:t>）：</w:t>
      </w:r>
    </w:p>
    <w:p w14:paraId="0DF43136">
      <w:pPr>
        <w:snapToGrid w:val="0"/>
        <w:spacing w:line="360" w:lineRule="auto"/>
        <w:ind w:right="120"/>
        <w:jc w:val="center"/>
        <w:rPr>
          <w:rStyle w:val="33"/>
          <w:rFonts w:hint="eastAsia" w:ascii="宋体" w:hAnsi="宋体" w:eastAsia="宋体" w:cs="宋体"/>
          <w:color w:val="auto"/>
          <w:szCs w:val="21"/>
          <w:highlight w:val="none"/>
          <w:u w:val="single"/>
        </w:rPr>
      </w:pPr>
      <w:r>
        <w:rPr>
          <w:rStyle w:val="33"/>
          <w:rFonts w:hint="eastAsia" w:ascii="宋体" w:hAnsi="宋体" w:eastAsia="宋体" w:cs="宋体"/>
          <w:color w:val="auto"/>
          <w:szCs w:val="21"/>
          <w:highlight w:val="none"/>
        </w:rPr>
        <w:t xml:space="preserve">                                日期：年月日</w:t>
      </w:r>
    </w:p>
    <w:p w14:paraId="21D44AFA">
      <w:pPr>
        <w:rPr>
          <w:rStyle w:val="33"/>
          <w:rFonts w:hint="eastAsia" w:ascii="宋体" w:hAnsi="宋体" w:eastAsia="宋体" w:cs="宋体"/>
          <w:color w:val="auto"/>
          <w:highlight w:val="none"/>
        </w:rPr>
      </w:pPr>
    </w:p>
    <w:p w14:paraId="7FE94F6F">
      <w:pPr>
        <w:rPr>
          <w:rStyle w:val="33"/>
          <w:rFonts w:hint="eastAsia" w:ascii="宋体" w:hAnsi="宋体" w:eastAsia="宋体" w:cs="宋体"/>
          <w:color w:val="auto"/>
          <w:highlight w:val="none"/>
        </w:rPr>
      </w:pPr>
    </w:p>
    <w:p w14:paraId="45695CC9">
      <w:pPr>
        <w:rPr>
          <w:rStyle w:val="33"/>
          <w:rFonts w:hint="eastAsia" w:ascii="宋体" w:hAnsi="宋体" w:eastAsia="宋体" w:cs="宋体"/>
          <w:color w:val="auto"/>
          <w:highlight w:val="none"/>
        </w:rPr>
      </w:pPr>
    </w:p>
    <w:p w14:paraId="4E7324C0">
      <w:pPr>
        <w:rPr>
          <w:rStyle w:val="33"/>
          <w:rFonts w:hint="eastAsia" w:ascii="宋体" w:hAnsi="宋体" w:eastAsia="宋体" w:cs="宋体"/>
          <w:color w:val="auto"/>
          <w:highlight w:val="none"/>
        </w:rPr>
      </w:pPr>
    </w:p>
    <w:p w14:paraId="6DC7882D">
      <w:pPr>
        <w:rPr>
          <w:rStyle w:val="33"/>
          <w:rFonts w:hint="eastAsia" w:ascii="宋体" w:hAnsi="宋体" w:eastAsia="宋体" w:cs="宋体"/>
          <w:color w:val="auto"/>
          <w:highlight w:val="none"/>
        </w:rPr>
      </w:pPr>
    </w:p>
    <w:p w14:paraId="1CD3DD4D">
      <w:pPr>
        <w:rPr>
          <w:rStyle w:val="33"/>
          <w:rFonts w:hint="eastAsia" w:ascii="宋体" w:hAnsi="宋体" w:eastAsia="宋体" w:cs="宋体"/>
          <w:color w:val="auto"/>
          <w:highlight w:val="none"/>
        </w:rPr>
      </w:pPr>
    </w:p>
    <w:p w14:paraId="10165F40">
      <w:pPr>
        <w:rPr>
          <w:rStyle w:val="33"/>
          <w:rFonts w:hint="eastAsia" w:ascii="宋体" w:hAnsi="宋体" w:eastAsia="宋体" w:cs="宋体"/>
          <w:color w:val="auto"/>
          <w:highlight w:val="none"/>
        </w:rPr>
      </w:pPr>
    </w:p>
    <w:p w14:paraId="62E9593D">
      <w:pPr>
        <w:spacing w:line="360" w:lineRule="auto"/>
        <w:jc w:val="left"/>
        <w:rPr>
          <w:rStyle w:val="33"/>
          <w:rFonts w:hint="eastAsia" w:ascii="宋体" w:hAnsi="宋体" w:eastAsia="宋体" w:cs="宋体"/>
          <w:b/>
          <w:color w:val="auto"/>
          <w:szCs w:val="21"/>
          <w:highlight w:val="none"/>
        </w:rPr>
      </w:pPr>
    </w:p>
    <w:p w14:paraId="1870C20D">
      <w:pPr>
        <w:spacing w:line="360" w:lineRule="auto"/>
        <w:jc w:val="left"/>
        <w:rPr>
          <w:rStyle w:val="33"/>
          <w:rFonts w:hint="eastAsia" w:ascii="宋体" w:hAnsi="宋体" w:eastAsia="宋体" w:cs="宋体"/>
          <w:b/>
          <w:color w:val="auto"/>
          <w:szCs w:val="21"/>
          <w:highlight w:val="none"/>
        </w:rPr>
      </w:pPr>
    </w:p>
    <w:p w14:paraId="32B307D2">
      <w:pPr>
        <w:spacing w:line="360" w:lineRule="auto"/>
        <w:jc w:val="left"/>
        <w:rPr>
          <w:rStyle w:val="33"/>
          <w:rFonts w:hint="eastAsia" w:ascii="宋体" w:hAnsi="宋体" w:eastAsia="宋体" w:cs="宋体"/>
          <w:b/>
          <w:color w:val="auto"/>
          <w:szCs w:val="21"/>
          <w:highlight w:val="none"/>
        </w:rPr>
      </w:pPr>
    </w:p>
    <w:p w14:paraId="2038320D">
      <w:pPr>
        <w:spacing w:line="360" w:lineRule="auto"/>
        <w:jc w:val="left"/>
        <w:rPr>
          <w:rStyle w:val="33"/>
          <w:rFonts w:hint="eastAsia" w:ascii="宋体" w:hAnsi="宋体" w:eastAsia="宋体" w:cs="宋体"/>
          <w:b/>
          <w:color w:val="auto"/>
          <w:szCs w:val="21"/>
          <w:highlight w:val="none"/>
        </w:rPr>
      </w:pPr>
    </w:p>
    <w:p w14:paraId="79806AFF">
      <w:pPr>
        <w:spacing w:line="360" w:lineRule="auto"/>
        <w:jc w:val="left"/>
        <w:rPr>
          <w:rStyle w:val="33"/>
          <w:rFonts w:hint="eastAsia" w:ascii="宋体" w:hAnsi="宋体" w:eastAsia="宋体" w:cs="宋体"/>
          <w:b/>
          <w:color w:val="auto"/>
          <w:szCs w:val="21"/>
          <w:highlight w:val="none"/>
        </w:rPr>
      </w:pPr>
    </w:p>
    <w:p w14:paraId="5B331799">
      <w:pPr>
        <w:spacing w:line="360" w:lineRule="auto"/>
        <w:jc w:val="left"/>
        <w:outlineLvl w:val="0"/>
        <w:rPr>
          <w:rStyle w:val="33"/>
          <w:rFonts w:hint="eastAsia" w:ascii="宋体" w:hAnsi="宋体" w:eastAsia="宋体" w:cs="宋体"/>
          <w:b/>
          <w:color w:val="auto"/>
          <w:szCs w:val="21"/>
          <w:highlight w:val="none"/>
        </w:rPr>
      </w:pPr>
      <w:bookmarkStart w:id="52" w:name="_Toc26812"/>
      <w:r>
        <w:rPr>
          <w:rStyle w:val="33"/>
          <w:rFonts w:hint="eastAsia" w:ascii="宋体" w:hAnsi="宋体" w:eastAsia="宋体" w:cs="宋体"/>
          <w:b/>
          <w:color w:val="auto"/>
          <w:szCs w:val="21"/>
          <w:highlight w:val="none"/>
        </w:rPr>
        <w:t>（</w:t>
      </w:r>
      <w:r>
        <w:rPr>
          <w:rStyle w:val="33"/>
          <w:rFonts w:hint="eastAsia" w:ascii="宋体" w:hAnsi="宋体" w:cs="宋体"/>
          <w:b/>
          <w:color w:val="auto"/>
          <w:szCs w:val="21"/>
          <w:highlight w:val="none"/>
          <w:lang w:val="en-US" w:eastAsia="zh-CN"/>
        </w:rPr>
        <w:t>6</w:t>
      </w:r>
      <w:r>
        <w:rPr>
          <w:rStyle w:val="33"/>
          <w:rFonts w:hint="eastAsia" w:ascii="宋体" w:hAnsi="宋体" w:eastAsia="宋体" w:cs="宋体"/>
          <w:b/>
          <w:color w:val="auto"/>
          <w:szCs w:val="21"/>
          <w:highlight w:val="none"/>
        </w:rPr>
        <w:t>）</w:t>
      </w:r>
      <w:bookmarkEnd w:id="52"/>
      <w:bookmarkStart w:id="53" w:name="_Toc26850"/>
      <w:r>
        <w:rPr>
          <w:rStyle w:val="33"/>
          <w:rFonts w:hint="eastAsia" w:ascii="宋体" w:hAnsi="宋体" w:eastAsia="宋体" w:cs="宋体"/>
          <w:b/>
          <w:color w:val="auto"/>
          <w:szCs w:val="21"/>
          <w:highlight w:val="none"/>
        </w:rPr>
        <w:t>磋商供应商认为有必要提供的</w:t>
      </w:r>
      <w:r>
        <w:rPr>
          <w:rStyle w:val="33"/>
          <w:rFonts w:hint="eastAsia" w:ascii="宋体" w:hAnsi="宋体" w:cs="宋体"/>
          <w:b/>
          <w:color w:val="auto"/>
          <w:szCs w:val="21"/>
          <w:highlight w:val="none"/>
        </w:rPr>
        <w:t>其他</w:t>
      </w:r>
      <w:r>
        <w:rPr>
          <w:rStyle w:val="33"/>
          <w:rFonts w:hint="eastAsia" w:ascii="宋体" w:hAnsi="宋体" w:eastAsia="宋体" w:cs="宋体"/>
          <w:b/>
          <w:color w:val="auto"/>
          <w:szCs w:val="21"/>
          <w:highlight w:val="none"/>
        </w:rPr>
        <w:t>文件及资料。</w:t>
      </w:r>
      <w:bookmarkEnd w:id="53"/>
    </w:p>
    <w:p w14:paraId="5FCA4DD0">
      <w:pPr>
        <w:spacing w:line="360" w:lineRule="auto"/>
        <w:jc w:val="center"/>
        <w:rPr>
          <w:rStyle w:val="33"/>
          <w:rFonts w:hint="eastAsia" w:ascii="宋体" w:hAnsi="宋体" w:eastAsia="宋体" w:cs="宋体"/>
          <w:b/>
          <w:bCs/>
          <w:color w:val="auto"/>
          <w:sz w:val="30"/>
          <w:szCs w:val="30"/>
          <w:highlight w:val="none"/>
        </w:rPr>
      </w:pPr>
    </w:p>
    <w:p w14:paraId="0C0AC670">
      <w:pPr>
        <w:spacing w:line="360" w:lineRule="auto"/>
        <w:jc w:val="center"/>
        <w:rPr>
          <w:rStyle w:val="33"/>
          <w:rFonts w:hint="eastAsia" w:ascii="宋体" w:hAnsi="宋体" w:eastAsia="宋体" w:cs="宋体"/>
          <w:b/>
          <w:bCs/>
          <w:color w:val="auto"/>
          <w:sz w:val="30"/>
          <w:szCs w:val="30"/>
          <w:highlight w:val="none"/>
        </w:rPr>
      </w:pPr>
    </w:p>
    <w:p w14:paraId="4FD52258">
      <w:pPr>
        <w:spacing w:line="360" w:lineRule="auto"/>
        <w:jc w:val="center"/>
        <w:rPr>
          <w:rStyle w:val="33"/>
          <w:rFonts w:hint="eastAsia" w:ascii="宋体" w:hAnsi="宋体" w:eastAsia="宋体" w:cs="宋体"/>
          <w:b/>
          <w:bCs/>
          <w:color w:val="auto"/>
          <w:sz w:val="30"/>
          <w:szCs w:val="30"/>
          <w:highlight w:val="none"/>
        </w:rPr>
      </w:pPr>
    </w:p>
    <w:p w14:paraId="2270E096">
      <w:pPr>
        <w:spacing w:line="360" w:lineRule="auto"/>
        <w:jc w:val="center"/>
        <w:rPr>
          <w:rStyle w:val="33"/>
          <w:rFonts w:hint="eastAsia" w:ascii="宋体" w:hAnsi="宋体" w:eastAsia="宋体" w:cs="宋体"/>
          <w:b/>
          <w:bCs/>
          <w:color w:val="auto"/>
          <w:sz w:val="30"/>
          <w:szCs w:val="30"/>
          <w:highlight w:val="none"/>
        </w:rPr>
      </w:pPr>
    </w:p>
    <w:p w14:paraId="17D1CBAE">
      <w:pPr>
        <w:spacing w:line="360" w:lineRule="auto"/>
        <w:jc w:val="center"/>
        <w:rPr>
          <w:rStyle w:val="33"/>
          <w:rFonts w:hint="eastAsia" w:ascii="宋体" w:hAnsi="宋体" w:eastAsia="宋体" w:cs="宋体"/>
          <w:b/>
          <w:bCs/>
          <w:color w:val="auto"/>
          <w:sz w:val="30"/>
          <w:szCs w:val="30"/>
          <w:highlight w:val="none"/>
        </w:rPr>
      </w:pPr>
    </w:p>
    <w:p w14:paraId="1CC35B60">
      <w:pPr>
        <w:spacing w:line="360" w:lineRule="auto"/>
        <w:jc w:val="center"/>
        <w:rPr>
          <w:rStyle w:val="33"/>
          <w:rFonts w:hint="eastAsia" w:ascii="宋体" w:hAnsi="宋体" w:eastAsia="宋体" w:cs="宋体"/>
          <w:b/>
          <w:bCs/>
          <w:color w:val="auto"/>
          <w:sz w:val="30"/>
          <w:szCs w:val="30"/>
          <w:highlight w:val="none"/>
        </w:rPr>
      </w:pPr>
    </w:p>
    <w:p w14:paraId="2ED1ECEA">
      <w:pPr>
        <w:spacing w:line="360" w:lineRule="auto"/>
        <w:jc w:val="center"/>
        <w:rPr>
          <w:rStyle w:val="33"/>
          <w:rFonts w:hint="eastAsia" w:ascii="宋体" w:hAnsi="宋体" w:eastAsia="宋体" w:cs="宋体"/>
          <w:b/>
          <w:bCs/>
          <w:color w:val="auto"/>
          <w:sz w:val="30"/>
          <w:szCs w:val="30"/>
          <w:highlight w:val="none"/>
        </w:rPr>
      </w:pPr>
    </w:p>
    <w:p w14:paraId="479B5435">
      <w:pPr>
        <w:spacing w:line="360" w:lineRule="auto"/>
        <w:jc w:val="center"/>
        <w:rPr>
          <w:rStyle w:val="33"/>
          <w:rFonts w:hint="eastAsia" w:ascii="宋体" w:hAnsi="宋体" w:eastAsia="宋体" w:cs="宋体"/>
          <w:b/>
          <w:bCs/>
          <w:color w:val="auto"/>
          <w:sz w:val="30"/>
          <w:szCs w:val="30"/>
          <w:highlight w:val="none"/>
        </w:rPr>
      </w:pPr>
    </w:p>
    <w:p w14:paraId="0D502ACD">
      <w:pPr>
        <w:spacing w:line="360" w:lineRule="auto"/>
        <w:jc w:val="center"/>
        <w:rPr>
          <w:rStyle w:val="33"/>
          <w:rFonts w:hint="eastAsia" w:ascii="宋体" w:hAnsi="宋体" w:eastAsia="宋体" w:cs="宋体"/>
          <w:b/>
          <w:bCs/>
          <w:color w:val="auto"/>
          <w:sz w:val="30"/>
          <w:szCs w:val="30"/>
          <w:highlight w:val="none"/>
        </w:rPr>
      </w:pPr>
    </w:p>
    <w:p w14:paraId="63488BEE">
      <w:pPr>
        <w:spacing w:line="360" w:lineRule="auto"/>
        <w:jc w:val="center"/>
        <w:rPr>
          <w:rStyle w:val="33"/>
          <w:rFonts w:hint="eastAsia" w:ascii="宋体" w:hAnsi="宋体" w:eastAsia="宋体" w:cs="宋体"/>
          <w:b/>
          <w:bCs/>
          <w:color w:val="auto"/>
          <w:sz w:val="30"/>
          <w:szCs w:val="30"/>
          <w:highlight w:val="none"/>
        </w:rPr>
      </w:pPr>
    </w:p>
    <w:p w14:paraId="456C0307">
      <w:pPr>
        <w:spacing w:line="360" w:lineRule="auto"/>
        <w:jc w:val="center"/>
        <w:rPr>
          <w:rStyle w:val="33"/>
          <w:rFonts w:hint="eastAsia" w:ascii="宋体" w:hAnsi="宋体" w:eastAsia="宋体" w:cs="宋体"/>
          <w:b/>
          <w:bCs/>
          <w:color w:val="auto"/>
          <w:sz w:val="30"/>
          <w:szCs w:val="30"/>
          <w:highlight w:val="none"/>
        </w:rPr>
      </w:pPr>
    </w:p>
    <w:p w14:paraId="490B6784">
      <w:pPr>
        <w:spacing w:line="360" w:lineRule="auto"/>
        <w:jc w:val="center"/>
        <w:rPr>
          <w:rStyle w:val="33"/>
          <w:rFonts w:hint="eastAsia" w:ascii="宋体" w:hAnsi="宋体" w:eastAsia="宋体" w:cs="宋体"/>
          <w:b/>
          <w:bCs/>
          <w:color w:val="auto"/>
          <w:sz w:val="30"/>
          <w:szCs w:val="30"/>
          <w:highlight w:val="none"/>
        </w:rPr>
      </w:pPr>
    </w:p>
    <w:p w14:paraId="5B6A8AAC">
      <w:pPr>
        <w:spacing w:line="360" w:lineRule="auto"/>
        <w:jc w:val="center"/>
        <w:rPr>
          <w:rStyle w:val="33"/>
          <w:rFonts w:hint="eastAsia" w:ascii="宋体" w:hAnsi="宋体" w:eastAsia="宋体" w:cs="宋体"/>
          <w:b/>
          <w:bCs/>
          <w:color w:val="auto"/>
          <w:sz w:val="30"/>
          <w:szCs w:val="30"/>
          <w:highlight w:val="none"/>
        </w:rPr>
      </w:pPr>
    </w:p>
    <w:p w14:paraId="6CB7A017">
      <w:pPr>
        <w:spacing w:line="360" w:lineRule="auto"/>
        <w:rPr>
          <w:rStyle w:val="33"/>
          <w:rFonts w:hint="eastAsia" w:ascii="宋体" w:hAnsi="宋体" w:eastAsia="宋体" w:cs="宋体"/>
          <w:b/>
          <w:bCs/>
          <w:color w:val="auto"/>
          <w:sz w:val="30"/>
          <w:szCs w:val="30"/>
          <w:highlight w:val="none"/>
        </w:rPr>
      </w:pPr>
    </w:p>
    <w:p w14:paraId="28F8877C">
      <w:pPr>
        <w:spacing w:line="360" w:lineRule="auto"/>
        <w:rPr>
          <w:rStyle w:val="33"/>
          <w:rFonts w:hint="eastAsia" w:ascii="宋体" w:hAnsi="宋体" w:eastAsia="宋体" w:cs="宋体"/>
          <w:b/>
          <w:bCs/>
          <w:color w:val="auto"/>
          <w:sz w:val="30"/>
          <w:szCs w:val="30"/>
          <w:highlight w:val="none"/>
        </w:rPr>
      </w:pPr>
    </w:p>
    <w:p w14:paraId="5FAEE8A6">
      <w:pPr>
        <w:spacing w:line="360" w:lineRule="auto"/>
        <w:rPr>
          <w:rStyle w:val="33"/>
          <w:rFonts w:hint="eastAsia" w:ascii="宋体" w:hAnsi="宋体" w:eastAsia="宋体" w:cs="宋体"/>
          <w:b/>
          <w:bCs/>
          <w:color w:val="auto"/>
          <w:sz w:val="30"/>
          <w:szCs w:val="30"/>
          <w:highlight w:val="none"/>
        </w:rPr>
      </w:pPr>
    </w:p>
    <w:p w14:paraId="09785996">
      <w:pPr>
        <w:snapToGrid w:val="0"/>
        <w:spacing w:before="156" w:after="50"/>
        <w:jc w:val="left"/>
        <w:rPr>
          <w:rStyle w:val="33"/>
          <w:rFonts w:hint="eastAsia" w:ascii="宋体" w:hAnsi="宋体" w:eastAsia="宋体" w:cs="宋体"/>
          <w:color w:val="auto"/>
          <w:szCs w:val="21"/>
          <w:highlight w:val="none"/>
        </w:rPr>
      </w:pPr>
    </w:p>
    <w:sectPr>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20B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理德小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1C1E">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E6E0D">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08E6E0D">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6E91">
    <w:pPr>
      <w:spacing w:line="237" w:lineRule="auto"/>
      <w:ind w:left="4827"/>
      <w:rPr>
        <w:rFonts w:ascii="Calibri" w:hAnsi="Calibri" w:eastAsia="Calibri" w:cs="Calibri"/>
        <w:sz w:val="18"/>
        <w:szCs w:val="18"/>
      </w:rPr>
    </w:pPr>
    <w:r>
      <w:rPr>
        <w:rFonts w:ascii="Calibri" w:hAnsi="Calibri" w:eastAsia="Calibri" w:cs="Calibri"/>
        <w:spacing w:val="-3"/>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337">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22091825"/>
                          </w:sdtPr>
                          <w:sdtContent>
                            <w:p w14:paraId="1812D92E">
                              <w:pPr>
                                <w:pStyle w:val="14"/>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322091825"/>
                    </w:sdtPr>
                    <w:sdtContent>
                      <w:p w14:paraId="1812D92E">
                        <w:pPr>
                          <w:pStyle w:val="14"/>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2"/>
                    </w:pPr>
                  </w:p>
                </w:txbxContent>
              </v:textbox>
            </v:shape>
          </w:pict>
        </mc:Fallback>
      </mc:AlternateContent>
    </w:r>
  </w:p>
  <w:p w14:paraId="20E8E816">
    <w:pPr>
      <w:pStyle w:val="14"/>
      <w:rPr>
        <w:rStyle w:val="3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1E58">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61A0D">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7961A0D">
                    <w:pPr>
                      <w:pStyle w:val="14"/>
                    </w:pPr>
                    <w:r>
                      <w:fldChar w:fldCharType="begin"/>
                    </w:r>
                    <w:r>
                      <w:instrText xml:space="preserve"> PAGE  \* MERGEFORMAT </w:instrText>
                    </w:r>
                    <w:r>
                      <w:fldChar w:fldCharType="separate"/>
                    </w:r>
                    <w:r>
                      <w:t>39</w:t>
                    </w:r>
                    <w:r>
                      <w:fldChar w:fldCharType="end"/>
                    </w:r>
                  </w:p>
                </w:txbxContent>
              </v:textbox>
            </v:shape>
          </w:pict>
        </mc:Fallback>
      </mc:AlternateContent>
    </w:r>
  </w:p>
  <w:p w14:paraId="234065DC">
    <w:pPr>
      <w:pStyle w:val="14"/>
      <w:rPr>
        <w:rStyle w:val="3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2BA">
    <w:pPr>
      <w:spacing w:line="226" w:lineRule="exact"/>
      <w:ind w:left="47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79A">
    <w:pPr>
      <w:spacing w:before="48" w:line="219" w:lineRule="auto"/>
      <w:ind w:left="2577"/>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667385</wp:posOffset>
              </wp:positionH>
              <wp:positionV relativeFrom="page">
                <wp:posOffset>743585</wp:posOffset>
              </wp:positionV>
              <wp:extent cx="62363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236335" cy="9525"/>
                      </a:xfrm>
                      <a:custGeom>
                        <a:avLst/>
                        <a:gdLst/>
                        <a:ahLst/>
                        <a:cxnLst/>
                        <a:pathLst>
                          <a:path w="9820" h="15">
                            <a:moveTo>
                              <a:pt x="0" y="14"/>
                            </a:moveTo>
                            <a:lnTo>
                              <a:pt x="9820" y="14"/>
                            </a:lnTo>
                            <a:lnTo>
                              <a:pt x="982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8.55pt;height:0.75pt;width:491.05pt;mso-position-horizontal-relative:page;mso-position-vertical-relative:page;z-index:251662336;mso-width-relative:page;mso-height-relative:page;" fillcolor="#000000" filled="t" stroked="f" coordsize="9820,15" o:allowincell="f" o:gfxdata="UEsDBAoAAAAAAIdO4kAAAAAAAAAAAAAAAAAEAAAAZHJzL1BLAwQUAAAACACHTuJAuJMgFtoAAAAM&#10;AQAADwAAAGRycy9kb3ducmV2LnhtbE2PzU7DMBCE70i8g7VIXBC1U0EbQpxKIFXiUgptH8CNlyRK&#10;vA6x+0Ofns0JbjO7o9lv88XZdeKIQ2g8aUgmCgRS6W1DlYbddnmfggjRkDWdJ9TwgwEWxfVVbjLr&#10;T/SJx02sBJdQyIyGOsY+kzKUNToTJr5H4t2XH5yJbIdK2sGcuNx1cqrUTDrTEF+oTY+vNZbt5uA0&#10;vKw+3t4ffFy2uL58r/zFtv3dk9a3N4l6BhHxHP/CMOIzOhTMtPcHskF07NVjwlEWyZzFmFDpfApi&#10;P47SGcgil/+fKH4BUEsDBBQAAAAIAIdO4kD25oZsEwIAAHwEAAAOAAAAZHJzL2Uyb0RvYy54bWyt&#10;VM1uEzEQviPxDpbvZPNDoibKpgeickFQqeUBHK83a8l/8jjZ5M6dO0fES6AKnqZFPAZj709Ce6AH&#10;9rAee2a/me+b8S4vD1qRvfAgrcnpaDCkRBhuC2m2Of14e/XqghIIzBRMWSNyehRAL1cvXyxrtxBj&#10;W1lVCE8QxMCidjmtQnCLLANeCc1gYJ0w6Cyt1yzg1m+zwrMa0bXKxsPhLKutL5y3XADg6bpx0hbR&#10;PwfQlqXkYm35TgsTGlQvFAtICSrpgK5StWUpePhQliACUTlFpiG9MQnam/jOVku22HrmKsnbEthz&#10;SnjESTNpMGkPtWaBkZ2XT6C05N6CLcOAW501RJIiyGI0fKTNTcWcSFxQanC96PD/YPn7/bUnssjp&#10;nBLDNDb8/u7u16fPD9++/P75/eHHVzKPItUOFhh74659uwM0I+ND6XVckQs5JGGPvbDiEAjHw9l4&#10;MptMppRw9M2n42mEzE7f8h2Et8ImHLZ/B6FpS9FZrOosfjCd6ViIxzF3NEmN0BdjbGyFYz1N3dB2&#10;L25tigin4kav2/QntzLnYQ0MltpHdv5udQmuj0tzhHw6d7c2YVhSJ8k/Yp7k48qCaLSKHJNoPW8E&#10;OxcOrJLFlVQq8gW/3bxRnuxZHPz0tKT/ClMmBhsbP2vSxJMsdrvpb7Q2tjjikOycl9sKb9AoIUUP&#10;DmUqqb1AcerP9wnp9NNY/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kyAW2gAAAAwBAAAPAAAA&#10;AAAAAAEAIAAAACIAAABkcnMvZG93bnJldi54bWxQSwECFAAUAAAACACHTuJA9uaGbBMCAAB8BAAA&#10;DgAAAAAAAAABACAAAAApAQAAZHJzL2Uyb0RvYy54bWxQSwUGAAAAAAYABgBZAQAArgUAAAAA&#10;" path="m0,14l9820,14,9820,0,0,0,0,14xe">
              <v:fill on="t" focussize="0,0"/>
              <v:stroke on="f"/>
              <v:imagedata o:title=""/>
              <o:lock v:ext="edit" aspectratio="f"/>
            </v:shape>
          </w:pict>
        </mc:Fallback>
      </mc:AlternateContent>
    </w:r>
    <w:r>
      <w:rPr>
        <w:rFonts w:hint="eastAsia" w:ascii="宋体" w:hAnsi="宋体" w:cs="宋体"/>
        <w:spacing w:val="-1"/>
        <w:sz w:val="18"/>
        <w:szCs w:val="18"/>
        <w:lang w:eastAsia="zh-CN"/>
      </w:rPr>
      <w:t>物业管理服务</w:t>
    </w:r>
    <w:r>
      <w:rPr>
        <w:rFonts w:ascii="宋体" w:hAnsi="宋体" w:eastAsia="宋体" w:cs="宋体"/>
        <w:spacing w:val="-1"/>
        <w:sz w:val="18"/>
        <w:szCs w:val="18"/>
      </w:rPr>
      <w:t>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887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3C15">
    <w:pPr>
      <w:spacing w:before="48" w:line="219" w:lineRule="auto"/>
      <w:ind w:left="2570"/>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667385</wp:posOffset>
              </wp:positionH>
              <wp:positionV relativeFrom="page">
                <wp:posOffset>701040</wp:posOffset>
              </wp:positionV>
              <wp:extent cx="622681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6226810" cy="9525"/>
                      </a:xfrm>
                      <a:custGeom>
                        <a:avLst/>
                        <a:gdLst/>
                        <a:ahLst/>
                        <a:cxnLst/>
                        <a:pathLst>
                          <a:path w="9805" h="15">
                            <a:moveTo>
                              <a:pt x="0" y="14"/>
                            </a:moveTo>
                            <a:lnTo>
                              <a:pt x="9805" y="14"/>
                            </a:lnTo>
                            <a:lnTo>
                              <a:pt x="980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5.2pt;height:0.75pt;width:490.3pt;mso-position-horizontal-relative:page;mso-position-vertical-relative:page;z-index:251663360;mso-width-relative:page;mso-height-relative:page;" fillcolor="#000000" filled="t" stroked="f" coordsize="9805,15" o:allowincell="f" o:gfxdata="UEsDBAoAAAAAAIdO4kAAAAAAAAAAAAAAAAAEAAAAZHJzL1BLAwQUAAAACACHTuJAZZWWntkAAAAM&#10;AQAADwAAAGRycy9kb3ducmV2LnhtbE2PwU7DMBBE70j8g7VI3KgdRKANcXqohNob0CBBb5vYJBHx&#10;OrKdJvw9zonednZHs2/y7Wx6dtbOd5YkJCsBTFNtVUeNhI/y5W4NzAckhb0lLeFXe9gW11c5ZspO&#10;9K7Px9CwGEI+QwltCEPGua9bbdCv7KAp3r6tMxiidA1XDqcYbnp+L8QjN9hR/NDioHetrn+Oo5GA&#10;n93hq9yP6Vy9lm/BTXTYnfZS3t4k4hlY0HP4N8OCH9GhiEyVHUl51kct0iRa45CIB2CLQ6zTJ2DV&#10;sko2wIucX5Yo/gBQSwMEFAAAAAgAh07iQN+hOa8RAgAAfgQAAA4AAABkcnMvZTJvRG9jLnhtbK1U&#10;zY7TMBC+I/EOlu80aUWrUrXdA9VyQbDSLg/gOk5jyX/yuEl7586dI+Il0AqehkU8BmPnp2X3sHvY&#10;HOKxZ/LNfN+Ms7w4aEVq4UFas6LjUU6JMNwW0uxW9NPN5as5JRCYKZiyRqzoUQC9WL98sWzcQkxs&#10;ZVUhPEEQA4vGrWgVgltkGfBKaAYj64RBZ2m9ZgG3fpcVnjWIrlU2yfNZ1lhfOG+5AMDTTeukHaJ/&#10;CqAtS8nFxvK9Fia0qF4oFpASVNIBXadqy1Lw8LEsQQSiVhSZhvTGJGhv4ztbL9li55mrJO9KYE8p&#10;4R4nzaTBpAPUhgVG9l4+gNKSewu2DCNuddYSSYogi3F+T5vrijmRuKDU4AbR4flg+Yf6yhNZ4CSg&#10;JIZp7Pjv29s/n7/cff/699ePu5/fCHpQpsbBAqOv3ZXvdoBm5HwovY4rsiGHJO1xkFYcAuF4OJtM&#10;ZvOYgqPvzXQyjZDZ6Vu+h/BO2ITD6vcQ2sYUvcWq3uIH05uOhXgcc0eTNAg9z6eUVEhnmvqhbS1u&#10;bIoIp+LGr7v0J7cy52EtDJY6RPb+fnUJbohLEiGf3t2vbRjy7iV5JOZBPq4siFaryDGJNvBGsHPh&#10;wCpZXEqlIl/wu+1b5UnN4uinpyP9X5gyMdjY+FmbJp5ksdttf6O1tcURx2TvvNxVeIfGCSl6cCxT&#10;Sd0VinN/vk9Ip9/G+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lZae2QAAAAwBAAAPAAAAAAAA&#10;AAEAIAAAACIAAABkcnMvZG93bnJldi54bWxQSwECFAAUAAAACACHTuJA36E5rxECAAB+BAAADgAA&#10;AAAAAAABACAAAAAoAQAAZHJzL2Uyb0RvYy54bWxQSwUGAAAAAAYABgBZAQAAqwUAAAAA&#10;" path="m0,14l9805,14,9805,0,0,0,0,14xe">
              <v:fill on="t" focussize="0,0"/>
              <v:stroke on="f"/>
              <v:imagedata o:title=""/>
              <o:lock v:ext="edit" aspectratio="f"/>
            </v:shape>
          </w:pict>
        </mc:Fallback>
      </mc:AlternateContent>
    </w:r>
    <w:r>
      <w:rPr>
        <w:rFonts w:hint="eastAsia" w:ascii="宋体" w:hAnsi="宋体" w:cs="宋体"/>
        <w:spacing w:val="-1"/>
        <w:sz w:val="18"/>
        <w:szCs w:val="18"/>
        <w:lang w:eastAsia="zh-CN"/>
      </w:rPr>
      <w:t>物业管理服务</w:t>
    </w:r>
    <w:r>
      <w:rPr>
        <w:rFonts w:ascii="宋体" w:hAnsi="宋体" w:eastAsia="宋体" w:cs="宋体"/>
        <w:spacing w:val="-1"/>
        <w:sz w:val="18"/>
        <w:szCs w:val="18"/>
      </w:rPr>
      <w:t>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5F613"/>
    <w:multiLevelType w:val="singleLevel"/>
    <w:tmpl w:val="08F5F61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VkOGNkODU1NTRiMmM5NDM5MTEzOTU3OWRmYmYifQ=="/>
  </w:docVars>
  <w:rsids>
    <w:rsidRoot w:val="00177762"/>
    <w:rsid w:val="00030D88"/>
    <w:rsid w:val="00035709"/>
    <w:rsid w:val="00091112"/>
    <w:rsid w:val="00103F2A"/>
    <w:rsid w:val="00143D66"/>
    <w:rsid w:val="00177762"/>
    <w:rsid w:val="001933E3"/>
    <w:rsid w:val="00194F96"/>
    <w:rsid w:val="001E3020"/>
    <w:rsid w:val="002066FD"/>
    <w:rsid w:val="002820B9"/>
    <w:rsid w:val="002B1FF1"/>
    <w:rsid w:val="002B79F3"/>
    <w:rsid w:val="00365641"/>
    <w:rsid w:val="003659E7"/>
    <w:rsid w:val="003E2058"/>
    <w:rsid w:val="004069E6"/>
    <w:rsid w:val="00497D9C"/>
    <w:rsid w:val="00514423"/>
    <w:rsid w:val="005939AF"/>
    <w:rsid w:val="005B2963"/>
    <w:rsid w:val="00620721"/>
    <w:rsid w:val="00683DC4"/>
    <w:rsid w:val="006E4790"/>
    <w:rsid w:val="00767A66"/>
    <w:rsid w:val="007853CB"/>
    <w:rsid w:val="00795014"/>
    <w:rsid w:val="007A27DA"/>
    <w:rsid w:val="007B5BD6"/>
    <w:rsid w:val="007E116F"/>
    <w:rsid w:val="00800C4F"/>
    <w:rsid w:val="0082736F"/>
    <w:rsid w:val="008B4BD9"/>
    <w:rsid w:val="008D3290"/>
    <w:rsid w:val="008E39FD"/>
    <w:rsid w:val="00985A02"/>
    <w:rsid w:val="009A4F72"/>
    <w:rsid w:val="00AE4E5E"/>
    <w:rsid w:val="00B9195A"/>
    <w:rsid w:val="00B93EDD"/>
    <w:rsid w:val="00B9560C"/>
    <w:rsid w:val="00BC65BF"/>
    <w:rsid w:val="00C24D19"/>
    <w:rsid w:val="00C33BEB"/>
    <w:rsid w:val="00C350B5"/>
    <w:rsid w:val="00C976D7"/>
    <w:rsid w:val="00CC6905"/>
    <w:rsid w:val="00CD115A"/>
    <w:rsid w:val="00CF4814"/>
    <w:rsid w:val="00D23B2E"/>
    <w:rsid w:val="00D81358"/>
    <w:rsid w:val="00DA7356"/>
    <w:rsid w:val="00DD32E9"/>
    <w:rsid w:val="00E12353"/>
    <w:rsid w:val="00EA2D6D"/>
    <w:rsid w:val="00EB7EA5"/>
    <w:rsid w:val="00ED72BC"/>
    <w:rsid w:val="00F5237B"/>
    <w:rsid w:val="00F913CA"/>
    <w:rsid w:val="00F950CE"/>
    <w:rsid w:val="01024EE7"/>
    <w:rsid w:val="01193600"/>
    <w:rsid w:val="0163146C"/>
    <w:rsid w:val="01F114A6"/>
    <w:rsid w:val="02194C3B"/>
    <w:rsid w:val="02C1356F"/>
    <w:rsid w:val="02DD0758"/>
    <w:rsid w:val="037C5803"/>
    <w:rsid w:val="03B409DD"/>
    <w:rsid w:val="03E80687"/>
    <w:rsid w:val="043119E3"/>
    <w:rsid w:val="04C64E6C"/>
    <w:rsid w:val="04C959DB"/>
    <w:rsid w:val="04ED2F59"/>
    <w:rsid w:val="04EF43C3"/>
    <w:rsid w:val="04F76DD4"/>
    <w:rsid w:val="053F68E3"/>
    <w:rsid w:val="05461B09"/>
    <w:rsid w:val="05651383"/>
    <w:rsid w:val="056A1C9B"/>
    <w:rsid w:val="05F22B89"/>
    <w:rsid w:val="063C7F0B"/>
    <w:rsid w:val="06693D01"/>
    <w:rsid w:val="0686434E"/>
    <w:rsid w:val="06AE014C"/>
    <w:rsid w:val="06DF379F"/>
    <w:rsid w:val="06E07E56"/>
    <w:rsid w:val="076E6DA3"/>
    <w:rsid w:val="07DF7E70"/>
    <w:rsid w:val="082E3E46"/>
    <w:rsid w:val="08393BA7"/>
    <w:rsid w:val="087C7DC9"/>
    <w:rsid w:val="08B84ACC"/>
    <w:rsid w:val="08CC1DA3"/>
    <w:rsid w:val="08E27D9B"/>
    <w:rsid w:val="09092DE7"/>
    <w:rsid w:val="092D57EA"/>
    <w:rsid w:val="094409E3"/>
    <w:rsid w:val="095E4706"/>
    <w:rsid w:val="096B11FB"/>
    <w:rsid w:val="09B94F9F"/>
    <w:rsid w:val="0A051F93"/>
    <w:rsid w:val="0A8455AD"/>
    <w:rsid w:val="0A9D0260"/>
    <w:rsid w:val="0AAA61B7"/>
    <w:rsid w:val="0AD270F4"/>
    <w:rsid w:val="0ADD625D"/>
    <w:rsid w:val="0B2A1431"/>
    <w:rsid w:val="0B424339"/>
    <w:rsid w:val="0B43499E"/>
    <w:rsid w:val="0B8E7433"/>
    <w:rsid w:val="0BB35A1E"/>
    <w:rsid w:val="0BD554C3"/>
    <w:rsid w:val="0C122745"/>
    <w:rsid w:val="0C1F4E62"/>
    <w:rsid w:val="0C481CA3"/>
    <w:rsid w:val="0CBE467B"/>
    <w:rsid w:val="0CF91ADF"/>
    <w:rsid w:val="0CFF3F79"/>
    <w:rsid w:val="0D041E6A"/>
    <w:rsid w:val="0D30343F"/>
    <w:rsid w:val="0D39465E"/>
    <w:rsid w:val="0D5A6F7F"/>
    <w:rsid w:val="0DB43211"/>
    <w:rsid w:val="0DF70EC9"/>
    <w:rsid w:val="0E971ECD"/>
    <w:rsid w:val="0EDE6F24"/>
    <w:rsid w:val="0F46164A"/>
    <w:rsid w:val="0F7E72D6"/>
    <w:rsid w:val="0FB104C7"/>
    <w:rsid w:val="0FD86D0C"/>
    <w:rsid w:val="0FF93713"/>
    <w:rsid w:val="10277776"/>
    <w:rsid w:val="103317E8"/>
    <w:rsid w:val="104F5940"/>
    <w:rsid w:val="10581180"/>
    <w:rsid w:val="10A73DA4"/>
    <w:rsid w:val="10C57012"/>
    <w:rsid w:val="113530D4"/>
    <w:rsid w:val="11371E0C"/>
    <w:rsid w:val="113E3FDC"/>
    <w:rsid w:val="11DB4FAD"/>
    <w:rsid w:val="12895C1C"/>
    <w:rsid w:val="130C0FBB"/>
    <w:rsid w:val="130D0A87"/>
    <w:rsid w:val="13225964"/>
    <w:rsid w:val="135D1977"/>
    <w:rsid w:val="13841331"/>
    <w:rsid w:val="13A91BE1"/>
    <w:rsid w:val="13BB7B66"/>
    <w:rsid w:val="14027543"/>
    <w:rsid w:val="1439066D"/>
    <w:rsid w:val="145F58C6"/>
    <w:rsid w:val="14671701"/>
    <w:rsid w:val="14671EDB"/>
    <w:rsid w:val="14675DBB"/>
    <w:rsid w:val="146B60BD"/>
    <w:rsid w:val="147040A4"/>
    <w:rsid w:val="14F0391B"/>
    <w:rsid w:val="14FA037F"/>
    <w:rsid w:val="15291A4A"/>
    <w:rsid w:val="15485429"/>
    <w:rsid w:val="155C223A"/>
    <w:rsid w:val="15A52504"/>
    <w:rsid w:val="15F230E6"/>
    <w:rsid w:val="16184DFC"/>
    <w:rsid w:val="16422388"/>
    <w:rsid w:val="16473933"/>
    <w:rsid w:val="164A09AA"/>
    <w:rsid w:val="167C1625"/>
    <w:rsid w:val="167D26F3"/>
    <w:rsid w:val="16A3313C"/>
    <w:rsid w:val="17125CEF"/>
    <w:rsid w:val="176E48D7"/>
    <w:rsid w:val="17A32DEB"/>
    <w:rsid w:val="17A91DEC"/>
    <w:rsid w:val="17E17CC0"/>
    <w:rsid w:val="18CB084B"/>
    <w:rsid w:val="18DE5A14"/>
    <w:rsid w:val="18EB279A"/>
    <w:rsid w:val="18EC5C00"/>
    <w:rsid w:val="19121E8A"/>
    <w:rsid w:val="196A6939"/>
    <w:rsid w:val="197144B8"/>
    <w:rsid w:val="19797494"/>
    <w:rsid w:val="1995489D"/>
    <w:rsid w:val="199B792B"/>
    <w:rsid w:val="19B1359D"/>
    <w:rsid w:val="1A367F46"/>
    <w:rsid w:val="1A3A7A37"/>
    <w:rsid w:val="1A7A6085"/>
    <w:rsid w:val="1A8B19D1"/>
    <w:rsid w:val="1AAF6186"/>
    <w:rsid w:val="1B54678C"/>
    <w:rsid w:val="1BA26B6D"/>
    <w:rsid w:val="1C142509"/>
    <w:rsid w:val="1C164A09"/>
    <w:rsid w:val="1C297A8E"/>
    <w:rsid w:val="1D8E4E63"/>
    <w:rsid w:val="1DA24766"/>
    <w:rsid w:val="1DB608FA"/>
    <w:rsid w:val="1DCA48B8"/>
    <w:rsid w:val="1DF30DD1"/>
    <w:rsid w:val="1E1C1D27"/>
    <w:rsid w:val="1E2F44B0"/>
    <w:rsid w:val="1E4C7947"/>
    <w:rsid w:val="1E770EC4"/>
    <w:rsid w:val="1E8609A6"/>
    <w:rsid w:val="1E9C5F1F"/>
    <w:rsid w:val="1EA4090A"/>
    <w:rsid w:val="1F1F369F"/>
    <w:rsid w:val="1FB26C70"/>
    <w:rsid w:val="1FB67199"/>
    <w:rsid w:val="209A3A51"/>
    <w:rsid w:val="20B1352E"/>
    <w:rsid w:val="20CC6FDE"/>
    <w:rsid w:val="20EE7805"/>
    <w:rsid w:val="21A04F3F"/>
    <w:rsid w:val="21DB4BFC"/>
    <w:rsid w:val="227155DF"/>
    <w:rsid w:val="227629E3"/>
    <w:rsid w:val="229C358D"/>
    <w:rsid w:val="22A3461D"/>
    <w:rsid w:val="22D80C7C"/>
    <w:rsid w:val="23147A56"/>
    <w:rsid w:val="232A255B"/>
    <w:rsid w:val="232D00F2"/>
    <w:rsid w:val="23A41CCE"/>
    <w:rsid w:val="23D26F32"/>
    <w:rsid w:val="2409047A"/>
    <w:rsid w:val="24172B97"/>
    <w:rsid w:val="242D0B30"/>
    <w:rsid w:val="242F0B51"/>
    <w:rsid w:val="24464FDE"/>
    <w:rsid w:val="2489332E"/>
    <w:rsid w:val="24BB5C18"/>
    <w:rsid w:val="24D10D56"/>
    <w:rsid w:val="24DB1E74"/>
    <w:rsid w:val="24EF7670"/>
    <w:rsid w:val="250826B5"/>
    <w:rsid w:val="252217F3"/>
    <w:rsid w:val="25870A29"/>
    <w:rsid w:val="25AB17E9"/>
    <w:rsid w:val="25AD68AD"/>
    <w:rsid w:val="25BF5584"/>
    <w:rsid w:val="25C600EA"/>
    <w:rsid w:val="25D6467E"/>
    <w:rsid w:val="25EC08D3"/>
    <w:rsid w:val="25EC6FF7"/>
    <w:rsid w:val="25F54D4F"/>
    <w:rsid w:val="26003B7B"/>
    <w:rsid w:val="26086C3B"/>
    <w:rsid w:val="267C3185"/>
    <w:rsid w:val="2692039E"/>
    <w:rsid w:val="26AA1AA0"/>
    <w:rsid w:val="26D703BB"/>
    <w:rsid w:val="26E97C44"/>
    <w:rsid w:val="26F44D4F"/>
    <w:rsid w:val="27265B39"/>
    <w:rsid w:val="27643910"/>
    <w:rsid w:val="279B588D"/>
    <w:rsid w:val="27E87EE1"/>
    <w:rsid w:val="28054001"/>
    <w:rsid w:val="28074CD0"/>
    <w:rsid w:val="28615A1C"/>
    <w:rsid w:val="286E424B"/>
    <w:rsid w:val="287E0192"/>
    <w:rsid w:val="28947534"/>
    <w:rsid w:val="28EB6A39"/>
    <w:rsid w:val="295200EF"/>
    <w:rsid w:val="297C2ABA"/>
    <w:rsid w:val="298401DC"/>
    <w:rsid w:val="29914DF6"/>
    <w:rsid w:val="299C2C4D"/>
    <w:rsid w:val="299F171C"/>
    <w:rsid w:val="29AA742B"/>
    <w:rsid w:val="29B36B1A"/>
    <w:rsid w:val="29EA5F8B"/>
    <w:rsid w:val="2A1B75FB"/>
    <w:rsid w:val="2A3944F1"/>
    <w:rsid w:val="2A522194"/>
    <w:rsid w:val="2AFD109B"/>
    <w:rsid w:val="2B72582F"/>
    <w:rsid w:val="2BAC7336"/>
    <w:rsid w:val="2BCA04EF"/>
    <w:rsid w:val="2BF043F9"/>
    <w:rsid w:val="2C231EE2"/>
    <w:rsid w:val="2C5D733F"/>
    <w:rsid w:val="2C8763E0"/>
    <w:rsid w:val="2C93728E"/>
    <w:rsid w:val="2C962439"/>
    <w:rsid w:val="2CD87022"/>
    <w:rsid w:val="2D1E6D44"/>
    <w:rsid w:val="2D262BAF"/>
    <w:rsid w:val="2D9E7E85"/>
    <w:rsid w:val="2DA51213"/>
    <w:rsid w:val="2DAC4350"/>
    <w:rsid w:val="2DC433AC"/>
    <w:rsid w:val="2DD20B1B"/>
    <w:rsid w:val="2DF01A0C"/>
    <w:rsid w:val="2E731E56"/>
    <w:rsid w:val="2E9851F3"/>
    <w:rsid w:val="2EAF4F5E"/>
    <w:rsid w:val="2ECE0ADD"/>
    <w:rsid w:val="2EE10039"/>
    <w:rsid w:val="2F234AE5"/>
    <w:rsid w:val="2F4E6D9E"/>
    <w:rsid w:val="2F763882"/>
    <w:rsid w:val="2FCA7AA5"/>
    <w:rsid w:val="30104C07"/>
    <w:rsid w:val="30224D9D"/>
    <w:rsid w:val="30556F21"/>
    <w:rsid w:val="307D6518"/>
    <w:rsid w:val="308E21BD"/>
    <w:rsid w:val="30E3593A"/>
    <w:rsid w:val="30FF0C3A"/>
    <w:rsid w:val="31327760"/>
    <w:rsid w:val="31436B2B"/>
    <w:rsid w:val="31D8031E"/>
    <w:rsid w:val="31E70B84"/>
    <w:rsid w:val="31FF4C87"/>
    <w:rsid w:val="3215676A"/>
    <w:rsid w:val="322A3535"/>
    <w:rsid w:val="323B28BD"/>
    <w:rsid w:val="32702C4C"/>
    <w:rsid w:val="32AB4917"/>
    <w:rsid w:val="3344502A"/>
    <w:rsid w:val="33804E5A"/>
    <w:rsid w:val="33BE63CA"/>
    <w:rsid w:val="34066051"/>
    <w:rsid w:val="343E5F1E"/>
    <w:rsid w:val="34484C72"/>
    <w:rsid w:val="34547807"/>
    <w:rsid w:val="347831DE"/>
    <w:rsid w:val="34FF745B"/>
    <w:rsid w:val="354F029A"/>
    <w:rsid w:val="355B7DBF"/>
    <w:rsid w:val="356E547C"/>
    <w:rsid w:val="358636D8"/>
    <w:rsid w:val="35E45316"/>
    <w:rsid w:val="36032F7B"/>
    <w:rsid w:val="3637240D"/>
    <w:rsid w:val="369411B6"/>
    <w:rsid w:val="369B4F18"/>
    <w:rsid w:val="36A14285"/>
    <w:rsid w:val="36D13079"/>
    <w:rsid w:val="36F17277"/>
    <w:rsid w:val="36FF3742"/>
    <w:rsid w:val="370C22B3"/>
    <w:rsid w:val="3723407B"/>
    <w:rsid w:val="372B0F0A"/>
    <w:rsid w:val="373A6E70"/>
    <w:rsid w:val="37737C8C"/>
    <w:rsid w:val="37B46BB8"/>
    <w:rsid w:val="37C6247F"/>
    <w:rsid w:val="37CD0A68"/>
    <w:rsid w:val="37ED7534"/>
    <w:rsid w:val="3822585E"/>
    <w:rsid w:val="382332AC"/>
    <w:rsid w:val="38450FE2"/>
    <w:rsid w:val="3892138E"/>
    <w:rsid w:val="38B6557F"/>
    <w:rsid w:val="38E004D3"/>
    <w:rsid w:val="39BF7BA1"/>
    <w:rsid w:val="39C944DB"/>
    <w:rsid w:val="39DE1025"/>
    <w:rsid w:val="3A0413FA"/>
    <w:rsid w:val="3A5C466F"/>
    <w:rsid w:val="3A606ADB"/>
    <w:rsid w:val="3AAA130F"/>
    <w:rsid w:val="3AC52B84"/>
    <w:rsid w:val="3AD049CE"/>
    <w:rsid w:val="3AD66849"/>
    <w:rsid w:val="3AF235BE"/>
    <w:rsid w:val="3B0D21A6"/>
    <w:rsid w:val="3B1875EA"/>
    <w:rsid w:val="3B547DD5"/>
    <w:rsid w:val="3B732951"/>
    <w:rsid w:val="3B954675"/>
    <w:rsid w:val="3BF91372"/>
    <w:rsid w:val="3C065FCB"/>
    <w:rsid w:val="3C120388"/>
    <w:rsid w:val="3CB7686D"/>
    <w:rsid w:val="3CCD7703"/>
    <w:rsid w:val="3CCD7C84"/>
    <w:rsid w:val="3D181556"/>
    <w:rsid w:val="3D2276FF"/>
    <w:rsid w:val="3D3103CE"/>
    <w:rsid w:val="3DA43295"/>
    <w:rsid w:val="3E4F08AE"/>
    <w:rsid w:val="3E5443B1"/>
    <w:rsid w:val="3E5A343D"/>
    <w:rsid w:val="3E621DA2"/>
    <w:rsid w:val="3E8A1AF3"/>
    <w:rsid w:val="3E9A5862"/>
    <w:rsid w:val="3ED2798E"/>
    <w:rsid w:val="3EED47C8"/>
    <w:rsid w:val="3F2B610E"/>
    <w:rsid w:val="3F734B1E"/>
    <w:rsid w:val="3F8F3963"/>
    <w:rsid w:val="3F9A4950"/>
    <w:rsid w:val="3F9D4F63"/>
    <w:rsid w:val="401D5D3B"/>
    <w:rsid w:val="40DA7886"/>
    <w:rsid w:val="411841AE"/>
    <w:rsid w:val="41386992"/>
    <w:rsid w:val="41392CB1"/>
    <w:rsid w:val="41410DFB"/>
    <w:rsid w:val="41456B3D"/>
    <w:rsid w:val="41505D84"/>
    <w:rsid w:val="415907BD"/>
    <w:rsid w:val="41894471"/>
    <w:rsid w:val="419D67DA"/>
    <w:rsid w:val="41A05B22"/>
    <w:rsid w:val="41AA0AA7"/>
    <w:rsid w:val="41C95079"/>
    <w:rsid w:val="42187DF8"/>
    <w:rsid w:val="42572357"/>
    <w:rsid w:val="42626FA4"/>
    <w:rsid w:val="4266577A"/>
    <w:rsid w:val="4278084D"/>
    <w:rsid w:val="427B20EB"/>
    <w:rsid w:val="428217F2"/>
    <w:rsid w:val="42B0448A"/>
    <w:rsid w:val="42C121F4"/>
    <w:rsid w:val="42D1767F"/>
    <w:rsid w:val="432E171D"/>
    <w:rsid w:val="43364C70"/>
    <w:rsid w:val="434A44E9"/>
    <w:rsid w:val="43586F36"/>
    <w:rsid w:val="43770B04"/>
    <w:rsid w:val="43BC68EA"/>
    <w:rsid w:val="441445A5"/>
    <w:rsid w:val="44166DBF"/>
    <w:rsid w:val="44557675"/>
    <w:rsid w:val="446C618F"/>
    <w:rsid w:val="44894F93"/>
    <w:rsid w:val="44D90662"/>
    <w:rsid w:val="451C25FD"/>
    <w:rsid w:val="45245679"/>
    <w:rsid w:val="453677FF"/>
    <w:rsid w:val="45521829"/>
    <w:rsid w:val="455530C7"/>
    <w:rsid w:val="45B539FC"/>
    <w:rsid w:val="461C08B0"/>
    <w:rsid w:val="46753A21"/>
    <w:rsid w:val="46791F65"/>
    <w:rsid w:val="46BE26D2"/>
    <w:rsid w:val="46DD3374"/>
    <w:rsid w:val="4723176C"/>
    <w:rsid w:val="47495244"/>
    <w:rsid w:val="47503B46"/>
    <w:rsid w:val="4755115C"/>
    <w:rsid w:val="47F32ABE"/>
    <w:rsid w:val="480B4BE4"/>
    <w:rsid w:val="48792142"/>
    <w:rsid w:val="48D8543D"/>
    <w:rsid w:val="48E07FE8"/>
    <w:rsid w:val="49092C53"/>
    <w:rsid w:val="49187241"/>
    <w:rsid w:val="493F3410"/>
    <w:rsid w:val="49495BDD"/>
    <w:rsid w:val="497309B4"/>
    <w:rsid w:val="49E43E12"/>
    <w:rsid w:val="4ADF723E"/>
    <w:rsid w:val="4AE80EFB"/>
    <w:rsid w:val="4B6202EC"/>
    <w:rsid w:val="4B647AD6"/>
    <w:rsid w:val="4B700C5B"/>
    <w:rsid w:val="4B812B44"/>
    <w:rsid w:val="4BC55F37"/>
    <w:rsid w:val="4C1050C5"/>
    <w:rsid w:val="4C2C2250"/>
    <w:rsid w:val="4C374653"/>
    <w:rsid w:val="4C481290"/>
    <w:rsid w:val="4C63256E"/>
    <w:rsid w:val="4C871DB8"/>
    <w:rsid w:val="4D1E3396"/>
    <w:rsid w:val="4D515CE5"/>
    <w:rsid w:val="4D755562"/>
    <w:rsid w:val="4DD3727F"/>
    <w:rsid w:val="4DDC6BBB"/>
    <w:rsid w:val="4E0C6BDD"/>
    <w:rsid w:val="4E13324D"/>
    <w:rsid w:val="4E3D67A6"/>
    <w:rsid w:val="4E783921"/>
    <w:rsid w:val="4E863ABC"/>
    <w:rsid w:val="4EB96475"/>
    <w:rsid w:val="4F0A6CD0"/>
    <w:rsid w:val="4F696C51"/>
    <w:rsid w:val="4FAA1984"/>
    <w:rsid w:val="4FC9594E"/>
    <w:rsid w:val="500656EA"/>
    <w:rsid w:val="50613100"/>
    <w:rsid w:val="50C40C0D"/>
    <w:rsid w:val="50D72D5B"/>
    <w:rsid w:val="50D945BC"/>
    <w:rsid w:val="5144296E"/>
    <w:rsid w:val="51AC29DA"/>
    <w:rsid w:val="524F15CA"/>
    <w:rsid w:val="525C2E3E"/>
    <w:rsid w:val="52E31DAD"/>
    <w:rsid w:val="5308050D"/>
    <w:rsid w:val="53081779"/>
    <w:rsid w:val="53237BB7"/>
    <w:rsid w:val="535E75EB"/>
    <w:rsid w:val="53C02053"/>
    <w:rsid w:val="53C477D8"/>
    <w:rsid w:val="53C51418"/>
    <w:rsid w:val="54EF2488"/>
    <w:rsid w:val="55052269"/>
    <w:rsid w:val="555D56E4"/>
    <w:rsid w:val="555E1B24"/>
    <w:rsid w:val="55690D63"/>
    <w:rsid w:val="559919C9"/>
    <w:rsid w:val="564A7E92"/>
    <w:rsid w:val="56545C58"/>
    <w:rsid w:val="56C56672"/>
    <w:rsid w:val="571E5A0F"/>
    <w:rsid w:val="572823EA"/>
    <w:rsid w:val="57D95AC7"/>
    <w:rsid w:val="58150BC0"/>
    <w:rsid w:val="585E3824"/>
    <w:rsid w:val="589957C8"/>
    <w:rsid w:val="58B07B38"/>
    <w:rsid w:val="58B478A1"/>
    <w:rsid w:val="591937AC"/>
    <w:rsid w:val="59F82547"/>
    <w:rsid w:val="5A032C9A"/>
    <w:rsid w:val="5AB27EC3"/>
    <w:rsid w:val="5ACA49FD"/>
    <w:rsid w:val="5B9E2383"/>
    <w:rsid w:val="5C1B42CB"/>
    <w:rsid w:val="5C216BF8"/>
    <w:rsid w:val="5C527E3D"/>
    <w:rsid w:val="5C583E75"/>
    <w:rsid w:val="5C633CFF"/>
    <w:rsid w:val="5C81378F"/>
    <w:rsid w:val="5C877BB2"/>
    <w:rsid w:val="5C8F6F90"/>
    <w:rsid w:val="5D2926F8"/>
    <w:rsid w:val="5D2C1D26"/>
    <w:rsid w:val="5DAA7FFC"/>
    <w:rsid w:val="5DF75DF1"/>
    <w:rsid w:val="5E1F582A"/>
    <w:rsid w:val="5E205DC8"/>
    <w:rsid w:val="5E8545C5"/>
    <w:rsid w:val="5E9E47E2"/>
    <w:rsid w:val="5EFB660A"/>
    <w:rsid w:val="5F5C4E82"/>
    <w:rsid w:val="5FD0003B"/>
    <w:rsid w:val="5FFC4166"/>
    <w:rsid w:val="60440FA5"/>
    <w:rsid w:val="605938F3"/>
    <w:rsid w:val="609F1D2E"/>
    <w:rsid w:val="60B71FDF"/>
    <w:rsid w:val="615E35D8"/>
    <w:rsid w:val="61646F94"/>
    <w:rsid w:val="61671D60"/>
    <w:rsid w:val="61970290"/>
    <w:rsid w:val="61E64133"/>
    <w:rsid w:val="621B2469"/>
    <w:rsid w:val="624A590A"/>
    <w:rsid w:val="627110E9"/>
    <w:rsid w:val="62880C96"/>
    <w:rsid w:val="62CE7CB9"/>
    <w:rsid w:val="62D02974"/>
    <w:rsid w:val="63244409"/>
    <w:rsid w:val="63DC5256"/>
    <w:rsid w:val="641E2BAA"/>
    <w:rsid w:val="64346872"/>
    <w:rsid w:val="648E5154"/>
    <w:rsid w:val="64A214FA"/>
    <w:rsid w:val="65A92A7B"/>
    <w:rsid w:val="65C33102"/>
    <w:rsid w:val="65E2039F"/>
    <w:rsid w:val="660F5B9D"/>
    <w:rsid w:val="66460592"/>
    <w:rsid w:val="667C484B"/>
    <w:rsid w:val="669B4633"/>
    <w:rsid w:val="66F127F8"/>
    <w:rsid w:val="66F13712"/>
    <w:rsid w:val="67007119"/>
    <w:rsid w:val="673D24F8"/>
    <w:rsid w:val="675D1C3B"/>
    <w:rsid w:val="67D30150"/>
    <w:rsid w:val="67ED7463"/>
    <w:rsid w:val="681E586F"/>
    <w:rsid w:val="684C1AA6"/>
    <w:rsid w:val="68D239D9"/>
    <w:rsid w:val="6A003994"/>
    <w:rsid w:val="6A254FAC"/>
    <w:rsid w:val="6A5E2269"/>
    <w:rsid w:val="6AA57F91"/>
    <w:rsid w:val="6AC9428C"/>
    <w:rsid w:val="6B3B6DBF"/>
    <w:rsid w:val="6B675C6F"/>
    <w:rsid w:val="6BA0614C"/>
    <w:rsid w:val="6BEA059A"/>
    <w:rsid w:val="6BF74085"/>
    <w:rsid w:val="6C1364FE"/>
    <w:rsid w:val="6C1D5C38"/>
    <w:rsid w:val="6C260C93"/>
    <w:rsid w:val="6C5A7584"/>
    <w:rsid w:val="6D1D5D70"/>
    <w:rsid w:val="6DB66549"/>
    <w:rsid w:val="6DC85463"/>
    <w:rsid w:val="6DFB3CC9"/>
    <w:rsid w:val="6E3237CC"/>
    <w:rsid w:val="6E3834A3"/>
    <w:rsid w:val="6E4269C5"/>
    <w:rsid w:val="6E44178F"/>
    <w:rsid w:val="6E470F69"/>
    <w:rsid w:val="6E623FDB"/>
    <w:rsid w:val="6E661D1D"/>
    <w:rsid w:val="6EB83286"/>
    <w:rsid w:val="6EC425A0"/>
    <w:rsid w:val="6EDC3D8E"/>
    <w:rsid w:val="6EE113A4"/>
    <w:rsid w:val="6F083446"/>
    <w:rsid w:val="6F2A3DA3"/>
    <w:rsid w:val="6F554C8A"/>
    <w:rsid w:val="6FB645DF"/>
    <w:rsid w:val="6FD57A08"/>
    <w:rsid w:val="703F72BA"/>
    <w:rsid w:val="704561B8"/>
    <w:rsid w:val="709829F2"/>
    <w:rsid w:val="70A46B2D"/>
    <w:rsid w:val="70B328CC"/>
    <w:rsid w:val="70F76EAF"/>
    <w:rsid w:val="711621EC"/>
    <w:rsid w:val="71804EA4"/>
    <w:rsid w:val="7193354A"/>
    <w:rsid w:val="71C206EE"/>
    <w:rsid w:val="71D72185"/>
    <w:rsid w:val="71FC30EB"/>
    <w:rsid w:val="72160D9B"/>
    <w:rsid w:val="722948F5"/>
    <w:rsid w:val="72361A07"/>
    <w:rsid w:val="723C6993"/>
    <w:rsid w:val="72566973"/>
    <w:rsid w:val="72993D99"/>
    <w:rsid w:val="72F83160"/>
    <w:rsid w:val="7366688A"/>
    <w:rsid w:val="73886292"/>
    <w:rsid w:val="738A7869"/>
    <w:rsid w:val="73A64A0E"/>
    <w:rsid w:val="73EC3572"/>
    <w:rsid w:val="74291206"/>
    <w:rsid w:val="743326A2"/>
    <w:rsid w:val="746B43C6"/>
    <w:rsid w:val="748E0009"/>
    <w:rsid w:val="74C85AF5"/>
    <w:rsid w:val="75273889"/>
    <w:rsid w:val="756845CD"/>
    <w:rsid w:val="75FF3A13"/>
    <w:rsid w:val="760A5FA9"/>
    <w:rsid w:val="761D5CA4"/>
    <w:rsid w:val="76283360"/>
    <w:rsid w:val="7662726E"/>
    <w:rsid w:val="76680BE6"/>
    <w:rsid w:val="76901B5B"/>
    <w:rsid w:val="76D94F85"/>
    <w:rsid w:val="77073972"/>
    <w:rsid w:val="772C307A"/>
    <w:rsid w:val="776D3F82"/>
    <w:rsid w:val="779152B8"/>
    <w:rsid w:val="77EF3ADA"/>
    <w:rsid w:val="7802626D"/>
    <w:rsid w:val="78394397"/>
    <w:rsid w:val="786541B6"/>
    <w:rsid w:val="788336B9"/>
    <w:rsid w:val="78992CEF"/>
    <w:rsid w:val="78DE0702"/>
    <w:rsid w:val="78EA0495"/>
    <w:rsid w:val="792229CD"/>
    <w:rsid w:val="79404933"/>
    <w:rsid w:val="79E3245E"/>
    <w:rsid w:val="79FD68FD"/>
    <w:rsid w:val="7A1B759B"/>
    <w:rsid w:val="7A4D5B40"/>
    <w:rsid w:val="7A884DCA"/>
    <w:rsid w:val="7AB833C2"/>
    <w:rsid w:val="7B4F1915"/>
    <w:rsid w:val="7C58454B"/>
    <w:rsid w:val="7C923CDE"/>
    <w:rsid w:val="7C9932BE"/>
    <w:rsid w:val="7D003C5B"/>
    <w:rsid w:val="7D522E56"/>
    <w:rsid w:val="7DF438B1"/>
    <w:rsid w:val="7DF76B88"/>
    <w:rsid w:val="7E841EC6"/>
    <w:rsid w:val="7E863A1E"/>
    <w:rsid w:val="7ED06D3F"/>
    <w:rsid w:val="7ED54355"/>
    <w:rsid w:val="7EF72610"/>
    <w:rsid w:val="7F11644C"/>
    <w:rsid w:val="7F3E639F"/>
    <w:rsid w:val="7F541580"/>
    <w:rsid w:val="7F813685"/>
    <w:rsid w:val="7FA04963"/>
    <w:rsid w:val="7FB8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10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tabs>
        <w:tab w:val="left" w:pos="2210"/>
      </w:tabs>
      <w:wordWrap w:val="0"/>
      <w:overflowPunct w:val="0"/>
      <w:autoSpaceDE w:val="0"/>
      <w:autoSpaceDN w:val="0"/>
      <w:adjustRightInd w:val="0"/>
      <w:spacing w:line="360" w:lineRule="auto"/>
      <w:ind w:left="780" w:hanging="360"/>
      <w:jc w:val="left"/>
      <w:outlineLvl w:val="3"/>
    </w:pPr>
    <w:rPr>
      <w:rFonts w:ascii="宋体" w:hAnsi="MS Sans Serif"/>
      <w:b/>
      <w:kern w:val="0"/>
      <w:sz w:val="24"/>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spacing w:before="100" w:beforeAutospacing="1" w:after="100" w:afterAutospacing="1"/>
      <w:jc w:val="left"/>
    </w:pPr>
    <w:rPr>
      <w:rFonts w:ascii="宋体" w:hAnsi="宋体"/>
      <w:kern w:val="0"/>
      <w:sz w:val="24"/>
      <w:szCs w:val="20"/>
    </w:rPr>
  </w:style>
  <w:style w:type="paragraph" w:styleId="6">
    <w:name w:val="annotation text"/>
    <w:basedOn w:val="1"/>
    <w:semiHidden/>
    <w:unhideWhenUsed/>
    <w:qFormat/>
    <w:uiPriority w:val="99"/>
    <w:pPr>
      <w:jc w:val="left"/>
    </w:pPr>
  </w:style>
  <w:style w:type="paragraph" w:styleId="7">
    <w:name w:val="Salutation"/>
    <w:basedOn w:val="1"/>
    <w:next w:val="1"/>
    <w:link w:val="69"/>
    <w:semiHidden/>
    <w:qFormat/>
    <w:uiPriority w:val="0"/>
    <w:rPr>
      <w:sz w:val="24"/>
      <w:szCs w:val="24"/>
    </w:rPr>
  </w:style>
  <w:style w:type="paragraph" w:styleId="8">
    <w:name w:val="Body Text"/>
    <w:basedOn w:val="1"/>
    <w:qFormat/>
    <w:uiPriority w:val="1"/>
    <w:rPr>
      <w:sz w:val="21"/>
      <w:szCs w:val="21"/>
    </w:rPr>
  </w:style>
  <w:style w:type="paragraph" w:styleId="9">
    <w:name w:val="Body Text Indent"/>
    <w:basedOn w:val="1"/>
    <w:link w:val="108"/>
    <w:semiHidden/>
    <w:unhideWhenUsed/>
    <w:qFormat/>
    <w:uiPriority w:val="99"/>
    <w:pPr>
      <w:spacing w:after="120" w:afterLines="0" w:afterAutospacing="0"/>
      <w:ind w:left="420" w:leftChars="200"/>
    </w:pPr>
  </w:style>
  <w:style w:type="paragraph" w:styleId="10">
    <w:name w:val="toc 3"/>
    <w:basedOn w:val="1"/>
    <w:next w:val="1"/>
    <w:semiHidden/>
    <w:unhideWhenUsed/>
    <w:qFormat/>
    <w:uiPriority w:val="39"/>
    <w:pPr>
      <w:ind w:left="840" w:leftChars="4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style>
  <w:style w:type="paragraph" w:styleId="13">
    <w:name w:val="Balloon Text"/>
    <w:basedOn w:val="1"/>
    <w:link w:val="104"/>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kern w:val="0"/>
      <w:sz w:val="18"/>
      <w:szCs w:val="18"/>
    </w:rPr>
  </w:style>
  <w:style w:type="paragraph" w:styleId="15">
    <w:name w:val="header"/>
    <w:basedOn w:val="1"/>
    <w:link w:val="36"/>
    <w:qFormat/>
    <w:uiPriority w:val="0"/>
    <w:pPr>
      <w:pBdr>
        <w:bottom w:val="single" w:color="000000" w:sz="6" w:space="1"/>
      </w:pBdr>
      <w:tabs>
        <w:tab w:val="center" w:pos="4153"/>
        <w:tab w:val="right" w:pos="8306"/>
      </w:tabs>
      <w:snapToGrid w:val="0"/>
      <w:jc w:val="center"/>
    </w:pPr>
    <w:rPr>
      <w:kern w:val="0"/>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Body Text 2"/>
    <w:basedOn w:val="1"/>
    <w:qFormat/>
    <w:uiPriority w:val="0"/>
    <w:pPr>
      <w:spacing w:after="120" w:afterLines="0" w:line="480" w:lineRule="auto"/>
    </w:pPr>
    <w:rPr>
      <w:kern w:val="0"/>
      <w:sz w:val="20"/>
    </w:rPr>
  </w:style>
  <w:style w:type="paragraph" w:styleId="1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link w:val="43"/>
    <w:qFormat/>
    <w:uiPriority w:val="0"/>
    <w:pPr>
      <w:spacing w:before="240" w:after="60"/>
      <w:jc w:val="center"/>
    </w:pPr>
    <w:rPr>
      <w:rFonts w:ascii="Arial" w:hAnsi="Arial"/>
      <w:sz w:val="44"/>
      <w:szCs w:val="32"/>
    </w:rPr>
  </w:style>
  <w:style w:type="paragraph" w:styleId="21">
    <w:name w:val="Body Text First Indent 2"/>
    <w:basedOn w:val="9"/>
    <w:link w:val="109"/>
    <w:semiHidden/>
    <w:unhideWhenUsed/>
    <w:qFormat/>
    <w:uiPriority w:val="99"/>
    <w:pPr>
      <w:ind w:firstLine="420" w:firstLineChars="200"/>
    </w:pPr>
  </w:style>
  <w:style w:type="character" w:styleId="24">
    <w:name w:val="Strong"/>
    <w:qFormat/>
    <w:uiPriority w:val="0"/>
    <w:rPr>
      <w:rFonts w:cs="Times New Roman"/>
      <w:b/>
      <w:bCs/>
    </w:rPr>
  </w:style>
  <w:style w:type="character" w:styleId="25">
    <w:name w:val="Hyperlink"/>
    <w:basedOn w:val="23"/>
    <w:qFormat/>
    <w:uiPriority w:val="0"/>
    <w:rPr>
      <w:color w:val="0000FF"/>
      <w:u w:val="single"/>
    </w:rPr>
  </w:style>
  <w:style w:type="character" w:styleId="26">
    <w:name w:val="HTML Sample"/>
    <w:basedOn w:val="23"/>
    <w:semiHidden/>
    <w:unhideWhenUsed/>
    <w:qFormat/>
    <w:uiPriority w:val="99"/>
    <w:rPr>
      <w:rFonts w:ascii="Courier New" w:hAnsi="Courier New"/>
    </w:rPr>
  </w:style>
  <w:style w:type="paragraph" w:customStyle="1" w:styleId="27">
    <w:name w:val="UserStyle_0"/>
    <w:basedOn w:val="1"/>
    <w:next w:val="1"/>
    <w:qFormat/>
    <w:uiPriority w:val="0"/>
    <w:pPr>
      <w:keepNext/>
      <w:keepLines/>
      <w:spacing w:before="260" w:after="260" w:line="416" w:lineRule="auto"/>
      <w:jc w:val="both"/>
      <w:textAlignment w:val="baseline"/>
    </w:pPr>
    <w:rPr>
      <w:rFonts w:ascii="Cambria" w:hAnsi="Cambria" w:eastAsia="Times New Roman"/>
      <w:sz w:val="32"/>
      <w:szCs w:val="32"/>
      <w:lang w:eastAsia="en-US" w:bidi="ar-SA"/>
    </w:rPr>
  </w:style>
  <w:style w:type="paragraph" w:customStyle="1" w:styleId="28">
    <w:name w:val="Heading2"/>
    <w:basedOn w:val="1"/>
    <w:next w:val="1"/>
    <w:qFormat/>
    <w:uiPriority w:val="0"/>
    <w:pPr>
      <w:keepNext/>
      <w:keepLines/>
      <w:spacing w:before="260" w:after="260" w:line="416" w:lineRule="auto"/>
    </w:pPr>
    <w:rPr>
      <w:rFonts w:ascii="Cambria" w:hAnsi="Cambria"/>
      <w:sz w:val="32"/>
      <w:szCs w:val="32"/>
    </w:rPr>
  </w:style>
  <w:style w:type="paragraph" w:customStyle="1" w:styleId="29">
    <w:name w:val="Heading1"/>
    <w:basedOn w:val="1"/>
    <w:next w:val="1"/>
    <w:qFormat/>
    <w:uiPriority w:val="0"/>
    <w:pPr>
      <w:tabs>
        <w:tab w:val="left" w:pos="1080"/>
      </w:tabs>
      <w:snapToGrid w:val="0"/>
      <w:spacing w:before="120" w:line="360" w:lineRule="auto"/>
    </w:pPr>
    <w:rPr>
      <w:rFonts w:eastAsia="理德小标宋简"/>
      <w:kern w:val="44"/>
      <w:sz w:val="28"/>
      <w:szCs w:val="44"/>
    </w:rPr>
  </w:style>
  <w:style w:type="paragraph" w:customStyle="1" w:styleId="30">
    <w:name w:val="Heading3"/>
    <w:basedOn w:val="1"/>
    <w:next w:val="1"/>
    <w:qFormat/>
    <w:uiPriority w:val="0"/>
    <w:pPr>
      <w:keepNext/>
      <w:keepLines/>
      <w:spacing w:before="260" w:after="260" w:line="416" w:lineRule="auto"/>
    </w:pPr>
    <w:rPr>
      <w:sz w:val="32"/>
      <w:szCs w:val="32"/>
    </w:rPr>
  </w:style>
  <w:style w:type="paragraph" w:customStyle="1" w:styleId="31">
    <w:name w:val="Heading4"/>
    <w:basedOn w:val="1"/>
    <w:next w:val="1"/>
    <w:qFormat/>
    <w:uiPriority w:val="0"/>
    <w:pPr>
      <w:keepNext/>
      <w:keepLines/>
      <w:spacing w:line="360" w:lineRule="auto"/>
      <w:jc w:val="center"/>
    </w:pPr>
    <w:rPr>
      <w:rFonts w:ascii="Cambria" w:hAnsi="Cambria"/>
      <w:sz w:val="28"/>
      <w:szCs w:val="36"/>
    </w:rPr>
  </w:style>
  <w:style w:type="paragraph" w:customStyle="1" w:styleId="32">
    <w:name w:val="Heading5"/>
    <w:basedOn w:val="1"/>
    <w:next w:val="1"/>
    <w:qFormat/>
    <w:uiPriority w:val="0"/>
    <w:pPr>
      <w:keepNext/>
      <w:keepLines/>
      <w:spacing w:before="280" w:after="290" w:line="376" w:lineRule="auto"/>
    </w:pPr>
    <w:rPr>
      <w:sz w:val="28"/>
      <w:szCs w:val="28"/>
    </w:rPr>
  </w:style>
  <w:style w:type="character" w:customStyle="1" w:styleId="33">
    <w:name w:val="NormalCharacter"/>
    <w:link w:val="1"/>
    <w:qFormat/>
    <w:uiPriority w:val="0"/>
    <w:rPr>
      <w:rFonts w:ascii="Times New Roman" w:hAnsi="Times New Roman" w:eastAsia="宋体" w:cs="Times New Roman"/>
      <w:kern w:val="2"/>
      <w:sz w:val="21"/>
      <w:szCs w:val="22"/>
      <w:lang w:val="en-US" w:eastAsia="zh-CN" w:bidi="ar-SA"/>
    </w:rPr>
  </w:style>
  <w:style w:type="table" w:customStyle="1" w:styleId="34">
    <w:name w:val="TableNormal"/>
    <w:qFormat/>
    <w:uiPriority w:val="0"/>
    <w:tblPr>
      <w:tblCellMar>
        <w:top w:w="0" w:type="dxa"/>
        <w:left w:w="0" w:type="dxa"/>
        <w:bottom w:w="0" w:type="dxa"/>
        <w:right w:w="0" w:type="dxa"/>
      </w:tblCellMar>
    </w:tblPr>
  </w:style>
  <w:style w:type="character" w:customStyle="1" w:styleId="35">
    <w:name w:val="页脚 Char"/>
    <w:link w:val="14"/>
    <w:qFormat/>
    <w:uiPriority w:val="99"/>
    <w:rPr>
      <w:sz w:val="18"/>
      <w:szCs w:val="18"/>
    </w:rPr>
  </w:style>
  <w:style w:type="character" w:customStyle="1" w:styleId="36">
    <w:name w:val="页眉 Char"/>
    <w:link w:val="15"/>
    <w:qFormat/>
    <w:uiPriority w:val="0"/>
    <w:rPr>
      <w:sz w:val="18"/>
      <w:szCs w:val="18"/>
    </w:rPr>
  </w:style>
  <w:style w:type="character" w:customStyle="1" w:styleId="37">
    <w:name w:val="UserStyle_2"/>
    <w:link w:val="38"/>
    <w:qFormat/>
    <w:uiPriority w:val="0"/>
    <w:rPr>
      <w:kern w:val="2"/>
      <w:sz w:val="18"/>
      <w:szCs w:val="18"/>
    </w:rPr>
  </w:style>
  <w:style w:type="paragraph" w:customStyle="1" w:styleId="38">
    <w:name w:val="Acetate"/>
    <w:basedOn w:val="1"/>
    <w:link w:val="37"/>
    <w:qFormat/>
    <w:uiPriority w:val="0"/>
    <w:rPr>
      <w:sz w:val="18"/>
      <w:szCs w:val="18"/>
    </w:rPr>
  </w:style>
  <w:style w:type="character" w:customStyle="1" w:styleId="39">
    <w:name w:val="AnnotationReference"/>
    <w:qFormat/>
    <w:uiPriority w:val="0"/>
    <w:rPr>
      <w:sz w:val="21"/>
      <w:szCs w:val="21"/>
    </w:rPr>
  </w:style>
  <w:style w:type="character" w:customStyle="1" w:styleId="40">
    <w:name w:val="PageNumber"/>
    <w:basedOn w:val="33"/>
    <w:qFormat/>
    <w:uiPriority w:val="0"/>
  </w:style>
  <w:style w:type="character" w:customStyle="1" w:styleId="41">
    <w:name w:val="UserStyle_3"/>
    <w:link w:val="42"/>
    <w:qFormat/>
    <w:uiPriority w:val="0"/>
    <w:rPr>
      <w:rFonts w:ascii="宋体" w:hAnsi="Times New Roman"/>
      <w:sz w:val="18"/>
      <w:szCs w:val="18"/>
    </w:rPr>
  </w:style>
  <w:style w:type="paragraph" w:customStyle="1" w:styleId="42">
    <w:name w:val="NavPane"/>
    <w:basedOn w:val="1"/>
    <w:link w:val="41"/>
    <w:qFormat/>
    <w:uiPriority w:val="0"/>
    <w:pPr>
      <w:spacing w:line="312" w:lineRule="atLeast"/>
    </w:pPr>
    <w:rPr>
      <w:rFonts w:ascii="宋体"/>
      <w:kern w:val="0"/>
      <w:sz w:val="18"/>
      <w:szCs w:val="18"/>
    </w:rPr>
  </w:style>
  <w:style w:type="character" w:customStyle="1" w:styleId="43">
    <w:name w:val="标题 Char"/>
    <w:link w:val="20"/>
    <w:qFormat/>
    <w:uiPriority w:val="0"/>
    <w:rPr>
      <w:rFonts w:ascii="Arial" w:hAnsi="Arial" w:cs="Arial"/>
      <w:b/>
      <w:bCs/>
      <w:kern w:val="2"/>
      <w:sz w:val="44"/>
      <w:szCs w:val="32"/>
    </w:rPr>
  </w:style>
  <w:style w:type="character" w:customStyle="1" w:styleId="44">
    <w:name w:val="UserStyle_5"/>
    <w:qFormat/>
    <w:uiPriority w:val="0"/>
    <w:rPr>
      <w:rFonts w:cs="Times New Roman"/>
      <w:b/>
      <w:bCs/>
      <w:kern w:val="2"/>
      <w:sz w:val="32"/>
      <w:szCs w:val="32"/>
    </w:rPr>
  </w:style>
  <w:style w:type="character" w:customStyle="1" w:styleId="45">
    <w:name w:val="UserStyle_6"/>
    <w:qFormat/>
    <w:uiPriority w:val="0"/>
    <w:rPr>
      <w:rFonts w:ascii="Cambria" w:hAnsi="Cambria" w:eastAsia="宋体" w:cs="Times New Roman"/>
      <w:b/>
      <w:bCs/>
      <w:kern w:val="2"/>
      <w:sz w:val="32"/>
      <w:szCs w:val="32"/>
    </w:rPr>
  </w:style>
  <w:style w:type="character" w:customStyle="1" w:styleId="46">
    <w:name w:val="UserStyle_7"/>
    <w:qFormat/>
    <w:uiPriority w:val="0"/>
    <w:rPr>
      <w:rFonts w:ascii="宋体" w:hAnsi="Courier New" w:eastAsia="宋体"/>
      <w:szCs w:val="20"/>
    </w:rPr>
  </w:style>
  <w:style w:type="character" w:customStyle="1" w:styleId="47">
    <w:name w:val="UserStyle_8"/>
    <w:link w:val="48"/>
    <w:qFormat/>
    <w:uiPriority w:val="0"/>
    <w:rPr>
      <w:rFonts w:ascii="宋体" w:hAnsi="Courier New"/>
      <w:kern w:val="2"/>
      <w:sz w:val="21"/>
      <w:szCs w:val="21"/>
    </w:rPr>
  </w:style>
  <w:style w:type="paragraph" w:customStyle="1" w:styleId="48">
    <w:name w:val="PlainText"/>
    <w:basedOn w:val="1"/>
    <w:link w:val="47"/>
    <w:qFormat/>
    <w:uiPriority w:val="0"/>
    <w:rPr>
      <w:rFonts w:ascii="宋体" w:hAnsi="Courier New"/>
      <w:szCs w:val="21"/>
    </w:rPr>
  </w:style>
  <w:style w:type="character" w:customStyle="1" w:styleId="49">
    <w:name w:val="UserStyle_9"/>
    <w:link w:val="50"/>
    <w:semiHidden/>
    <w:qFormat/>
    <w:uiPriority w:val="0"/>
    <w:rPr>
      <w:kern w:val="2"/>
      <w:sz w:val="21"/>
      <w:szCs w:val="22"/>
    </w:rPr>
  </w:style>
  <w:style w:type="paragraph" w:customStyle="1" w:styleId="50">
    <w:name w:val="BodyText2"/>
    <w:basedOn w:val="1"/>
    <w:link w:val="49"/>
    <w:qFormat/>
    <w:uiPriority w:val="0"/>
    <w:pPr>
      <w:spacing w:after="120" w:line="480" w:lineRule="auto"/>
    </w:pPr>
  </w:style>
  <w:style w:type="character" w:customStyle="1" w:styleId="51">
    <w:name w:val="UserStyle_10"/>
    <w:link w:val="52"/>
    <w:qFormat/>
    <w:uiPriority w:val="0"/>
    <w:rPr>
      <w:rFonts w:ascii="Times New Roman" w:hAnsi="Times New Roman"/>
      <w:sz w:val="21"/>
    </w:rPr>
  </w:style>
  <w:style w:type="paragraph" w:customStyle="1" w:styleId="52">
    <w:name w:val="AnnotationText"/>
    <w:basedOn w:val="1"/>
    <w:link w:val="51"/>
    <w:qFormat/>
    <w:uiPriority w:val="0"/>
    <w:pPr>
      <w:spacing w:line="312" w:lineRule="atLeast"/>
      <w:jc w:val="left"/>
    </w:pPr>
    <w:rPr>
      <w:kern w:val="0"/>
      <w:szCs w:val="20"/>
    </w:rPr>
  </w:style>
  <w:style w:type="character" w:customStyle="1" w:styleId="53">
    <w:name w:val="UserStyle_11"/>
    <w:qFormat/>
    <w:uiPriority w:val="0"/>
    <w:rPr>
      <w:rFonts w:cs="Times New Roman"/>
      <w:b/>
      <w:bCs/>
      <w:kern w:val="2"/>
      <w:sz w:val="28"/>
      <w:szCs w:val="28"/>
    </w:rPr>
  </w:style>
  <w:style w:type="character" w:customStyle="1" w:styleId="54">
    <w:name w:val="UserStyle_12"/>
    <w:qFormat/>
    <w:uiPriority w:val="0"/>
    <w:rPr>
      <w:rFonts w:ascii="Cambria" w:hAnsi="Cambria" w:eastAsia="宋体" w:cs="Times New Roman"/>
      <w:b/>
      <w:bCs/>
      <w:kern w:val="2"/>
      <w:sz w:val="28"/>
      <w:szCs w:val="36"/>
    </w:rPr>
  </w:style>
  <w:style w:type="character" w:customStyle="1" w:styleId="55">
    <w:name w:val="UserStyle_13"/>
    <w:link w:val="56"/>
    <w:qFormat/>
    <w:uiPriority w:val="0"/>
    <w:rPr>
      <w:rFonts w:ascii="Times New Roman" w:hAnsi="Times New Roman"/>
      <w:kern w:val="2"/>
      <w:sz w:val="24"/>
      <w:szCs w:val="24"/>
    </w:rPr>
  </w:style>
  <w:style w:type="paragraph" w:customStyle="1" w:styleId="56">
    <w:name w:val="BodyTextIndent"/>
    <w:basedOn w:val="1"/>
    <w:link w:val="55"/>
    <w:qFormat/>
    <w:uiPriority w:val="0"/>
    <w:pPr>
      <w:ind w:left="420" w:leftChars="200"/>
      <w:jc w:val="left"/>
    </w:pPr>
    <w:rPr>
      <w:sz w:val="24"/>
      <w:szCs w:val="24"/>
    </w:rPr>
  </w:style>
  <w:style w:type="character" w:customStyle="1" w:styleId="57">
    <w:name w:val="UserStyle_14"/>
    <w:qFormat/>
    <w:uiPriority w:val="0"/>
    <w:rPr>
      <w:rFonts w:ascii="宋体" w:hAnsi="Courier New" w:eastAsia="宋体"/>
      <w:kern w:val="2"/>
      <w:sz w:val="21"/>
      <w:lang w:val="en-US" w:eastAsia="zh-CN" w:bidi="ar-SA"/>
    </w:rPr>
  </w:style>
  <w:style w:type="character" w:customStyle="1" w:styleId="58">
    <w:name w:val="UserStyle_15"/>
    <w:basedOn w:val="33"/>
    <w:qFormat/>
    <w:uiPriority w:val="0"/>
  </w:style>
  <w:style w:type="character" w:customStyle="1" w:styleId="59">
    <w:name w:val="UserStyle_16"/>
    <w:qFormat/>
    <w:uiPriority w:val="0"/>
    <w:rPr>
      <w:rFonts w:ascii="宋体" w:hAnsi="Courier New" w:eastAsia="宋体"/>
      <w:szCs w:val="21"/>
    </w:rPr>
  </w:style>
  <w:style w:type="character" w:customStyle="1" w:styleId="60">
    <w:name w:val="UserStyle_17"/>
    <w:link w:val="61"/>
    <w:semiHidden/>
    <w:qFormat/>
    <w:uiPriority w:val="0"/>
    <w:rPr>
      <w:rFonts w:ascii="Times New Roman" w:hAnsi="Times New Roman"/>
      <w:kern w:val="2"/>
      <w:sz w:val="24"/>
      <w:szCs w:val="24"/>
    </w:rPr>
  </w:style>
  <w:style w:type="paragraph" w:customStyle="1" w:styleId="61">
    <w:name w:val="NoteHeading"/>
    <w:basedOn w:val="1"/>
    <w:next w:val="1"/>
    <w:link w:val="60"/>
    <w:semiHidden/>
    <w:qFormat/>
    <w:uiPriority w:val="0"/>
    <w:pPr>
      <w:jc w:val="center"/>
    </w:pPr>
    <w:rPr>
      <w:sz w:val="24"/>
      <w:szCs w:val="24"/>
    </w:rPr>
  </w:style>
  <w:style w:type="character" w:customStyle="1" w:styleId="62">
    <w:name w:val="UserStyle_18"/>
    <w:link w:val="63"/>
    <w:qFormat/>
    <w:uiPriority w:val="0"/>
    <w:rPr>
      <w:rFonts w:ascii="宋体" w:hAnsi="Times New Roman"/>
      <w:sz w:val="28"/>
    </w:rPr>
  </w:style>
  <w:style w:type="paragraph" w:customStyle="1" w:styleId="63">
    <w:name w:val="BodyTextIndent3"/>
    <w:basedOn w:val="1"/>
    <w:link w:val="62"/>
    <w:qFormat/>
    <w:uiPriority w:val="0"/>
    <w:pPr>
      <w:spacing w:line="360" w:lineRule="auto"/>
      <w:ind w:firstLine="480"/>
    </w:pPr>
    <w:rPr>
      <w:rFonts w:ascii="宋体"/>
      <w:kern w:val="0"/>
      <w:sz w:val="28"/>
      <w:szCs w:val="20"/>
    </w:rPr>
  </w:style>
  <w:style w:type="character" w:customStyle="1" w:styleId="64">
    <w:name w:val="UserStyle_19"/>
    <w:link w:val="65"/>
    <w:qFormat/>
    <w:uiPriority w:val="0"/>
    <w:rPr>
      <w:rFonts w:ascii="Times New Roman" w:hAnsi="Times New Roman" w:cs="Times New Roman"/>
      <w:b/>
      <w:bCs/>
      <w:sz w:val="21"/>
    </w:rPr>
  </w:style>
  <w:style w:type="paragraph" w:customStyle="1" w:styleId="65">
    <w:name w:val="AnnotationSubject"/>
    <w:basedOn w:val="52"/>
    <w:next w:val="52"/>
    <w:link w:val="64"/>
    <w:qFormat/>
    <w:uiPriority w:val="0"/>
  </w:style>
  <w:style w:type="character" w:customStyle="1" w:styleId="66">
    <w:name w:val="UserStyle_20"/>
    <w:link w:val="67"/>
    <w:qFormat/>
    <w:uiPriority w:val="0"/>
    <w:rPr>
      <w:rFonts w:ascii="楷体_GB2312" w:hAnsi="Times New Roman" w:eastAsia="楷体_GB2312"/>
      <w:b/>
      <w:sz w:val="48"/>
    </w:rPr>
  </w:style>
  <w:style w:type="paragraph" w:customStyle="1" w:styleId="67">
    <w:name w:val="BodyText"/>
    <w:basedOn w:val="1"/>
    <w:link w:val="66"/>
    <w:qFormat/>
    <w:uiPriority w:val="0"/>
    <w:pPr>
      <w:spacing w:line="312" w:lineRule="atLeast"/>
      <w:jc w:val="center"/>
    </w:pPr>
    <w:rPr>
      <w:rFonts w:ascii="楷体_GB2312" w:eastAsia="楷体_GB2312"/>
      <w:kern w:val="0"/>
      <w:sz w:val="48"/>
      <w:szCs w:val="20"/>
    </w:rPr>
  </w:style>
  <w:style w:type="character" w:customStyle="1" w:styleId="68">
    <w:name w:val="UserStyle_21"/>
    <w:qFormat/>
    <w:uiPriority w:val="0"/>
    <w:rPr>
      <w:rFonts w:ascii="Times New Roman" w:hAnsi="Times New Roman" w:eastAsia="理德小标宋简" w:cs="Times New Roman"/>
      <w:b/>
      <w:bCs/>
      <w:kern w:val="44"/>
      <w:sz w:val="28"/>
      <w:szCs w:val="44"/>
    </w:rPr>
  </w:style>
  <w:style w:type="character" w:customStyle="1" w:styleId="69">
    <w:name w:val="称呼 Char"/>
    <w:link w:val="7"/>
    <w:semiHidden/>
    <w:qFormat/>
    <w:uiPriority w:val="0"/>
    <w:rPr>
      <w:rFonts w:ascii="Times New Roman" w:hAnsi="Times New Roman"/>
      <w:kern w:val="2"/>
      <w:sz w:val="24"/>
      <w:szCs w:val="24"/>
    </w:rPr>
  </w:style>
  <w:style w:type="paragraph" w:customStyle="1" w:styleId="70">
    <w:name w:val="UserStyle_23"/>
    <w:basedOn w:val="1"/>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1">
    <w:name w:val="TOC7"/>
    <w:basedOn w:val="1"/>
    <w:next w:val="1"/>
    <w:qFormat/>
    <w:uiPriority w:val="0"/>
    <w:pPr>
      <w:spacing w:line="312" w:lineRule="atLeast"/>
      <w:ind w:left="1260"/>
      <w:jc w:val="left"/>
    </w:pPr>
    <w:rPr>
      <w:kern w:val="0"/>
      <w:sz w:val="18"/>
      <w:szCs w:val="18"/>
    </w:rPr>
  </w:style>
  <w:style w:type="paragraph" w:customStyle="1" w:styleId="72">
    <w:name w:val="TOC5"/>
    <w:basedOn w:val="1"/>
    <w:next w:val="1"/>
    <w:qFormat/>
    <w:uiPriority w:val="0"/>
    <w:pPr>
      <w:spacing w:line="312" w:lineRule="atLeast"/>
      <w:ind w:left="840"/>
      <w:jc w:val="left"/>
    </w:pPr>
    <w:rPr>
      <w:kern w:val="0"/>
      <w:sz w:val="18"/>
      <w:szCs w:val="18"/>
    </w:rPr>
  </w:style>
  <w:style w:type="paragraph" w:customStyle="1" w:styleId="73">
    <w:name w:val="TOC8"/>
    <w:basedOn w:val="1"/>
    <w:next w:val="1"/>
    <w:qFormat/>
    <w:uiPriority w:val="0"/>
    <w:pPr>
      <w:spacing w:line="312" w:lineRule="atLeast"/>
      <w:ind w:left="1470"/>
      <w:jc w:val="left"/>
    </w:pPr>
    <w:rPr>
      <w:kern w:val="0"/>
      <w:sz w:val="18"/>
      <w:szCs w:val="18"/>
    </w:rPr>
  </w:style>
  <w:style w:type="paragraph" w:customStyle="1" w:styleId="74">
    <w:name w:val="UserStyle_24"/>
    <w:basedOn w:val="1"/>
    <w:next w:val="1"/>
    <w:qFormat/>
    <w:uiPriority w:val="0"/>
    <w:pPr>
      <w:spacing w:before="120" w:after="120" w:line="290" w:lineRule="auto"/>
      <w:jc w:val="center"/>
    </w:pPr>
    <w:rPr>
      <w:rFonts w:ascii="Arial" w:hAnsi="Arial"/>
      <w:kern w:val="24"/>
      <w:sz w:val="24"/>
      <w:szCs w:val="24"/>
      <w:lang w:val="en-GB" w:eastAsia="en-US"/>
    </w:rPr>
  </w:style>
  <w:style w:type="paragraph" w:customStyle="1" w:styleId="75">
    <w:name w:val="TOC2"/>
    <w:basedOn w:val="1"/>
    <w:next w:val="1"/>
    <w:qFormat/>
    <w:uiPriority w:val="0"/>
    <w:pPr>
      <w:spacing w:line="312" w:lineRule="atLeast"/>
      <w:ind w:left="210"/>
      <w:jc w:val="left"/>
    </w:pPr>
    <w:rPr>
      <w:kern w:val="0"/>
      <w:sz w:val="20"/>
      <w:szCs w:val="20"/>
    </w:rPr>
  </w:style>
  <w:style w:type="paragraph" w:customStyle="1" w:styleId="76">
    <w:name w:val="TOC6"/>
    <w:basedOn w:val="1"/>
    <w:next w:val="1"/>
    <w:qFormat/>
    <w:uiPriority w:val="0"/>
    <w:pPr>
      <w:spacing w:line="312" w:lineRule="atLeast"/>
      <w:ind w:left="1050"/>
      <w:jc w:val="left"/>
    </w:pPr>
    <w:rPr>
      <w:kern w:val="0"/>
      <w:sz w:val="18"/>
      <w:szCs w:val="18"/>
    </w:rPr>
  </w:style>
  <w:style w:type="paragraph" w:customStyle="1" w:styleId="77">
    <w:name w:val="TOC3"/>
    <w:basedOn w:val="1"/>
    <w:next w:val="1"/>
    <w:qFormat/>
    <w:uiPriority w:val="0"/>
    <w:pPr>
      <w:spacing w:line="312" w:lineRule="atLeast"/>
      <w:ind w:left="420"/>
      <w:jc w:val="left"/>
    </w:pPr>
    <w:rPr>
      <w:kern w:val="0"/>
      <w:sz w:val="20"/>
      <w:szCs w:val="20"/>
    </w:rPr>
  </w:style>
  <w:style w:type="paragraph" w:customStyle="1" w:styleId="78">
    <w:name w:val="UserStyle_25"/>
    <w:basedOn w:val="1"/>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79">
    <w:name w:val="UserStyle_26"/>
    <w:basedOn w:val="80"/>
    <w:qFormat/>
    <w:uiPriority w:val="0"/>
    <w:pPr>
      <w:tabs>
        <w:tab w:val="left" w:pos="1361"/>
      </w:tabs>
    </w:pPr>
  </w:style>
  <w:style w:type="paragraph" w:customStyle="1" w:styleId="80">
    <w:name w:val="UserStyle_27"/>
    <w:basedOn w:val="1"/>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1">
    <w:name w:val="TOC9"/>
    <w:basedOn w:val="1"/>
    <w:next w:val="1"/>
    <w:qFormat/>
    <w:uiPriority w:val="0"/>
    <w:pPr>
      <w:spacing w:line="312" w:lineRule="atLeast"/>
      <w:ind w:left="1680"/>
      <w:jc w:val="left"/>
    </w:pPr>
    <w:rPr>
      <w:kern w:val="0"/>
      <w:sz w:val="18"/>
      <w:szCs w:val="18"/>
    </w:rPr>
  </w:style>
  <w:style w:type="paragraph" w:customStyle="1" w:styleId="82">
    <w:name w:val="TOC4"/>
    <w:basedOn w:val="1"/>
    <w:next w:val="1"/>
    <w:qFormat/>
    <w:uiPriority w:val="0"/>
    <w:pPr>
      <w:spacing w:line="312" w:lineRule="atLeast"/>
      <w:ind w:left="630"/>
      <w:jc w:val="left"/>
    </w:pPr>
    <w:rPr>
      <w:kern w:val="0"/>
      <w:sz w:val="18"/>
      <w:szCs w:val="18"/>
    </w:rPr>
  </w:style>
  <w:style w:type="paragraph" w:customStyle="1" w:styleId="83">
    <w:name w:val="TOC1"/>
    <w:basedOn w:val="1"/>
    <w:next w:val="1"/>
    <w:qFormat/>
    <w:uiPriority w:val="0"/>
    <w:pPr>
      <w:spacing w:before="120" w:after="120" w:line="312" w:lineRule="atLeast"/>
      <w:jc w:val="left"/>
    </w:pPr>
    <w:rPr>
      <w:kern w:val="0"/>
      <w:sz w:val="20"/>
      <w:szCs w:val="20"/>
    </w:rPr>
  </w:style>
  <w:style w:type="paragraph" w:customStyle="1" w:styleId="84">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5">
    <w:name w:val="UserStyle_28"/>
    <w:basedOn w:val="1"/>
    <w:qFormat/>
    <w:uiPriority w:val="0"/>
    <w:pPr>
      <w:spacing w:after="140" w:line="290" w:lineRule="auto"/>
    </w:pPr>
    <w:rPr>
      <w:rFonts w:ascii="Arial" w:hAnsi="Arial"/>
      <w:kern w:val="20"/>
      <w:sz w:val="20"/>
      <w:szCs w:val="24"/>
      <w:lang w:val="en-GB" w:eastAsia="en-US"/>
    </w:rPr>
  </w:style>
  <w:style w:type="paragraph" w:customStyle="1" w:styleId="86">
    <w:name w:val="UserStyle_2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87">
    <w:name w:val="UserStyle_30"/>
    <w:basedOn w:val="1"/>
    <w:qFormat/>
    <w:uiPriority w:val="0"/>
    <w:pPr>
      <w:spacing w:before="120" w:after="120" w:line="290" w:lineRule="auto"/>
      <w:jc w:val="center"/>
    </w:pPr>
    <w:rPr>
      <w:rFonts w:ascii="Arial" w:hAnsi="Arial"/>
      <w:kern w:val="20"/>
      <w:sz w:val="20"/>
      <w:szCs w:val="20"/>
      <w:lang w:val="en-GB" w:eastAsia="en-US"/>
    </w:rPr>
  </w:style>
  <w:style w:type="paragraph" w:customStyle="1" w:styleId="88">
    <w:name w:val="UserStyle_31"/>
    <w:basedOn w:val="1"/>
    <w:next w:val="1"/>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89">
    <w:name w:val="UserStyle_32"/>
    <w:basedOn w:val="1"/>
    <w:qFormat/>
    <w:uiPriority w:val="0"/>
    <w:rPr>
      <w:rFonts w:ascii="仿宋_GB2312" w:eastAsia="仿宋_GB2312"/>
      <w:spacing w:val="-4"/>
      <w:sz w:val="32"/>
      <w:szCs w:val="21"/>
    </w:rPr>
  </w:style>
  <w:style w:type="paragraph" w:customStyle="1" w:styleId="90">
    <w:name w:val="UserStyle_33"/>
    <w:basedOn w:val="1"/>
    <w:qFormat/>
    <w:uiPriority w:val="0"/>
    <w:pPr>
      <w:spacing w:line="290" w:lineRule="auto"/>
    </w:pPr>
    <w:rPr>
      <w:rFonts w:ascii="Arial" w:hAnsi="Arial" w:eastAsia="黑体"/>
      <w:kern w:val="20"/>
      <w:sz w:val="24"/>
      <w:szCs w:val="23"/>
      <w:lang w:val="en-GB" w:eastAsia="en-US"/>
    </w:rPr>
  </w:style>
  <w:style w:type="paragraph" w:customStyle="1" w:styleId="91">
    <w:name w:val="UserStyle_34"/>
    <w:basedOn w:val="1"/>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2">
    <w:name w:val="UserStyle_35"/>
    <w:basedOn w:val="1"/>
    <w:qFormat/>
    <w:uiPriority w:val="0"/>
    <w:pPr>
      <w:spacing w:line="290" w:lineRule="auto"/>
    </w:pPr>
    <w:rPr>
      <w:rFonts w:ascii="Arial" w:hAnsi="Arial"/>
      <w:kern w:val="20"/>
      <w:sz w:val="24"/>
      <w:szCs w:val="23"/>
      <w:lang w:val="en-GB" w:eastAsia="en-US"/>
    </w:rPr>
  </w:style>
  <w:style w:type="paragraph" w:customStyle="1" w:styleId="93">
    <w:name w:val="UserStyle_36"/>
    <w:basedOn w:val="28"/>
    <w:next w:val="1"/>
    <w:qFormat/>
    <w:uiPriority w:val="0"/>
    <w:pPr>
      <w:spacing w:before="100" w:after="0" w:line="400" w:lineRule="exact"/>
    </w:pPr>
    <w:rPr>
      <w:rFonts w:ascii="Times New Roman" w:hAnsi="Times New Roman" w:eastAsia="黑体"/>
      <w:sz w:val="28"/>
      <w:szCs w:val="20"/>
    </w:rPr>
  </w:style>
  <w:style w:type="paragraph" w:customStyle="1" w:styleId="94">
    <w:name w:val="UserStyle_37"/>
    <w:basedOn w:val="1"/>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95">
    <w:name w:val="UserStyle_38"/>
    <w:basedOn w:val="1"/>
    <w:next w:val="1"/>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96">
    <w:name w:val="UserStyle_39"/>
    <w:qFormat/>
    <w:uiPriority w:val="0"/>
    <w:pPr>
      <w:textAlignment w:val="baseline"/>
    </w:pPr>
    <w:rPr>
      <w:rFonts w:ascii="Times New Roman" w:hAnsi="Times New Roman" w:eastAsia="宋体" w:cs="Times New Roman"/>
      <w:lang w:val="en-US" w:eastAsia="zh-CN" w:bidi="ar-SA"/>
    </w:rPr>
  </w:style>
  <w:style w:type="paragraph" w:customStyle="1" w:styleId="97">
    <w:name w:val="UserStyle_40"/>
    <w:basedOn w:val="1"/>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98">
    <w:name w:val="UserStyle_41"/>
    <w:basedOn w:val="1"/>
    <w:qFormat/>
    <w:uiPriority w:val="0"/>
    <w:pPr>
      <w:snapToGrid w:val="0"/>
      <w:spacing w:line="440" w:lineRule="atLeast"/>
    </w:pPr>
    <w:rPr>
      <w:rFonts w:ascii="宋体"/>
      <w:sz w:val="24"/>
      <w:szCs w:val="20"/>
    </w:rPr>
  </w:style>
  <w:style w:type="paragraph" w:customStyle="1" w:styleId="99">
    <w:name w:val="179"/>
    <w:basedOn w:val="1"/>
    <w:qFormat/>
    <w:uiPriority w:val="0"/>
    <w:pPr>
      <w:ind w:firstLine="420" w:firstLineChars="200"/>
    </w:pPr>
  </w:style>
  <w:style w:type="paragraph" w:customStyle="1" w:styleId="100">
    <w:name w:val="UserStyle_42"/>
    <w:basedOn w:val="79"/>
    <w:qFormat/>
    <w:uiPriority w:val="0"/>
    <w:pPr>
      <w:tabs>
        <w:tab w:val="left" w:pos="2041"/>
      </w:tabs>
      <w:ind w:left="2041" w:hanging="680"/>
    </w:pPr>
  </w:style>
  <w:style w:type="paragraph" w:customStyle="1" w:styleId="101">
    <w:name w:val="UserStyle_43"/>
    <w:basedOn w:val="92"/>
    <w:qFormat/>
    <w:uiPriority w:val="0"/>
    <w:pPr>
      <w:tabs>
        <w:tab w:val="left" w:pos="480"/>
      </w:tabs>
      <w:ind w:left="480" w:hanging="480"/>
    </w:pPr>
  </w:style>
  <w:style w:type="table" w:customStyle="1" w:styleId="102">
    <w:name w:val="TableGrid"/>
    <w:basedOn w:val="34"/>
    <w:qFormat/>
    <w:uiPriority w:val="0"/>
    <w:tblPr>
      <w:tblCellMar>
        <w:top w:w="0" w:type="dxa"/>
        <w:left w:w="0" w:type="dxa"/>
        <w:bottom w:w="0" w:type="dxa"/>
        <w:right w:w="0" w:type="dxa"/>
      </w:tblCellMar>
    </w:tblPr>
  </w:style>
  <w:style w:type="paragraph" w:customStyle="1" w:styleId="103">
    <w:name w:val="UserStyle_44"/>
    <w:basedOn w:val="1"/>
    <w:qFormat/>
    <w:uiPriority w:val="0"/>
    <w:pPr>
      <w:jc w:val="left"/>
    </w:pPr>
    <w:rPr>
      <w:rFonts w:ascii="宋体" w:hAnsi="宋体" w:eastAsia="Times New Roman"/>
      <w:color w:val="000000"/>
      <w:kern w:val="0"/>
      <w:sz w:val="22"/>
      <w:lang w:val="zh-CN" w:eastAsia="en-US" w:bidi="zh-CN"/>
    </w:rPr>
  </w:style>
  <w:style w:type="character" w:customStyle="1" w:styleId="104">
    <w:name w:val="批注框文本 Char"/>
    <w:basedOn w:val="23"/>
    <w:link w:val="13"/>
    <w:semiHidden/>
    <w:qFormat/>
    <w:uiPriority w:val="99"/>
    <w:rPr>
      <w:kern w:val="2"/>
      <w:sz w:val="18"/>
      <w:szCs w:val="18"/>
    </w:rPr>
  </w:style>
  <w:style w:type="paragraph" w:customStyle="1" w:styleId="105">
    <w:name w:val="Char Char Char Char Char Char Char"/>
    <w:basedOn w:val="1"/>
    <w:qFormat/>
    <w:uiPriority w:val="0"/>
    <w:pPr>
      <w:widowControl w:val="0"/>
      <w:textAlignment w:val="auto"/>
    </w:pPr>
    <w:rPr>
      <w:szCs w:val="24"/>
    </w:rPr>
  </w:style>
  <w:style w:type="character" w:customStyle="1" w:styleId="106">
    <w:name w:val="标题 1 Char"/>
    <w:basedOn w:val="23"/>
    <w:link w:val="3"/>
    <w:qFormat/>
    <w:uiPriority w:val="9"/>
    <w:rPr>
      <w:b/>
      <w:bCs/>
      <w:kern w:val="44"/>
      <w:sz w:val="44"/>
      <w:szCs w:val="44"/>
    </w:rPr>
  </w:style>
  <w:style w:type="paragraph" w:customStyle="1" w:styleId="107">
    <w:name w:val="1"/>
    <w:basedOn w:val="1"/>
    <w:next w:val="11"/>
    <w:qFormat/>
    <w:uiPriority w:val="0"/>
    <w:rPr>
      <w:rFonts w:ascii="宋体" w:hAnsi="Courier New"/>
      <w:szCs w:val="20"/>
    </w:rPr>
  </w:style>
  <w:style w:type="character" w:customStyle="1" w:styleId="108">
    <w:name w:val="正文文本缩进 Char"/>
    <w:basedOn w:val="23"/>
    <w:link w:val="9"/>
    <w:qFormat/>
    <w:uiPriority w:val="0"/>
    <w:rPr>
      <w:rFonts w:hint="default" w:ascii="Times New Roman" w:hAnsi="Times New Roman" w:cs="Times New Roman"/>
      <w:kern w:val="2"/>
      <w:sz w:val="21"/>
      <w:szCs w:val="24"/>
    </w:rPr>
  </w:style>
  <w:style w:type="character" w:customStyle="1" w:styleId="109">
    <w:name w:val="正文首行缩进 2 Char"/>
    <w:basedOn w:val="108"/>
    <w:link w:val="21"/>
    <w:qFormat/>
    <w:uiPriority w:val="0"/>
    <w:rPr>
      <w:rFonts w:hint="default" w:ascii="Times New Roman" w:hAnsi="Times New Roman" w:cs="Times New Roman"/>
      <w:kern w:val="2"/>
      <w:sz w:val="21"/>
      <w:szCs w:val="24"/>
    </w:rPr>
  </w:style>
  <w:style w:type="paragraph" w:customStyle="1" w:styleId="11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11">
    <w:name w:val="Table Normal"/>
    <w:unhideWhenUsed/>
    <w:qFormat/>
    <w:uiPriority w:val="0"/>
    <w:tblPr>
      <w:tblCellMar>
        <w:top w:w="0" w:type="dxa"/>
        <w:left w:w="0" w:type="dxa"/>
        <w:bottom w:w="0" w:type="dxa"/>
        <w:right w:w="0" w:type="dxa"/>
      </w:tblCellMar>
    </w:tblPr>
  </w:style>
  <w:style w:type="paragraph" w:customStyle="1" w:styleId="112">
    <w:name w:val="列出段落2"/>
    <w:basedOn w:val="1"/>
    <w:qFormat/>
    <w:uiPriority w:val="34"/>
    <w:pPr>
      <w:ind w:firstLine="420" w:firstLineChars="200"/>
    </w:pPr>
    <w:rPr>
      <w:rFonts w:ascii="Calibri" w:hAnsi="Calibri"/>
    </w:rPr>
  </w:style>
  <w:style w:type="paragraph" w:customStyle="1" w:styleId="113">
    <w:name w:val="样式1"/>
    <w:basedOn w:val="1"/>
    <w:qFormat/>
    <w:uiPriority w:val="0"/>
    <w:pPr>
      <w:spacing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5CB72-0027-4784-919F-5B208A21C590}">
  <ds:schemaRefs/>
</ds:datastoreItem>
</file>

<file path=docProps/app.xml><?xml version="1.0" encoding="utf-8"?>
<Properties xmlns="http://schemas.openxmlformats.org/officeDocument/2006/extended-properties" xmlns:vt="http://schemas.openxmlformats.org/officeDocument/2006/docPropsVTypes">
  <Template>Normal.dotm</Template>
  <Company>广西凯杰工程咨询有限公司</Company>
  <Pages>49</Pages>
  <Words>18137</Words>
  <Characters>20213</Characters>
  <Lines>236</Lines>
  <Paragraphs>66</Paragraphs>
  <TotalTime>5</TotalTime>
  <ScaleCrop>false</ScaleCrop>
  <LinksUpToDate>false</LinksUpToDate>
  <CharactersWithSpaces>20853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2021-05-07T03:41:00Z</dcterms:created>
  <dc:creator>李燕玲</dc:creator>
  <cp:lastModifiedBy>窗边的小豆豆</cp:lastModifiedBy>
  <dcterms:modified xsi:type="dcterms:W3CDTF">2025-10-13T03:19:23Z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87D78F1296714E15949D3E3F74325F3E_13</vt:lpwstr>
  </property>
  <property fmtid="{D5CDD505-2E9C-101B-9397-08002B2CF9AE}" pid="4" name="KSOTemplateDocerSaveRecord">
    <vt:lpwstr>eyJoZGlkIjoiNWNkNTVkOGNkODU1NTRiMmM5NDM5MTEzOTU3OWRmYmYiLCJ1c2VySWQiOiIzMzYwNzMwNzYifQ==</vt:lpwstr>
  </property>
</Properties>
</file>