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6"/>
        <w:rPr>
          <w:rFonts w:ascii="Times New Roman"/>
          <w:color w:val="auto"/>
          <w:sz w:val="20"/>
        </w:rPr>
      </w:pPr>
    </w:p>
    <w:p>
      <w:pPr>
        <w:pStyle w:val="14"/>
        <w:spacing w:before="6"/>
        <w:rPr>
          <w:rFonts w:ascii="Times New Roman"/>
          <w:color w:val="auto"/>
          <w:sz w:val="20"/>
        </w:rPr>
      </w:pPr>
    </w:p>
    <w:p>
      <w:pPr>
        <w:spacing w:line="360" w:lineRule="auto"/>
        <w:jc w:val="center"/>
        <w:rPr>
          <w:rFonts w:hint="eastAsia" w:eastAsia="宋体"/>
          <w:color w:val="auto"/>
          <w:lang w:val="en-US" w:eastAsia="zh-CN"/>
        </w:rPr>
      </w:pPr>
      <w:r>
        <w:rPr>
          <w:rFonts w:hint="eastAsia"/>
          <w:color w:val="auto"/>
          <w:lang w:val="en-US"/>
        </w:rPr>
        <w:t xml:space="preserve">      </w:t>
      </w:r>
      <w:r>
        <w:rPr>
          <w:rFonts w:hint="eastAsia" w:eastAsia="宋体"/>
          <w:color w:val="auto"/>
          <w:lang w:val="en-US" w:eastAsia="zh-CN"/>
        </w:rPr>
        <w:drawing>
          <wp:inline distT="0" distB="0" distL="114300" distR="114300">
            <wp:extent cx="2565400" cy="2929255"/>
            <wp:effectExtent l="0" t="0" r="0" b="0"/>
            <wp:docPr id="1" name="图片 1" descr="03a68b91fee2204794fa7072708ea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3a68b91fee2204794fa7072708ea53"/>
                    <pic:cNvPicPr>
                      <a:picLocks noChangeAspect="1"/>
                    </pic:cNvPicPr>
                  </pic:nvPicPr>
                  <pic:blipFill>
                    <a:blip r:embed="rId16"/>
                    <a:srcRect l="9343" r="3078"/>
                    <a:stretch>
                      <a:fillRect/>
                    </a:stretch>
                  </pic:blipFill>
                  <pic:spPr>
                    <a:xfrm>
                      <a:off x="0" y="0"/>
                      <a:ext cx="2565400" cy="2929255"/>
                    </a:xfrm>
                    <a:prstGeom prst="rect">
                      <a:avLst/>
                    </a:prstGeom>
                  </pic:spPr>
                </pic:pic>
              </a:graphicData>
            </a:graphic>
          </wp:inline>
        </w:drawing>
      </w:r>
    </w:p>
    <w:p>
      <w:pPr>
        <w:ind w:left="2122"/>
        <w:rPr>
          <w:b/>
          <w:color w:val="auto"/>
          <w:sz w:val="72"/>
        </w:rPr>
      </w:pPr>
      <w:r>
        <w:rPr>
          <w:b/>
          <w:color w:val="auto"/>
          <w:sz w:val="72"/>
        </w:rPr>
        <w:t>竞争性磋商文件</w:t>
      </w:r>
    </w:p>
    <w:p>
      <w:pPr>
        <w:pStyle w:val="10"/>
        <w:rPr>
          <w:color w:val="auto"/>
        </w:rPr>
      </w:pPr>
    </w:p>
    <w:p>
      <w:pPr>
        <w:pStyle w:val="14"/>
        <w:rPr>
          <w:color w:val="auto"/>
          <w:sz w:val="20"/>
        </w:rPr>
      </w:pPr>
    </w:p>
    <w:p>
      <w:pPr>
        <w:pStyle w:val="14"/>
        <w:rPr>
          <w:color w:val="auto"/>
          <w:sz w:val="20"/>
        </w:rPr>
      </w:pPr>
    </w:p>
    <w:p>
      <w:pPr>
        <w:pStyle w:val="14"/>
        <w:spacing w:before="7"/>
        <w:rPr>
          <w:color w:val="auto"/>
          <w:sz w:val="20"/>
        </w:rPr>
      </w:pPr>
    </w:p>
    <w:p>
      <w:pPr>
        <w:pStyle w:val="6"/>
        <w:spacing w:after="120" w:afterLines="50" w:line="360" w:lineRule="auto"/>
        <w:ind w:left="0" w:leftChars="0" w:firstLine="0" w:firstLineChars="0"/>
        <w:jc w:val="center"/>
        <w:rPr>
          <w:rFonts w:hint="eastAsia" w:eastAsia="宋体"/>
          <w:color w:val="auto"/>
          <w:sz w:val="32"/>
          <w:szCs w:val="32"/>
          <w:lang w:eastAsia="zh-CN"/>
        </w:rPr>
      </w:pPr>
      <w:r>
        <w:rPr>
          <w:color w:val="auto"/>
          <w:sz w:val="32"/>
          <w:szCs w:val="32"/>
        </w:rPr>
        <w:t>项目名称：</w:t>
      </w:r>
      <w:r>
        <w:rPr>
          <w:rFonts w:hint="eastAsia"/>
          <w:color w:val="auto"/>
          <w:sz w:val="32"/>
          <w:szCs w:val="32"/>
          <w:lang w:eastAsia="zh-CN"/>
        </w:rPr>
        <w:t>平南县思旺镇镇北村新型农村集体经济项目</w:t>
      </w:r>
    </w:p>
    <w:p>
      <w:pPr>
        <w:pStyle w:val="6"/>
        <w:keepNext w:val="0"/>
        <w:keepLines w:val="0"/>
        <w:pageBreakBefore w:val="0"/>
        <w:widowControl w:val="0"/>
        <w:kinsoku/>
        <w:wordWrap/>
        <w:overflowPunct/>
        <w:topLinePunct w:val="0"/>
        <w:autoSpaceDE w:val="0"/>
        <w:autoSpaceDN w:val="0"/>
        <w:bidi w:val="0"/>
        <w:adjustRightInd/>
        <w:snapToGrid/>
        <w:spacing w:after="120" w:afterLines="50" w:line="360" w:lineRule="auto"/>
        <w:ind w:left="0" w:leftChars="0" w:firstLine="643" w:firstLineChars="200"/>
        <w:textAlignment w:val="auto"/>
        <w:rPr>
          <w:rFonts w:hint="eastAsia" w:eastAsia="宋体"/>
          <w:color w:val="auto"/>
          <w:sz w:val="32"/>
          <w:szCs w:val="32"/>
          <w:lang w:eastAsia="zh-CN"/>
        </w:rPr>
      </w:pPr>
      <w:r>
        <w:rPr>
          <w:color w:val="auto"/>
          <w:sz w:val="32"/>
          <w:szCs w:val="32"/>
        </w:rPr>
        <w:t>项目编号：</w:t>
      </w:r>
      <w:r>
        <w:rPr>
          <w:rFonts w:hint="eastAsia"/>
          <w:color w:val="auto"/>
          <w:sz w:val="32"/>
          <w:szCs w:val="32"/>
          <w:lang w:eastAsia="zh-CN"/>
        </w:rPr>
        <w:t>GGZC2024-C2-60701-GXWC</w:t>
      </w:r>
    </w:p>
    <w:p>
      <w:pPr>
        <w:pStyle w:val="6"/>
        <w:keepNext w:val="0"/>
        <w:keepLines w:val="0"/>
        <w:pageBreakBefore w:val="0"/>
        <w:widowControl w:val="0"/>
        <w:kinsoku/>
        <w:wordWrap/>
        <w:overflowPunct/>
        <w:topLinePunct w:val="0"/>
        <w:autoSpaceDE w:val="0"/>
        <w:autoSpaceDN w:val="0"/>
        <w:bidi w:val="0"/>
        <w:adjustRightInd/>
        <w:snapToGrid/>
        <w:spacing w:after="120" w:afterLines="50" w:line="360" w:lineRule="auto"/>
        <w:ind w:left="0" w:leftChars="0" w:firstLine="643" w:firstLineChars="200"/>
        <w:textAlignment w:val="auto"/>
        <w:rPr>
          <w:rFonts w:hint="eastAsia" w:eastAsia="宋体"/>
          <w:color w:val="auto"/>
          <w:sz w:val="32"/>
          <w:szCs w:val="32"/>
          <w:lang w:eastAsia="zh-CN"/>
        </w:rPr>
      </w:pPr>
      <w:r>
        <w:rPr>
          <w:color w:val="auto"/>
          <w:sz w:val="32"/>
          <w:szCs w:val="32"/>
        </w:rPr>
        <w:t>采购单位：</w:t>
      </w:r>
      <w:r>
        <w:rPr>
          <w:rFonts w:hint="eastAsia"/>
          <w:color w:val="auto"/>
          <w:sz w:val="32"/>
          <w:szCs w:val="32"/>
          <w:lang w:eastAsia="zh-CN"/>
        </w:rPr>
        <w:t>平南县思旺镇人民政府</w:t>
      </w:r>
    </w:p>
    <w:p>
      <w:pPr>
        <w:pStyle w:val="6"/>
        <w:keepNext w:val="0"/>
        <w:keepLines w:val="0"/>
        <w:pageBreakBefore w:val="0"/>
        <w:widowControl w:val="0"/>
        <w:kinsoku/>
        <w:wordWrap/>
        <w:overflowPunct/>
        <w:topLinePunct w:val="0"/>
        <w:autoSpaceDE w:val="0"/>
        <w:autoSpaceDN w:val="0"/>
        <w:bidi w:val="0"/>
        <w:adjustRightInd/>
        <w:snapToGrid/>
        <w:spacing w:after="120" w:afterLines="50" w:line="360" w:lineRule="auto"/>
        <w:ind w:left="0" w:leftChars="0" w:firstLine="643" w:firstLineChars="200"/>
        <w:textAlignment w:val="auto"/>
        <w:rPr>
          <w:rFonts w:hint="eastAsia" w:eastAsia="宋体"/>
          <w:color w:val="auto"/>
          <w:sz w:val="32"/>
          <w:szCs w:val="32"/>
          <w:lang w:eastAsia="zh-CN"/>
        </w:rPr>
      </w:pPr>
      <w:r>
        <w:rPr>
          <w:color w:val="auto"/>
          <w:sz w:val="32"/>
          <w:szCs w:val="32"/>
        </w:rPr>
        <w:t>采购代理机构：</w:t>
      </w:r>
      <w:r>
        <w:rPr>
          <w:rFonts w:hint="eastAsia"/>
          <w:color w:val="auto"/>
          <w:sz w:val="32"/>
          <w:szCs w:val="32"/>
          <w:lang w:eastAsia="zh-CN"/>
        </w:rPr>
        <w:t>广西万宸工程咨询有限公司</w:t>
      </w:r>
    </w:p>
    <w:p>
      <w:pPr>
        <w:pStyle w:val="6"/>
        <w:spacing w:line="457" w:lineRule="exact"/>
        <w:ind w:left="1070" w:right="882"/>
        <w:jc w:val="center"/>
        <w:rPr>
          <w:color w:val="auto"/>
        </w:rPr>
      </w:pPr>
    </w:p>
    <w:p>
      <w:pPr>
        <w:pStyle w:val="6"/>
        <w:spacing w:line="457" w:lineRule="exact"/>
        <w:ind w:left="1070" w:right="882"/>
        <w:jc w:val="center"/>
        <w:rPr>
          <w:color w:val="auto"/>
        </w:rPr>
      </w:pPr>
    </w:p>
    <w:p>
      <w:pPr>
        <w:pStyle w:val="6"/>
        <w:spacing w:line="457" w:lineRule="exact"/>
        <w:ind w:left="1070" w:right="882"/>
        <w:jc w:val="center"/>
        <w:rPr>
          <w:color w:val="auto"/>
        </w:rPr>
      </w:pPr>
      <w:r>
        <w:rPr>
          <w:color w:val="auto"/>
        </w:rPr>
        <w:t>202</w:t>
      </w:r>
      <w:r>
        <w:rPr>
          <w:rFonts w:hint="eastAsia"/>
          <w:color w:val="auto"/>
          <w:lang w:val="en-US" w:eastAsia="zh-CN"/>
        </w:rPr>
        <w:t>4</w:t>
      </w:r>
      <w:r>
        <w:rPr>
          <w:color w:val="auto"/>
          <w:spacing w:val="-62"/>
        </w:rPr>
        <w:t xml:space="preserve">年 </w:t>
      </w:r>
      <w:r>
        <w:rPr>
          <w:rFonts w:hint="eastAsia"/>
          <w:color w:val="auto"/>
          <w:lang w:val="en-US" w:eastAsia="zh-CN"/>
        </w:rPr>
        <w:t>5</w:t>
      </w:r>
      <w:r>
        <w:rPr>
          <w:color w:val="auto"/>
          <w:spacing w:val="-46"/>
        </w:rPr>
        <w:t>月</w:t>
      </w:r>
    </w:p>
    <w:p>
      <w:pPr>
        <w:spacing w:line="457" w:lineRule="exact"/>
        <w:jc w:val="center"/>
        <w:rPr>
          <w:color w:val="auto"/>
        </w:rPr>
        <w:sectPr>
          <w:footerReference r:id="rId3" w:type="default"/>
          <w:pgSz w:w="11910" w:h="16840"/>
          <w:pgMar w:top="1417" w:right="1417" w:bottom="1417" w:left="1417" w:header="0" w:footer="1202" w:gutter="0"/>
          <w:pgNumType w:start="1"/>
          <w:cols w:space="0" w:num="1"/>
        </w:sectPr>
      </w:pPr>
    </w:p>
    <w:sdt>
      <w:sdtPr>
        <w:rPr>
          <w:color w:val="auto"/>
          <w:sz w:val="21"/>
        </w:rPr>
        <w:id w:val="147457195"/>
        <w:docPartObj>
          <w:docPartGallery w:val="Table of Contents"/>
          <w:docPartUnique/>
        </w:docPartObj>
      </w:sdtPr>
      <w:sdtEndPr>
        <w:rPr>
          <w:color w:val="auto"/>
          <w:sz w:val="22"/>
        </w:rPr>
      </w:sdtEndPr>
      <w:sdtContent>
        <w:p>
          <w:pPr>
            <w:jc w:val="center"/>
            <w:rPr>
              <w:b/>
              <w:bCs/>
              <w:color w:val="auto"/>
              <w:sz w:val="32"/>
              <w:szCs w:val="32"/>
            </w:rPr>
          </w:pPr>
          <w:r>
            <w:rPr>
              <w:b/>
              <w:bCs/>
              <w:color w:val="auto"/>
              <w:sz w:val="32"/>
              <w:szCs w:val="32"/>
            </w:rPr>
            <w:t>目录</w:t>
          </w:r>
        </w:p>
        <w:p>
          <w:pPr>
            <w:pStyle w:val="21"/>
            <w:tabs>
              <w:tab w:val="right" w:leader="dot" w:pos="9076"/>
            </w:tabs>
            <w:spacing w:line="360" w:lineRule="auto"/>
            <w:ind w:left="440"/>
            <w:rPr>
              <w:color w:val="auto"/>
              <w:sz w:val="28"/>
              <w:szCs w:val="28"/>
            </w:rPr>
          </w:pPr>
          <w:r>
            <w:rPr>
              <w:color w:val="auto"/>
              <w:sz w:val="28"/>
              <w:szCs w:val="28"/>
            </w:rPr>
            <w:fldChar w:fldCharType="begin"/>
          </w:r>
          <w:r>
            <w:rPr>
              <w:color w:val="auto"/>
              <w:sz w:val="28"/>
              <w:szCs w:val="28"/>
            </w:rPr>
            <w:instrText xml:space="preserve">TOC \o "1-3" \h \u </w:instrText>
          </w:r>
          <w:r>
            <w:rPr>
              <w:color w:val="auto"/>
              <w:sz w:val="28"/>
              <w:szCs w:val="28"/>
            </w:rPr>
            <w:fldChar w:fldCharType="separate"/>
          </w:r>
          <w:r>
            <w:rPr>
              <w:color w:val="auto"/>
            </w:rPr>
            <w:fldChar w:fldCharType="begin"/>
          </w:r>
          <w:r>
            <w:rPr>
              <w:color w:val="auto"/>
            </w:rPr>
            <w:instrText xml:space="preserve"> HYPERLINK \l "_Toc30328" </w:instrText>
          </w:r>
          <w:r>
            <w:rPr>
              <w:color w:val="auto"/>
            </w:rPr>
            <w:fldChar w:fldCharType="separate"/>
          </w:r>
          <w:r>
            <w:rPr>
              <w:color w:val="auto"/>
              <w:sz w:val="28"/>
              <w:szCs w:val="28"/>
            </w:rPr>
            <w:t>第一章 竞争性磋商公告</w:t>
          </w:r>
          <w:r>
            <w:rPr>
              <w:color w:val="auto"/>
              <w:sz w:val="28"/>
              <w:szCs w:val="28"/>
            </w:rPr>
            <w:tab/>
          </w:r>
          <w:r>
            <w:rPr>
              <w:color w:val="auto"/>
              <w:sz w:val="28"/>
              <w:szCs w:val="28"/>
            </w:rPr>
            <w:fldChar w:fldCharType="begin"/>
          </w:r>
          <w:r>
            <w:rPr>
              <w:color w:val="auto"/>
              <w:sz w:val="28"/>
              <w:szCs w:val="28"/>
            </w:rPr>
            <w:instrText xml:space="preserve"> PAGEREF _Toc30328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pPr>
            <w:pStyle w:val="21"/>
            <w:tabs>
              <w:tab w:val="right" w:leader="dot" w:pos="9076"/>
            </w:tabs>
            <w:spacing w:line="360" w:lineRule="auto"/>
            <w:ind w:left="440"/>
            <w:rPr>
              <w:color w:val="auto"/>
              <w:sz w:val="28"/>
              <w:szCs w:val="28"/>
            </w:rPr>
          </w:pPr>
          <w:r>
            <w:rPr>
              <w:color w:val="auto"/>
            </w:rPr>
            <w:fldChar w:fldCharType="begin"/>
          </w:r>
          <w:r>
            <w:rPr>
              <w:color w:val="auto"/>
            </w:rPr>
            <w:instrText xml:space="preserve"> HYPERLINK \l "_Toc31556" </w:instrText>
          </w:r>
          <w:r>
            <w:rPr>
              <w:color w:val="auto"/>
            </w:rPr>
            <w:fldChar w:fldCharType="separate"/>
          </w:r>
          <w:r>
            <w:rPr>
              <w:color w:val="auto"/>
              <w:sz w:val="28"/>
              <w:szCs w:val="28"/>
            </w:rPr>
            <w:t>第二章 供应商须知</w:t>
          </w:r>
          <w:r>
            <w:rPr>
              <w:color w:val="auto"/>
              <w:sz w:val="28"/>
              <w:szCs w:val="28"/>
            </w:rPr>
            <w:tab/>
          </w:r>
          <w:r>
            <w:rPr>
              <w:color w:val="auto"/>
              <w:sz w:val="28"/>
              <w:szCs w:val="28"/>
            </w:rPr>
            <w:fldChar w:fldCharType="begin"/>
          </w:r>
          <w:r>
            <w:rPr>
              <w:color w:val="auto"/>
              <w:sz w:val="28"/>
              <w:szCs w:val="28"/>
            </w:rPr>
            <w:instrText xml:space="preserve"> PAGEREF _Toc31556 \h </w:instrText>
          </w:r>
          <w:r>
            <w:rPr>
              <w:color w:val="auto"/>
              <w:sz w:val="28"/>
              <w:szCs w:val="28"/>
            </w:rPr>
            <w:fldChar w:fldCharType="separate"/>
          </w:r>
          <w:r>
            <w:rPr>
              <w:color w:val="auto"/>
              <w:sz w:val="28"/>
              <w:szCs w:val="28"/>
            </w:rPr>
            <w:t>5</w:t>
          </w:r>
          <w:r>
            <w:rPr>
              <w:color w:val="auto"/>
              <w:sz w:val="28"/>
              <w:szCs w:val="28"/>
            </w:rPr>
            <w:fldChar w:fldCharType="end"/>
          </w:r>
          <w:r>
            <w:rPr>
              <w:color w:val="auto"/>
              <w:sz w:val="28"/>
              <w:szCs w:val="28"/>
            </w:rPr>
            <w:fldChar w:fldCharType="end"/>
          </w:r>
        </w:p>
        <w:p>
          <w:pPr>
            <w:pStyle w:val="21"/>
            <w:tabs>
              <w:tab w:val="right" w:leader="dot" w:pos="9076"/>
            </w:tabs>
            <w:spacing w:line="360" w:lineRule="auto"/>
            <w:ind w:left="440"/>
            <w:rPr>
              <w:color w:val="auto"/>
              <w:sz w:val="28"/>
              <w:szCs w:val="28"/>
            </w:rPr>
          </w:pPr>
          <w:r>
            <w:rPr>
              <w:color w:val="auto"/>
            </w:rPr>
            <w:fldChar w:fldCharType="begin"/>
          </w:r>
          <w:r>
            <w:rPr>
              <w:color w:val="auto"/>
            </w:rPr>
            <w:instrText xml:space="preserve"> HYPERLINK \l "_Toc6581" </w:instrText>
          </w:r>
          <w:r>
            <w:rPr>
              <w:color w:val="auto"/>
            </w:rPr>
            <w:fldChar w:fldCharType="separate"/>
          </w:r>
          <w:r>
            <w:rPr>
              <w:color w:val="auto"/>
              <w:sz w:val="28"/>
              <w:szCs w:val="28"/>
            </w:rPr>
            <w:t>第三章 采购需求</w:t>
          </w:r>
          <w:r>
            <w:rPr>
              <w:color w:val="auto"/>
              <w:sz w:val="28"/>
              <w:szCs w:val="28"/>
            </w:rPr>
            <w:tab/>
          </w:r>
          <w:r>
            <w:rPr>
              <w:color w:val="auto"/>
              <w:sz w:val="28"/>
              <w:szCs w:val="28"/>
            </w:rPr>
            <w:fldChar w:fldCharType="begin"/>
          </w:r>
          <w:r>
            <w:rPr>
              <w:color w:val="auto"/>
              <w:sz w:val="28"/>
              <w:szCs w:val="28"/>
            </w:rPr>
            <w:instrText xml:space="preserve"> PAGEREF _Toc6581 \h </w:instrText>
          </w:r>
          <w:r>
            <w:rPr>
              <w:color w:val="auto"/>
              <w:sz w:val="28"/>
              <w:szCs w:val="28"/>
            </w:rPr>
            <w:fldChar w:fldCharType="separate"/>
          </w:r>
          <w:r>
            <w:rPr>
              <w:color w:val="auto"/>
              <w:sz w:val="28"/>
              <w:szCs w:val="28"/>
            </w:rPr>
            <w:t>23</w:t>
          </w:r>
          <w:r>
            <w:rPr>
              <w:color w:val="auto"/>
              <w:sz w:val="28"/>
              <w:szCs w:val="28"/>
            </w:rPr>
            <w:fldChar w:fldCharType="end"/>
          </w:r>
          <w:r>
            <w:rPr>
              <w:color w:val="auto"/>
              <w:sz w:val="28"/>
              <w:szCs w:val="28"/>
            </w:rPr>
            <w:fldChar w:fldCharType="end"/>
          </w:r>
        </w:p>
        <w:p>
          <w:pPr>
            <w:pStyle w:val="21"/>
            <w:tabs>
              <w:tab w:val="right" w:pos="3200"/>
              <w:tab w:val="right" w:leader="dot" w:pos="9076"/>
            </w:tabs>
            <w:spacing w:line="360" w:lineRule="auto"/>
            <w:ind w:left="440"/>
            <w:rPr>
              <w:color w:val="auto"/>
              <w:sz w:val="28"/>
              <w:szCs w:val="28"/>
            </w:rPr>
          </w:pPr>
          <w:r>
            <w:rPr>
              <w:color w:val="auto"/>
            </w:rPr>
            <w:fldChar w:fldCharType="begin"/>
          </w:r>
          <w:r>
            <w:rPr>
              <w:color w:val="auto"/>
            </w:rPr>
            <w:instrText xml:space="preserve"> HYPERLINK \l "_Toc21" </w:instrText>
          </w:r>
          <w:r>
            <w:rPr>
              <w:color w:val="auto"/>
            </w:rPr>
            <w:fldChar w:fldCharType="separate"/>
          </w:r>
          <w:r>
            <w:rPr>
              <w:color w:val="auto"/>
              <w:sz w:val="28"/>
              <w:szCs w:val="28"/>
            </w:rPr>
            <w:t>第四章</w:t>
          </w:r>
          <w:r>
            <w:rPr>
              <w:color w:val="auto"/>
              <w:sz w:val="28"/>
              <w:szCs w:val="28"/>
            </w:rPr>
            <w:tab/>
          </w:r>
          <w:r>
            <w:rPr>
              <w:color w:val="auto"/>
              <w:sz w:val="28"/>
              <w:szCs w:val="28"/>
            </w:rPr>
            <w:t>评审程序、评审方法和评审标准</w:t>
          </w:r>
          <w:r>
            <w:rPr>
              <w:color w:val="auto"/>
              <w:sz w:val="28"/>
              <w:szCs w:val="28"/>
            </w:rPr>
            <w:tab/>
          </w:r>
          <w:r>
            <w:rPr>
              <w:color w:val="auto"/>
              <w:sz w:val="28"/>
              <w:szCs w:val="28"/>
            </w:rPr>
            <w:fldChar w:fldCharType="begin"/>
          </w:r>
          <w:r>
            <w:rPr>
              <w:color w:val="auto"/>
              <w:sz w:val="28"/>
              <w:szCs w:val="28"/>
            </w:rPr>
            <w:instrText xml:space="preserve"> PAGEREF _Toc21 \h </w:instrText>
          </w:r>
          <w:r>
            <w:rPr>
              <w:color w:val="auto"/>
              <w:sz w:val="28"/>
              <w:szCs w:val="28"/>
            </w:rPr>
            <w:fldChar w:fldCharType="separate"/>
          </w:r>
          <w:r>
            <w:rPr>
              <w:color w:val="auto"/>
              <w:sz w:val="28"/>
              <w:szCs w:val="28"/>
            </w:rPr>
            <w:t>26</w:t>
          </w:r>
          <w:r>
            <w:rPr>
              <w:color w:val="auto"/>
              <w:sz w:val="28"/>
              <w:szCs w:val="28"/>
            </w:rPr>
            <w:fldChar w:fldCharType="end"/>
          </w:r>
          <w:r>
            <w:rPr>
              <w:color w:val="auto"/>
              <w:sz w:val="28"/>
              <w:szCs w:val="28"/>
            </w:rPr>
            <w:fldChar w:fldCharType="end"/>
          </w:r>
        </w:p>
        <w:p>
          <w:pPr>
            <w:pStyle w:val="21"/>
            <w:tabs>
              <w:tab w:val="right" w:leader="dot" w:pos="9076"/>
            </w:tabs>
            <w:spacing w:line="360" w:lineRule="auto"/>
            <w:ind w:left="440"/>
            <w:rPr>
              <w:color w:val="auto"/>
              <w:sz w:val="28"/>
              <w:szCs w:val="28"/>
            </w:rPr>
          </w:pPr>
          <w:r>
            <w:rPr>
              <w:color w:val="auto"/>
            </w:rPr>
            <w:fldChar w:fldCharType="begin"/>
          </w:r>
          <w:r>
            <w:rPr>
              <w:color w:val="auto"/>
            </w:rPr>
            <w:instrText xml:space="preserve"> HYPERLINK \l "_Toc51" </w:instrText>
          </w:r>
          <w:r>
            <w:rPr>
              <w:color w:val="auto"/>
            </w:rPr>
            <w:fldChar w:fldCharType="separate"/>
          </w:r>
          <w:r>
            <w:rPr>
              <w:color w:val="auto"/>
              <w:sz w:val="28"/>
              <w:szCs w:val="28"/>
            </w:rPr>
            <w:t>第五章 响应文件格式</w:t>
          </w:r>
          <w:r>
            <w:rPr>
              <w:color w:val="auto"/>
              <w:sz w:val="28"/>
              <w:szCs w:val="28"/>
            </w:rPr>
            <w:tab/>
          </w:r>
          <w:r>
            <w:rPr>
              <w:color w:val="auto"/>
              <w:sz w:val="28"/>
              <w:szCs w:val="28"/>
            </w:rPr>
            <w:fldChar w:fldCharType="begin"/>
          </w:r>
          <w:r>
            <w:rPr>
              <w:color w:val="auto"/>
              <w:sz w:val="28"/>
              <w:szCs w:val="28"/>
            </w:rPr>
            <w:instrText xml:space="preserve"> PAGEREF _Toc51 \h </w:instrText>
          </w:r>
          <w:r>
            <w:rPr>
              <w:color w:val="auto"/>
              <w:sz w:val="28"/>
              <w:szCs w:val="28"/>
            </w:rPr>
            <w:fldChar w:fldCharType="separate"/>
          </w:r>
          <w:r>
            <w:rPr>
              <w:color w:val="auto"/>
              <w:sz w:val="28"/>
              <w:szCs w:val="28"/>
            </w:rPr>
            <w:t>35</w:t>
          </w:r>
          <w:r>
            <w:rPr>
              <w:color w:val="auto"/>
              <w:sz w:val="28"/>
              <w:szCs w:val="28"/>
            </w:rPr>
            <w:fldChar w:fldCharType="end"/>
          </w:r>
          <w:r>
            <w:rPr>
              <w:color w:val="auto"/>
              <w:sz w:val="28"/>
              <w:szCs w:val="28"/>
            </w:rPr>
            <w:fldChar w:fldCharType="end"/>
          </w:r>
        </w:p>
        <w:p>
          <w:pPr>
            <w:pStyle w:val="21"/>
            <w:tabs>
              <w:tab w:val="right" w:leader="dot" w:pos="9076"/>
            </w:tabs>
            <w:spacing w:line="360" w:lineRule="auto"/>
            <w:ind w:left="440"/>
            <w:rPr>
              <w:color w:val="auto"/>
              <w:sz w:val="28"/>
              <w:szCs w:val="28"/>
            </w:rPr>
          </w:pPr>
          <w:r>
            <w:rPr>
              <w:color w:val="auto"/>
            </w:rPr>
            <w:fldChar w:fldCharType="begin"/>
          </w:r>
          <w:r>
            <w:rPr>
              <w:color w:val="auto"/>
            </w:rPr>
            <w:instrText xml:space="preserve"> HYPERLINK \l "_Toc29429" </w:instrText>
          </w:r>
          <w:r>
            <w:rPr>
              <w:color w:val="auto"/>
            </w:rPr>
            <w:fldChar w:fldCharType="separate"/>
          </w:r>
          <w:r>
            <w:rPr>
              <w:color w:val="auto"/>
              <w:sz w:val="28"/>
              <w:szCs w:val="28"/>
            </w:rPr>
            <w:t>第六章 合同文本</w:t>
          </w:r>
          <w:r>
            <w:rPr>
              <w:color w:val="auto"/>
              <w:sz w:val="28"/>
              <w:szCs w:val="28"/>
            </w:rPr>
            <w:tab/>
          </w:r>
          <w:r>
            <w:rPr>
              <w:color w:val="auto"/>
              <w:sz w:val="28"/>
              <w:szCs w:val="28"/>
            </w:rPr>
            <w:fldChar w:fldCharType="begin"/>
          </w:r>
          <w:r>
            <w:rPr>
              <w:color w:val="auto"/>
              <w:sz w:val="28"/>
              <w:szCs w:val="28"/>
            </w:rPr>
            <w:instrText xml:space="preserve"> PAGEREF _Toc29429 \h </w:instrText>
          </w:r>
          <w:r>
            <w:rPr>
              <w:color w:val="auto"/>
              <w:sz w:val="28"/>
              <w:szCs w:val="28"/>
            </w:rPr>
            <w:fldChar w:fldCharType="separate"/>
          </w:r>
          <w:r>
            <w:rPr>
              <w:color w:val="auto"/>
              <w:sz w:val="28"/>
              <w:szCs w:val="28"/>
            </w:rPr>
            <w:t>56</w:t>
          </w:r>
          <w:r>
            <w:rPr>
              <w:color w:val="auto"/>
              <w:sz w:val="28"/>
              <w:szCs w:val="28"/>
            </w:rPr>
            <w:fldChar w:fldCharType="end"/>
          </w:r>
          <w:r>
            <w:rPr>
              <w:color w:val="auto"/>
              <w:sz w:val="28"/>
              <w:szCs w:val="28"/>
            </w:rPr>
            <w:fldChar w:fldCharType="end"/>
          </w:r>
        </w:p>
        <w:p>
          <w:pPr>
            <w:spacing w:line="360" w:lineRule="auto"/>
            <w:rPr>
              <w:color w:val="auto"/>
            </w:rPr>
            <w:sectPr>
              <w:pgSz w:w="11910" w:h="16840"/>
              <w:pgMar w:top="1417" w:right="1417" w:bottom="1417" w:left="1417" w:header="0" w:footer="1202" w:gutter="0"/>
              <w:cols w:space="0" w:num="1"/>
            </w:sectPr>
          </w:pPr>
          <w:r>
            <w:rPr>
              <w:color w:val="auto"/>
              <w:sz w:val="28"/>
              <w:szCs w:val="28"/>
            </w:rPr>
            <w:fldChar w:fldCharType="end"/>
          </w:r>
        </w:p>
      </w:sdtContent>
    </w:sdt>
    <w:p>
      <w:pPr>
        <w:pStyle w:val="4"/>
        <w:spacing w:before="0" w:line="360" w:lineRule="auto"/>
        <w:ind w:right="0"/>
        <w:rPr>
          <w:color w:val="auto"/>
          <w:sz w:val="32"/>
          <w:szCs w:val="32"/>
        </w:rPr>
      </w:pPr>
      <w:bookmarkStart w:id="0" w:name="第一章_竞争性磋商公告"/>
      <w:bookmarkEnd w:id="0"/>
      <w:bookmarkStart w:id="1" w:name="_bookmark0"/>
      <w:bookmarkEnd w:id="1"/>
      <w:bookmarkStart w:id="2" w:name="_Toc30328"/>
      <w:r>
        <w:rPr>
          <w:color w:val="auto"/>
          <w:sz w:val="32"/>
          <w:szCs w:val="32"/>
        </w:rPr>
        <w:t>第一章 竞争性磋商公告</w:t>
      </w:r>
      <w:bookmarkEnd w:id="2"/>
    </w:p>
    <w:p>
      <w:pPr>
        <w:spacing w:line="360" w:lineRule="auto"/>
        <w:jc w:val="center"/>
        <w:rPr>
          <w:rFonts w:cs="Courier New"/>
          <w:b/>
          <w:color w:val="auto"/>
          <w:sz w:val="30"/>
          <w:szCs w:val="30"/>
        </w:rPr>
      </w:pPr>
      <w:r>
        <w:rPr>
          <w:rFonts w:hint="eastAsia" w:cs="Courier New"/>
          <w:b/>
          <w:color w:val="auto"/>
          <w:sz w:val="30"/>
          <w:szCs w:val="30"/>
          <w:lang w:eastAsia="zh-CN"/>
        </w:rPr>
        <w:t>广西万宸工程咨询有限公司平南县思旺镇镇北村新型农村集体经济项目</w:t>
      </w:r>
      <w:r>
        <w:rPr>
          <w:rFonts w:hint="eastAsia" w:cs="Courier New"/>
          <w:b/>
          <w:color w:val="auto"/>
          <w:sz w:val="30"/>
          <w:szCs w:val="30"/>
        </w:rPr>
        <w:t>（</w:t>
      </w:r>
      <w:r>
        <w:rPr>
          <w:rFonts w:hint="eastAsia" w:cs="Courier New"/>
          <w:b/>
          <w:color w:val="auto"/>
          <w:sz w:val="30"/>
          <w:szCs w:val="30"/>
          <w:lang w:eastAsia="zh-CN"/>
        </w:rPr>
        <w:t>GGZC2024-C2-60701-GXWC</w:t>
      </w:r>
      <w:r>
        <w:rPr>
          <w:rFonts w:hint="eastAsia" w:cs="Courier New"/>
          <w:b/>
          <w:color w:val="auto"/>
          <w:sz w:val="30"/>
          <w:szCs w:val="30"/>
        </w:rPr>
        <w:t>）竞争性磋商公告</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1" w:type="dxa"/>
          </w:tcPr>
          <w:p>
            <w:pPr>
              <w:spacing w:line="460" w:lineRule="exact"/>
              <w:rPr>
                <w:color w:val="auto"/>
                <w:szCs w:val="21"/>
              </w:rPr>
            </w:pPr>
            <w:r>
              <w:rPr>
                <w:rFonts w:hint="eastAsia"/>
                <w:b/>
                <w:bCs/>
                <w:color w:val="auto"/>
                <w:szCs w:val="21"/>
              </w:rPr>
              <w:t>项目概况</w:t>
            </w:r>
          </w:p>
          <w:p>
            <w:pPr>
              <w:spacing w:line="460" w:lineRule="exact"/>
              <w:ind w:firstLine="440" w:firstLineChars="200"/>
              <w:rPr>
                <w:color w:val="auto"/>
                <w:szCs w:val="21"/>
              </w:rPr>
            </w:pPr>
            <w:r>
              <w:rPr>
                <w:rFonts w:hint="eastAsia"/>
                <w:color w:val="auto"/>
                <w:szCs w:val="21"/>
                <w:u w:val="single"/>
                <w:lang w:eastAsia="zh-CN"/>
              </w:rPr>
              <w:t>平南县思旺镇镇北村新型农村集体经济项目采购项目的潜在供应商应在广西政府采购云平台（https://www.gcy.zfcg.gxzf.gov.cn/）获取采购文件，并于</w:t>
            </w:r>
            <w:r>
              <w:rPr>
                <w:rFonts w:hint="eastAsia"/>
                <w:color w:val="auto"/>
                <w:szCs w:val="21"/>
                <w:u w:val="single"/>
                <w:lang w:eastAsia="zh-CN"/>
              </w:rPr>
              <w:t>2024年</w:t>
            </w:r>
            <w:r>
              <w:rPr>
                <w:rFonts w:hint="eastAsia"/>
                <w:color w:val="auto"/>
                <w:szCs w:val="21"/>
                <w:u w:val="single"/>
                <w:lang w:val="en-US" w:eastAsia="zh-CN"/>
              </w:rPr>
              <w:t>5</w:t>
            </w:r>
            <w:r>
              <w:rPr>
                <w:rFonts w:hint="eastAsia"/>
                <w:color w:val="auto"/>
                <w:szCs w:val="21"/>
                <w:u w:val="single"/>
                <w:lang w:eastAsia="zh-CN"/>
              </w:rPr>
              <w:t>月</w:t>
            </w:r>
            <w:r>
              <w:rPr>
                <w:rFonts w:hint="eastAsia"/>
                <w:color w:val="auto"/>
                <w:szCs w:val="21"/>
                <w:u w:val="single"/>
                <w:lang w:val="en-US" w:eastAsia="zh-CN"/>
              </w:rPr>
              <w:t>28</w:t>
            </w:r>
            <w:r>
              <w:rPr>
                <w:rFonts w:hint="eastAsia"/>
                <w:color w:val="auto"/>
                <w:szCs w:val="21"/>
                <w:u w:val="single"/>
                <w:lang w:eastAsia="zh-CN"/>
              </w:rPr>
              <w:t>日</w:t>
            </w:r>
            <w:r>
              <w:rPr>
                <w:rFonts w:hint="eastAsia"/>
                <w:color w:val="auto"/>
                <w:szCs w:val="21"/>
                <w:u w:val="single"/>
                <w:lang w:val="en-US" w:eastAsia="zh-CN"/>
              </w:rPr>
              <w:t>15</w:t>
            </w:r>
            <w:r>
              <w:rPr>
                <w:rFonts w:hint="eastAsia"/>
                <w:color w:val="auto"/>
                <w:szCs w:val="21"/>
                <w:u w:val="single"/>
                <w:lang w:eastAsia="zh-CN"/>
              </w:rPr>
              <w:t>:</w:t>
            </w:r>
            <w:r>
              <w:rPr>
                <w:rFonts w:hint="eastAsia"/>
                <w:color w:val="auto"/>
                <w:szCs w:val="21"/>
                <w:u w:val="single"/>
                <w:lang w:val="en-US" w:eastAsia="zh-CN"/>
              </w:rPr>
              <w:t>3</w:t>
            </w:r>
            <w:r>
              <w:rPr>
                <w:rFonts w:hint="eastAsia"/>
                <w:color w:val="auto"/>
                <w:szCs w:val="21"/>
                <w:u w:val="single"/>
                <w:lang w:eastAsia="zh-CN"/>
              </w:rPr>
              <w:t>0</w:t>
            </w:r>
            <w:r>
              <w:rPr>
                <w:rFonts w:hint="eastAsia"/>
                <w:color w:val="auto"/>
                <w:szCs w:val="21"/>
                <w:u w:val="single"/>
                <w:lang w:eastAsia="zh-CN"/>
              </w:rPr>
              <w:t>（北京时间）前提交响应文件。</w:t>
            </w:r>
          </w:p>
        </w:tc>
      </w:tr>
    </w:tbl>
    <w:p>
      <w:pPr>
        <w:pStyle w:val="14"/>
        <w:rPr>
          <w:b/>
          <w:color w:val="auto"/>
          <w:sz w:val="22"/>
          <w:szCs w:val="22"/>
        </w:rPr>
      </w:pPr>
    </w:p>
    <w:p>
      <w:pPr>
        <w:spacing w:line="360" w:lineRule="auto"/>
        <w:ind w:firstLine="440" w:firstLineChars="200"/>
        <w:rPr>
          <w:color w:val="auto"/>
        </w:rPr>
      </w:pPr>
      <w:r>
        <w:rPr>
          <w:rFonts w:hint="eastAsia"/>
          <w:color w:val="auto"/>
        </w:rPr>
        <w:t>一、项目基本情况</w:t>
      </w:r>
    </w:p>
    <w:p>
      <w:pPr>
        <w:pStyle w:val="14"/>
        <w:spacing w:line="360" w:lineRule="auto"/>
        <w:ind w:firstLine="440" w:firstLineChars="200"/>
        <w:rPr>
          <w:rFonts w:hint="eastAsia" w:eastAsia="宋体"/>
          <w:color w:val="auto"/>
          <w:sz w:val="22"/>
          <w:szCs w:val="22"/>
          <w:lang w:eastAsia="zh-CN"/>
        </w:rPr>
      </w:pPr>
      <w:r>
        <w:rPr>
          <w:rFonts w:hint="eastAsia"/>
          <w:color w:val="auto"/>
          <w:sz w:val="22"/>
          <w:szCs w:val="22"/>
        </w:rPr>
        <w:t>项目编号：</w:t>
      </w:r>
      <w:r>
        <w:rPr>
          <w:rFonts w:hint="eastAsia"/>
          <w:color w:val="auto"/>
          <w:sz w:val="22"/>
          <w:szCs w:val="22"/>
          <w:lang w:eastAsia="zh-CN"/>
        </w:rPr>
        <w:t>GGZC2024-C2-60701-GXWC</w:t>
      </w:r>
    </w:p>
    <w:p>
      <w:pPr>
        <w:pStyle w:val="14"/>
        <w:spacing w:line="360" w:lineRule="auto"/>
        <w:ind w:firstLine="440" w:firstLineChars="200"/>
        <w:rPr>
          <w:color w:val="auto"/>
          <w:sz w:val="22"/>
          <w:szCs w:val="22"/>
        </w:rPr>
      </w:pPr>
      <w:r>
        <w:rPr>
          <w:rFonts w:hint="eastAsia"/>
          <w:color w:val="auto"/>
          <w:sz w:val="22"/>
          <w:szCs w:val="22"/>
        </w:rPr>
        <w:t>项目名称：</w:t>
      </w:r>
      <w:r>
        <w:rPr>
          <w:rFonts w:hint="eastAsia"/>
          <w:color w:val="auto"/>
          <w:sz w:val="22"/>
          <w:szCs w:val="22"/>
          <w:lang w:eastAsia="zh-CN"/>
        </w:rPr>
        <w:t>平南县思旺镇镇北村新型农村集体经济项目</w:t>
      </w:r>
      <w:r>
        <w:rPr>
          <w:rFonts w:hint="eastAsia"/>
          <w:color w:val="auto"/>
          <w:sz w:val="22"/>
          <w:szCs w:val="22"/>
        </w:rPr>
        <w:t xml:space="preserve"> </w:t>
      </w:r>
    </w:p>
    <w:p>
      <w:pPr>
        <w:pStyle w:val="14"/>
        <w:spacing w:line="360" w:lineRule="auto"/>
        <w:ind w:firstLine="440" w:firstLineChars="200"/>
        <w:rPr>
          <w:rFonts w:hint="eastAsia" w:eastAsia="宋体"/>
          <w:color w:val="auto"/>
          <w:sz w:val="22"/>
          <w:szCs w:val="22"/>
          <w:lang w:eastAsia="zh-CN"/>
        </w:rPr>
      </w:pPr>
      <w:r>
        <w:rPr>
          <w:rFonts w:hint="eastAsia"/>
          <w:color w:val="auto"/>
          <w:sz w:val="22"/>
          <w:szCs w:val="22"/>
        </w:rPr>
        <w:t>采购计划备案文号：</w:t>
      </w:r>
      <w:r>
        <w:rPr>
          <w:rFonts w:hint="eastAsia"/>
          <w:color w:val="auto"/>
          <w:sz w:val="22"/>
          <w:szCs w:val="22"/>
          <w:lang w:eastAsia="zh-CN"/>
        </w:rPr>
        <w:t>PNZC2024-C2-00701</w:t>
      </w:r>
    </w:p>
    <w:p>
      <w:pPr>
        <w:pStyle w:val="14"/>
        <w:spacing w:line="360" w:lineRule="auto"/>
        <w:ind w:firstLine="440" w:firstLineChars="200"/>
        <w:rPr>
          <w:color w:val="auto"/>
          <w:sz w:val="22"/>
          <w:szCs w:val="22"/>
        </w:rPr>
      </w:pPr>
      <w:r>
        <w:rPr>
          <w:rFonts w:hint="eastAsia"/>
          <w:color w:val="auto"/>
          <w:sz w:val="22"/>
          <w:szCs w:val="22"/>
        </w:rPr>
        <w:t>采购方式：竞争性磋商</w:t>
      </w:r>
    </w:p>
    <w:p>
      <w:pPr>
        <w:pStyle w:val="14"/>
        <w:spacing w:line="360" w:lineRule="auto"/>
        <w:ind w:firstLine="440" w:firstLineChars="200"/>
        <w:rPr>
          <w:color w:val="auto"/>
          <w:sz w:val="22"/>
          <w:szCs w:val="22"/>
          <w:lang w:val="en-US"/>
        </w:rPr>
      </w:pPr>
      <w:r>
        <w:rPr>
          <w:rFonts w:hint="eastAsia"/>
          <w:color w:val="auto"/>
          <w:sz w:val="22"/>
          <w:szCs w:val="22"/>
        </w:rPr>
        <w:t>预算总金额：人民币</w:t>
      </w:r>
      <w:r>
        <w:rPr>
          <w:rFonts w:hint="eastAsia"/>
          <w:color w:val="auto"/>
          <w:sz w:val="22"/>
          <w:szCs w:val="22"/>
          <w:lang w:eastAsia="zh-CN"/>
        </w:rPr>
        <w:t>陆拾柒万玖仟贰佰肆拾捌元壹角贰分</w:t>
      </w:r>
      <w:bookmarkStart w:id="1538" w:name="_GoBack"/>
      <w:bookmarkEnd w:id="1538"/>
      <w:r>
        <w:rPr>
          <w:rFonts w:hint="eastAsia"/>
          <w:color w:val="auto"/>
          <w:sz w:val="22"/>
          <w:szCs w:val="22"/>
        </w:rPr>
        <w:t>（￥</w:t>
      </w:r>
      <w:r>
        <w:rPr>
          <w:rFonts w:hint="eastAsia"/>
          <w:color w:val="auto"/>
          <w:sz w:val="22"/>
          <w:szCs w:val="22"/>
          <w:lang w:val="en-US" w:eastAsia="zh-CN"/>
        </w:rPr>
        <w:t>679248.12</w:t>
      </w:r>
      <w:r>
        <w:rPr>
          <w:rFonts w:hint="eastAsia"/>
          <w:color w:val="auto"/>
          <w:sz w:val="22"/>
          <w:szCs w:val="22"/>
          <w:lang w:val="en-US"/>
        </w:rPr>
        <w:t>）</w:t>
      </w:r>
    </w:p>
    <w:p>
      <w:pPr>
        <w:pStyle w:val="14"/>
        <w:spacing w:line="360" w:lineRule="auto"/>
        <w:ind w:firstLine="440" w:firstLineChars="200"/>
        <w:rPr>
          <w:color w:val="auto"/>
          <w:sz w:val="22"/>
          <w:szCs w:val="22"/>
        </w:rPr>
      </w:pPr>
      <w:r>
        <w:rPr>
          <w:rFonts w:hint="eastAsia"/>
          <w:color w:val="auto"/>
          <w:sz w:val="22"/>
          <w:szCs w:val="22"/>
        </w:rPr>
        <w:t>最高限价（如有）：与预算金额一致</w:t>
      </w:r>
    </w:p>
    <w:p>
      <w:pPr>
        <w:pStyle w:val="14"/>
        <w:spacing w:line="360" w:lineRule="auto"/>
        <w:ind w:firstLine="440" w:firstLineChars="200"/>
        <w:rPr>
          <w:color w:val="auto"/>
          <w:sz w:val="22"/>
          <w:szCs w:val="22"/>
        </w:rPr>
      </w:pPr>
      <w:r>
        <w:rPr>
          <w:rFonts w:hint="eastAsia"/>
          <w:color w:val="auto"/>
          <w:sz w:val="22"/>
          <w:szCs w:val="22"/>
        </w:rPr>
        <w:t>采购需求：</w:t>
      </w:r>
      <w:r>
        <w:rPr>
          <w:rFonts w:hint="eastAsia"/>
          <w:color w:val="auto"/>
          <w:sz w:val="22"/>
          <w:szCs w:val="22"/>
          <w:lang w:eastAsia="zh-CN"/>
        </w:rPr>
        <w:t>建设总建筑面积576.83平方米，占地面积576.83平方米的农产品交易中心，主体为框架混凝土结构，建筑总高度为6米</w:t>
      </w:r>
      <w:r>
        <w:rPr>
          <w:rFonts w:hint="eastAsia"/>
          <w:color w:val="auto"/>
          <w:sz w:val="22"/>
          <w:szCs w:val="22"/>
        </w:rPr>
        <w:t>。（具体详见</w:t>
      </w:r>
      <w:r>
        <w:rPr>
          <w:rFonts w:hint="eastAsia"/>
          <w:color w:val="auto"/>
          <w:sz w:val="22"/>
          <w:szCs w:val="22"/>
          <w:lang w:eastAsia="zh-CN"/>
        </w:rPr>
        <w:t>施工图及工程量清单</w:t>
      </w:r>
      <w:r>
        <w:rPr>
          <w:rFonts w:hint="eastAsia"/>
          <w:color w:val="auto"/>
          <w:sz w:val="22"/>
          <w:szCs w:val="22"/>
        </w:rPr>
        <w:t>）</w:t>
      </w:r>
    </w:p>
    <w:p>
      <w:pPr>
        <w:pStyle w:val="14"/>
        <w:spacing w:line="360" w:lineRule="auto"/>
        <w:ind w:firstLine="440" w:firstLineChars="200"/>
        <w:rPr>
          <w:color w:val="auto"/>
          <w:sz w:val="22"/>
          <w:szCs w:val="22"/>
        </w:rPr>
      </w:pPr>
      <w:r>
        <w:rPr>
          <w:rFonts w:hint="eastAsia"/>
          <w:color w:val="auto"/>
          <w:sz w:val="22"/>
          <w:szCs w:val="22"/>
        </w:rPr>
        <w:t>合同履约期限：</w:t>
      </w:r>
      <w:r>
        <w:rPr>
          <w:rFonts w:hint="eastAsia"/>
          <w:color w:val="auto"/>
          <w:sz w:val="22"/>
          <w:szCs w:val="22"/>
          <w:lang w:eastAsia="zh-CN"/>
        </w:rPr>
        <w:t>计划工期:90日历天，定额工期：90日历天</w:t>
      </w:r>
      <w:r>
        <w:rPr>
          <w:rFonts w:hint="eastAsia"/>
          <w:color w:val="auto"/>
          <w:sz w:val="22"/>
          <w:szCs w:val="22"/>
        </w:rPr>
        <w:t>。</w:t>
      </w:r>
    </w:p>
    <w:p>
      <w:pPr>
        <w:pStyle w:val="14"/>
        <w:spacing w:line="360" w:lineRule="auto"/>
        <w:ind w:firstLine="440" w:firstLineChars="200"/>
        <w:rPr>
          <w:color w:val="auto"/>
          <w:sz w:val="22"/>
          <w:szCs w:val="22"/>
        </w:rPr>
      </w:pPr>
      <w:r>
        <w:rPr>
          <w:rFonts w:hint="eastAsia"/>
          <w:color w:val="auto"/>
          <w:sz w:val="22"/>
          <w:szCs w:val="22"/>
        </w:rPr>
        <w:t>本项目（否）接受联合体投标</w:t>
      </w:r>
    </w:p>
    <w:p>
      <w:pPr>
        <w:spacing w:line="360" w:lineRule="auto"/>
        <w:ind w:firstLine="440" w:firstLineChars="200"/>
        <w:rPr>
          <w:color w:val="auto"/>
        </w:rPr>
      </w:pPr>
      <w:r>
        <w:rPr>
          <w:rFonts w:hint="eastAsia"/>
          <w:color w:val="auto"/>
        </w:rPr>
        <w:t>二、申请人的资格条件：</w:t>
      </w:r>
    </w:p>
    <w:p>
      <w:pPr>
        <w:pStyle w:val="14"/>
        <w:spacing w:line="360" w:lineRule="auto"/>
        <w:ind w:firstLine="440" w:firstLineChars="200"/>
        <w:rPr>
          <w:color w:val="auto"/>
          <w:sz w:val="22"/>
          <w:szCs w:val="22"/>
        </w:rPr>
      </w:pPr>
      <w:r>
        <w:rPr>
          <w:rFonts w:hint="eastAsia"/>
          <w:color w:val="auto"/>
          <w:sz w:val="22"/>
          <w:szCs w:val="22"/>
        </w:rPr>
        <w:t>1、满足《中华人民共和国政府采购法》第二十二条规定；</w:t>
      </w:r>
    </w:p>
    <w:p>
      <w:pPr>
        <w:pStyle w:val="14"/>
        <w:spacing w:line="360" w:lineRule="auto"/>
        <w:ind w:firstLine="440" w:firstLineChars="200"/>
        <w:rPr>
          <w:rFonts w:hint="eastAsia" w:eastAsia="宋体"/>
          <w:color w:val="auto"/>
          <w:sz w:val="22"/>
          <w:szCs w:val="22"/>
          <w:lang w:eastAsia="zh-CN"/>
        </w:rPr>
      </w:pPr>
      <w:r>
        <w:rPr>
          <w:rFonts w:hint="eastAsia"/>
          <w:color w:val="auto"/>
          <w:sz w:val="22"/>
          <w:szCs w:val="22"/>
        </w:rPr>
        <w:t>2、落实政府采购政策需满足的资格要求：</w:t>
      </w:r>
      <w:r>
        <w:rPr>
          <w:rFonts w:hint="eastAsia"/>
          <w:color w:val="auto"/>
          <w:sz w:val="22"/>
          <w:szCs w:val="22"/>
          <w:lang w:val="en-US"/>
        </w:rPr>
        <w:t>本项目专门面向中小企业采购（供应商应为中小微企业或监狱企业或残疾人福利性单位)，提供服务的供应商行业须为</w:t>
      </w:r>
      <w:r>
        <w:rPr>
          <w:rFonts w:hint="eastAsia"/>
          <w:b/>
          <w:bCs/>
          <w:color w:val="auto"/>
          <w:sz w:val="22"/>
          <w:szCs w:val="22"/>
          <w:lang w:val="en-US"/>
        </w:rPr>
        <w:t>建筑业</w:t>
      </w:r>
      <w:r>
        <w:rPr>
          <w:rFonts w:hint="eastAsia"/>
          <w:color w:val="auto"/>
          <w:sz w:val="22"/>
          <w:szCs w:val="22"/>
          <w:lang w:val="en-US" w:eastAsia="zh-CN"/>
        </w:rPr>
        <w:t>。</w:t>
      </w:r>
    </w:p>
    <w:p>
      <w:pPr>
        <w:pStyle w:val="14"/>
        <w:spacing w:line="360" w:lineRule="auto"/>
        <w:ind w:firstLine="440" w:firstLineChars="200"/>
        <w:rPr>
          <w:rFonts w:hint="eastAsia"/>
          <w:color w:val="auto"/>
          <w:sz w:val="22"/>
          <w:szCs w:val="22"/>
          <w:highlight w:val="none"/>
          <w:lang w:eastAsia="zh-CN"/>
        </w:rPr>
      </w:pPr>
      <w:r>
        <w:rPr>
          <w:rFonts w:hint="eastAsia"/>
          <w:color w:val="auto"/>
          <w:sz w:val="22"/>
          <w:szCs w:val="22"/>
          <w:highlight w:val="none"/>
        </w:rPr>
        <w:t>3、本项目的特定资格要求：</w:t>
      </w:r>
      <w:r>
        <w:rPr>
          <w:rFonts w:hint="eastAsia"/>
          <w:color w:val="auto"/>
          <w:sz w:val="22"/>
          <w:szCs w:val="22"/>
          <w:highlight w:val="none"/>
          <w:lang w:eastAsia="zh-CN"/>
        </w:rPr>
        <w:t>①投标人必须具备建筑工程施工总承包叁级以上（含叁级）资质的企业，具有省级及以上建设行政主管部门颁发的安全生产许可证；在人员、设备、资金等方面具备相应的施工能力；</w:t>
      </w:r>
    </w:p>
    <w:p>
      <w:pPr>
        <w:pStyle w:val="14"/>
        <w:spacing w:line="360" w:lineRule="auto"/>
        <w:ind w:firstLine="440" w:firstLineChars="200"/>
        <w:rPr>
          <w:color w:val="auto"/>
          <w:sz w:val="22"/>
          <w:szCs w:val="22"/>
          <w:highlight w:val="none"/>
        </w:rPr>
      </w:pPr>
      <w:r>
        <w:rPr>
          <w:rFonts w:hint="eastAsia"/>
          <w:color w:val="auto"/>
          <w:sz w:val="22"/>
          <w:szCs w:val="22"/>
          <w:highlight w:val="none"/>
          <w:lang w:eastAsia="zh-CN"/>
        </w:rPr>
        <w:t>②拟投入本工程的项目经理持有二级或二级以上建造师注册证书，专业是建筑工程专业，持有省级或省级以上行政主管部门颁发的B类安全生产考核合格证</w:t>
      </w:r>
      <w:r>
        <w:rPr>
          <w:rFonts w:hint="eastAsia"/>
          <w:color w:val="auto"/>
          <w:sz w:val="22"/>
          <w:szCs w:val="22"/>
          <w:highlight w:val="none"/>
        </w:rPr>
        <w:t>。</w:t>
      </w:r>
    </w:p>
    <w:p>
      <w:pPr>
        <w:spacing w:line="360" w:lineRule="auto"/>
        <w:ind w:firstLine="440" w:firstLineChars="200"/>
        <w:rPr>
          <w:color w:val="auto"/>
        </w:rPr>
      </w:pPr>
      <w:r>
        <w:rPr>
          <w:rFonts w:hint="eastAsia"/>
          <w:color w:val="auto"/>
        </w:rPr>
        <w:t>三、获取竞争性磋商文件</w:t>
      </w:r>
    </w:p>
    <w:p>
      <w:pPr>
        <w:pStyle w:val="14"/>
        <w:spacing w:line="360" w:lineRule="auto"/>
        <w:ind w:firstLine="440" w:firstLineChars="200"/>
        <w:rPr>
          <w:color w:val="auto"/>
          <w:sz w:val="22"/>
          <w:szCs w:val="22"/>
        </w:rPr>
      </w:pPr>
      <w:r>
        <w:rPr>
          <w:rFonts w:hint="eastAsia"/>
          <w:color w:val="auto"/>
          <w:sz w:val="22"/>
          <w:szCs w:val="22"/>
        </w:rPr>
        <w:t>时间：自本公告发布之日起至</w:t>
      </w:r>
      <w:r>
        <w:rPr>
          <w:rFonts w:hint="eastAsia"/>
          <w:color w:val="auto"/>
          <w:sz w:val="22"/>
          <w:szCs w:val="22"/>
        </w:rPr>
        <w:t>202</w:t>
      </w:r>
      <w:r>
        <w:rPr>
          <w:rFonts w:hint="eastAsia"/>
          <w:color w:val="auto"/>
          <w:sz w:val="22"/>
          <w:szCs w:val="22"/>
          <w:lang w:val="en-US" w:eastAsia="zh-CN"/>
        </w:rPr>
        <w:t>4</w:t>
      </w:r>
      <w:r>
        <w:rPr>
          <w:rFonts w:hint="eastAsia"/>
          <w:color w:val="auto"/>
          <w:sz w:val="22"/>
          <w:szCs w:val="22"/>
        </w:rPr>
        <w:t>年</w:t>
      </w:r>
      <w:r>
        <w:rPr>
          <w:rFonts w:hint="eastAsia"/>
          <w:color w:val="auto"/>
          <w:sz w:val="22"/>
          <w:szCs w:val="22"/>
          <w:lang w:val="en-US" w:eastAsia="zh-CN"/>
        </w:rPr>
        <w:t>5</w:t>
      </w:r>
      <w:r>
        <w:rPr>
          <w:rFonts w:hint="eastAsia"/>
          <w:color w:val="auto"/>
          <w:sz w:val="22"/>
          <w:szCs w:val="22"/>
        </w:rPr>
        <w:t>月</w:t>
      </w:r>
      <w:r>
        <w:rPr>
          <w:rFonts w:hint="eastAsia"/>
          <w:color w:val="auto"/>
          <w:sz w:val="22"/>
          <w:szCs w:val="22"/>
          <w:lang w:val="en-US" w:eastAsia="zh-CN"/>
        </w:rPr>
        <w:t>28</w:t>
      </w:r>
      <w:r>
        <w:rPr>
          <w:rFonts w:hint="eastAsia"/>
          <w:color w:val="auto"/>
          <w:sz w:val="22"/>
          <w:szCs w:val="22"/>
        </w:rPr>
        <w:t>日</w:t>
      </w:r>
      <w:r>
        <w:rPr>
          <w:rFonts w:hint="eastAsia"/>
          <w:color w:val="auto"/>
          <w:sz w:val="22"/>
          <w:szCs w:val="22"/>
        </w:rPr>
        <w:t>（磋商截止时间前）。</w:t>
      </w:r>
    </w:p>
    <w:p>
      <w:pPr>
        <w:pStyle w:val="14"/>
        <w:spacing w:line="360" w:lineRule="auto"/>
        <w:ind w:firstLine="440" w:firstLineChars="200"/>
        <w:rPr>
          <w:color w:val="auto"/>
          <w:sz w:val="22"/>
          <w:szCs w:val="22"/>
        </w:rPr>
      </w:pPr>
      <w:r>
        <w:rPr>
          <w:rFonts w:hint="eastAsia"/>
          <w:color w:val="auto"/>
          <w:sz w:val="22"/>
          <w:szCs w:val="22"/>
        </w:rPr>
        <w:t>地点：广西政府采购云平台（https ://www.gcy.zfcg.gxzf.gov.cn/）</w:t>
      </w:r>
    </w:p>
    <w:p>
      <w:pPr>
        <w:pStyle w:val="14"/>
        <w:spacing w:line="360" w:lineRule="auto"/>
        <w:ind w:firstLine="440" w:firstLineChars="200"/>
        <w:rPr>
          <w:color w:val="auto"/>
          <w:sz w:val="22"/>
          <w:szCs w:val="22"/>
        </w:rPr>
      </w:pPr>
      <w:r>
        <w:rPr>
          <w:rFonts w:hint="eastAsia"/>
          <w:color w:val="auto"/>
          <w:sz w:val="22"/>
          <w:szCs w:val="22"/>
        </w:rPr>
        <w:t xml:space="preserve">方式：网上下载。拟参与本项目的潜在供应商使用账号登录或者 CA 登录“广西政府采购云”平台-进入“项目采购”应用， 在获取采购文件菜单中选择项目，点击申请获取采购文件。 </w:t>
      </w:r>
    </w:p>
    <w:p>
      <w:pPr>
        <w:pStyle w:val="14"/>
        <w:spacing w:line="360" w:lineRule="auto"/>
        <w:ind w:firstLine="440" w:firstLineChars="200"/>
        <w:rPr>
          <w:color w:val="auto"/>
          <w:sz w:val="22"/>
          <w:szCs w:val="22"/>
        </w:rPr>
      </w:pPr>
      <w:r>
        <w:rPr>
          <w:rFonts w:hint="eastAsia"/>
          <w:color w:val="auto"/>
          <w:sz w:val="22"/>
          <w:szCs w:val="22"/>
        </w:rPr>
        <w:t>售价：0</w:t>
      </w:r>
      <w:r>
        <w:rPr>
          <w:rFonts w:hint="eastAsia"/>
          <w:color w:val="auto"/>
          <w:spacing w:val="-18"/>
          <w:sz w:val="22"/>
          <w:szCs w:val="22"/>
        </w:rPr>
        <w:t xml:space="preserve"> 元。</w:t>
      </w:r>
    </w:p>
    <w:p>
      <w:pPr>
        <w:spacing w:line="360" w:lineRule="auto"/>
        <w:ind w:firstLine="440" w:firstLineChars="200"/>
        <w:rPr>
          <w:color w:val="auto"/>
        </w:rPr>
      </w:pPr>
      <w:r>
        <w:rPr>
          <w:rFonts w:hint="eastAsia"/>
          <w:color w:val="auto"/>
        </w:rPr>
        <w:t>四、响应文件提交</w:t>
      </w:r>
    </w:p>
    <w:p>
      <w:pPr>
        <w:pStyle w:val="14"/>
        <w:spacing w:line="360" w:lineRule="auto"/>
        <w:ind w:firstLine="440" w:firstLineChars="200"/>
        <w:rPr>
          <w:color w:val="auto"/>
          <w:sz w:val="22"/>
          <w:szCs w:val="22"/>
        </w:rPr>
      </w:pPr>
      <w:r>
        <w:rPr>
          <w:rFonts w:hint="eastAsia"/>
          <w:color w:val="auto"/>
          <w:sz w:val="22"/>
          <w:szCs w:val="22"/>
        </w:rPr>
        <w:t>截止时间：</w:t>
      </w:r>
      <w:r>
        <w:rPr>
          <w:rFonts w:hint="eastAsia" w:ascii="宋体" w:hAnsi="宋体" w:eastAsia="宋体" w:cs="宋体"/>
          <w:color w:val="auto"/>
          <w:sz w:val="22"/>
          <w:szCs w:val="22"/>
          <w:u w:val="single"/>
          <w:lang w:val="en-US" w:eastAsia="zh-CN" w:bidi="zh-CN"/>
        </w:rPr>
        <w:t>2024年</w:t>
      </w:r>
      <w:r>
        <w:rPr>
          <w:rFonts w:hint="eastAsia" w:cs="宋体"/>
          <w:color w:val="auto"/>
          <w:sz w:val="22"/>
          <w:szCs w:val="22"/>
          <w:u w:val="single"/>
          <w:lang w:val="en-US" w:eastAsia="zh-CN" w:bidi="zh-CN"/>
        </w:rPr>
        <w:t>5</w:t>
      </w:r>
      <w:r>
        <w:rPr>
          <w:rFonts w:hint="eastAsia" w:ascii="宋体" w:hAnsi="宋体" w:eastAsia="宋体" w:cs="宋体"/>
          <w:color w:val="auto"/>
          <w:sz w:val="22"/>
          <w:szCs w:val="22"/>
          <w:u w:val="single"/>
          <w:lang w:val="en-US" w:eastAsia="zh-CN" w:bidi="zh-CN"/>
        </w:rPr>
        <w:t>月</w:t>
      </w:r>
      <w:r>
        <w:rPr>
          <w:rFonts w:hint="eastAsia" w:cs="宋体"/>
          <w:color w:val="auto"/>
          <w:sz w:val="22"/>
          <w:szCs w:val="22"/>
          <w:u w:val="single"/>
          <w:lang w:val="en-US" w:eastAsia="zh-CN" w:bidi="zh-CN"/>
        </w:rPr>
        <w:t>28</w:t>
      </w:r>
      <w:r>
        <w:rPr>
          <w:rFonts w:hint="eastAsia" w:ascii="宋体" w:hAnsi="宋体" w:eastAsia="宋体" w:cs="宋体"/>
          <w:color w:val="auto"/>
          <w:sz w:val="22"/>
          <w:szCs w:val="22"/>
          <w:u w:val="single"/>
          <w:lang w:val="en-US" w:eastAsia="zh-CN" w:bidi="zh-CN"/>
        </w:rPr>
        <w:t>日</w:t>
      </w:r>
      <w:r>
        <w:rPr>
          <w:rFonts w:hint="eastAsia" w:cs="宋体"/>
          <w:color w:val="auto"/>
          <w:sz w:val="22"/>
          <w:szCs w:val="22"/>
          <w:u w:val="single"/>
          <w:lang w:val="en-US" w:eastAsia="zh-CN" w:bidi="zh-CN"/>
        </w:rPr>
        <w:t>15</w:t>
      </w:r>
      <w:r>
        <w:rPr>
          <w:rFonts w:hint="eastAsia" w:ascii="宋体" w:hAnsi="宋体" w:eastAsia="宋体" w:cs="宋体"/>
          <w:color w:val="auto"/>
          <w:sz w:val="22"/>
          <w:szCs w:val="22"/>
          <w:u w:val="single"/>
          <w:lang w:val="en-US" w:eastAsia="zh-CN" w:bidi="zh-CN"/>
        </w:rPr>
        <w:t>时</w:t>
      </w:r>
      <w:r>
        <w:rPr>
          <w:rFonts w:hint="eastAsia" w:cs="宋体"/>
          <w:color w:val="auto"/>
          <w:sz w:val="22"/>
          <w:szCs w:val="22"/>
          <w:u w:val="single"/>
          <w:lang w:val="en-US" w:eastAsia="zh-CN" w:bidi="zh-CN"/>
        </w:rPr>
        <w:t>30</w:t>
      </w:r>
      <w:r>
        <w:rPr>
          <w:rFonts w:hint="eastAsia" w:ascii="宋体" w:hAnsi="宋体" w:eastAsia="宋体" w:cs="宋体"/>
          <w:color w:val="auto"/>
          <w:sz w:val="22"/>
          <w:szCs w:val="22"/>
          <w:u w:val="single"/>
          <w:lang w:val="en-US" w:eastAsia="zh-CN" w:bidi="zh-CN"/>
        </w:rPr>
        <w:t>分</w:t>
      </w:r>
      <w:r>
        <w:rPr>
          <w:rFonts w:hint="eastAsia"/>
          <w:color w:val="auto"/>
          <w:sz w:val="22"/>
          <w:szCs w:val="22"/>
        </w:rPr>
        <w:t>（</w:t>
      </w:r>
      <w:r>
        <w:rPr>
          <w:rFonts w:hint="eastAsia"/>
          <w:color w:val="auto"/>
          <w:sz w:val="22"/>
          <w:szCs w:val="22"/>
        </w:rPr>
        <w:t>北京时间）</w:t>
      </w:r>
    </w:p>
    <w:p>
      <w:pPr>
        <w:spacing w:line="360" w:lineRule="auto"/>
        <w:ind w:firstLine="440" w:firstLineChars="200"/>
        <w:rPr>
          <w:color w:val="auto"/>
        </w:rPr>
      </w:pPr>
      <w:r>
        <w:rPr>
          <w:rFonts w:hint="eastAsia"/>
          <w:color w:val="auto"/>
        </w:rPr>
        <w:t>地点：通过广西政府采购云平台实行在线投标响应。</w:t>
      </w:r>
    </w:p>
    <w:p>
      <w:pPr>
        <w:spacing w:line="360" w:lineRule="auto"/>
        <w:ind w:firstLine="440" w:firstLineChars="200"/>
        <w:rPr>
          <w:color w:val="auto"/>
        </w:rPr>
      </w:pPr>
      <w:r>
        <w:rPr>
          <w:rFonts w:hint="eastAsia"/>
          <w:color w:val="auto"/>
        </w:rPr>
        <w:t>五、开启</w:t>
      </w:r>
    </w:p>
    <w:p>
      <w:pPr>
        <w:autoSpaceDE/>
        <w:autoSpaceDN/>
        <w:spacing w:line="360" w:lineRule="auto"/>
        <w:ind w:firstLine="440" w:firstLineChars="200"/>
        <w:rPr>
          <w:color w:val="auto"/>
          <w:u w:val="single"/>
        </w:rPr>
      </w:pPr>
      <w:r>
        <w:rPr>
          <w:rFonts w:hint="eastAsia" w:cs="仿宋"/>
          <w:color w:val="auto"/>
        </w:rPr>
        <w:t>时间：</w:t>
      </w:r>
      <w:r>
        <w:rPr>
          <w:rFonts w:hint="eastAsia"/>
          <w:color w:val="auto"/>
          <w:u w:val="single"/>
        </w:rPr>
        <w:t>2024年5月28日15时30分</w:t>
      </w:r>
      <w:r>
        <w:rPr>
          <w:rFonts w:hint="eastAsia" w:cs="仿宋"/>
          <w:color w:val="auto"/>
        </w:rPr>
        <w:t>（北京时间）</w:t>
      </w:r>
    </w:p>
    <w:p>
      <w:pPr>
        <w:autoSpaceDE/>
        <w:autoSpaceDN/>
        <w:spacing w:line="360" w:lineRule="auto"/>
        <w:ind w:firstLine="440" w:firstLineChars="200"/>
        <w:rPr>
          <w:color w:val="auto"/>
          <w:u w:val="single"/>
        </w:rPr>
      </w:pPr>
      <w:r>
        <w:rPr>
          <w:rFonts w:hint="eastAsia" w:cs="仿宋"/>
          <w:color w:val="auto"/>
        </w:rPr>
        <w:t>地点：本项目通过广西政府采购云平台实行在线开标，响应文件在广西政府采购云平台电子开标大厅实行在线解密开启。</w:t>
      </w:r>
      <w:r>
        <w:rPr>
          <w:rFonts w:hint="eastAsia"/>
          <w:color w:val="auto"/>
        </w:rPr>
        <w:t>（本项目不要求投标供应商到达开标现场，供应商应派法定代表人或委托代理人准时在线出席电子开评标会议，随时关注开评标进度，如在开评标过程中有电子询标，应在规定的时间内对电子询标函进行澄清回复。）</w:t>
      </w:r>
    </w:p>
    <w:p>
      <w:pPr>
        <w:spacing w:line="360" w:lineRule="auto"/>
        <w:ind w:firstLine="440" w:firstLineChars="200"/>
        <w:rPr>
          <w:color w:val="auto"/>
        </w:rPr>
      </w:pPr>
      <w:r>
        <w:rPr>
          <w:rFonts w:hint="eastAsia"/>
          <w:color w:val="auto"/>
        </w:rPr>
        <w:t>六、公告期限</w:t>
      </w:r>
    </w:p>
    <w:p>
      <w:pPr>
        <w:pStyle w:val="14"/>
        <w:spacing w:line="360" w:lineRule="auto"/>
        <w:ind w:firstLine="440" w:firstLineChars="200"/>
        <w:rPr>
          <w:color w:val="auto"/>
          <w:sz w:val="22"/>
          <w:szCs w:val="22"/>
        </w:rPr>
      </w:pPr>
      <w:r>
        <w:rPr>
          <w:rFonts w:hint="eastAsia"/>
          <w:color w:val="auto"/>
          <w:sz w:val="22"/>
          <w:szCs w:val="22"/>
        </w:rPr>
        <w:t>自本公告发布之日起 3 个工作日。</w:t>
      </w:r>
    </w:p>
    <w:p>
      <w:pPr>
        <w:spacing w:line="360" w:lineRule="auto"/>
        <w:ind w:firstLine="440" w:firstLineChars="200"/>
        <w:rPr>
          <w:color w:val="auto"/>
        </w:rPr>
      </w:pPr>
      <w:r>
        <w:rPr>
          <w:rFonts w:hint="eastAsia"/>
          <w:color w:val="auto"/>
        </w:rPr>
        <w:t>七、其他补充事宜</w:t>
      </w:r>
    </w:p>
    <w:p>
      <w:pPr>
        <w:pStyle w:val="14"/>
        <w:spacing w:line="360" w:lineRule="auto"/>
        <w:ind w:firstLine="440" w:firstLineChars="200"/>
        <w:rPr>
          <w:color w:val="auto"/>
          <w:sz w:val="22"/>
          <w:szCs w:val="22"/>
        </w:rPr>
      </w:pPr>
      <w:r>
        <w:rPr>
          <w:rFonts w:hint="eastAsia"/>
          <w:color w:val="auto"/>
          <w:sz w:val="22"/>
          <w:szCs w:val="22"/>
        </w:rPr>
        <w:t>1、磋商保证金：本项目不收取磋商保证金。</w:t>
      </w:r>
    </w:p>
    <w:p>
      <w:pPr>
        <w:pStyle w:val="14"/>
        <w:spacing w:line="360" w:lineRule="auto"/>
        <w:ind w:firstLine="440" w:firstLineChars="200"/>
        <w:rPr>
          <w:color w:val="auto"/>
          <w:sz w:val="22"/>
          <w:szCs w:val="22"/>
        </w:rPr>
      </w:pPr>
      <w:r>
        <w:rPr>
          <w:rFonts w:hint="eastAsia"/>
          <w:color w:val="auto"/>
          <w:sz w:val="22"/>
          <w:szCs w:val="22"/>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Style w:val="14"/>
        <w:spacing w:line="360" w:lineRule="auto"/>
        <w:ind w:firstLine="440" w:firstLineChars="200"/>
        <w:rPr>
          <w:color w:val="auto"/>
          <w:sz w:val="22"/>
          <w:szCs w:val="22"/>
        </w:rPr>
      </w:pPr>
      <w:r>
        <w:rPr>
          <w:rFonts w:hint="eastAsia"/>
          <w:color w:val="auto"/>
          <w:sz w:val="22"/>
          <w:szCs w:val="22"/>
        </w:rPr>
        <w:t>3、根据财政部《关于在政府采购活动中查询及使用信用记录有关问题的通知》（财库〔2016〕125 号）的规定，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pStyle w:val="14"/>
        <w:spacing w:line="360" w:lineRule="auto"/>
        <w:ind w:firstLine="440" w:firstLineChars="200"/>
        <w:rPr>
          <w:color w:val="auto"/>
          <w:sz w:val="22"/>
          <w:szCs w:val="22"/>
        </w:rPr>
      </w:pPr>
      <w:r>
        <w:rPr>
          <w:rFonts w:hint="eastAsia"/>
          <w:color w:val="auto"/>
          <w:sz w:val="22"/>
          <w:szCs w:val="22"/>
        </w:rPr>
        <w:t xml:space="preserve">4、网上查询地址：http：//www.ccgp.gov.cn（中国政府采购网）、http：//www.ccgp-guangxi.gov.cn/（广西壮族自治区政府采购网）、http：//zfcg.czj.gxgg.gov.cn（贵港市政府采购网）、http://ggzy.jgswj.gxzf.gov.cn/ggggzy/全国公共资源交易平台（广西•贵港）。    </w:t>
      </w:r>
    </w:p>
    <w:p>
      <w:pPr>
        <w:pStyle w:val="14"/>
        <w:spacing w:line="360" w:lineRule="auto"/>
        <w:ind w:firstLine="440" w:firstLineChars="200"/>
        <w:rPr>
          <w:color w:val="auto"/>
          <w:sz w:val="22"/>
          <w:szCs w:val="22"/>
        </w:rPr>
      </w:pPr>
      <w:r>
        <w:rPr>
          <w:rFonts w:hint="eastAsia"/>
          <w:color w:val="auto"/>
          <w:sz w:val="22"/>
          <w:szCs w:val="22"/>
        </w:rPr>
        <w:t>5、本项目需要落实的政府采购政策：</w:t>
      </w:r>
    </w:p>
    <w:p>
      <w:pPr>
        <w:pStyle w:val="14"/>
        <w:spacing w:line="360" w:lineRule="auto"/>
        <w:ind w:firstLine="440" w:firstLineChars="200"/>
        <w:rPr>
          <w:color w:val="auto"/>
          <w:sz w:val="22"/>
          <w:szCs w:val="22"/>
        </w:rPr>
      </w:pPr>
      <w:r>
        <w:rPr>
          <w:rFonts w:hint="eastAsia"/>
          <w:color w:val="auto"/>
          <w:sz w:val="22"/>
          <w:szCs w:val="22"/>
        </w:rPr>
        <w:t>（1）《关于进一步加大政府采购支持中小企业力度的通知》财库〔2022〕19 号、《政府采购促进中小企业发展管理办法》的通知(财库(2020)46 号)。</w:t>
      </w:r>
    </w:p>
    <w:p>
      <w:pPr>
        <w:pStyle w:val="14"/>
        <w:spacing w:line="360" w:lineRule="auto"/>
        <w:ind w:firstLine="440" w:firstLineChars="200"/>
        <w:rPr>
          <w:color w:val="auto"/>
          <w:sz w:val="22"/>
          <w:szCs w:val="22"/>
        </w:rPr>
      </w:pPr>
      <w:r>
        <w:rPr>
          <w:rFonts w:hint="eastAsia"/>
          <w:color w:val="auto"/>
          <w:sz w:val="22"/>
          <w:szCs w:val="22"/>
        </w:rPr>
        <w:t>(2)《广西壮族自治区财政厅关于进一步发挥政府采购政策功能促进企业发展的通知》（桂财采〔2022〕30 号）</w:t>
      </w:r>
    </w:p>
    <w:p>
      <w:pPr>
        <w:pStyle w:val="14"/>
        <w:spacing w:line="360" w:lineRule="auto"/>
        <w:ind w:firstLine="440" w:firstLineChars="200"/>
        <w:rPr>
          <w:color w:val="auto"/>
          <w:sz w:val="22"/>
          <w:szCs w:val="22"/>
        </w:rPr>
      </w:pPr>
      <w:r>
        <w:rPr>
          <w:rFonts w:hint="eastAsia"/>
          <w:color w:val="auto"/>
          <w:sz w:val="22"/>
          <w:szCs w:val="22"/>
        </w:rPr>
        <w:t>（3）《关于促进残疾人就业政府采购政策的通知》（财库〔2017〕141 号）</w:t>
      </w:r>
    </w:p>
    <w:p>
      <w:pPr>
        <w:pStyle w:val="14"/>
        <w:spacing w:line="360" w:lineRule="auto"/>
        <w:ind w:firstLine="440" w:firstLineChars="200"/>
        <w:rPr>
          <w:color w:val="auto"/>
          <w:sz w:val="22"/>
          <w:szCs w:val="22"/>
        </w:rPr>
      </w:pPr>
      <w:r>
        <w:rPr>
          <w:rFonts w:hint="eastAsia"/>
          <w:color w:val="auto"/>
          <w:sz w:val="22"/>
          <w:szCs w:val="22"/>
        </w:rPr>
        <w:t>(4)《财政部、司法部关于政府采购支持监狱企业发展有关问题的通知》（财库[2014]68 号） (5)政府采购支持采用本国产品的政策。</w:t>
      </w:r>
    </w:p>
    <w:p>
      <w:pPr>
        <w:pStyle w:val="14"/>
        <w:spacing w:line="360" w:lineRule="auto"/>
        <w:ind w:firstLine="440" w:firstLineChars="200"/>
        <w:rPr>
          <w:color w:val="auto"/>
          <w:sz w:val="22"/>
          <w:szCs w:val="22"/>
        </w:rPr>
      </w:pPr>
      <w:r>
        <w:rPr>
          <w:rFonts w:hint="eastAsia"/>
          <w:color w:val="auto"/>
          <w:sz w:val="22"/>
          <w:szCs w:val="22"/>
        </w:rPr>
        <w:t xml:space="preserve">（6）强制采购节能产品；优先采购节能产品、环境标志产品。  </w:t>
      </w:r>
    </w:p>
    <w:p>
      <w:pPr>
        <w:pStyle w:val="14"/>
        <w:spacing w:line="360" w:lineRule="auto"/>
        <w:ind w:firstLine="440" w:firstLineChars="200"/>
        <w:rPr>
          <w:color w:val="auto"/>
          <w:sz w:val="22"/>
          <w:szCs w:val="22"/>
        </w:rPr>
      </w:pPr>
      <w:r>
        <w:rPr>
          <w:rFonts w:hint="eastAsia"/>
          <w:color w:val="auto"/>
          <w:sz w:val="22"/>
          <w:szCs w:val="22"/>
        </w:rPr>
        <w:t>6、磋商注意事项：</w:t>
      </w:r>
    </w:p>
    <w:p>
      <w:pPr>
        <w:pStyle w:val="35"/>
        <w:tabs>
          <w:tab w:val="left" w:pos="1265"/>
        </w:tabs>
        <w:spacing w:line="360" w:lineRule="auto"/>
        <w:ind w:left="0" w:firstLine="388" w:firstLineChars="200"/>
        <w:rPr>
          <w:b/>
          <w:color w:val="auto"/>
        </w:rPr>
      </w:pPr>
      <w:r>
        <w:rPr>
          <w:rFonts w:hint="eastAsia"/>
          <w:color w:val="auto"/>
          <w:spacing w:val="-13"/>
        </w:rPr>
        <w:t>（</w:t>
      </w:r>
      <w:r>
        <w:rPr>
          <w:rFonts w:hint="eastAsia"/>
          <w:color w:val="auto"/>
          <w:spacing w:val="-13"/>
          <w:lang w:val="en-US"/>
        </w:rPr>
        <w:t>1）</w:t>
      </w:r>
      <w:r>
        <w:rPr>
          <w:rFonts w:hint="eastAsia"/>
          <w:color w:val="auto"/>
          <w:spacing w:val="-13"/>
        </w:rPr>
        <w:t>响应文件提交方式：本项目为全流程电子化项目，通过“广西政府采购云平台 ”（https://www.gcy.zfcg.gxzf.gov.cn/）实行在线电子响应，各供应商通过新平台参与政府采购项目磋商需下载使用新版客户端，新版客户端下载路径：（广西政府采购云平台新版客户端下载地址：https://sitecdn.zcycdn.com/zcy-client/bidding-client-ew/official/guangxi/GuangXiSetup.exe） —办事服务—下载专区。原在政采云平台注册的临时供应商需在新平台启用后重新注册登记，并按照本项 目采购文件和“广西政府采购云平台 ”的要求编制、加密后在响应文件提交截止时间前通过网络上传至“广 西政府采购云平台 ”，</w:t>
      </w:r>
      <w:r>
        <w:rPr>
          <w:rFonts w:hint="eastAsia"/>
          <w:b/>
          <w:bCs/>
          <w:color w:val="auto"/>
          <w:spacing w:val="-13"/>
        </w:rPr>
        <w:t>供应商在“广西政府采购云平台 ”提交电子版响应文件时，请填写参加远程开标活动经办人联系方式。</w:t>
      </w:r>
    </w:p>
    <w:p>
      <w:pPr>
        <w:pStyle w:val="35"/>
        <w:tabs>
          <w:tab w:val="left" w:pos="1265"/>
        </w:tabs>
        <w:spacing w:line="360" w:lineRule="auto"/>
        <w:ind w:left="0" w:firstLine="440" w:firstLineChars="200"/>
        <w:rPr>
          <w:color w:val="auto"/>
        </w:rPr>
      </w:pPr>
      <w:r>
        <w:rPr>
          <w:rFonts w:hint="eastAsia"/>
          <w:color w:val="auto"/>
        </w:rPr>
        <w:t>（</w:t>
      </w:r>
      <w:r>
        <w:rPr>
          <w:rFonts w:hint="eastAsia"/>
          <w:color w:val="auto"/>
          <w:lang w:val="en-US"/>
        </w:rPr>
        <w:t>2）</w:t>
      </w:r>
      <w:r>
        <w:rPr>
          <w:rFonts w:hint="eastAsia"/>
          <w:color w:val="auto"/>
        </w:rPr>
        <w:t>未进行网上注册并办理数字证书（CA 认证）的供应商将无法参与本项目政府采购活动，潜在供应商应当在首次响应文件提交截止时间前，完成电子交易平台上的 CA 数字证书办理及响应文件的提交。</w:t>
      </w:r>
    </w:p>
    <w:p>
      <w:pPr>
        <w:pStyle w:val="35"/>
        <w:tabs>
          <w:tab w:val="left" w:pos="1265"/>
        </w:tabs>
        <w:spacing w:line="360" w:lineRule="auto"/>
        <w:ind w:left="0" w:firstLine="440" w:firstLineChars="200"/>
        <w:rPr>
          <w:rFonts w:hint="eastAsia"/>
          <w:color w:val="auto"/>
          <w:spacing w:val="-8"/>
        </w:rPr>
      </w:pPr>
      <w:bookmarkStart w:id="3" w:name="第二章_供应商须知"/>
      <w:bookmarkEnd w:id="3"/>
      <w:r>
        <w:rPr>
          <w:rFonts w:hint="eastAsia"/>
          <w:color w:val="auto"/>
        </w:rPr>
        <w:t>（</w:t>
      </w:r>
      <w:r>
        <w:rPr>
          <w:rFonts w:hint="eastAsia"/>
          <w:color w:val="auto"/>
          <w:lang w:val="en-US"/>
        </w:rPr>
        <w:t>3）</w:t>
      </w:r>
      <w:r>
        <w:rPr>
          <w:rFonts w:hint="eastAsia"/>
          <w:color w:val="auto"/>
        </w:rPr>
        <w:t>为确保网上操作合法、有效和安全，请供应商确保在电子响应过程中能够对相关数据电文进行加密和使用电子签章，妥善保管 CA 数字证书并使用有效的 CA 数字证书参与整个采购活动</w:t>
      </w:r>
      <w:r>
        <w:rPr>
          <w:rFonts w:hint="eastAsia"/>
          <w:color w:val="auto"/>
          <w:spacing w:val="-8"/>
        </w:rPr>
        <w:t>。</w:t>
      </w:r>
    </w:p>
    <w:p>
      <w:pPr>
        <w:pStyle w:val="35"/>
        <w:tabs>
          <w:tab w:val="left" w:pos="1265"/>
        </w:tabs>
        <w:spacing w:line="360" w:lineRule="auto"/>
        <w:ind w:left="0" w:firstLine="410" w:firstLineChars="200"/>
        <w:rPr>
          <w:rFonts w:hint="eastAsia" w:eastAsia="宋体"/>
          <w:b/>
          <w:bCs/>
          <w:color w:val="auto"/>
          <w:spacing w:val="-8"/>
          <w:lang w:eastAsia="zh-CN"/>
        </w:rPr>
      </w:pPr>
      <w:r>
        <w:rPr>
          <w:rFonts w:hint="eastAsia"/>
          <w:b/>
          <w:bCs/>
          <w:color w:val="auto"/>
          <w:spacing w:val="-8"/>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 ”将予以拒收</w:t>
      </w:r>
      <w:r>
        <w:rPr>
          <w:rFonts w:hint="eastAsia"/>
          <w:b/>
          <w:bCs/>
          <w:color w:val="auto"/>
          <w:spacing w:val="-8"/>
          <w:lang w:eastAsia="zh-CN"/>
        </w:rPr>
        <w:t>。</w:t>
      </w:r>
    </w:p>
    <w:p>
      <w:pPr>
        <w:pStyle w:val="14"/>
        <w:spacing w:line="360" w:lineRule="auto"/>
        <w:ind w:firstLine="420" w:firstLineChars="200"/>
        <w:rPr>
          <w:rFonts w:hint="eastAsia"/>
          <w:color w:val="auto"/>
        </w:rPr>
      </w:pPr>
      <w:r>
        <w:rPr>
          <w:rFonts w:hint="eastAsia"/>
          <w:color w:val="auto"/>
          <w:lang w:eastAsia="zh-CN"/>
        </w:rPr>
        <w:t>（</w:t>
      </w:r>
      <w:r>
        <w:rPr>
          <w:rFonts w:hint="eastAsia"/>
          <w:color w:val="auto"/>
          <w:lang w:val="en-US" w:eastAsia="zh-CN"/>
        </w:rPr>
        <w:t>4）</w:t>
      </w:r>
      <w:r>
        <w:rPr>
          <w:rFonts w:hint="eastAsia"/>
          <w:color w:val="auto"/>
        </w:rPr>
        <w:t>CA 证书在线解密：首次响应文件开启时，需要供应商携带制作响应文件时用来加密的有效数字证书（CA 认证）登录“广西政府采购云平台 ”电子开标大厅现场按规定时间对加密的响应文件进行解密。</w:t>
      </w:r>
    </w:p>
    <w:p>
      <w:pPr>
        <w:pStyle w:val="14"/>
        <w:spacing w:line="360" w:lineRule="auto"/>
        <w:ind w:firstLine="420" w:firstLineChars="200"/>
        <w:rPr>
          <w:rFonts w:hint="eastAsia"/>
          <w:color w:val="auto"/>
        </w:rPr>
      </w:pPr>
      <w:r>
        <w:rPr>
          <w:rFonts w:hint="eastAsia"/>
          <w:color w:val="auto"/>
        </w:rPr>
        <w:t>（5）供应商需要在具备有摄像头及语音功能且互联网网络状况良好的电脑登录“广西政府采购云平台 ”远程开标大厅参与本次磋商，否则后果自负。</w:t>
      </w:r>
    </w:p>
    <w:p>
      <w:pPr>
        <w:pStyle w:val="14"/>
        <w:spacing w:line="360" w:lineRule="auto"/>
        <w:ind w:firstLine="440" w:firstLineChars="200"/>
        <w:rPr>
          <w:color w:val="auto"/>
          <w:sz w:val="22"/>
          <w:szCs w:val="22"/>
        </w:rPr>
      </w:pPr>
      <w:r>
        <w:rPr>
          <w:rFonts w:hint="eastAsia"/>
          <w:color w:val="auto"/>
          <w:sz w:val="22"/>
          <w:szCs w:val="22"/>
        </w:rPr>
        <w:t>7</w:t>
      </w:r>
      <w:r>
        <w:rPr>
          <w:rFonts w:hint="eastAsia"/>
          <w:color w:val="auto"/>
          <w:spacing w:val="-8"/>
          <w:sz w:val="22"/>
          <w:szCs w:val="22"/>
        </w:rPr>
        <w:t>、</w:t>
      </w:r>
      <w:r>
        <w:rPr>
          <w:rFonts w:hint="eastAsia"/>
          <w:color w:val="auto"/>
          <w:sz w:val="22"/>
          <w:szCs w:val="22"/>
        </w:rPr>
        <w:t xml:space="preserve">若对项目采购电子交易系统操作有疑问，可 登 录 “ 广 西 政 府 采 购 云 平 台 ” （https://www.gcy.zfcg.gxzf.gov.cn/） ，点击右侧咨询小采，获取采小蜜智能服务管家帮助，或拨打政采云服务热线 </w:t>
      </w:r>
      <w:r>
        <w:rPr>
          <w:rFonts w:hint="eastAsia"/>
          <w:color w:val="auto"/>
          <w:sz w:val="22"/>
          <w:szCs w:val="22"/>
          <w:lang w:eastAsia="zh-CN"/>
        </w:rPr>
        <w:t>95763</w:t>
      </w:r>
      <w:r>
        <w:rPr>
          <w:rFonts w:hint="eastAsia"/>
          <w:color w:val="auto"/>
          <w:sz w:val="22"/>
          <w:szCs w:val="22"/>
        </w:rPr>
        <w:t xml:space="preserve"> 获取热线服务帮助。</w:t>
      </w:r>
    </w:p>
    <w:p>
      <w:pPr>
        <w:spacing w:line="360" w:lineRule="auto"/>
        <w:ind w:firstLine="440" w:firstLineChars="200"/>
        <w:rPr>
          <w:color w:val="auto"/>
        </w:rPr>
      </w:pPr>
      <w:r>
        <w:rPr>
          <w:rFonts w:hint="eastAsia"/>
          <w:color w:val="auto"/>
        </w:rPr>
        <w:t>八、凡对本次采购提出询问，请按以下方式联系。</w:t>
      </w:r>
    </w:p>
    <w:p>
      <w:pPr>
        <w:pStyle w:val="37"/>
        <w:spacing w:line="360" w:lineRule="auto"/>
        <w:ind w:firstLine="420"/>
        <w:rPr>
          <w:rFonts w:ascii="宋体" w:hAnsi="宋体"/>
          <w:b/>
          <w:bCs/>
          <w:color w:val="auto"/>
          <w:sz w:val="22"/>
          <w:szCs w:val="22"/>
        </w:rPr>
      </w:pPr>
      <w:bookmarkStart w:id="4" w:name="_Toc28359019"/>
      <w:bookmarkStart w:id="5" w:name="_Toc35393637"/>
      <w:bookmarkStart w:id="6" w:name="_Toc35393806"/>
      <w:bookmarkStart w:id="7" w:name="_Toc28359096"/>
      <w:r>
        <w:rPr>
          <w:rFonts w:ascii="宋体" w:hAnsi="宋体"/>
          <w:color w:val="auto"/>
          <w:sz w:val="22"/>
          <w:szCs w:val="22"/>
        </w:rPr>
        <w:t>1.采购人信息</w:t>
      </w:r>
      <w:bookmarkEnd w:id="4"/>
      <w:bookmarkEnd w:id="5"/>
      <w:bookmarkEnd w:id="6"/>
      <w:bookmarkEnd w:id="7"/>
    </w:p>
    <w:p>
      <w:pPr>
        <w:pStyle w:val="37"/>
        <w:spacing w:line="360" w:lineRule="auto"/>
        <w:ind w:firstLine="420"/>
        <w:jc w:val="left"/>
        <w:rPr>
          <w:rFonts w:hint="eastAsia" w:ascii="宋体" w:hAnsi="宋体" w:eastAsia="宋体"/>
          <w:color w:val="auto"/>
          <w:sz w:val="22"/>
          <w:szCs w:val="22"/>
          <w:lang w:eastAsia="zh-CN"/>
        </w:rPr>
      </w:pPr>
      <w:r>
        <w:rPr>
          <w:rFonts w:ascii="宋体" w:hAnsi="宋体"/>
          <w:color w:val="auto"/>
          <w:sz w:val="22"/>
          <w:szCs w:val="22"/>
        </w:rPr>
        <w:t>名    称：</w:t>
      </w:r>
      <w:r>
        <w:rPr>
          <w:rFonts w:hint="eastAsia" w:ascii="宋体" w:hAnsi="宋体"/>
          <w:color w:val="auto"/>
          <w:sz w:val="22"/>
          <w:szCs w:val="22"/>
          <w:u w:val="single"/>
          <w:lang w:eastAsia="zh-CN"/>
        </w:rPr>
        <w:t>平南县思旺镇人民政府</w:t>
      </w:r>
    </w:p>
    <w:p>
      <w:pPr>
        <w:pStyle w:val="37"/>
        <w:spacing w:line="360" w:lineRule="auto"/>
        <w:ind w:firstLine="420"/>
        <w:jc w:val="left"/>
        <w:rPr>
          <w:rFonts w:hint="eastAsia" w:ascii="宋体" w:hAnsi="宋体" w:eastAsia="宋体"/>
          <w:color w:val="auto"/>
          <w:sz w:val="22"/>
          <w:szCs w:val="22"/>
          <w:u w:val="single"/>
          <w:lang w:eastAsia="zh-CN"/>
        </w:rPr>
      </w:pPr>
      <w:r>
        <w:rPr>
          <w:rFonts w:ascii="宋体" w:hAnsi="宋体"/>
          <w:color w:val="auto"/>
          <w:sz w:val="22"/>
          <w:szCs w:val="22"/>
        </w:rPr>
        <w:t>地    址：</w:t>
      </w:r>
      <w:r>
        <w:rPr>
          <w:rFonts w:hint="eastAsia" w:ascii="宋体" w:hAnsi="宋体"/>
          <w:color w:val="auto"/>
          <w:sz w:val="22"/>
          <w:szCs w:val="22"/>
          <w:u w:val="single"/>
          <w:lang w:eastAsia="zh-CN"/>
        </w:rPr>
        <w:t>平南县思旺镇人民政府</w:t>
      </w:r>
    </w:p>
    <w:p>
      <w:pPr>
        <w:pStyle w:val="37"/>
        <w:spacing w:line="360" w:lineRule="auto"/>
        <w:ind w:firstLine="420"/>
        <w:jc w:val="left"/>
        <w:rPr>
          <w:rFonts w:hint="eastAsia" w:ascii="宋体" w:hAnsi="宋体" w:eastAsia="宋体"/>
          <w:color w:val="auto"/>
          <w:sz w:val="22"/>
          <w:szCs w:val="22"/>
          <w:u w:val="single"/>
          <w:lang w:eastAsia="zh-CN"/>
        </w:rPr>
      </w:pPr>
      <w:r>
        <w:rPr>
          <w:rFonts w:ascii="宋体" w:hAnsi="宋体"/>
          <w:color w:val="auto"/>
          <w:sz w:val="22"/>
          <w:szCs w:val="22"/>
        </w:rPr>
        <w:t>联系方式：</w:t>
      </w:r>
      <w:r>
        <w:rPr>
          <w:rFonts w:hint="eastAsia" w:ascii="宋体" w:hAnsi="宋体"/>
          <w:color w:val="auto"/>
          <w:sz w:val="22"/>
          <w:szCs w:val="22"/>
          <w:u w:val="single"/>
          <w:lang w:eastAsia="zh-CN"/>
        </w:rPr>
        <w:t>黎日永</w:t>
      </w:r>
      <w:r>
        <w:rPr>
          <w:rFonts w:ascii="宋体" w:hAnsi="宋体"/>
          <w:color w:val="auto"/>
          <w:sz w:val="22"/>
          <w:szCs w:val="22"/>
          <w:u w:val="single"/>
        </w:rPr>
        <w:t>，</w:t>
      </w:r>
      <w:r>
        <w:rPr>
          <w:rFonts w:hint="eastAsia" w:ascii="宋体" w:hAnsi="宋体"/>
          <w:color w:val="auto"/>
          <w:sz w:val="22"/>
          <w:szCs w:val="22"/>
          <w:u w:val="single"/>
          <w:lang w:eastAsia="zh-CN"/>
        </w:rPr>
        <w:t>0775-7786150</w:t>
      </w:r>
    </w:p>
    <w:p>
      <w:pPr>
        <w:pStyle w:val="37"/>
        <w:spacing w:line="360" w:lineRule="auto"/>
        <w:ind w:firstLine="420"/>
        <w:rPr>
          <w:rFonts w:ascii="宋体" w:hAnsi="宋体"/>
          <w:b/>
          <w:bCs/>
          <w:color w:val="auto"/>
          <w:sz w:val="22"/>
          <w:szCs w:val="22"/>
        </w:rPr>
      </w:pPr>
      <w:bookmarkStart w:id="8" w:name="_Toc35393807"/>
      <w:bookmarkStart w:id="9" w:name="_Toc35393638"/>
      <w:bookmarkStart w:id="10" w:name="_Toc28359097"/>
      <w:bookmarkStart w:id="11" w:name="_Toc28359020"/>
      <w:r>
        <w:rPr>
          <w:rFonts w:ascii="宋体" w:hAnsi="宋体"/>
          <w:color w:val="auto"/>
          <w:sz w:val="22"/>
          <w:szCs w:val="22"/>
        </w:rPr>
        <w:t>2.采购代理机构信息</w:t>
      </w:r>
      <w:bookmarkEnd w:id="8"/>
      <w:bookmarkEnd w:id="9"/>
      <w:bookmarkEnd w:id="10"/>
      <w:bookmarkEnd w:id="11"/>
    </w:p>
    <w:p>
      <w:pPr>
        <w:pStyle w:val="37"/>
        <w:spacing w:line="360" w:lineRule="auto"/>
        <w:ind w:firstLine="420"/>
        <w:rPr>
          <w:rFonts w:hint="eastAsia" w:ascii="宋体" w:hAnsi="宋体" w:eastAsia="宋体"/>
          <w:color w:val="auto"/>
          <w:sz w:val="22"/>
          <w:szCs w:val="22"/>
          <w:lang w:eastAsia="zh-CN"/>
        </w:rPr>
      </w:pPr>
      <w:r>
        <w:rPr>
          <w:rFonts w:ascii="宋体" w:hAnsi="宋体"/>
          <w:color w:val="auto"/>
          <w:sz w:val="22"/>
          <w:szCs w:val="22"/>
        </w:rPr>
        <w:t>名    称：</w:t>
      </w:r>
      <w:r>
        <w:rPr>
          <w:rFonts w:hint="eastAsia" w:ascii="宋体" w:hAnsi="宋体"/>
          <w:color w:val="auto"/>
          <w:sz w:val="22"/>
          <w:szCs w:val="22"/>
          <w:u w:val="single"/>
          <w:lang w:eastAsia="zh-CN"/>
        </w:rPr>
        <w:t>广西万宸工程咨询有限公司</w:t>
      </w:r>
    </w:p>
    <w:p>
      <w:pPr>
        <w:pStyle w:val="37"/>
        <w:spacing w:line="360" w:lineRule="auto"/>
        <w:ind w:firstLine="420"/>
        <w:rPr>
          <w:rFonts w:hint="eastAsia" w:ascii="宋体" w:hAnsi="宋体" w:eastAsia="宋体"/>
          <w:color w:val="auto"/>
          <w:sz w:val="22"/>
          <w:szCs w:val="22"/>
          <w:lang w:eastAsia="zh-CN"/>
        </w:rPr>
      </w:pPr>
      <w:r>
        <w:rPr>
          <w:rFonts w:ascii="宋体" w:hAnsi="宋体"/>
          <w:color w:val="auto"/>
          <w:sz w:val="22"/>
          <w:szCs w:val="22"/>
        </w:rPr>
        <w:t>地　　址：</w:t>
      </w:r>
      <w:r>
        <w:rPr>
          <w:rFonts w:hint="eastAsia" w:ascii="宋体" w:hAnsi="宋体"/>
          <w:color w:val="auto"/>
          <w:sz w:val="22"/>
          <w:szCs w:val="22"/>
          <w:u w:val="single"/>
          <w:lang w:eastAsia="zh-CN"/>
        </w:rPr>
        <w:t>广西壮族自治区贵港市港北区民主路69号（宏桂 · 城市广场）1幢2005号(闭丽霞房屋)</w:t>
      </w:r>
    </w:p>
    <w:p>
      <w:pPr>
        <w:pStyle w:val="37"/>
        <w:spacing w:line="360" w:lineRule="auto"/>
        <w:ind w:firstLine="420"/>
        <w:rPr>
          <w:rFonts w:hint="eastAsia" w:ascii="宋体" w:hAnsi="宋体" w:eastAsia="宋体"/>
          <w:color w:val="auto"/>
          <w:sz w:val="22"/>
          <w:szCs w:val="22"/>
          <w:u w:val="single"/>
          <w:lang w:eastAsia="zh-CN"/>
        </w:rPr>
      </w:pPr>
      <w:r>
        <w:rPr>
          <w:rFonts w:ascii="宋体" w:hAnsi="宋体"/>
          <w:color w:val="auto"/>
          <w:sz w:val="22"/>
          <w:szCs w:val="22"/>
        </w:rPr>
        <w:t>联系方式：</w:t>
      </w:r>
      <w:r>
        <w:rPr>
          <w:rFonts w:hint="eastAsia" w:ascii="宋体" w:hAnsi="宋体"/>
          <w:color w:val="auto"/>
          <w:sz w:val="22"/>
          <w:szCs w:val="22"/>
          <w:u w:val="single"/>
          <w:lang w:eastAsia="zh-CN"/>
        </w:rPr>
        <w:t>蒋工，17754550329</w:t>
      </w:r>
    </w:p>
    <w:p>
      <w:pPr>
        <w:pStyle w:val="37"/>
        <w:spacing w:line="360" w:lineRule="auto"/>
        <w:ind w:firstLine="420"/>
        <w:rPr>
          <w:rFonts w:ascii="宋体" w:hAnsi="宋体"/>
          <w:b/>
          <w:bCs/>
          <w:color w:val="auto"/>
          <w:sz w:val="22"/>
          <w:szCs w:val="22"/>
        </w:rPr>
      </w:pPr>
      <w:bookmarkStart w:id="12" w:name="_Toc35393808"/>
      <w:bookmarkStart w:id="13" w:name="_Toc35393639"/>
      <w:bookmarkStart w:id="14" w:name="_Toc28359021"/>
      <w:bookmarkStart w:id="15" w:name="_Toc28359098"/>
      <w:r>
        <w:rPr>
          <w:rFonts w:ascii="宋体" w:hAnsi="宋体"/>
          <w:color w:val="auto"/>
          <w:sz w:val="22"/>
          <w:szCs w:val="22"/>
        </w:rPr>
        <w:t>3.项目联系方式</w:t>
      </w:r>
      <w:bookmarkEnd w:id="12"/>
      <w:bookmarkEnd w:id="13"/>
      <w:bookmarkEnd w:id="14"/>
      <w:bookmarkEnd w:id="15"/>
    </w:p>
    <w:p>
      <w:pPr>
        <w:pStyle w:val="41"/>
        <w:spacing w:line="360" w:lineRule="auto"/>
        <w:ind w:firstLine="420"/>
        <w:rPr>
          <w:rFonts w:hint="eastAsia" w:hAnsi="宋体" w:eastAsia="宋体"/>
          <w:color w:val="auto"/>
          <w:sz w:val="22"/>
          <w:szCs w:val="22"/>
          <w:u w:val="single"/>
          <w:lang w:eastAsia="zh-CN"/>
        </w:rPr>
      </w:pPr>
      <w:r>
        <w:rPr>
          <w:rFonts w:hAnsi="宋体"/>
          <w:color w:val="auto"/>
          <w:sz w:val="22"/>
          <w:szCs w:val="22"/>
        </w:rPr>
        <w:t>项目联系人：</w:t>
      </w:r>
      <w:r>
        <w:rPr>
          <w:rFonts w:hint="eastAsia" w:hAnsi="宋体"/>
          <w:color w:val="auto"/>
          <w:sz w:val="22"/>
          <w:szCs w:val="22"/>
          <w:u w:val="single"/>
          <w:lang w:eastAsia="zh-CN"/>
        </w:rPr>
        <w:t>蒋工</w:t>
      </w:r>
    </w:p>
    <w:p>
      <w:pPr>
        <w:pStyle w:val="41"/>
        <w:spacing w:line="360" w:lineRule="auto"/>
        <w:ind w:firstLine="420"/>
        <w:rPr>
          <w:rFonts w:hint="eastAsia" w:hAnsi="宋体" w:eastAsia="宋体"/>
          <w:color w:val="auto"/>
          <w:sz w:val="22"/>
          <w:szCs w:val="22"/>
          <w:u w:val="single"/>
          <w:lang w:eastAsia="zh-CN"/>
        </w:rPr>
      </w:pPr>
      <w:r>
        <w:rPr>
          <w:rFonts w:hAnsi="宋体"/>
          <w:color w:val="auto"/>
          <w:sz w:val="22"/>
          <w:szCs w:val="22"/>
        </w:rPr>
        <w:t>电　　 话：</w:t>
      </w:r>
      <w:r>
        <w:rPr>
          <w:rFonts w:hint="eastAsia" w:hAnsi="宋体"/>
          <w:color w:val="auto"/>
          <w:sz w:val="22"/>
          <w:szCs w:val="22"/>
          <w:u w:val="single"/>
          <w:lang w:eastAsia="zh-CN"/>
        </w:rPr>
        <w:t>17754550329</w:t>
      </w:r>
    </w:p>
    <w:p>
      <w:pPr>
        <w:pStyle w:val="41"/>
        <w:spacing w:line="360" w:lineRule="auto"/>
        <w:ind w:firstLine="420"/>
        <w:rPr>
          <w:rFonts w:hint="eastAsia" w:hAnsi="宋体" w:eastAsia="宋体"/>
          <w:color w:val="auto"/>
          <w:sz w:val="22"/>
          <w:szCs w:val="22"/>
          <w:lang w:eastAsia="zh-CN"/>
        </w:rPr>
      </w:pPr>
      <w:r>
        <w:rPr>
          <w:rFonts w:hAnsi="宋体"/>
          <w:color w:val="auto"/>
          <w:sz w:val="22"/>
          <w:szCs w:val="22"/>
        </w:rPr>
        <w:t>4.监督部门：</w:t>
      </w:r>
      <w:r>
        <w:rPr>
          <w:rFonts w:hint="eastAsia" w:hAnsi="宋体"/>
          <w:color w:val="auto"/>
          <w:sz w:val="22"/>
          <w:szCs w:val="22"/>
          <w:lang w:eastAsia="zh-CN"/>
        </w:rPr>
        <w:t>平南县财政局政府采购监督管理股</w:t>
      </w:r>
    </w:p>
    <w:p>
      <w:pPr>
        <w:pStyle w:val="41"/>
        <w:spacing w:line="360" w:lineRule="auto"/>
        <w:ind w:firstLine="420"/>
        <w:rPr>
          <w:rFonts w:hint="eastAsia" w:hAnsi="宋体" w:eastAsia="宋体"/>
          <w:color w:val="auto"/>
          <w:sz w:val="22"/>
          <w:szCs w:val="22"/>
          <w:u w:val="single"/>
          <w:lang w:eastAsia="zh-CN"/>
        </w:rPr>
      </w:pPr>
      <w:r>
        <w:rPr>
          <w:rFonts w:hAnsi="宋体"/>
          <w:color w:val="auto"/>
          <w:sz w:val="22"/>
          <w:szCs w:val="22"/>
        </w:rPr>
        <w:t>电话：</w:t>
      </w:r>
      <w:r>
        <w:rPr>
          <w:rFonts w:hint="eastAsia" w:hAnsi="宋体"/>
          <w:color w:val="auto"/>
          <w:sz w:val="22"/>
          <w:szCs w:val="22"/>
          <w:u w:val="single"/>
          <w:lang w:eastAsia="zh-CN"/>
        </w:rPr>
        <w:t>0775-7820666</w:t>
      </w:r>
    </w:p>
    <w:p>
      <w:pPr>
        <w:pStyle w:val="41"/>
        <w:spacing w:line="360" w:lineRule="auto"/>
        <w:ind w:firstLine="420"/>
        <w:rPr>
          <w:rFonts w:hAnsi="宋体"/>
          <w:color w:val="auto"/>
          <w:sz w:val="22"/>
          <w:szCs w:val="22"/>
        </w:rPr>
      </w:pPr>
      <w:r>
        <w:rPr>
          <w:rFonts w:hAnsi="宋体"/>
          <w:color w:val="auto"/>
          <w:sz w:val="22"/>
          <w:szCs w:val="22"/>
        </w:rPr>
        <w:t>5.相关业务联系单位及联系电话</w:t>
      </w:r>
    </w:p>
    <w:p>
      <w:pPr>
        <w:pStyle w:val="41"/>
        <w:spacing w:line="360" w:lineRule="auto"/>
        <w:ind w:firstLine="420"/>
        <w:rPr>
          <w:rFonts w:hAnsi="宋体"/>
          <w:color w:val="auto"/>
          <w:sz w:val="22"/>
          <w:szCs w:val="22"/>
        </w:rPr>
      </w:pPr>
      <w:r>
        <w:rPr>
          <w:rFonts w:hAnsi="宋体"/>
          <w:color w:val="auto"/>
          <w:sz w:val="22"/>
          <w:szCs w:val="22"/>
        </w:rPr>
        <w:t>CA咨询(汇信公司)客服热线：400-888-4636</w:t>
      </w:r>
    </w:p>
    <w:p>
      <w:pPr>
        <w:pStyle w:val="41"/>
        <w:spacing w:line="360" w:lineRule="auto"/>
        <w:ind w:firstLine="420"/>
        <w:rPr>
          <w:rFonts w:hint="eastAsia" w:hAnsi="宋体" w:eastAsia="宋体"/>
          <w:color w:val="auto"/>
          <w:sz w:val="22"/>
          <w:szCs w:val="22"/>
          <w:lang w:eastAsia="zh-CN"/>
        </w:rPr>
      </w:pPr>
      <w:r>
        <w:rPr>
          <w:rFonts w:hAnsi="宋体"/>
          <w:color w:val="auto"/>
          <w:sz w:val="22"/>
          <w:szCs w:val="22"/>
        </w:rPr>
        <w:t>“政采云”平台客服电话：</w:t>
      </w:r>
      <w:r>
        <w:rPr>
          <w:rFonts w:hint="eastAsia" w:hAnsi="宋体"/>
          <w:color w:val="auto"/>
          <w:sz w:val="22"/>
          <w:szCs w:val="22"/>
          <w:lang w:eastAsia="zh-CN"/>
        </w:rPr>
        <w:t>95763</w:t>
      </w:r>
    </w:p>
    <w:p>
      <w:pPr>
        <w:pStyle w:val="14"/>
        <w:tabs>
          <w:tab w:val="left" w:pos="1265"/>
        </w:tabs>
        <w:spacing w:line="360" w:lineRule="auto"/>
        <w:ind w:firstLine="440" w:firstLineChars="200"/>
        <w:jc w:val="right"/>
        <w:rPr>
          <w:rFonts w:hint="eastAsia" w:eastAsia="宋体"/>
          <w:color w:val="auto"/>
          <w:sz w:val="22"/>
          <w:szCs w:val="22"/>
          <w:lang w:eastAsia="zh-CN"/>
        </w:rPr>
      </w:pPr>
      <w:r>
        <w:rPr>
          <w:rFonts w:hint="eastAsia"/>
          <w:color w:val="auto"/>
          <w:sz w:val="22"/>
          <w:szCs w:val="22"/>
          <w:lang w:eastAsia="zh-CN"/>
        </w:rPr>
        <w:t>广西万宸工程咨询有限公司</w:t>
      </w:r>
    </w:p>
    <w:p>
      <w:pPr>
        <w:pStyle w:val="14"/>
        <w:tabs>
          <w:tab w:val="left" w:pos="1265"/>
        </w:tabs>
        <w:spacing w:line="360" w:lineRule="auto"/>
        <w:ind w:firstLine="440" w:firstLineChars="200"/>
        <w:jc w:val="right"/>
        <w:rPr>
          <w:color w:val="auto"/>
          <w:sz w:val="22"/>
          <w:szCs w:val="22"/>
        </w:rPr>
      </w:pPr>
      <w:bookmarkStart w:id="16" w:name="_bookmark1"/>
      <w:bookmarkEnd w:id="16"/>
      <w:r>
        <w:rPr>
          <w:rFonts w:hint="eastAsia"/>
          <w:color w:val="auto"/>
          <w:sz w:val="22"/>
          <w:szCs w:val="22"/>
        </w:rPr>
        <w:t>202</w:t>
      </w:r>
      <w:r>
        <w:rPr>
          <w:rFonts w:hint="eastAsia"/>
          <w:color w:val="auto"/>
          <w:sz w:val="22"/>
          <w:szCs w:val="22"/>
          <w:lang w:val="en-US" w:eastAsia="zh-CN"/>
        </w:rPr>
        <w:t>4</w:t>
      </w:r>
      <w:r>
        <w:rPr>
          <w:rFonts w:hint="eastAsia"/>
          <w:color w:val="auto"/>
          <w:sz w:val="22"/>
          <w:szCs w:val="22"/>
        </w:rPr>
        <w:t>年</w:t>
      </w:r>
      <w:r>
        <w:rPr>
          <w:rFonts w:hint="eastAsia"/>
          <w:color w:val="auto"/>
          <w:sz w:val="22"/>
          <w:szCs w:val="22"/>
          <w:lang w:val="en-US" w:eastAsia="zh-CN"/>
        </w:rPr>
        <w:t>5</w:t>
      </w:r>
      <w:r>
        <w:rPr>
          <w:rFonts w:hint="eastAsia"/>
          <w:color w:val="auto"/>
          <w:sz w:val="22"/>
          <w:szCs w:val="22"/>
        </w:rPr>
        <w:t>月</w:t>
      </w:r>
      <w:r>
        <w:rPr>
          <w:rFonts w:hint="eastAsia"/>
          <w:color w:val="auto"/>
          <w:sz w:val="22"/>
          <w:szCs w:val="22"/>
          <w:lang w:val="en-US" w:eastAsia="zh-CN"/>
        </w:rPr>
        <w:t>17</w:t>
      </w:r>
      <w:r>
        <w:rPr>
          <w:rFonts w:hint="eastAsia"/>
          <w:color w:val="auto"/>
          <w:sz w:val="22"/>
          <w:szCs w:val="22"/>
        </w:rPr>
        <w:t>日</w:t>
      </w:r>
    </w:p>
    <w:p>
      <w:pPr>
        <w:pStyle w:val="14"/>
        <w:tabs>
          <w:tab w:val="left" w:pos="1265"/>
        </w:tabs>
        <w:spacing w:line="360" w:lineRule="auto"/>
        <w:ind w:firstLine="480" w:firstLineChars="200"/>
        <w:rPr>
          <w:color w:val="auto"/>
          <w:sz w:val="24"/>
          <w:szCs w:val="24"/>
        </w:rPr>
        <w:sectPr>
          <w:footerReference r:id="rId4" w:type="default"/>
          <w:pgSz w:w="11910" w:h="16840"/>
          <w:pgMar w:top="1417" w:right="1417" w:bottom="1417" w:left="1417" w:header="0" w:footer="1202" w:gutter="0"/>
          <w:pgNumType w:start="1"/>
          <w:cols w:space="0" w:num="1"/>
        </w:sectPr>
      </w:pPr>
    </w:p>
    <w:p>
      <w:pPr>
        <w:pStyle w:val="4"/>
        <w:spacing w:before="0" w:line="360" w:lineRule="auto"/>
        <w:ind w:right="0"/>
        <w:rPr>
          <w:color w:val="auto"/>
          <w:sz w:val="32"/>
          <w:szCs w:val="32"/>
        </w:rPr>
      </w:pPr>
      <w:bookmarkStart w:id="17" w:name="_Toc31556"/>
      <w:r>
        <w:rPr>
          <w:color w:val="auto"/>
          <w:sz w:val="32"/>
          <w:szCs w:val="32"/>
        </w:rPr>
        <w:t>第二章 供应商须知</w:t>
      </w:r>
      <w:bookmarkEnd w:id="17"/>
    </w:p>
    <w:p>
      <w:pPr>
        <w:spacing w:line="360" w:lineRule="auto"/>
        <w:jc w:val="center"/>
        <w:rPr>
          <w:rFonts w:cs="Courier New"/>
          <w:b/>
          <w:color w:val="auto"/>
          <w:sz w:val="30"/>
          <w:szCs w:val="30"/>
        </w:rPr>
      </w:pPr>
      <w:r>
        <w:rPr>
          <w:rFonts w:hint="eastAsia" w:cs="Courier New"/>
          <w:b/>
          <w:color w:val="auto"/>
          <w:sz w:val="30"/>
          <w:szCs w:val="30"/>
        </w:rPr>
        <w:t>供应商须知前附表</w:t>
      </w:r>
    </w:p>
    <w:p>
      <w:pPr>
        <w:pStyle w:val="14"/>
        <w:spacing w:before="5"/>
        <w:rPr>
          <w:b/>
          <w:color w:val="auto"/>
          <w:sz w:val="10"/>
        </w:rPr>
      </w:pPr>
    </w:p>
    <w:tbl>
      <w:tblPr>
        <w:tblStyle w:val="29"/>
        <w:tblW w:w="93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77"/>
        <w:gridCol w:w="2477"/>
        <w:gridCol w:w="5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77" w:type="dxa"/>
            <w:vAlign w:val="center"/>
          </w:tcPr>
          <w:p>
            <w:pPr>
              <w:pStyle w:val="36"/>
              <w:spacing w:line="360" w:lineRule="auto"/>
              <w:jc w:val="center"/>
              <w:rPr>
                <w:b/>
                <w:color w:val="auto"/>
              </w:rPr>
            </w:pPr>
            <w:r>
              <w:rPr>
                <w:rFonts w:hint="eastAsia"/>
                <w:b/>
                <w:color w:val="auto"/>
              </w:rPr>
              <w:t>条款号</w:t>
            </w:r>
          </w:p>
        </w:tc>
        <w:tc>
          <w:tcPr>
            <w:tcW w:w="2477" w:type="dxa"/>
            <w:vAlign w:val="center"/>
          </w:tcPr>
          <w:p>
            <w:pPr>
              <w:pStyle w:val="36"/>
              <w:spacing w:line="360" w:lineRule="auto"/>
              <w:jc w:val="center"/>
              <w:rPr>
                <w:rFonts w:hint="eastAsia"/>
                <w:b/>
                <w:color w:val="auto"/>
              </w:rPr>
            </w:pPr>
            <w:r>
              <w:rPr>
                <w:rFonts w:hint="eastAsia"/>
                <w:b/>
                <w:color w:val="auto"/>
              </w:rPr>
              <w:t>条款内容</w:t>
            </w:r>
          </w:p>
        </w:tc>
        <w:tc>
          <w:tcPr>
            <w:tcW w:w="5937" w:type="dxa"/>
            <w:vAlign w:val="center"/>
          </w:tcPr>
          <w:p>
            <w:pPr>
              <w:pStyle w:val="36"/>
              <w:tabs>
                <w:tab w:val="left" w:pos="637"/>
              </w:tabs>
              <w:spacing w:line="360" w:lineRule="auto"/>
              <w:jc w:val="center"/>
              <w:rPr>
                <w:b/>
                <w:color w:val="auto"/>
              </w:rPr>
            </w:pPr>
            <w:r>
              <w:rPr>
                <w:rFonts w:hint="eastAsia"/>
                <w:b/>
                <w:color w:val="auto"/>
              </w:rPr>
              <w:t>内</w:t>
            </w:r>
            <w:r>
              <w:rPr>
                <w:rFonts w:hint="eastAsia"/>
                <w:b/>
                <w:color w:val="auto"/>
              </w:rPr>
              <w:tab/>
            </w:r>
            <w:r>
              <w:rPr>
                <w:rFonts w:hint="eastAsia"/>
                <w:b/>
                <w:color w:val="auto"/>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77" w:type="dxa"/>
            <w:vAlign w:val="center"/>
          </w:tcPr>
          <w:p>
            <w:pPr>
              <w:pStyle w:val="36"/>
              <w:spacing w:line="360" w:lineRule="auto"/>
              <w:jc w:val="center"/>
              <w:rPr>
                <w:rFonts w:hint="eastAsia"/>
                <w:color w:val="auto"/>
              </w:rPr>
            </w:pPr>
            <w:r>
              <w:rPr>
                <w:rFonts w:hint="eastAsia"/>
                <w:color w:val="auto"/>
              </w:rPr>
              <w:t>3.1</w:t>
            </w:r>
          </w:p>
        </w:tc>
        <w:tc>
          <w:tcPr>
            <w:tcW w:w="2477" w:type="dxa"/>
            <w:vAlign w:val="center"/>
          </w:tcPr>
          <w:p>
            <w:pPr>
              <w:pStyle w:val="36"/>
              <w:spacing w:line="360" w:lineRule="auto"/>
              <w:jc w:val="center"/>
              <w:rPr>
                <w:rFonts w:hint="eastAsia"/>
                <w:color w:val="auto"/>
              </w:rPr>
            </w:pPr>
            <w:r>
              <w:rPr>
                <w:rFonts w:hint="eastAsia"/>
                <w:color w:val="auto"/>
              </w:rPr>
              <w:t>供应商资格条件</w:t>
            </w:r>
          </w:p>
        </w:tc>
        <w:tc>
          <w:tcPr>
            <w:tcW w:w="5937" w:type="dxa"/>
            <w:vAlign w:val="center"/>
          </w:tcPr>
          <w:p>
            <w:pPr>
              <w:pStyle w:val="36"/>
              <w:spacing w:line="360" w:lineRule="auto"/>
              <w:jc w:val="left"/>
              <w:rPr>
                <w:rFonts w:hint="eastAsia"/>
                <w:color w:val="auto"/>
              </w:rPr>
            </w:pPr>
            <w:r>
              <w:rPr>
                <w:rFonts w:hint="eastAsia"/>
                <w:color w:val="auto"/>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77" w:type="dxa"/>
            <w:vAlign w:val="center"/>
          </w:tcPr>
          <w:p>
            <w:pPr>
              <w:pStyle w:val="36"/>
              <w:spacing w:line="360" w:lineRule="auto"/>
              <w:jc w:val="center"/>
              <w:rPr>
                <w:rFonts w:hint="eastAsia"/>
                <w:color w:val="auto"/>
              </w:rPr>
            </w:pPr>
            <w:r>
              <w:rPr>
                <w:rFonts w:hint="eastAsia"/>
                <w:color w:val="auto"/>
              </w:rPr>
              <w:t>5.1</w:t>
            </w:r>
          </w:p>
        </w:tc>
        <w:tc>
          <w:tcPr>
            <w:tcW w:w="2477" w:type="dxa"/>
            <w:vAlign w:val="center"/>
          </w:tcPr>
          <w:p>
            <w:pPr>
              <w:pStyle w:val="36"/>
              <w:spacing w:line="360" w:lineRule="auto"/>
              <w:jc w:val="center"/>
              <w:rPr>
                <w:rFonts w:hint="eastAsia"/>
                <w:color w:val="auto"/>
              </w:rPr>
            </w:pPr>
            <w:r>
              <w:rPr>
                <w:rFonts w:hint="eastAsia"/>
                <w:color w:val="auto"/>
              </w:rPr>
              <w:t>是否接受联合体磋商</w:t>
            </w:r>
          </w:p>
        </w:tc>
        <w:tc>
          <w:tcPr>
            <w:tcW w:w="5937" w:type="dxa"/>
            <w:vAlign w:val="center"/>
          </w:tcPr>
          <w:p>
            <w:pPr>
              <w:pStyle w:val="36"/>
              <w:spacing w:line="360" w:lineRule="auto"/>
              <w:jc w:val="left"/>
              <w:rPr>
                <w:rFonts w:hint="eastAsia"/>
                <w:color w:val="auto"/>
              </w:rPr>
            </w:pPr>
            <w:r>
              <w:rPr>
                <w:rFonts w:hint="eastAsia"/>
                <w:color w:val="auto"/>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77" w:type="dxa"/>
            <w:vAlign w:val="center"/>
          </w:tcPr>
          <w:p>
            <w:pPr>
              <w:pStyle w:val="36"/>
              <w:spacing w:line="360" w:lineRule="auto"/>
              <w:jc w:val="center"/>
              <w:rPr>
                <w:rFonts w:hint="eastAsia"/>
                <w:color w:val="auto"/>
              </w:rPr>
            </w:pPr>
            <w:r>
              <w:rPr>
                <w:rFonts w:hint="eastAsia"/>
                <w:color w:val="auto"/>
              </w:rPr>
              <w:t>5.2</w:t>
            </w:r>
          </w:p>
        </w:tc>
        <w:tc>
          <w:tcPr>
            <w:tcW w:w="2477" w:type="dxa"/>
            <w:vAlign w:val="center"/>
          </w:tcPr>
          <w:p>
            <w:pPr>
              <w:pStyle w:val="36"/>
              <w:spacing w:line="360" w:lineRule="auto"/>
              <w:jc w:val="center"/>
              <w:rPr>
                <w:rFonts w:hint="eastAsia"/>
                <w:color w:val="auto"/>
              </w:rPr>
            </w:pPr>
            <w:r>
              <w:rPr>
                <w:rFonts w:hint="eastAsia"/>
                <w:color w:val="auto"/>
              </w:rPr>
              <w:t>联合体磋商要求</w:t>
            </w:r>
          </w:p>
        </w:tc>
        <w:tc>
          <w:tcPr>
            <w:tcW w:w="5937" w:type="dxa"/>
            <w:vAlign w:val="center"/>
          </w:tcPr>
          <w:p>
            <w:pPr>
              <w:pStyle w:val="36"/>
              <w:spacing w:line="360" w:lineRule="auto"/>
              <w:jc w:val="left"/>
              <w:rPr>
                <w:rFonts w:hint="eastAsia"/>
                <w:color w:val="auto"/>
              </w:rPr>
            </w:pPr>
            <w:r>
              <w:rPr>
                <w:rFonts w:hint="eastAsia"/>
                <w:color w:val="auto"/>
              </w:rPr>
              <w:t>本项目不接受联合体磋商。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77" w:type="dxa"/>
            <w:vAlign w:val="center"/>
          </w:tcPr>
          <w:p>
            <w:pPr>
              <w:pStyle w:val="36"/>
              <w:spacing w:line="360" w:lineRule="auto"/>
              <w:jc w:val="center"/>
              <w:rPr>
                <w:rFonts w:hint="eastAsia"/>
                <w:color w:val="auto"/>
              </w:rPr>
            </w:pPr>
            <w:r>
              <w:rPr>
                <w:rFonts w:hint="eastAsia"/>
                <w:color w:val="auto"/>
              </w:rPr>
              <w:t>6.1</w:t>
            </w:r>
          </w:p>
        </w:tc>
        <w:tc>
          <w:tcPr>
            <w:tcW w:w="2477" w:type="dxa"/>
            <w:vAlign w:val="center"/>
          </w:tcPr>
          <w:p>
            <w:pPr>
              <w:pStyle w:val="36"/>
              <w:spacing w:line="360" w:lineRule="auto"/>
              <w:jc w:val="center"/>
              <w:rPr>
                <w:rFonts w:hint="eastAsia"/>
                <w:color w:val="auto"/>
              </w:rPr>
            </w:pPr>
            <w:r>
              <w:rPr>
                <w:rFonts w:hint="eastAsia"/>
                <w:color w:val="auto"/>
              </w:rPr>
              <w:t>是否允许分包</w:t>
            </w:r>
          </w:p>
        </w:tc>
        <w:tc>
          <w:tcPr>
            <w:tcW w:w="5937" w:type="dxa"/>
            <w:vAlign w:val="center"/>
          </w:tcPr>
          <w:p>
            <w:pPr>
              <w:pStyle w:val="36"/>
              <w:spacing w:line="360" w:lineRule="auto"/>
              <w:jc w:val="left"/>
              <w:rPr>
                <w:rFonts w:hint="eastAsia"/>
                <w:color w:val="auto"/>
              </w:rPr>
            </w:pPr>
            <w:r>
              <w:rPr>
                <w:rFonts w:hint="eastAsia"/>
                <w:color w:val="auto"/>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4" w:hRule="atLeast"/>
        </w:trPr>
        <w:tc>
          <w:tcPr>
            <w:tcW w:w="977" w:type="dxa"/>
            <w:vAlign w:val="center"/>
          </w:tcPr>
          <w:p>
            <w:pPr>
              <w:pStyle w:val="36"/>
              <w:spacing w:line="360" w:lineRule="auto"/>
              <w:jc w:val="center"/>
              <w:rPr>
                <w:b/>
                <w:color w:val="auto"/>
              </w:rPr>
            </w:pPr>
          </w:p>
          <w:p>
            <w:pPr>
              <w:pStyle w:val="36"/>
              <w:spacing w:line="360" w:lineRule="auto"/>
              <w:jc w:val="center"/>
              <w:rPr>
                <w:rFonts w:hint="default" w:eastAsia="宋体"/>
                <w:color w:val="auto"/>
                <w:lang w:val="en-US" w:eastAsia="zh-CN"/>
              </w:rPr>
            </w:pPr>
            <w:r>
              <w:rPr>
                <w:rFonts w:hint="eastAsia"/>
                <w:color w:val="auto"/>
              </w:rPr>
              <w:t>12.1</w:t>
            </w:r>
            <w:r>
              <w:rPr>
                <w:rFonts w:hint="eastAsia"/>
                <w:color w:val="auto"/>
                <w:lang w:val="en-US" w:eastAsia="zh-CN"/>
              </w:rPr>
              <w:t>.1</w:t>
            </w:r>
          </w:p>
        </w:tc>
        <w:tc>
          <w:tcPr>
            <w:tcW w:w="2477" w:type="dxa"/>
            <w:vAlign w:val="center"/>
          </w:tcPr>
          <w:p>
            <w:pPr>
              <w:pStyle w:val="36"/>
              <w:spacing w:line="360" w:lineRule="auto"/>
              <w:jc w:val="center"/>
              <w:rPr>
                <w:rFonts w:hint="eastAsia"/>
                <w:color w:val="auto"/>
              </w:rPr>
            </w:pPr>
            <w:r>
              <w:rPr>
                <w:rFonts w:hint="eastAsia"/>
                <w:color w:val="auto"/>
              </w:rPr>
              <w:t>资格证明文件组成</w:t>
            </w:r>
          </w:p>
        </w:tc>
        <w:tc>
          <w:tcPr>
            <w:tcW w:w="5937" w:type="dxa"/>
          </w:tcPr>
          <w:p>
            <w:pPr>
              <w:pStyle w:val="36"/>
              <w:spacing w:line="360" w:lineRule="auto"/>
              <w:jc w:val="both"/>
              <w:rPr>
                <w:color w:val="auto"/>
              </w:rPr>
            </w:pPr>
            <w:r>
              <w:rPr>
                <w:rFonts w:hint="eastAsia"/>
                <w:color w:val="auto"/>
              </w:rPr>
              <w:t>1、供应商为法人或者其他组织的，证明文件为其营业执照扫描件（如营业执照或者事业单位法人证书或者执业许可证等）；供应商为自然人的，证明文件为其身份证扫描件；（</w:t>
            </w:r>
            <w:r>
              <w:rPr>
                <w:rFonts w:hint="eastAsia"/>
                <w:b/>
                <w:color w:val="auto"/>
              </w:rPr>
              <w:t>必须提供，否则响应文件按无效响应处理</w:t>
            </w:r>
            <w:r>
              <w:rPr>
                <w:rFonts w:hint="eastAsia"/>
                <w:color w:val="auto"/>
              </w:rPr>
              <w:t>）</w:t>
            </w:r>
          </w:p>
          <w:p>
            <w:pPr>
              <w:pStyle w:val="36"/>
              <w:spacing w:line="360" w:lineRule="auto"/>
              <w:jc w:val="both"/>
              <w:rPr>
                <w:rFonts w:hint="eastAsia" w:ascii="宋体" w:hAnsi="宋体" w:eastAsia="宋体" w:cs="宋体"/>
                <w:color w:val="auto"/>
              </w:rPr>
            </w:pPr>
            <w:r>
              <w:rPr>
                <w:rFonts w:hint="eastAsia" w:ascii="宋体" w:hAnsi="宋体" w:eastAsia="宋体" w:cs="宋体"/>
                <w:color w:val="auto"/>
              </w:rPr>
              <w:t>2、本项目的特定资格要求：</w:t>
            </w:r>
          </w:p>
          <w:p>
            <w:pPr>
              <w:pStyle w:val="36"/>
              <w:spacing w:line="360" w:lineRule="auto"/>
              <w:jc w:val="both"/>
              <w:rPr>
                <w:rFonts w:hint="eastAsia" w:ascii="宋体" w:hAnsi="宋体" w:eastAsia="宋体" w:cs="宋体"/>
                <w:color w:val="auto"/>
                <w:lang w:eastAsia="zh-CN"/>
              </w:rPr>
            </w:pPr>
            <w:r>
              <w:rPr>
                <w:rFonts w:hint="eastAsia" w:ascii="宋体" w:hAnsi="宋体" w:eastAsia="宋体" w:cs="宋体"/>
                <w:color w:val="auto"/>
                <w:lang w:eastAsia="zh-CN"/>
              </w:rPr>
              <w:t>①投标人必须具备建筑工程施工总承包叁级以上（含叁级）资质的企业，具有省级及以上建设行政主管部门颁发的安全生产许可证；在人员、设备、资金等方面具备相应的施工能力；</w:t>
            </w:r>
          </w:p>
          <w:p>
            <w:pPr>
              <w:pStyle w:val="36"/>
              <w:spacing w:line="360" w:lineRule="auto"/>
              <w:jc w:val="both"/>
              <w:rPr>
                <w:color w:val="auto"/>
                <w:sz w:val="22"/>
                <w:szCs w:val="22"/>
                <w:highlight w:val="none"/>
              </w:rPr>
            </w:pPr>
            <w:r>
              <w:rPr>
                <w:rFonts w:hint="eastAsia" w:ascii="宋体" w:hAnsi="宋体" w:eastAsia="宋体" w:cs="宋体"/>
                <w:color w:val="auto"/>
                <w:lang w:eastAsia="zh-CN"/>
              </w:rPr>
              <w:t>②拟投入本工程的项目经理持有二级或二级以上建造师注册证书，专业是建筑工程专业，持有省级或省级以上行政主管部门颁发的B类安全生产考核合格证；</w:t>
            </w:r>
            <w:r>
              <w:rPr>
                <w:rFonts w:hint="eastAsia"/>
                <w:b/>
                <w:bCs/>
                <w:color w:val="auto"/>
                <w:sz w:val="22"/>
                <w:szCs w:val="22"/>
                <w:highlight w:val="none"/>
              </w:rPr>
              <w:t>（必须提供，否则响应文件按无效响应处理）</w:t>
            </w:r>
          </w:p>
          <w:p>
            <w:pPr>
              <w:pStyle w:val="36"/>
              <w:spacing w:line="360" w:lineRule="auto"/>
              <w:jc w:val="both"/>
              <w:rPr>
                <w:color w:val="auto"/>
              </w:rPr>
            </w:pPr>
            <w:r>
              <w:rPr>
                <w:rFonts w:hint="eastAsia"/>
                <w:color w:val="auto"/>
              </w:rPr>
              <w:t>3、</w:t>
            </w:r>
            <w:r>
              <w:rPr>
                <w:rFonts w:hint="eastAsia"/>
                <w:bCs/>
                <w:color w:val="auto"/>
                <w:lang w:val="en-US"/>
              </w:rPr>
              <w:t>中小企业声明函或者残疾人福利性单位声明函或者供应商属于监狱企业的证明材料</w:t>
            </w:r>
            <w:r>
              <w:rPr>
                <w:rFonts w:hint="eastAsia"/>
                <w:b/>
                <w:color w:val="auto"/>
                <w:lang w:val="en-US"/>
              </w:rPr>
              <w:t>（必须提供，否则响应文件按无效响应处理）</w:t>
            </w:r>
          </w:p>
          <w:p>
            <w:pPr>
              <w:pStyle w:val="36"/>
              <w:spacing w:line="360" w:lineRule="auto"/>
              <w:rPr>
                <w:color w:val="auto"/>
              </w:rPr>
            </w:pPr>
            <w:r>
              <w:rPr>
                <w:rFonts w:hint="eastAsia"/>
                <w:color w:val="auto"/>
                <w:lang w:val="en-US" w:eastAsia="zh-CN"/>
              </w:rPr>
              <w:t>4</w:t>
            </w:r>
            <w:r>
              <w:rPr>
                <w:rFonts w:hint="eastAsia"/>
                <w:color w:val="auto"/>
              </w:rPr>
              <w:t>、供应商直接控股、管理关系信息表（格式后附）；</w:t>
            </w:r>
            <w:r>
              <w:rPr>
                <w:rFonts w:hint="eastAsia"/>
                <w:b/>
                <w:color w:val="auto"/>
              </w:rPr>
              <w:t>（必须提供，否则响应文件按无效响应处理）</w:t>
            </w:r>
          </w:p>
          <w:p>
            <w:pPr>
              <w:pStyle w:val="36"/>
              <w:spacing w:line="360" w:lineRule="auto"/>
              <w:rPr>
                <w:color w:val="auto"/>
              </w:rPr>
            </w:pPr>
            <w:r>
              <w:rPr>
                <w:rFonts w:hint="eastAsia"/>
                <w:color w:val="auto"/>
                <w:w w:val="95"/>
                <w:lang w:val="en-US" w:eastAsia="zh-CN"/>
              </w:rPr>
              <w:t>5</w:t>
            </w:r>
            <w:r>
              <w:rPr>
                <w:rFonts w:hint="eastAsia"/>
                <w:color w:val="auto"/>
                <w:spacing w:val="-7"/>
                <w:w w:val="95"/>
              </w:rPr>
              <w:t>、</w:t>
            </w:r>
            <w:r>
              <w:rPr>
                <w:rFonts w:hint="eastAsia"/>
                <w:color w:val="auto"/>
              </w:rPr>
              <w:t>除磋商文件规定必须提供以外，供应商认为需要提供的其他证明材料；</w:t>
            </w:r>
          </w:p>
          <w:p>
            <w:pPr>
              <w:pStyle w:val="36"/>
              <w:spacing w:line="360" w:lineRule="auto"/>
              <w:rPr>
                <w:b/>
                <w:color w:val="auto"/>
              </w:rPr>
            </w:pPr>
            <w:r>
              <w:rPr>
                <w:rFonts w:hint="eastAsia"/>
                <w:b/>
                <w:color w:val="auto"/>
              </w:rPr>
              <w:t>注：</w:t>
            </w:r>
          </w:p>
          <w:p>
            <w:pPr>
              <w:pStyle w:val="36"/>
              <w:spacing w:line="360" w:lineRule="auto"/>
              <w:rPr>
                <w:b/>
                <w:color w:val="auto"/>
              </w:rPr>
            </w:pPr>
            <w:r>
              <w:rPr>
                <w:rFonts w:hint="eastAsia"/>
                <w:b/>
                <w:color w:val="auto"/>
              </w:rPr>
              <w:t>1、以上标明“必须提供”的材料属于扫描件的，必须加盖供应商公章，否则响应文件  按无效响应处理。</w:t>
            </w:r>
          </w:p>
          <w:p>
            <w:pPr>
              <w:pStyle w:val="36"/>
              <w:spacing w:line="360" w:lineRule="auto"/>
              <w:rPr>
                <w:b/>
                <w:color w:val="auto"/>
              </w:rPr>
            </w:pPr>
            <w:r>
              <w:rPr>
                <w:rFonts w:hint="eastAsia"/>
                <w:b/>
                <w:color w:val="auto"/>
              </w:rPr>
              <w:t>2、竞标声明必须由法定代表人在规定签章处签字并加盖供应商公章，否则响应文件按  无效响应处理。</w:t>
            </w:r>
          </w:p>
          <w:p>
            <w:pPr>
              <w:pStyle w:val="36"/>
              <w:spacing w:line="360" w:lineRule="auto"/>
              <w:rPr>
                <w:b/>
                <w:color w:val="auto"/>
              </w:rPr>
            </w:pPr>
            <w:r>
              <w:rPr>
                <w:rFonts w:hint="eastAsia"/>
                <w:b/>
                <w:color w:val="auto"/>
              </w:rPr>
              <w:t>3、供应商直接控股、管理关系信息表必须由法定代表人或者委托代理人在规定签章处签字并加盖供应商公章，否则响应文件按无效响应处理。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5" w:hRule="atLeast"/>
        </w:trPr>
        <w:tc>
          <w:tcPr>
            <w:tcW w:w="977" w:type="dxa"/>
            <w:vAlign w:val="center"/>
          </w:tcPr>
          <w:p>
            <w:pPr>
              <w:pStyle w:val="36"/>
              <w:ind w:left="157" w:right="150"/>
              <w:jc w:val="center"/>
              <w:rPr>
                <w:rFonts w:hint="default" w:eastAsia="宋体"/>
                <w:color w:val="auto"/>
                <w:lang w:val="en-US" w:eastAsia="zh-CN"/>
              </w:rPr>
            </w:pPr>
            <w:r>
              <w:rPr>
                <w:rFonts w:hint="eastAsia"/>
                <w:color w:val="auto"/>
              </w:rPr>
              <w:t>12.</w:t>
            </w:r>
            <w:r>
              <w:rPr>
                <w:rFonts w:hint="eastAsia"/>
                <w:color w:val="auto"/>
                <w:lang w:val="en-US" w:eastAsia="zh-CN"/>
              </w:rPr>
              <w:t>1.2</w:t>
            </w:r>
          </w:p>
        </w:tc>
        <w:tc>
          <w:tcPr>
            <w:tcW w:w="2477" w:type="dxa"/>
            <w:vAlign w:val="center"/>
          </w:tcPr>
          <w:p>
            <w:pPr>
              <w:pStyle w:val="36"/>
              <w:ind w:left="157" w:right="150"/>
              <w:jc w:val="center"/>
              <w:rPr>
                <w:rFonts w:hint="eastAsia"/>
                <w:color w:val="auto"/>
              </w:rPr>
            </w:pPr>
            <w:r>
              <w:rPr>
                <w:rFonts w:hint="eastAsia"/>
                <w:color w:val="auto"/>
                <w:lang w:eastAsia="zh-CN"/>
              </w:rPr>
              <w:t>商务技术</w:t>
            </w:r>
            <w:r>
              <w:rPr>
                <w:rFonts w:hint="eastAsia"/>
                <w:color w:val="auto"/>
              </w:rPr>
              <w:t>文件组成</w:t>
            </w:r>
          </w:p>
        </w:tc>
        <w:tc>
          <w:tcPr>
            <w:tcW w:w="5937" w:type="dxa"/>
          </w:tcPr>
          <w:p>
            <w:pPr>
              <w:pStyle w:val="36"/>
              <w:spacing w:line="360" w:lineRule="auto"/>
              <w:rPr>
                <w:b/>
                <w:color w:val="auto"/>
              </w:rPr>
            </w:pPr>
            <w:r>
              <w:rPr>
                <w:rFonts w:hint="eastAsia"/>
                <w:bCs/>
                <w:color w:val="auto"/>
              </w:rPr>
              <w:t>1、无串通竞标行为的承诺函（格式后附）；</w:t>
            </w:r>
            <w:r>
              <w:rPr>
                <w:rFonts w:hint="eastAsia"/>
                <w:b/>
                <w:color w:val="auto"/>
              </w:rPr>
              <w:t>（必须提供，否则响应文件按无效响应处理）</w:t>
            </w:r>
          </w:p>
          <w:p>
            <w:pPr>
              <w:pStyle w:val="36"/>
              <w:spacing w:line="360" w:lineRule="auto"/>
              <w:rPr>
                <w:b/>
                <w:color w:val="auto"/>
              </w:rPr>
            </w:pPr>
            <w:r>
              <w:rPr>
                <w:rFonts w:hint="eastAsia"/>
                <w:bCs/>
                <w:color w:val="auto"/>
              </w:rPr>
              <w:t>2、法定代表人身份证明及法定代表人有效身份证正反面扫描件（格式后附）；</w:t>
            </w:r>
            <w:r>
              <w:rPr>
                <w:rFonts w:hint="eastAsia"/>
                <w:b/>
                <w:color w:val="auto"/>
              </w:rPr>
              <w:t>（除自然人竞标外必须提供，否则响应文件按无效响应处理）</w:t>
            </w:r>
          </w:p>
          <w:p>
            <w:pPr>
              <w:pStyle w:val="36"/>
              <w:spacing w:line="360" w:lineRule="auto"/>
              <w:rPr>
                <w:rFonts w:hint="eastAsia"/>
                <w:b/>
                <w:color w:val="auto"/>
              </w:rPr>
            </w:pPr>
            <w:r>
              <w:rPr>
                <w:rFonts w:hint="eastAsia"/>
                <w:bCs/>
                <w:color w:val="auto"/>
              </w:rPr>
              <w:t>3、授权委托书及委托代理人有效身份证正反面扫描件（格式后附）；（</w:t>
            </w:r>
            <w:r>
              <w:rPr>
                <w:rFonts w:hint="eastAsia"/>
                <w:b/>
                <w:color w:val="auto"/>
              </w:rPr>
              <w:t>委托时必须提供，否则响应文件按无效响应处理）</w:t>
            </w:r>
          </w:p>
          <w:p>
            <w:pPr>
              <w:pStyle w:val="36"/>
              <w:spacing w:line="360" w:lineRule="auto"/>
              <w:rPr>
                <w:rFonts w:hint="eastAsia"/>
                <w:b/>
                <w:color w:val="auto"/>
              </w:rPr>
            </w:pPr>
            <w:r>
              <w:rPr>
                <w:rFonts w:hint="eastAsia"/>
                <w:color w:val="auto"/>
                <w:lang w:val="en-US" w:eastAsia="zh-CN"/>
              </w:rPr>
              <w:t>4、</w:t>
            </w:r>
            <w:r>
              <w:rPr>
                <w:rFonts w:hint="eastAsia"/>
                <w:color w:val="auto"/>
              </w:rPr>
              <w:t>贵港市政府采购项目投标资格承诺函（格式后附）；（</w:t>
            </w:r>
            <w:r>
              <w:rPr>
                <w:rFonts w:hint="eastAsia"/>
                <w:b/>
                <w:color w:val="auto"/>
              </w:rPr>
              <w:t>必须提供，否则响应文件按无效响应处理</w:t>
            </w:r>
            <w:r>
              <w:rPr>
                <w:rFonts w:hint="eastAsia"/>
                <w:color w:val="auto"/>
              </w:rPr>
              <w:t>）</w:t>
            </w:r>
          </w:p>
          <w:p>
            <w:pPr>
              <w:pStyle w:val="36"/>
              <w:spacing w:line="360" w:lineRule="auto"/>
              <w:rPr>
                <w:b/>
                <w:color w:val="auto"/>
              </w:rPr>
            </w:pPr>
            <w:r>
              <w:rPr>
                <w:rFonts w:hint="eastAsia"/>
                <w:bCs/>
                <w:color w:val="auto"/>
                <w:lang w:val="en-US" w:eastAsia="zh-CN"/>
              </w:rPr>
              <w:t>5</w:t>
            </w:r>
            <w:r>
              <w:rPr>
                <w:rFonts w:hint="eastAsia"/>
                <w:bCs/>
                <w:color w:val="auto"/>
              </w:rPr>
              <w:t>、商务要求偏离表（格式后附）；</w:t>
            </w:r>
            <w:r>
              <w:rPr>
                <w:rFonts w:hint="eastAsia"/>
                <w:b/>
                <w:color w:val="auto"/>
              </w:rPr>
              <w:t>（必须提供，否则响应文件按无效响应处理）</w:t>
            </w:r>
          </w:p>
          <w:p>
            <w:pPr>
              <w:pStyle w:val="36"/>
              <w:spacing w:line="360" w:lineRule="auto"/>
              <w:rPr>
                <w:b/>
                <w:color w:val="auto"/>
              </w:rPr>
            </w:pPr>
            <w:r>
              <w:rPr>
                <w:rFonts w:hint="eastAsia"/>
                <w:bCs/>
                <w:color w:val="auto"/>
                <w:lang w:val="en-US" w:eastAsia="zh-CN"/>
              </w:rPr>
              <w:t>6</w:t>
            </w:r>
            <w:r>
              <w:rPr>
                <w:rFonts w:hint="eastAsia"/>
                <w:bCs/>
                <w:color w:val="auto"/>
              </w:rPr>
              <w:t>、技术</w:t>
            </w:r>
            <w:r>
              <w:rPr>
                <w:rFonts w:hint="eastAsia"/>
                <w:bCs/>
                <w:color w:val="auto"/>
                <w:lang w:eastAsia="zh-CN"/>
              </w:rPr>
              <w:t>实施</w:t>
            </w:r>
            <w:r>
              <w:rPr>
                <w:rFonts w:hint="eastAsia"/>
                <w:bCs/>
                <w:color w:val="auto"/>
              </w:rPr>
              <w:t>方案（格式自拟）；</w:t>
            </w:r>
            <w:r>
              <w:rPr>
                <w:rFonts w:hint="eastAsia"/>
                <w:b/>
                <w:color w:val="auto"/>
              </w:rPr>
              <w:t>（必须提供，否则响应文件按无效响应处理）</w:t>
            </w:r>
          </w:p>
          <w:p>
            <w:pPr>
              <w:pStyle w:val="36"/>
              <w:spacing w:line="360" w:lineRule="auto"/>
              <w:rPr>
                <w:b/>
                <w:color w:val="auto"/>
              </w:rPr>
            </w:pPr>
            <w:r>
              <w:rPr>
                <w:rFonts w:hint="eastAsia"/>
                <w:bCs/>
                <w:color w:val="auto"/>
                <w:lang w:val="en-US" w:eastAsia="zh-CN"/>
              </w:rPr>
              <w:t>7</w:t>
            </w:r>
            <w:r>
              <w:rPr>
                <w:rFonts w:hint="eastAsia"/>
                <w:bCs/>
                <w:color w:val="auto"/>
              </w:rPr>
              <w:t>、技术要求偏离表（格式后附）；</w:t>
            </w:r>
            <w:r>
              <w:rPr>
                <w:rFonts w:hint="eastAsia"/>
                <w:b/>
                <w:color w:val="auto"/>
              </w:rPr>
              <w:t>（必须提供，否则响应文件按无效响应处理）</w:t>
            </w:r>
          </w:p>
          <w:p>
            <w:pPr>
              <w:pStyle w:val="36"/>
              <w:spacing w:line="360" w:lineRule="auto"/>
              <w:rPr>
                <w:bCs/>
                <w:color w:val="auto"/>
              </w:rPr>
            </w:pPr>
            <w:r>
              <w:rPr>
                <w:rFonts w:hint="eastAsia"/>
                <w:bCs/>
                <w:color w:val="auto"/>
                <w:lang w:val="en-US" w:eastAsia="zh-CN"/>
              </w:rPr>
              <w:t>8</w:t>
            </w:r>
            <w:r>
              <w:rPr>
                <w:rFonts w:hint="eastAsia"/>
                <w:bCs/>
                <w:color w:val="auto"/>
              </w:rPr>
              <w:t>、项目实施人员一览表（格式自拟）；</w:t>
            </w:r>
            <w:r>
              <w:rPr>
                <w:rFonts w:hint="eastAsia"/>
                <w:b/>
                <w:color w:val="auto"/>
              </w:rPr>
              <w:t>（必须提供，否则响应文件按无效响应处理）</w:t>
            </w:r>
          </w:p>
          <w:p>
            <w:pPr>
              <w:pStyle w:val="36"/>
              <w:spacing w:line="360" w:lineRule="auto"/>
              <w:rPr>
                <w:bCs/>
                <w:color w:val="auto"/>
              </w:rPr>
            </w:pPr>
            <w:r>
              <w:rPr>
                <w:rFonts w:hint="eastAsia"/>
                <w:bCs/>
                <w:color w:val="auto"/>
                <w:lang w:val="en-US" w:eastAsia="zh-CN"/>
              </w:rPr>
              <w:t>9</w:t>
            </w:r>
            <w:r>
              <w:rPr>
                <w:rFonts w:hint="eastAsia"/>
                <w:bCs/>
                <w:color w:val="auto"/>
              </w:rPr>
              <w:t>、对应采购需求的技术要求、商务要求提供的其他文件资料（格式自拟）；</w:t>
            </w:r>
          </w:p>
          <w:p>
            <w:pPr>
              <w:pStyle w:val="36"/>
              <w:spacing w:line="360" w:lineRule="auto"/>
              <w:rPr>
                <w:bCs/>
                <w:color w:val="auto"/>
              </w:rPr>
            </w:pPr>
            <w:r>
              <w:rPr>
                <w:rFonts w:hint="eastAsia"/>
                <w:bCs/>
                <w:color w:val="auto"/>
                <w:lang w:val="en-US" w:eastAsia="zh-CN"/>
              </w:rPr>
              <w:t>10</w:t>
            </w:r>
            <w:r>
              <w:rPr>
                <w:rFonts w:hint="eastAsia"/>
                <w:bCs/>
                <w:color w:val="auto"/>
              </w:rPr>
              <w:t>、供应商认为需要提供的其他有关资料。</w:t>
            </w:r>
          </w:p>
          <w:p>
            <w:pPr>
              <w:pStyle w:val="36"/>
              <w:spacing w:line="360" w:lineRule="auto"/>
              <w:rPr>
                <w:b/>
                <w:color w:val="auto"/>
              </w:rPr>
            </w:pPr>
            <w:r>
              <w:rPr>
                <w:rFonts w:hint="eastAsia"/>
                <w:b/>
                <w:color w:val="auto"/>
              </w:rPr>
              <w:t>注：以上标明“必须提供”的材料属于扫描件的，必须加盖供应商公章，否则响应文件  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977" w:type="dxa"/>
            <w:vAlign w:val="center"/>
          </w:tcPr>
          <w:p>
            <w:pPr>
              <w:pStyle w:val="36"/>
              <w:spacing w:line="360" w:lineRule="auto"/>
              <w:jc w:val="center"/>
              <w:rPr>
                <w:rFonts w:hint="default" w:eastAsia="宋体"/>
                <w:b/>
                <w:color w:val="auto"/>
                <w:lang w:val="en-US" w:eastAsia="zh-CN"/>
              </w:rPr>
            </w:pPr>
            <w:r>
              <w:rPr>
                <w:rFonts w:hint="eastAsia"/>
                <w:color w:val="auto"/>
              </w:rPr>
              <w:t>12.</w:t>
            </w:r>
            <w:r>
              <w:rPr>
                <w:rFonts w:hint="eastAsia"/>
                <w:color w:val="auto"/>
                <w:lang w:val="en-US" w:eastAsia="zh-CN"/>
              </w:rPr>
              <w:t>1.3</w:t>
            </w:r>
          </w:p>
        </w:tc>
        <w:tc>
          <w:tcPr>
            <w:tcW w:w="2477" w:type="dxa"/>
            <w:vAlign w:val="center"/>
          </w:tcPr>
          <w:p>
            <w:pPr>
              <w:pStyle w:val="36"/>
              <w:spacing w:line="360" w:lineRule="auto"/>
              <w:jc w:val="center"/>
              <w:rPr>
                <w:rFonts w:hint="eastAsia" w:eastAsia="宋体"/>
                <w:color w:val="auto"/>
                <w:lang w:eastAsia="zh-CN"/>
              </w:rPr>
            </w:pPr>
            <w:r>
              <w:rPr>
                <w:rFonts w:hint="eastAsia"/>
                <w:color w:val="auto"/>
                <w:lang w:eastAsia="zh-CN"/>
              </w:rPr>
              <w:t>报价文件组成</w:t>
            </w:r>
          </w:p>
        </w:tc>
        <w:tc>
          <w:tcPr>
            <w:tcW w:w="5937" w:type="dxa"/>
          </w:tcPr>
          <w:p>
            <w:pPr>
              <w:pStyle w:val="36"/>
              <w:spacing w:line="360" w:lineRule="auto"/>
              <w:rPr>
                <w:b/>
                <w:color w:val="auto"/>
              </w:rPr>
            </w:pPr>
            <w:r>
              <w:rPr>
                <w:rFonts w:hint="eastAsia"/>
                <w:bCs/>
                <w:color w:val="auto"/>
                <w:lang w:val="en-US"/>
              </w:rPr>
              <w:t>1、</w:t>
            </w:r>
            <w:r>
              <w:rPr>
                <w:rFonts w:hint="eastAsia"/>
                <w:bCs/>
                <w:color w:val="auto"/>
              </w:rPr>
              <w:t>响应函；</w:t>
            </w:r>
            <w:r>
              <w:rPr>
                <w:rFonts w:hint="eastAsia"/>
                <w:b/>
                <w:color w:val="auto"/>
              </w:rPr>
              <w:t>（必须提供，否则作无效响应处理）</w:t>
            </w:r>
          </w:p>
          <w:p>
            <w:pPr>
              <w:pStyle w:val="36"/>
              <w:spacing w:line="360" w:lineRule="auto"/>
              <w:rPr>
                <w:b/>
                <w:color w:val="auto"/>
              </w:rPr>
            </w:pPr>
            <w:r>
              <w:rPr>
                <w:rFonts w:hint="eastAsia"/>
                <w:bCs/>
                <w:color w:val="auto"/>
                <w:lang w:val="en-US"/>
              </w:rPr>
              <w:t>2、</w:t>
            </w:r>
            <w:r>
              <w:rPr>
                <w:rFonts w:hint="eastAsia"/>
                <w:bCs/>
                <w:color w:val="auto"/>
              </w:rPr>
              <w:t>竞标报价表；</w:t>
            </w:r>
            <w:r>
              <w:rPr>
                <w:rFonts w:hint="eastAsia"/>
                <w:b/>
                <w:color w:val="auto"/>
              </w:rPr>
              <w:t>（必须提供，否则响应文件按无效响应处理）</w:t>
            </w:r>
          </w:p>
          <w:p>
            <w:pPr>
              <w:pStyle w:val="36"/>
              <w:spacing w:line="360" w:lineRule="auto"/>
              <w:rPr>
                <w:b/>
                <w:color w:val="auto"/>
                <w:lang w:val="en-US"/>
              </w:rPr>
            </w:pPr>
            <w:r>
              <w:rPr>
                <w:rFonts w:hint="eastAsia"/>
                <w:bCs/>
                <w:color w:val="auto"/>
                <w:lang w:val="en-US"/>
              </w:rPr>
              <w:t>3、中小企业声明函或者残疾人福利性单位声明函或者供应商属于监狱企业的证明材料</w:t>
            </w:r>
            <w:r>
              <w:rPr>
                <w:rFonts w:hint="eastAsia"/>
                <w:b/>
                <w:color w:val="auto"/>
                <w:lang w:val="en-US"/>
              </w:rPr>
              <w:t>（必须提供，否则响应文件按无效响应处理）</w:t>
            </w:r>
          </w:p>
          <w:p>
            <w:pPr>
              <w:pStyle w:val="36"/>
              <w:spacing w:line="360" w:lineRule="auto"/>
              <w:rPr>
                <w:b/>
                <w:color w:val="auto"/>
              </w:rPr>
            </w:pPr>
            <w:r>
              <w:rPr>
                <w:rFonts w:hint="eastAsia"/>
                <w:b/>
                <w:color w:val="auto"/>
              </w:rPr>
              <w:t>注：以上标明“必须提供”材料扫描件的，必须加盖供应商公章，否则响应文件按无效处理。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77" w:type="dxa"/>
            <w:vAlign w:val="center"/>
          </w:tcPr>
          <w:p>
            <w:pPr>
              <w:pStyle w:val="36"/>
              <w:spacing w:line="360" w:lineRule="auto"/>
              <w:jc w:val="center"/>
              <w:rPr>
                <w:rFonts w:hint="eastAsia"/>
                <w:color w:val="auto"/>
                <w:lang w:val="en-US" w:eastAsia="en-US"/>
              </w:rPr>
            </w:pPr>
            <w:r>
              <w:rPr>
                <w:rFonts w:hint="eastAsia"/>
                <w:color w:val="auto"/>
              </w:rPr>
              <w:t>12.2</w:t>
            </w:r>
          </w:p>
        </w:tc>
        <w:tc>
          <w:tcPr>
            <w:tcW w:w="2477" w:type="dxa"/>
            <w:vAlign w:val="center"/>
          </w:tcPr>
          <w:p>
            <w:pPr>
              <w:pStyle w:val="36"/>
              <w:spacing w:line="360" w:lineRule="auto"/>
              <w:jc w:val="center"/>
              <w:rPr>
                <w:rFonts w:hint="eastAsia"/>
                <w:color w:val="auto"/>
                <w:lang w:val="en-US" w:eastAsia="en-US"/>
              </w:rPr>
            </w:pPr>
            <w:r>
              <w:rPr>
                <w:rFonts w:hint="eastAsia"/>
                <w:color w:val="auto"/>
              </w:rPr>
              <w:t>响应文件电子版要求</w:t>
            </w:r>
          </w:p>
        </w:tc>
        <w:tc>
          <w:tcPr>
            <w:tcW w:w="5937" w:type="dxa"/>
            <w:vAlign w:val="top"/>
          </w:tcPr>
          <w:p>
            <w:pPr>
              <w:pStyle w:val="36"/>
              <w:spacing w:line="360" w:lineRule="auto"/>
              <w:jc w:val="both"/>
              <w:rPr>
                <w:rFonts w:hint="eastAsia"/>
                <w:bCs/>
                <w:color w:val="auto"/>
                <w:lang w:val="en-US"/>
              </w:rPr>
            </w:pPr>
            <w:r>
              <w:rPr>
                <w:rFonts w:hint="eastAsia"/>
                <w:bCs/>
                <w:color w:val="auto"/>
                <w:lang w:val="en-US"/>
              </w:rPr>
              <w:t>1.响应文件电子版要求：按照本采购文件“第五章 响应文件格式 ”编写（第五章未附格式的，由供应商自行拟定），并按要求加盖公章。格式内容未做实质性响应的，响应文件按无效响应处理。</w:t>
            </w:r>
          </w:p>
          <w:p>
            <w:pPr>
              <w:pStyle w:val="36"/>
              <w:spacing w:line="360" w:lineRule="auto"/>
              <w:jc w:val="both"/>
              <w:rPr>
                <w:rFonts w:hint="eastAsia"/>
                <w:bCs/>
                <w:color w:val="auto"/>
                <w:lang w:val="en-US" w:eastAsia="en-US"/>
              </w:rPr>
            </w:pPr>
            <w:r>
              <w:rPr>
                <w:rFonts w:hint="eastAsia"/>
                <w:bCs/>
                <w:color w:val="auto"/>
                <w:lang w:val="en-US"/>
              </w:rPr>
              <w:t>2.响应文件电子版密封方式：电子响应文件通过平台有效 CA 加密后在“广西政府采购云平台 ”投送。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77" w:type="dxa"/>
            <w:vAlign w:val="center"/>
          </w:tcPr>
          <w:p>
            <w:pPr>
              <w:pStyle w:val="36"/>
              <w:spacing w:line="360" w:lineRule="auto"/>
              <w:jc w:val="center"/>
              <w:rPr>
                <w:rFonts w:hint="eastAsia"/>
                <w:color w:val="auto"/>
                <w:lang w:val="en-US" w:eastAsia="en-US"/>
              </w:rPr>
            </w:pPr>
            <w:r>
              <w:rPr>
                <w:rFonts w:hint="eastAsia"/>
                <w:color w:val="auto"/>
              </w:rPr>
              <w:t>15.2</w:t>
            </w:r>
          </w:p>
        </w:tc>
        <w:tc>
          <w:tcPr>
            <w:tcW w:w="2477" w:type="dxa"/>
            <w:vAlign w:val="center"/>
          </w:tcPr>
          <w:p>
            <w:pPr>
              <w:pStyle w:val="36"/>
              <w:spacing w:line="360" w:lineRule="auto"/>
              <w:jc w:val="center"/>
              <w:rPr>
                <w:rFonts w:hint="eastAsia"/>
                <w:color w:val="auto"/>
                <w:lang w:val="en-US" w:eastAsia="en-US"/>
              </w:rPr>
            </w:pPr>
            <w:r>
              <w:rPr>
                <w:rFonts w:hint="eastAsia"/>
                <w:color w:val="auto"/>
              </w:rPr>
              <w:t>响应报价要求</w:t>
            </w:r>
          </w:p>
        </w:tc>
        <w:tc>
          <w:tcPr>
            <w:tcW w:w="5937" w:type="dxa"/>
            <w:vAlign w:val="top"/>
          </w:tcPr>
          <w:p>
            <w:pPr>
              <w:pStyle w:val="36"/>
              <w:spacing w:line="360" w:lineRule="auto"/>
              <w:rPr>
                <w:rFonts w:hint="eastAsia"/>
                <w:bCs/>
                <w:color w:val="auto"/>
                <w:lang w:val="en-US"/>
              </w:rPr>
            </w:pPr>
            <w:r>
              <w:rPr>
                <w:rFonts w:hint="eastAsia"/>
                <w:bCs/>
                <w:color w:val="auto"/>
                <w:lang w:val="en-US"/>
              </w:rPr>
              <w:t>磋商报价是履行合同的最终价格，磋商报价已包括：</w:t>
            </w:r>
          </w:p>
          <w:p>
            <w:pPr>
              <w:pStyle w:val="36"/>
              <w:spacing w:line="360" w:lineRule="auto"/>
              <w:rPr>
                <w:rFonts w:hint="eastAsia"/>
                <w:bCs/>
                <w:color w:val="auto"/>
                <w:lang w:val="en-US"/>
              </w:rPr>
            </w:pPr>
            <w:r>
              <w:rPr>
                <w:rFonts w:hint="eastAsia"/>
                <w:bCs/>
                <w:color w:val="auto"/>
                <w:lang w:val="en-US"/>
              </w:rPr>
              <w:t>（1）人工费用、合理利润、不可预见费用、政策性文件规定及合同包含的所有风险、责任等各项应有费用等；</w:t>
            </w:r>
          </w:p>
          <w:p>
            <w:pPr>
              <w:pStyle w:val="36"/>
              <w:spacing w:line="360" w:lineRule="auto"/>
              <w:rPr>
                <w:rFonts w:hint="eastAsia"/>
                <w:bCs/>
                <w:color w:val="auto"/>
                <w:lang w:val="en-US" w:eastAsia="en-US"/>
              </w:rPr>
            </w:pPr>
            <w:r>
              <w:rPr>
                <w:rFonts w:hint="eastAsia"/>
                <w:bCs/>
                <w:color w:val="auto"/>
                <w:lang w:val="en-US"/>
              </w:rPr>
              <w:t>（2）保险费、各项税金及与本项目实施过程中所发生的各项费用等所有成本费用的总和。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77" w:type="dxa"/>
            <w:vAlign w:val="top"/>
          </w:tcPr>
          <w:p>
            <w:pPr>
              <w:pStyle w:val="36"/>
              <w:spacing w:line="360" w:lineRule="auto"/>
              <w:jc w:val="center"/>
              <w:rPr>
                <w:rFonts w:hint="eastAsia"/>
                <w:color w:val="auto"/>
                <w:lang w:val="en-US" w:eastAsia="en-US"/>
              </w:rPr>
            </w:pPr>
            <w:r>
              <w:rPr>
                <w:rFonts w:hint="eastAsia"/>
                <w:color w:val="auto"/>
              </w:rPr>
              <w:t>16.2</w:t>
            </w:r>
          </w:p>
        </w:tc>
        <w:tc>
          <w:tcPr>
            <w:tcW w:w="2477" w:type="dxa"/>
            <w:vAlign w:val="top"/>
          </w:tcPr>
          <w:p>
            <w:pPr>
              <w:pStyle w:val="36"/>
              <w:spacing w:line="360" w:lineRule="auto"/>
              <w:jc w:val="center"/>
              <w:rPr>
                <w:rFonts w:hint="eastAsia"/>
                <w:color w:val="auto"/>
                <w:lang w:val="en-US" w:eastAsia="en-US"/>
              </w:rPr>
            </w:pPr>
            <w:r>
              <w:rPr>
                <w:rFonts w:hint="eastAsia"/>
                <w:color w:val="auto"/>
              </w:rPr>
              <w:t>磋商有效期</w:t>
            </w:r>
          </w:p>
        </w:tc>
        <w:tc>
          <w:tcPr>
            <w:tcW w:w="5937" w:type="dxa"/>
            <w:vAlign w:val="top"/>
          </w:tcPr>
          <w:p>
            <w:pPr>
              <w:pStyle w:val="36"/>
              <w:spacing w:line="360" w:lineRule="auto"/>
              <w:rPr>
                <w:rFonts w:hint="eastAsia"/>
                <w:bCs/>
                <w:color w:val="auto"/>
                <w:lang w:val="en-US" w:eastAsia="en-US"/>
              </w:rPr>
            </w:pPr>
            <w:r>
              <w:rPr>
                <w:rFonts w:hint="eastAsia"/>
                <w:bCs/>
                <w:color w:val="auto"/>
                <w:lang w:val="en-US"/>
              </w:rPr>
              <w:t>自首次响应文件提交截止之日起</w:t>
            </w:r>
            <w:r>
              <w:rPr>
                <w:rFonts w:hint="eastAsia"/>
                <w:bCs/>
                <w:color w:val="auto"/>
                <w:u w:val="single"/>
                <w:lang w:val="en-US"/>
              </w:rPr>
              <w:t xml:space="preserve"> 60 </w:t>
            </w:r>
            <w:r>
              <w:rPr>
                <w:rFonts w:hint="eastAsia"/>
                <w:bCs/>
                <w:color w:val="auto"/>
                <w:lang w:val="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 w:hRule="atLeast"/>
        </w:trPr>
        <w:tc>
          <w:tcPr>
            <w:tcW w:w="977" w:type="dxa"/>
            <w:vAlign w:val="center"/>
          </w:tcPr>
          <w:p>
            <w:pPr>
              <w:pStyle w:val="36"/>
              <w:spacing w:line="360" w:lineRule="auto"/>
              <w:jc w:val="center"/>
              <w:rPr>
                <w:rFonts w:hint="eastAsia"/>
                <w:color w:val="auto"/>
                <w:lang w:val="en-US" w:eastAsia="en-US"/>
              </w:rPr>
            </w:pPr>
            <w:r>
              <w:rPr>
                <w:rFonts w:hint="eastAsia"/>
                <w:color w:val="auto"/>
              </w:rPr>
              <w:t>17.1</w:t>
            </w:r>
          </w:p>
        </w:tc>
        <w:tc>
          <w:tcPr>
            <w:tcW w:w="2477" w:type="dxa"/>
            <w:vAlign w:val="center"/>
          </w:tcPr>
          <w:p>
            <w:pPr>
              <w:pStyle w:val="36"/>
              <w:spacing w:line="360" w:lineRule="auto"/>
              <w:jc w:val="center"/>
              <w:rPr>
                <w:rFonts w:hint="eastAsia"/>
                <w:color w:val="auto"/>
                <w:lang w:val="en-US" w:eastAsia="en-US"/>
              </w:rPr>
            </w:pPr>
            <w:r>
              <w:rPr>
                <w:rFonts w:hint="eastAsia"/>
                <w:color w:val="auto"/>
              </w:rPr>
              <w:t>磋商保证金</w:t>
            </w:r>
          </w:p>
        </w:tc>
        <w:tc>
          <w:tcPr>
            <w:tcW w:w="5937" w:type="dxa"/>
            <w:vAlign w:val="center"/>
          </w:tcPr>
          <w:p>
            <w:pPr>
              <w:pStyle w:val="36"/>
              <w:spacing w:line="360" w:lineRule="auto"/>
              <w:jc w:val="both"/>
              <w:rPr>
                <w:rFonts w:hint="eastAsia"/>
                <w:color w:val="auto"/>
                <w:lang w:val="en-US" w:eastAsia="en-US"/>
              </w:rPr>
            </w:pPr>
            <w:r>
              <w:rPr>
                <w:rFonts w:hint="eastAsia"/>
                <w:color w:val="auto"/>
              </w:rPr>
              <w:t>本项目不需要缴纳磋商保证金。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77" w:type="dxa"/>
            <w:vMerge w:val="restart"/>
            <w:vAlign w:val="center"/>
          </w:tcPr>
          <w:p>
            <w:pPr>
              <w:pStyle w:val="36"/>
              <w:spacing w:line="360" w:lineRule="auto"/>
              <w:jc w:val="center"/>
              <w:rPr>
                <w:rFonts w:hint="eastAsia"/>
                <w:color w:val="auto"/>
              </w:rPr>
            </w:pPr>
            <w:r>
              <w:rPr>
                <w:rFonts w:hint="eastAsia"/>
                <w:color w:val="auto"/>
              </w:rPr>
              <w:t>20.1</w:t>
            </w:r>
          </w:p>
        </w:tc>
        <w:tc>
          <w:tcPr>
            <w:tcW w:w="2477" w:type="dxa"/>
            <w:vAlign w:val="center"/>
          </w:tcPr>
          <w:p>
            <w:pPr>
              <w:pStyle w:val="36"/>
              <w:spacing w:line="360" w:lineRule="auto"/>
              <w:jc w:val="center"/>
              <w:rPr>
                <w:rFonts w:hint="eastAsia"/>
                <w:color w:val="auto"/>
              </w:rPr>
            </w:pPr>
            <w:r>
              <w:rPr>
                <w:rFonts w:hint="eastAsia"/>
                <w:color w:val="auto"/>
              </w:rPr>
              <w:t>首次响应文件提交截止</w:t>
            </w:r>
          </w:p>
          <w:p>
            <w:pPr>
              <w:pStyle w:val="36"/>
              <w:spacing w:line="360" w:lineRule="auto"/>
              <w:jc w:val="center"/>
              <w:rPr>
                <w:rFonts w:hint="eastAsia"/>
                <w:color w:val="auto"/>
              </w:rPr>
            </w:pPr>
            <w:r>
              <w:rPr>
                <w:rFonts w:hint="eastAsia"/>
                <w:color w:val="auto"/>
              </w:rPr>
              <w:t>时间</w:t>
            </w:r>
          </w:p>
        </w:tc>
        <w:tc>
          <w:tcPr>
            <w:tcW w:w="5937" w:type="dxa"/>
            <w:vAlign w:val="center"/>
          </w:tcPr>
          <w:p>
            <w:pPr>
              <w:pStyle w:val="36"/>
              <w:spacing w:line="360" w:lineRule="auto"/>
              <w:jc w:val="left"/>
              <w:rPr>
                <w:rFonts w:hint="eastAsia"/>
                <w:color w:val="auto"/>
              </w:rPr>
            </w:pPr>
            <w:r>
              <w:rPr>
                <w:rFonts w:hint="eastAsia"/>
                <w:color w:val="auto"/>
              </w:rPr>
              <w:t>2024年5月28日15时30分（北京时间）后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77" w:type="dxa"/>
            <w:vMerge w:val="continue"/>
            <w:vAlign w:val="center"/>
          </w:tcPr>
          <w:p>
            <w:pPr>
              <w:pStyle w:val="36"/>
              <w:spacing w:line="360" w:lineRule="auto"/>
              <w:jc w:val="center"/>
              <w:rPr>
                <w:rFonts w:hint="eastAsia"/>
                <w:color w:val="auto"/>
              </w:rPr>
            </w:pPr>
          </w:p>
        </w:tc>
        <w:tc>
          <w:tcPr>
            <w:tcW w:w="2477" w:type="dxa"/>
            <w:vAlign w:val="center"/>
          </w:tcPr>
          <w:p>
            <w:pPr>
              <w:pStyle w:val="36"/>
              <w:spacing w:line="360" w:lineRule="auto"/>
              <w:jc w:val="center"/>
              <w:rPr>
                <w:rFonts w:hint="eastAsia"/>
                <w:color w:val="auto"/>
              </w:rPr>
            </w:pPr>
            <w:r>
              <w:rPr>
                <w:rFonts w:hint="eastAsia"/>
                <w:color w:val="auto"/>
              </w:rPr>
              <w:t>首次响应文件开启</w:t>
            </w:r>
          </w:p>
          <w:p>
            <w:pPr>
              <w:pStyle w:val="36"/>
              <w:spacing w:line="360" w:lineRule="auto"/>
              <w:jc w:val="center"/>
              <w:rPr>
                <w:rFonts w:hint="eastAsia"/>
                <w:color w:val="auto"/>
              </w:rPr>
            </w:pPr>
            <w:r>
              <w:rPr>
                <w:rFonts w:hint="eastAsia"/>
                <w:color w:val="auto"/>
              </w:rPr>
              <w:t>时间</w:t>
            </w:r>
          </w:p>
        </w:tc>
        <w:tc>
          <w:tcPr>
            <w:tcW w:w="5937" w:type="dxa"/>
            <w:vAlign w:val="center"/>
          </w:tcPr>
          <w:p>
            <w:pPr>
              <w:pStyle w:val="36"/>
              <w:spacing w:line="360" w:lineRule="auto"/>
              <w:jc w:val="left"/>
              <w:rPr>
                <w:rFonts w:hint="eastAsia"/>
                <w:color w:val="auto"/>
              </w:rPr>
            </w:pPr>
            <w:r>
              <w:rPr>
                <w:rFonts w:hint="eastAsia"/>
                <w:color w:val="auto"/>
              </w:rPr>
              <w:t>2024年5月28日15时30分（北京时间）后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977" w:type="dxa"/>
            <w:vMerge w:val="continue"/>
            <w:vAlign w:val="center"/>
          </w:tcPr>
          <w:p>
            <w:pPr>
              <w:pStyle w:val="36"/>
              <w:spacing w:line="360" w:lineRule="auto"/>
              <w:jc w:val="center"/>
              <w:rPr>
                <w:rFonts w:hint="eastAsia"/>
                <w:color w:val="auto"/>
              </w:rPr>
            </w:pPr>
          </w:p>
        </w:tc>
        <w:tc>
          <w:tcPr>
            <w:tcW w:w="2477" w:type="dxa"/>
            <w:vAlign w:val="center"/>
          </w:tcPr>
          <w:p>
            <w:pPr>
              <w:pStyle w:val="36"/>
              <w:spacing w:line="360" w:lineRule="auto"/>
              <w:jc w:val="center"/>
              <w:rPr>
                <w:rFonts w:hint="eastAsia"/>
                <w:color w:val="auto"/>
              </w:rPr>
            </w:pPr>
            <w:r>
              <w:rPr>
                <w:rFonts w:hint="eastAsia"/>
                <w:color w:val="auto"/>
              </w:rPr>
              <w:t>首次响应文件提交地点</w:t>
            </w:r>
          </w:p>
        </w:tc>
        <w:tc>
          <w:tcPr>
            <w:tcW w:w="5937" w:type="dxa"/>
            <w:vAlign w:val="center"/>
          </w:tcPr>
          <w:p>
            <w:pPr>
              <w:pStyle w:val="36"/>
              <w:spacing w:line="360" w:lineRule="auto"/>
              <w:jc w:val="both"/>
              <w:rPr>
                <w:rFonts w:hint="eastAsia"/>
                <w:color w:val="auto"/>
              </w:rPr>
            </w:pPr>
            <w:r>
              <w:rPr>
                <w:rFonts w:hint="eastAsia"/>
                <w:color w:val="auto"/>
              </w:rPr>
              <w:t>通过广西政府采购云平台（网址：https://www.gcy.zfcg.gxzf.gov.cn/）实行在线开标。（本项目不要求 磋商人到达开标现场，磋商人应派法定代表人（或负责人）或委托代理人准时在线出席电子开评标会议，随时关注开评标进度，如在开评标过程中有电子询标，应在规定的时间内对电子询标函进行澄清回复）。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77" w:type="dxa"/>
            <w:vAlign w:val="top"/>
          </w:tcPr>
          <w:p>
            <w:pPr>
              <w:pStyle w:val="36"/>
              <w:spacing w:line="360" w:lineRule="auto"/>
              <w:jc w:val="center"/>
              <w:rPr>
                <w:rFonts w:hint="eastAsia"/>
                <w:color w:val="auto"/>
                <w:lang w:val="en-US" w:eastAsia="en-US"/>
              </w:rPr>
            </w:pPr>
            <w:r>
              <w:rPr>
                <w:rFonts w:hint="eastAsia"/>
                <w:color w:val="auto"/>
              </w:rPr>
              <w:t>20.6</w:t>
            </w:r>
          </w:p>
        </w:tc>
        <w:tc>
          <w:tcPr>
            <w:tcW w:w="2477" w:type="dxa"/>
            <w:vAlign w:val="top"/>
          </w:tcPr>
          <w:p>
            <w:pPr>
              <w:pStyle w:val="36"/>
              <w:spacing w:line="360" w:lineRule="auto"/>
              <w:jc w:val="center"/>
              <w:rPr>
                <w:rFonts w:hint="eastAsia"/>
                <w:color w:val="auto"/>
                <w:lang w:val="en-US" w:eastAsia="en-US"/>
              </w:rPr>
            </w:pPr>
            <w:r>
              <w:rPr>
                <w:rFonts w:hint="eastAsia"/>
                <w:color w:val="auto"/>
              </w:rPr>
              <w:t>备份响应文件</w:t>
            </w:r>
          </w:p>
        </w:tc>
        <w:tc>
          <w:tcPr>
            <w:tcW w:w="5937" w:type="dxa"/>
            <w:vAlign w:val="top"/>
          </w:tcPr>
          <w:p>
            <w:pPr>
              <w:pStyle w:val="36"/>
              <w:spacing w:line="360" w:lineRule="auto"/>
              <w:jc w:val="left"/>
              <w:rPr>
                <w:rFonts w:hint="eastAsia"/>
                <w:color w:val="auto"/>
                <w:lang w:val="en-US" w:eastAsia="en-US"/>
              </w:rPr>
            </w:pPr>
            <w:r>
              <w:rPr>
                <w:rFonts w:hint="eastAsia"/>
                <w:color w:val="auto"/>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977" w:type="dxa"/>
            <w:vAlign w:val="top"/>
          </w:tcPr>
          <w:p>
            <w:pPr>
              <w:pStyle w:val="36"/>
              <w:spacing w:line="360" w:lineRule="auto"/>
              <w:jc w:val="center"/>
              <w:rPr>
                <w:rFonts w:hint="eastAsia"/>
                <w:color w:val="auto"/>
                <w:lang w:val="en-US" w:eastAsia="en-US"/>
              </w:rPr>
            </w:pPr>
            <w:r>
              <w:rPr>
                <w:rFonts w:hint="eastAsia"/>
                <w:color w:val="auto"/>
              </w:rPr>
              <w:t>21</w:t>
            </w:r>
          </w:p>
        </w:tc>
        <w:tc>
          <w:tcPr>
            <w:tcW w:w="2477" w:type="dxa"/>
            <w:vAlign w:val="top"/>
          </w:tcPr>
          <w:p>
            <w:pPr>
              <w:pStyle w:val="36"/>
              <w:spacing w:line="360" w:lineRule="auto"/>
              <w:jc w:val="center"/>
              <w:rPr>
                <w:rFonts w:hint="eastAsia"/>
                <w:color w:val="auto"/>
                <w:lang w:val="en-US" w:eastAsia="en-US"/>
              </w:rPr>
            </w:pPr>
            <w:r>
              <w:rPr>
                <w:rFonts w:hint="eastAsia"/>
                <w:color w:val="auto"/>
              </w:rPr>
              <w:t>首次响应文件的退回</w:t>
            </w:r>
          </w:p>
        </w:tc>
        <w:tc>
          <w:tcPr>
            <w:tcW w:w="5937" w:type="dxa"/>
            <w:vAlign w:val="top"/>
          </w:tcPr>
          <w:p>
            <w:pPr>
              <w:pStyle w:val="36"/>
              <w:spacing w:line="360" w:lineRule="auto"/>
              <w:jc w:val="left"/>
              <w:rPr>
                <w:rFonts w:hint="eastAsia"/>
                <w:color w:val="auto"/>
                <w:lang w:val="en-US" w:eastAsia="en-US"/>
              </w:rPr>
            </w:pPr>
            <w:r>
              <w:rPr>
                <w:rFonts w:hint="eastAsia"/>
                <w:color w:val="auto"/>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977" w:type="dxa"/>
            <w:vMerge w:val="restart"/>
            <w:vAlign w:val="center"/>
          </w:tcPr>
          <w:p>
            <w:pPr>
              <w:pStyle w:val="36"/>
              <w:spacing w:line="360" w:lineRule="auto"/>
              <w:jc w:val="center"/>
              <w:rPr>
                <w:rFonts w:hint="eastAsia"/>
                <w:color w:val="auto"/>
                <w:lang w:val="en-US"/>
              </w:rPr>
            </w:pPr>
            <w:r>
              <w:rPr>
                <w:rFonts w:hint="eastAsia"/>
                <w:color w:val="auto"/>
              </w:rPr>
              <w:t>26.2</w:t>
            </w:r>
          </w:p>
        </w:tc>
        <w:tc>
          <w:tcPr>
            <w:tcW w:w="2477" w:type="dxa"/>
            <w:vAlign w:val="center"/>
          </w:tcPr>
          <w:p>
            <w:pPr>
              <w:pStyle w:val="36"/>
              <w:spacing w:line="360" w:lineRule="auto"/>
              <w:jc w:val="center"/>
              <w:rPr>
                <w:rFonts w:hint="eastAsia"/>
                <w:color w:val="auto"/>
                <w:lang w:val="en-US"/>
              </w:rPr>
            </w:pPr>
            <w:r>
              <w:rPr>
                <w:rFonts w:hint="eastAsia"/>
                <w:color w:val="auto"/>
              </w:rPr>
              <w:t>负偏离要求</w:t>
            </w:r>
          </w:p>
        </w:tc>
        <w:tc>
          <w:tcPr>
            <w:tcW w:w="5937" w:type="dxa"/>
            <w:vAlign w:val="top"/>
          </w:tcPr>
          <w:p>
            <w:pPr>
              <w:pStyle w:val="36"/>
              <w:spacing w:line="360" w:lineRule="auto"/>
              <w:jc w:val="left"/>
              <w:rPr>
                <w:rFonts w:hint="eastAsia"/>
                <w:color w:val="auto"/>
              </w:rPr>
            </w:pPr>
            <w:r>
              <w:rPr>
                <w:rFonts w:hint="eastAsia"/>
                <w:color w:val="auto"/>
              </w:rPr>
              <w:t>商务条款评审中允许负偏离的条款数为</w:t>
            </w:r>
            <w:r>
              <w:rPr>
                <w:rFonts w:hint="eastAsia"/>
                <w:color w:val="auto"/>
                <w:u w:val="single"/>
              </w:rPr>
              <w:t xml:space="preserve"> 0 </w:t>
            </w:r>
            <w:r>
              <w:rPr>
                <w:rFonts w:hint="eastAsia"/>
                <w:color w:val="auto"/>
              </w:rPr>
              <w:t>项。</w:t>
            </w:r>
          </w:p>
          <w:p>
            <w:pPr>
              <w:pStyle w:val="36"/>
              <w:spacing w:line="360" w:lineRule="auto"/>
              <w:jc w:val="left"/>
              <w:rPr>
                <w:rFonts w:hint="eastAsia"/>
                <w:color w:val="auto"/>
              </w:rPr>
            </w:pPr>
            <w:r>
              <w:rPr>
                <w:rFonts w:hint="eastAsia"/>
                <w:color w:val="auto"/>
              </w:rPr>
              <w:t>服务需求评审中允许负偏离的条款数为</w:t>
            </w:r>
            <w:r>
              <w:rPr>
                <w:rFonts w:hint="eastAsia"/>
                <w:color w:val="auto"/>
                <w:u w:val="single"/>
              </w:rPr>
              <w:t xml:space="preserve"> 0 </w:t>
            </w:r>
            <w:r>
              <w:rPr>
                <w:rFonts w:hint="eastAsia"/>
                <w:color w:val="auto"/>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977" w:type="dxa"/>
            <w:vMerge w:val="continue"/>
            <w:vAlign w:val="center"/>
          </w:tcPr>
          <w:p>
            <w:pPr>
              <w:pStyle w:val="36"/>
              <w:spacing w:line="360" w:lineRule="auto"/>
              <w:jc w:val="center"/>
              <w:rPr>
                <w:rFonts w:hint="eastAsia"/>
                <w:color w:val="auto"/>
              </w:rPr>
            </w:pPr>
          </w:p>
        </w:tc>
        <w:tc>
          <w:tcPr>
            <w:tcW w:w="2477" w:type="dxa"/>
            <w:vAlign w:val="center"/>
          </w:tcPr>
          <w:p>
            <w:pPr>
              <w:pStyle w:val="36"/>
              <w:spacing w:line="360" w:lineRule="auto"/>
              <w:jc w:val="center"/>
              <w:rPr>
                <w:rFonts w:hint="eastAsia"/>
                <w:color w:val="auto"/>
              </w:rPr>
            </w:pPr>
            <w:r>
              <w:rPr>
                <w:rFonts w:hint="eastAsia"/>
                <w:color w:val="auto"/>
              </w:rPr>
              <w:t>磋商时间、地点</w:t>
            </w:r>
          </w:p>
        </w:tc>
        <w:tc>
          <w:tcPr>
            <w:tcW w:w="5937" w:type="dxa"/>
            <w:vAlign w:val="top"/>
          </w:tcPr>
          <w:p>
            <w:pPr>
              <w:pStyle w:val="36"/>
              <w:spacing w:line="360" w:lineRule="auto"/>
              <w:jc w:val="left"/>
              <w:rPr>
                <w:rFonts w:hint="eastAsia"/>
                <w:color w:val="auto"/>
              </w:rPr>
            </w:pPr>
            <w:r>
              <w:rPr>
                <w:rFonts w:hint="eastAsia"/>
                <w:color w:val="auto"/>
              </w:rPr>
              <w:t>磋商时间：磋商截止时间后（具体时间另行通知）</w:t>
            </w:r>
          </w:p>
          <w:p>
            <w:pPr>
              <w:pStyle w:val="36"/>
              <w:spacing w:line="360" w:lineRule="auto"/>
              <w:jc w:val="left"/>
              <w:rPr>
                <w:rFonts w:hint="eastAsia"/>
                <w:color w:val="auto"/>
              </w:rPr>
            </w:pPr>
            <w:r>
              <w:rPr>
                <w:rFonts w:hint="eastAsia"/>
                <w:color w:val="auto"/>
              </w:rPr>
              <w:t>磋商地点：与递交响应文件地点相同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77" w:type="dxa"/>
            <w:vAlign w:val="center"/>
          </w:tcPr>
          <w:p>
            <w:pPr>
              <w:pStyle w:val="36"/>
              <w:spacing w:line="364" w:lineRule="auto"/>
              <w:ind w:left="106" w:right="98"/>
              <w:jc w:val="center"/>
              <w:rPr>
                <w:bCs/>
                <w:color w:val="auto"/>
              </w:rPr>
            </w:pPr>
            <w:r>
              <w:rPr>
                <w:rFonts w:hint="eastAsia"/>
                <w:bCs/>
                <w:color w:val="auto"/>
              </w:rPr>
              <w:t>28</w:t>
            </w:r>
          </w:p>
        </w:tc>
        <w:tc>
          <w:tcPr>
            <w:tcW w:w="2477" w:type="dxa"/>
          </w:tcPr>
          <w:p>
            <w:pPr>
              <w:pStyle w:val="36"/>
              <w:spacing w:line="364" w:lineRule="auto"/>
              <w:ind w:left="106" w:right="98"/>
              <w:jc w:val="center"/>
              <w:rPr>
                <w:rFonts w:hint="eastAsia"/>
                <w:bCs/>
                <w:color w:val="auto"/>
              </w:rPr>
            </w:pPr>
            <w:r>
              <w:rPr>
                <w:rFonts w:hint="eastAsia"/>
                <w:bCs/>
                <w:color w:val="auto"/>
              </w:rPr>
              <w:t>履约保证金</w:t>
            </w:r>
          </w:p>
        </w:tc>
        <w:tc>
          <w:tcPr>
            <w:tcW w:w="5937" w:type="dxa"/>
          </w:tcPr>
          <w:p>
            <w:pPr>
              <w:pStyle w:val="36"/>
              <w:spacing w:line="360" w:lineRule="auto"/>
              <w:rPr>
                <w:bCs/>
                <w:color w:val="auto"/>
              </w:rPr>
            </w:pPr>
            <w:r>
              <w:rPr>
                <w:rFonts w:hint="eastAsia"/>
                <w:bCs/>
                <w:color w:val="auto"/>
              </w:rPr>
              <w:t>本项目不收取履约保证金。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1" w:hRule="atLeast"/>
        </w:trPr>
        <w:tc>
          <w:tcPr>
            <w:tcW w:w="977" w:type="dxa"/>
          </w:tcPr>
          <w:p>
            <w:pPr>
              <w:pStyle w:val="36"/>
              <w:rPr>
                <w:b/>
                <w:color w:val="auto"/>
                <w:sz w:val="20"/>
              </w:rPr>
            </w:pPr>
          </w:p>
          <w:p>
            <w:pPr>
              <w:pStyle w:val="36"/>
              <w:spacing w:before="10"/>
              <w:rPr>
                <w:b/>
                <w:color w:val="auto"/>
                <w:sz w:val="27"/>
              </w:rPr>
            </w:pPr>
          </w:p>
          <w:p>
            <w:pPr>
              <w:pStyle w:val="36"/>
              <w:ind w:left="158" w:right="149"/>
              <w:jc w:val="center"/>
              <w:rPr>
                <w:rFonts w:hint="eastAsia" w:eastAsia="宋体"/>
                <w:bCs/>
                <w:color w:val="auto"/>
                <w:lang w:eastAsia="zh-CN"/>
              </w:rPr>
            </w:pPr>
            <w:r>
              <w:rPr>
                <w:rFonts w:hint="eastAsia"/>
                <w:bCs/>
                <w:color w:val="auto"/>
                <w:lang w:val="en-US"/>
              </w:rPr>
              <w:t>29.</w:t>
            </w:r>
            <w:r>
              <w:rPr>
                <w:rFonts w:hint="eastAsia"/>
                <w:bCs/>
                <w:color w:val="auto"/>
                <w:lang w:val="en-US" w:eastAsia="zh-CN"/>
              </w:rPr>
              <w:t>5</w:t>
            </w:r>
          </w:p>
        </w:tc>
        <w:tc>
          <w:tcPr>
            <w:tcW w:w="2477" w:type="dxa"/>
            <w:vAlign w:val="center"/>
          </w:tcPr>
          <w:p>
            <w:pPr>
              <w:pStyle w:val="36"/>
              <w:ind w:left="158" w:right="149"/>
              <w:jc w:val="center"/>
              <w:rPr>
                <w:rFonts w:hint="eastAsia"/>
                <w:bCs/>
                <w:color w:val="auto"/>
                <w:lang w:val="en-US"/>
              </w:rPr>
            </w:pPr>
            <w:r>
              <w:rPr>
                <w:rFonts w:hint="eastAsia"/>
                <w:bCs/>
                <w:color w:val="auto"/>
              </w:rPr>
              <w:t>签订合同携带的证明材料</w:t>
            </w:r>
          </w:p>
        </w:tc>
        <w:tc>
          <w:tcPr>
            <w:tcW w:w="5937" w:type="dxa"/>
          </w:tcPr>
          <w:p>
            <w:pPr>
              <w:pStyle w:val="36"/>
              <w:spacing w:line="360" w:lineRule="auto"/>
              <w:rPr>
                <w:bCs/>
                <w:color w:val="auto"/>
              </w:rPr>
            </w:pPr>
            <w:r>
              <w:rPr>
                <w:rFonts w:hint="eastAsia"/>
                <w:bCs/>
                <w:color w:val="auto"/>
              </w:rPr>
              <w:t>1、委托代理人负责签订合同的，须携带授权委托书及委托代理人身份证原件等其他资格证件。</w:t>
            </w:r>
          </w:p>
          <w:p>
            <w:pPr>
              <w:pStyle w:val="36"/>
              <w:spacing w:line="360" w:lineRule="auto"/>
              <w:rPr>
                <w:bCs/>
                <w:color w:val="auto"/>
              </w:rPr>
            </w:pPr>
            <w:r>
              <w:rPr>
                <w:rFonts w:hint="eastAsia"/>
                <w:bCs/>
                <w:color w:val="auto"/>
              </w:rPr>
              <w:t>2、法定代表人负责签订合同的，须携带法定代表人身份证明原件及身份证原件等其他证明材料。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977" w:type="dxa"/>
            <w:vMerge w:val="restart"/>
            <w:vAlign w:val="center"/>
          </w:tcPr>
          <w:p>
            <w:pPr>
              <w:pStyle w:val="36"/>
              <w:ind w:left="158" w:right="149"/>
              <w:jc w:val="center"/>
              <w:rPr>
                <w:bCs/>
                <w:color w:val="auto"/>
                <w:lang w:val="en-US"/>
              </w:rPr>
            </w:pPr>
            <w:r>
              <w:rPr>
                <w:rFonts w:hint="eastAsia"/>
                <w:bCs/>
                <w:color w:val="auto"/>
                <w:lang w:val="en-US"/>
              </w:rPr>
              <w:t>31.2</w:t>
            </w:r>
          </w:p>
        </w:tc>
        <w:tc>
          <w:tcPr>
            <w:tcW w:w="2477" w:type="dxa"/>
            <w:vAlign w:val="center"/>
          </w:tcPr>
          <w:p>
            <w:pPr>
              <w:pStyle w:val="36"/>
              <w:ind w:left="158" w:right="149"/>
              <w:jc w:val="center"/>
              <w:rPr>
                <w:rFonts w:hint="eastAsia"/>
                <w:bCs/>
                <w:color w:val="auto"/>
                <w:lang w:val="en-US" w:eastAsia="en-US"/>
              </w:rPr>
            </w:pPr>
            <w:r>
              <w:rPr>
                <w:rFonts w:hint="eastAsia"/>
                <w:bCs/>
                <w:color w:val="auto"/>
              </w:rPr>
              <w:t>接收质疑函方式</w:t>
            </w:r>
          </w:p>
        </w:tc>
        <w:tc>
          <w:tcPr>
            <w:tcW w:w="5937" w:type="dxa"/>
            <w:vAlign w:val="top"/>
          </w:tcPr>
          <w:p>
            <w:pPr>
              <w:pStyle w:val="49"/>
              <w:spacing w:before="30" w:line="360" w:lineRule="auto"/>
              <w:ind w:left="136" w:leftChars="0"/>
              <w:rPr>
                <w:rFonts w:hint="eastAsia" w:ascii="宋体" w:hAnsi="宋体" w:eastAsia="宋体" w:cs="宋体"/>
                <w:color w:val="auto"/>
                <w:sz w:val="20"/>
                <w:szCs w:val="20"/>
                <w:lang w:val="en-US" w:eastAsia="en-US" w:bidi="ar-SA"/>
              </w:rPr>
            </w:pPr>
            <w:r>
              <w:rPr>
                <w:rFonts w:hint="eastAsia" w:ascii="宋体" w:hAnsi="宋体" w:eastAsia="宋体" w:cs="宋体"/>
                <w:bCs/>
                <w:color w:val="auto"/>
                <w:sz w:val="22"/>
                <w:szCs w:val="22"/>
                <w:lang w:val="zh-CN" w:eastAsia="zh-CN" w:bidi="zh-CN"/>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trPr>
        <w:tc>
          <w:tcPr>
            <w:tcW w:w="977" w:type="dxa"/>
            <w:vMerge w:val="continue"/>
            <w:vAlign w:val="center"/>
          </w:tcPr>
          <w:p>
            <w:pPr>
              <w:pStyle w:val="36"/>
              <w:ind w:left="158" w:right="149"/>
              <w:jc w:val="center"/>
              <w:rPr>
                <w:bCs/>
                <w:color w:val="auto"/>
                <w:lang w:val="en-US"/>
              </w:rPr>
            </w:pPr>
          </w:p>
        </w:tc>
        <w:tc>
          <w:tcPr>
            <w:tcW w:w="2477" w:type="dxa"/>
            <w:vAlign w:val="center"/>
          </w:tcPr>
          <w:p>
            <w:pPr>
              <w:pStyle w:val="36"/>
              <w:ind w:left="158" w:right="149"/>
              <w:jc w:val="center"/>
              <w:rPr>
                <w:rFonts w:hint="eastAsia"/>
                <w:bCs/>
                <w:color w:val="auto"/>
                <w:lang w:val="en-US"/>
              </w:rPr>
            </w:pPr>
            <w:r>
              <w:rPr>
                <w:rFonts w:hint="eastAsia"/>
                <w:bCs/>
                <w:color w:val="auto"/>
              </w:rPr>
              <w:t>质疑联系部门及联系方式</w:t>
            </w:r>
          </w:p>
        </w:tc>
        <w:tc>
          <w:tcPr>
            <w:tcW w:w="5937" w:type="dxa"/>
          </w:tcPr>
          <w:p>
            <w:pPr>
              <w:pStyle w:val="36"/>
              <w:spacing w:line="360" w:lineRule="auto"/>
              <w:rPr>
                <w:rFonts w:hint="eastAsia"/>
                <w:bCs/>
                <w:color w:val="auto"/>
              </w:rPr>
            </w:pPr>
            <w:r>
              <w:rPr>
                <w:rFonts w:hint="eastAsia"/>
                <w:bCs/>
                <w:color w:val="auto"/>
              </w:rPr>
              <w:t>（1）名称：</w:t>
            </w:r>
            <w:r>
              <w:rPr>
                <w:rFonts w:hint="eastAsia"/>
                <w:bCs/>
                <w:color w:val="auto"/>
                <w:lang w:eastAsia="zh-CN"/>
              </w:rPr>
              <w:t>平南县思旺镇人民政府</w:t>
            </w:r>
            <w:r>
              <w:rPr>
                <w:rFonts w:hint="eastAsia"/>
                <w:bCs/>
                <w:color w:val="auto"/>
              </w:rPr>
              <w:t xml:space="preserve">  </w:t>
            </w:r>
          </w:p>
          <w:p>
            <w:pPr>
              <w:pStyle w:val="36"/>
              <w:spacing w:line="360" w:lineRule="auto"/>
              <w:rPr>
                <w:rFonts w:hint="eastAsia" w:eastAsia="宋体"/>
                <w:bCs/>
                <w:color w:val="auto"/>
                <w:lang w:eastAsia="zh-CN"/>
              </w:rPr>
            </w:pPr>
            <w:r>
              <w:rPr>
                <w:rFonts w:hint="eastAsia"/>
                <w:bCs/>
                <w:color w:val="auto"/>
              </w:rPr>
              <w:t>联系电话：</w:t>
            </w:r>
            <w:r>
              <w:rPr>
                <w:rFonts w:hint="eastAsia"/>
                <w:bCs/>
                <w:color w:val="auto"/>
                <w:lang w:eastAsia="zh-CN"/>
              </w:rPr>
              <w:t>0775-7786150</w:t>
            </w:r>
          </w:p>
          <w:p>
            <w:pPr>
              <w:pStyle w:val="36"/>
              <w:spacing w:line="360" w:lineRule="auto"/>
              <w:rPr>
                <w:rFonts w:hint="eastAsia"/>
                <w:bCs/>
                <w:color w:val="auto"/>
              </w:rPr>
            </w:pPr>
            <w:r>
              <w:rPr>
                <w:rFonts w:hint="eastAsia"/>
                <w:bCs/>
                <w:color w:val="auto"/>
                <w:lang w:eastAsia="zh-CN"/>
              </w:rPr>
              <w:t>（</w:t>
            </w:r>
            <w:r>
              <w:rPr>
                <w:rFonts w:hint="eastAsia"/>
                <w:bCs/>
                <w:color w:val="auto"/>
                <w:lang w:val="en-US" w:eastAsia="zh-CN"/>
              </w:rPr>
              <w:t>2）名称：</w:t>
            </w:r>
            <w:r>
              <w:rPr>
                <w:rFonts w:hint="eastAsia"/>
                <w:bCs/>
                <w:color w:val="auto"/>
                <w:lang w:eastAsia="zh-CN"/>
              </w:rPr>
              <w:t>广西万宸工程咨询有限公司</w:t>
            </w:r>
          </w:p>
          <w:p>
            <w:pPr>
              <w:pStyle w:val="36"/>
              <w:spacing w:line="360" w:lineRule="auto"/>
              <w:rPr>
                <w:bCs/>
                <w:color w:val="auto"/>
              </w:rPr>
            </w:pPr>
            <w:r>
              <w:rPr>
                <w:rFonts w:hint="eastAsia"/>
                <w:bCs/>
                <w:color w:val="auto"/>
              </w:rPr>
              <w:t>联系人：</w:t>
            </w:r>
            <w:r>
              <w:rPr>
                <w:rFonts w:hint="eastAsia"/>
                <w:bCs/>
                <w:color w:val="auto"/>
                <w:lang w:eastAsia="zh-CN"/>
              </w:rPr>
              <w:t>蒋工</w:t>
            </w:r>
            <w:r>
              <w:rPr>
                <w:rFonts w:hint="eastAsia"/>
                <w:bCs/>
                <w:color w:val="auto"/>
              </w:rPr>
              <w:t>，联系电话：</w:t>
            </w:r>
            <w:r>
              <w:rPr>
                <w:rFonts w:hint="eastAsia"/>
                <w:bCs/>
                <w:color w:val="auto"/>
                <w:lang w:val="en-US" w:eastAsia="zh-CN"/>
              </w:rPr>
              <w:t>17754550329</w:t>
            </w:r>
            <w:r>
              <w:rPr>
                <w:rFonts w:hint="eastAsia"/>
                <w:bCs/>
                <w:color w:val="auto"/>
              </w:rPr>
              <w:t xml:space="preserve"> </w:t>
            </w:r>
          </w:p>
          <w:p>
            <w:pPr>
              <w:pStyle w:val="36"/>
              <w:spacing w:line="360" w:lineRule="auto"/>
              <w:rPr>
                <w:bCs/>
                <w:color w:val="auto"/>
              </w:rPr>
            </w:pPr>
            <w:r>
              <w:rPr>
                <w:rFonts w:hint="eastAsia"/>
                <w:bCs/>
                <w:color w:val="auto"/>
              </w:rPr>
              <w:t>通讯地址：</w:t>
            </w:r>
            <w:r>
              <w:rPr>
                <w:rFonts w:hint="eastAsia"/>
                <w:bCs/>
                <w:color w:val="auto"/>
                <w:lang w:eastAsia="zh-CN"/>
              </w:rPr>
              <w:t>广西壮族自治区贵港市港北区民主路69号（宏桂 · 城市广场）1幢2005号</w:t>
            </w:r>
            <w:r>
              <w:rPr>
                <w:rFonts w:hint="eastAsia"/>
                <w:bCs/>
                <w:color w:va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977" w:type="dxa"/>
            <w:vMerge w:val="continue"/>
            <w:vAlign w:val="center"/>
          </w:tcPr>
          <w:p>
            <w:pPr>
              <w:pStyle w:val="36"/>
              <w:ind w:left="158" w:right="149"/>
              <w:jc w:val="center"/>
              <w:rPr>
                <w:rFonts w:hint="eastAsia"/>
                <w:bCs/>
                <w:color w:val="auto"/>
                <w:lang w:val="en-US"/>
              </w:rPr>
            </w:pPr>
          </w:p>
        </w:tc>
        <w:tc>
          <w:tcPr>
            <w:tcW w:w="2477" w:type="dxa"/>
            <w:vAlign w:val="center"/>
          </w:tcPr>
          <w:p>
            <w:pPr>
              <w:pStyle w:val="36"/>
              <w:ind w:left="158" w:right="149"/>
              <w:jc w:val="center"/>
              <w:rPr>
                <w:rFonts w:hint="eastAsia"/>
                <w:bCs/>
                <w:color w:val="auto"/>
                <w:lang w:val="en-US" w:eastAsia="en-US"/>
              </w:rPr>
            </w:pPr>
            <w:r>
              <w:rPr>
                <w:rFonts w:hint="eastAsia"/>
                <w:bCs/>
                <w:color w:val="auto"/>
              </w:rPr>
              <w:t>现场提交质疑办理业务时间</w:t>
            </w:r>
          </w:p>
        </w:tc>
        <w:tc>
          <w:tcPr>
            <w:tcW w:w="5937" w:type="dxa"/>
            <w:vAlign w:val="center"/>
          </w:tcPr>
          <w:p>
            <w:pPr>
              <w:pStyle w:val="36"/>
              <w:spacing w:line="360" w:lineRule="auto"/>
              <w:jc w:val="both"/>
              <w:rPr>
                <w:rFonts w:hint="eastAsia" w:ascii="宋体" w:hAnsi="宋体" w:eastAsia="宋体" w:cs="宋体"/>
                <w:color w:val="auto"/>
                <w:sz w:val="20"/>
                <w:szCs w:val="20"/>
                <w:lang w:val="en-US" w:eastAsia="en-US" w:bidi="ar-SA"/>
              </w:rPr>
            </w:pPr>
            <w:r>
              <w:rPr>
                <w:rFonts w:hint="eastAsia"/>
                <w:bCs/>
                <w:color w:val="auto"/>
              </w:rPr>
              <w:t>质疑期内每个工作日（北京时间）上午 8 时00 分到 12 时 00 分，下午 15</w:t>
            </w:r>
            <w:r>
              <w:rPr>
                <w:rFonts w:hint="eastAsia"/>
                <w:bCs/>
                <w:color w:val="auto"/>
                <w:lang w:val="en-US" w:eastAsia="zh-CN"/>
              </w:rPr>
              <w:t xml:space="preserve"> </w:t>
            </w:r>
            <w:r>
              <w:rPr>
                <w:rFonts w:hint="eastAsia"/>
                <w:bCs/>
                <w:color w:val="auto"/>
              </w:rPr>
              <w:t>时 00 分到 18 时 00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977" w:type="dxa"/>
            <w:vAlign w:val="top"/>
          </w:tcPr>
          <w:p>
            <w:pPr>
              <w:pStyle w:val="36"/>
              <w:ind w:left="158" w:right="149"/>
              <w:jc w:val="center"/>
              <w:rPr>
                <w:rFonts w:hint="eastAsia"/>
                <w:bCs/>
                <w:color w:val="auto"/>
                <w:lang w:val="en-US" w:eastAsia="en-US"/>
              </w:rPr>
            </w:pPr>
          </w:p>
          <w:p>
            <w:pPr>
              <w:pStyle w:val="36"/>
              <w:ind w:left="158" w:right="149"/>
              <w:jc w:val="center"/>
              <w:rPr>
                <w:rFonts w:hint="eastAsia"/>
                <w:bCs/>
                <w:color w:val="auto"/>
                <w:lang w:val="en-US" w:eastAsia="en-US"/>
              </w:rPr>
            </w:pPr>
          </w:p>
          <w:p>
            <w:pPr>
              <w:pStyle w:val="36"/>
              <w:ind w:left="158" w:right="149"/>
              <w:jc w:val="center"/>
              <w:rPr>
                <w:rFonts w:hint="eastAsia"/>
                <w:bCs/>
                <w:color w:val="auto"/>
                <w:lang w:val="en-US" w:eastAsia="en-US"/>
              </w:rPr>
            </w:pPr>
          </w:p>
          <w:p>
            <w:pPr>
              <w:pStyle w:val="36"/>
              <w:ind w:left="158" w:right="149"/>
              <w:jc w:val="center"/>
              <w:rPr>
                <w:rFonts w:hint="eastAsia"/>
                <w:bCs/>
                <w:color w:val="auto"/>
                <w:lang w:val="en-US" w:eastAsia="en-US"/>
              </w:rPr>
            </w:pPr>
          </w:p>
          <w:p>
            <w:pPr>
              <w:pStyle w:val="36"/>
              <w:ind w:left="158" w:right="149"/>
              <w:jc w:val="center"/>
              <w:rPr>
                <w:rFonts w:hint="eastAsia"/>
                <w:bCs/>
                <w:color w:val="auto"/>
                <w:lang w:val="en-US" w:eastAsia="en-US"/>
              </w:rPr>
            </w:pPr>
            <w:r>
              <w:rPr>
                <w:rFonts w:hint="eastAsia"/>
                <w:bCs/>
                <w:color w:val="auto"/>
                <w:lang w:val="en-US" w:eastAsia="en-US"/>
              </w:rPr>
              <w:t>31.6</w:t>
            </w:r>
          </w:p>
        </w:tc>
        <w:tc>
          <w:tcPr>
            <w:tcW w:w="2477" w:type="dxa"/>
            <w:vAlign w:val="top"/>
          </w:tcPr>
          <w:p>
            <w:pPr>
              <w:pStyle w:val="36"/>
              <w:ind w:left="158" w:right="149"/>
              <w:jc w:val="center"/>
              <w:rPr>
                <w:rFonts w:hint="eastAsia"/>
                <w:bCs/>
                <w:color w:val="auto"/>
                <w:lang w:val="en-US" w:eastAsia="en-US"/>
              </w:rPr>
            </w:pPr>
          </w:p>
          <w:p>
            <w:pPr>
              <w:pStyle w:val="36"/>
              <w:ind w:left="158" w:right="149"/>
              <w:jc w:val="center"/>
              <w:rPr>
                <w:rFonts w:hint="eastAsia"/>
                <w:bCs/>
                <w:color w:val="auto"/>
                <w:lang w:val="en-US" w:eastAsia="en-US"/>
              </w:rPr>
            </w:pPr>
          </w:p>
          <w:p>
            <w:pPr>
              <w:pStyle w:val="36"/>
              <w:ind w:left="158" w:right="149"/>
              <w:jc w:val="center"/>
              <w:rPr>
                <w:rFonts w:hint="eastAsia"/>
                <w:bCs/>
                <w:color w:val="auto"/>
                <w:lang w:val="en-US" w:eastAsia="en-US"/>
              </w:rPr>
            </w:pPr>
          </w:p>
          <w:p>
            <w:pPr>
              <w:pStyle w:val="36"/>
              <w:ind w:left="158" w:right="149"/>
              <w:jc w:val="center"/>
              <w:rPr>
                <w:rFonts w:hint="eastAsia"/>
                <w:bCs/>
                <w:color w:val="auto"/>
                <w:lang w:val="en-US" w:eastAsia="en-US"/>
              </w:rPr>
            </w:pPr>
          </w:p>
          <w:p>
            <w:pPr>
              <w:pStyle w:val="36"/>
              <w:ind w:left="158" w:right="149"/>
              <w:jc w:val="center"/>
              <w:rPr>
                <w:rFonts w:hint="eastAsia"/>
                <w:bCs/>
                <w:color w:val="auto"/>
                <w:lang w:val="en-US" w:eastAsia="en-US"/>
              </w:rPr>
            </w:pPr>
            <w:r>
              <w:rPr>
                <w:rFonts w:hint="eastAsia"/>
                <w:bCs/>
                <w:color w:val="auto"/>
                <w:lang w:val="en-US" w:eastAsia="en-US"/>
              </w:rPr>
              <w:t>受理投诉方式</w:t>
            </w:r>
          </w:p>
        </w:tc>
        <w:tc>
          <w:tcPr>
            <w:tcW w:w="5937" w:type="dxa"/>
            <w:vAlign w:val="top"/>
          </w:tcPr>
          <w:p>
            <w:pPr>
              <w:pStyle w:val="36"/>
              <w:spacing w:line="360" w:lineRule="auto"/>
              <w:rPr>
                <w:rFonts w:hint="eastAsia"/>
                <w:bCs/>
                <w:color w:val="auto"/>
              </w:rPr>
            </w:pPr>
            <w:r>
              <w:rPr>
                <w:rFonts w:hint="eastAsia"/>
                <w:bCs/>
                <w:color w:val="auto"/>
              </w:rPr>
              <w:t>1、受理方式：纸质方式受理，投诉书正、副本（经过质疑的事项才可投诉）。</w:t>
            </w:r>
          </w:p>
          <w:p>
            <w:pPr>
              <w:pStyle w:val="36"/>
              <w:spacing w:line="360" w:lineRule="auto"/>
              <w:rPr>
                <w:rFonts w:hint="eastAsia"/>
                <w:bCs/>
                <w:color w:val="auto"/>
              </w:rPr>
            </w:pPr>
            <w:r>
              <w:rPr>
                <w:rFonts w:hint="eastAsia"/>
                <w:bCs/>
                <w:color w:val="auto"/>
              </w:rPr>
              <w:t>2、通讯方式</w:t>
            </w:r>
          </w:p>
          <w:p>
            <w:pPr>
              <w:pStyle w:val="36"/>
              <w:spacing w:line="360" w:lineRule="auto"/>
              <w:rPr>
                <w:rFonts w:hint="eastAsia" w:eastAsia="宋体"/>
                <w:bCs/>
                <w:color w:val="auto"/>
                <w:lang w:eastAsia="zh-CN"/>
              </w:rPr>
            </w:pPr>
            <w:r>
              <w:rPr>
                <w:rFonts w:hint="eastAsia"/>
                <w:bCs/>
                <w:color w:val="auto"/>
              </w:rPr>
              <w:t>名称：</w:t>
            </w:r>
            <w:r>
              <w:rPr>
                <w:rFonts w:hint="eastAsia"/>
                <w:bCs/>
                <w:color w:val="auto"/>
                <w:lang w:eastAsia="zh-CN"/>
              </w:rPr>
              <w:t>平南县财政局政府采购监督管理股</w:t>
            </w:r>
          </w:p>
          <w:p>
            <w:pPr>
              <w:pStyle w:val="36"/>
              <w:spacing w:line="360" w:lineRule="auto"/>
              <w:rPr>
                <w:rFonts w:hint="eastAsia"/>
                <w:bCs/>
                <w:color w:val="auto"/>
              </w:rPr>
            </w:pPr>
            <w:r>
              <w:rPr>
                <w:rFonts w:hint="eastAsia"/>
                <w:bCs/>
                <w:color w:val="auto"/>
              </w:rPr>
              <w:t>地址：广西壮族自治区贵港市港北区金港大道 902 号</w:t>
            </w:r>
          </w:p>
          <w:p>
            <w:pPr>
              <w:pStyle w:val="36"/>
              <w:spacing w:line="360" w:lineRule="auto"/>
              <w:rPr>
                <w:rFonts w:hint="eastAsia" w:ascii="宋体" w:hAnsi="宋体" w:eastAsia="宋体" w:cs="宋体"/>
                <w:color w:val="auto"/>
                <w:sz w:val="20"/>
                <w:szCs w:val="20"/>
                <w:lang w:val="en-US" w:eastAsia="zh-CN" w:bidi="ar-SA"/>
              </w:rPr>
            </w:pPr>
            <w:r>
              <w:rPr>
                <w:rFonts w:hint="eastAsia"/>
                <w:bCs/>
                <w:color w:val="auto"/>
              </w:rPr>
              <w:t>联系电话：</w:t>
            </w:r>
            <w:r>
              <w:rPr>
                <w:rFonts w:hint="eastAsia"/>
                <w:bCs/>
                <w:color w:val="auto"/>
                <w:lang w:eastAsia="zh-CN"/>
              </w:rPr>
              <w:t>0775-7820666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77" w:type="dxa"/>
          </w:tcPr>
          <w:p>
            <w:pPr>
              <w:pStyle w:val="36"/>
              <w:rPr>
                <w:b/>
                <w:color w:val="auto"/>
                <w:sz w:val="20"/>
              </w:rPr>
            </w:pPr>
          </w:p>
          <w:p>
            <w:pPr>
              <w:pStyle w:val="36"/>
              <w:rPr>
                <w:b/>
                <w:color w:val="auto"/>
                <w:sz w:val="20"/>
              </w:rPr>
            </w:pPr>
          </w:p>
          <w:p>
            <w:pPr>
              <w:pStyle w:val="36"/>
              <w:rPr>
                <w:b/>
                <w:color w:val="auto"/>
                <w:sz w:val="20"/>
              </w:rPr>
            </w:pPr>
          </w:p>
          <w:p>
            <w:pPr>
              <w:pStyle w:val="36"/>
              <w:rPr>
                <w:b/>
                <w:color w:val="auto"/>
                <w:sz w:val="20"/>
              </w:rPr>
            </w:pPr>
          </w:p>
          <w:p>
            <w:pPr>
              <w:pStyle w:val="36"/>
              <w:rPr>
                <w:b/>
                <w:color w:val="auto"/>
                <w:sz w:val="20"/>
              </w:rPr>
            </w:pPr>
          </w:p>
          <w:p>
            <w:pPr>
              <w:pStyle w:val="36"/>
              <w:jc w:val="center"/>
              <w:rPr>
                <w:rFonts w:hint="default" w:eastAsia="宋体"/>
                <w:bCs/>
                <w:color w:val="auto"/>
                <w:lang w:val="en-US" w:eastAsia="zh-CN"/>
              </w:rPr>
            </w:pPr>
            <w:r>
              <w:rPr>
                <w:rFonts w:hint="eastAsia"/>
                <w:bCs/>
                <w:color w:val="auto"/>
                <w:lang w:val="en-US" w:eastAsia="zh-CN"/>
              </w:rPr>
              <w:t>33</w:t>
            </w:r>
          </w:p>
        </w:tc>
        <w:tc>
          <w:tcPr>
            <w:tcW w:w="2477" w:type="dxa"/>
            <w:vAlign w:val="center"/>
          </w:tcPr>
          <w:p>
            <w:pPr>
              <w:pStyle w:val="36"/>
              <w:ind w:left="158" w:right="149"/>
              <w:jc w:val="center"/>
              <w:rPr>
                <w:rFonts w:hint="eastAsia"/>
                <w:bCs/>
                <w:color w:val="auto"/>
                <w:lang w:val="en-US"/>
              </w:rPr>
            </w:pPr>
            <w:r>
              <w:rPr>
                <w:rFonts w:hint="eastAsia"/>
                <w:bCs/>
                <w:color w:val="auto"/>
                <w:lang w:val="en-US"/>
              </w:rPr>
              <w:t>采购</w:t>
            </w:r>
            <w:r>
              <w:rPr>
                <w:rFonts w:hint="eastAsia"/>
                <w:bCs/>
                <w:color w:val="auto"/>
                <w:lang w:val="en-US" w:eastAsia="en-US"/>
              </w:rPr>
              <w:t>代理</w:t>
            </w:r>
            <w:r>
              <w:rPr>
                <w:rFonts w:hint="eastAsia"/>
                <w:bCs/>
                <w:color w:val="auto"/>
                <w:lang w:val="en-US"/>
              </w:rPr>
              <w:t>服务费</w:t>
            </w:r>
          </w:p>
        </w:tc>
        <w:tc>
          <w:tcPr>
            <w:tcW w:w="5937" w:type="dxa"/>
          </w:tcPr>
          <w:p>
            <w:pPr>
              <w:pStyle w:val="36"/>
              <w:spacing w:line="360" w:lineRule="auto"/>
              <w:jc w:val="both"/>
              <w:rPr>
                <w:bCs/>
                <w:color w:val="auto"/>
              </w:rPr>
            </w:pPr>
            <w:r>
              <w:rPr>
                <w:rFonts w:hint="eastAsia"/>
                <w:bCs/>
                <w:color w:val="auto"/>
              </w:rPr>
              <w:t>1、采购代理服务费支付方式：根据采购人与代理人签订的《采购代理合同》，本项目委托采购代理服务费按照国家发展计划委员会计价格[2002]1980 号《招标代理服务费管理暂行办法》、《国家发展改革委办公厅关于招标代理服务费的通知》(发改办价格[2003]857 号)和《国家发展改革委关于降低部分建设项目收费标准规范收费行为等有关问题的通知》国家发改【2015】299）计取。由中标方(成交方）向招标代理机构一次性付清。</w:t>
            </w:r>
          </w:p>
          <w:p>
            <w:pPr>
              <w:pStyle w:val="16"/>
              <w:spacing w:line="360" w:lineRule="auto"/>
              <w:rPr>
                <w:rFonts w:hAnsi="宋体"/>
                <w:b/>
                <w:color w:val="auto"/>
              </w:rPr>
            </w:pPr>
            <w:r>
              <w:rPr>
                <w:rFonts w:hint="eastAsia" w:hAnsi="宋体"/>
                <w:bCs/>
                <w:color w:val="auto"/>
                <w:szCs w:val="22"/>
              </w:rPr>
              <w:t>2、</w:t>
            </w:r>
            <w:r>
              <w:rPr>
                <w:rFonts w:hint="eastAsia" w:hAnsi="宋体"/>
                <w:b/>
                <w:color w:val="auto"/>
              </w:rPr>
              <w:t>采购代理服务费专用帐户：</w:t>
            </w:r>
          </w:p>
          <w:p>
            <w:pPr>
              <w:pStyle w:val="36"/>
              <w:spacing w:line="360" w:lineRule="auto"/>
              <w:rPr>
                <w:rFonts w:hint="eastAsia" w:eastAsia="宋体"/>
                <w:bCs/>
                <w:color w:val="auto"/>
                <w:lang w:eastAsia="zh-CN"/>
              </w:rPr>
            </w:pPr>
            <w:r>
              <w:rPr>
                <w:rFonts w:hint="eastAsia"/>
                <w:bCs/>
                <w:color w:val="auto"/>
              </w:rPr>
              <w:t>开户名称：</w:t>
            </w:r>
            <w:r>
              <w:rPr>
                <w:rFonts w:hint="eastAsia"/>
                <w:bCs/>
                <w:color w:val="auto"/>
                <w:lang w:eastAsia="zh-CN"/>
              </w:rPr>
              <w:t>广西万宸工程咨询有限公司</w:t>
            </w:r>
          </w:p>
          <w:p>
            <w:pPr>
              <w:pStyle w:val="36"/>
              <w:spacing w:line="360" w:lineRule="auto"/>
              <w:rPr>
                <w:rFonts w:hint="eastAsia" w:eastAsia="宋体"/>
                <w:bCs/>
                <w:color w:val="auto"/>
                <w:lang w:eastAsia="zh-CN"/>
              </w:rPr>
            </w:pPr>
            <w:r>
              <w:rPr>
                <w:rFonts w:hint="eastAsia"/>
                <w:bCs/>
                <w:color w:val="auto"/>
              </w:rPr>
              <w:t>开户银行：</w:t>
            </w:r>
            <w:r>
              <w:rPr>
                <w:rFonts w:hint="eastAsia"/>
                <w:bCs/>
                <w:color w:val="auto"/>
                <w:lang w:eastAsia="zh-CN"/>
              </w:rPr>
              <w:t>广西北部湾银行股份有限公司贵港市迎宾大道支行</w:t>
            </w:r>
          </w:p>
          <w:p>
            <w:pPr>
              <w:pStyle w:val="36"/>
              <w:spacing w:line="360" w:lineRule="auto"/>
              <w:rPr>
                <w:rFonts w:hint="eastAsia" w:eastAsia="宋体"/>
                <w:bCs/>
                <w:color w:val="auto"/>
                <w:lang w:eastAsia="zh-CN"/>
              </w:rPr>
            </w:pPr>
            <w:r>
              <w:rPr>
                <w:rFonts w:hint="eastAsia"/>
                <w:bCs/>
                <w:color w:val="auto"/>
              </w:rPr>
              <w:t>银行账号：</w:t>
            </w:r>
            <w:r>
              <w:rPr>
                <w:rFonts w:hint="eastAsia"/>
                <w:bCs/>
                <w:color w:val="auto"/>
                <w:lang w:eastAsia="zh-CN"/>
              </w:rPr>
              <w:t>805020861300001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7" w:hRule="atLeast"/>
        </w:trPr>
        <w:tc>
          <w:tcPr>
            <w:tcW w:w="977" w:type="dxa"/>
            <w:vAlign w:val="center"/>
          </w:tcPr>
          <w:p>
            <w:pPr>
              <w:pStyle w:val="36"/>
              <w:spacing w:before="1"/>
              <w:ind w:left="158" w:right="149"/>
              <w:jc w:val="center"/>
              <w:rPr>
                <w:bCs/>
                <w:color w:val="auto"/>
                <w:lang w:val="en-US"/>
              </w:rPr>
            </w:pPr>
            <w:r>
              <w:rPr>
                <w:rFonts w:hint="eastAsia"/>
                <w:bCs/>
                <w:color w:val="auto"/>
                <w:lang w:val="en-US"/>
              </w:rPr>
              <w:t>3</w:t>
            </w:r>
            <w:r>
              <w:rPr>
                <w:rFonts w:hint="eastAsia"/>
                <w:bCs/>
                <w:color w:val="auto"/>
                <w:lang w:val="en-US" w:eastAsia="zh-CN"/>
              </w:rPr>
              <w:t>4</w:t>
            </w:r>
            <w:r>
              <w:rPr>
                <w:rFonts w:hint="eastAsia"/>
                <w:bCs/>
                <w:color w:val="auto"/>
                <w:lang w:val="en-US"/>
              </w:rPr>
              <w:t>.1</w:t>
            </w:r>
          </w:p>
        </w:tc>
        <w:tc>
          <w:tcPr>
            <w:tcW w:w="2477" w:type="dxa"/>
            <w:vAlign w:val="center"/>
          </w:tcPr>
          <w:p>
            <w:pPr>
              <w:pStyle w:val="36"/>
              <w:spacing w:before="1"/>
              <w:ind w:left="158" w:right="149"/>
              <w:jc w:val="center"/>
              <w:rPr>
                <w:rFonts w:hint="eastAsia" w:eastAsia="宋体"/>
                <w:bCs/>
                <w:color w:val="auto"/>
                <w:lang w:val="en-US" w:eastAsia="zh-CN"/>
              </w:rPr>
            </w:pPr>
            <w:r>
              <w:rPr>
                <w:rFonts w:hint="eastAsia"/>
                <w:bCs/>
                <w:color w:val="auto"/>
                <w:lang w:val="en-US" w:eastAsia="zh-CN"/>
              </w:rPr>
              <w:t>解释</w:t>
            </w:r>
          </w:p>
        </w:tc>
        <w:tc>
          <w:tcPr>
            <w:tcW w:w="5937" w:type="dxa"/>
          </w:tcPr>
          <w:p>
            <w:pPr>
              <w:pStyle w:val="36"/>
              <w:spacing w:line="360" w:lineRule="auto"/>
              <w:jc w:val="both"/>
              <w:rPr>
                <w:rFonts w:hint="eastAsia"/>
                <w:bCs/>
                <w:color w:val="auto"/>
              </w:rPr>
            </w:pPr>
            <w:r>
              <w:rPr>
                <w:rFonts w:hint="eastAsia"/>
                <w:bCs/>
                <w:color w:val="auto"/>
              </w:rPr>
              <w:t>解释：构成本竞争性磋商文件的各个组成文件应互为解释，互为说明；除竞争性磋商文件中有特别规定外，仅适用于磋商阶段的规定，按更正公告 （澄清公告）、竞争性磋商公告、采购需求、供应商须知、评审程序、评 审方法和评审标准、响应文件格式、合同文本的先后顺序解释；同一组成文件中就同一事项的规定或者约定不一致的，以编排顺序在后者为准；同一组成文件不同版本之间有不一致的，以形成时间在后者为准；更正公告 （澄清公告）与同步更新的磋商文件不一致时以更正公告（澄清公告）为准。按本款前述规定仍不能形成结论的，由采购人或者采购代理机构负责解释。</w:t>
            </w:r>
          </w:p>
          <w:p>
            <w:pPr>
              <w:pStyle w:val="36"/>
              <w:spacing w:line="360" w:lineRule="auto"/>
              <w:rPr>
                <w:rFonts w:hint="eastAsia"/>
                <w:bCs/>
                <w:color w:val="auto"/>
              </w:rPr>
            </w:pPr>
            <w:r>
              <w:rPr>
                <w:rFonts w:hint="eastAsia"/>
                <w:bCs/>
                <w:color w:val="auto"/>
              </w:rPr>
              <w:t>法律责任：</w:t>
            </w:r>
          </w:p>
          <w:p>
            <w:pPr>
              <w:pStyle w:val="36"/>
              <w:spacing w:line="360" w:lineRule="auto"/>
              <w:jc w:val="both"/>
              <w:rPr>
                <w:bCs/>
                <w:color w:val="auto"/>
              </w:rPr>
            </w:pPr>
            <w:r>
              <w:rPr>
                <w:rFonts w:hint="eastAsia"/>
                <w:bCs/>
                <w:color w:val="auto"/>
              </w:rPr>
              <w:t>本采购文件根据《中华人民共和国政府采购法》、《中华人民共和国民法典》；《中华人民共和国政府采购法实施条例》、《政府采购竞争性磋商 采购方式管理暂行办法》等有关法律、法规编制，参与本项目的各政府采购当事人依法享有上述法律法规所赋予的权利与义务。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7" w:hRule="atLeast"/>
        </w:trPr>
        <w:tc>
          <w:tcPr>
            <w:tcW w:w="977" w:type="dxa"/>
            <w:vAlign w:val="center"/>
          </w:tcPr>
          <w:p>
            <w:pPr>
              <w:pStyle w:val="36"/>
              <w:spacing w:line="312" w:lineRule="auto"/>
              <w:jc w:val="center"/>
              <w:rPr>
                <w:bCs/>
                <w:color w:val="auto"/>
                <w:lang w:val="en-US"/>
              </w:rPr>
            </w:pPr>
            <w:r>
              <w:rPr>
                <w:rFonts w:hint="eastAsia"/>
                <w:bCs/>
                <w:color w:val="auto"/>
                <w:lang w:val="en-US"/>
              </w:rPr>
              <w:t>3</w:t>
            </w:r>
            <w:r>
              <w:rPr>
                <w:rFonts w:hint="eastAsia"/>
                <w:bCs/>
                <w:color w:val="auto"/>
                <w:lang w:val="en-US" w:eastAsia="zh-CN"/>
              </w:rPr>
              <w:t>4</w:t>
            </w:r>
            <w:r>
              <w:rPr>
                <w:rFonts w:hint="eastAsia"/>
                <w:bCs/>
                <w:color w:val="auto"/>
                <w:lang w:val="en-US"/>
              </w:rPr>
              <w:t>.2</w:t>
            </w:r>
          </w:p>
        </w:tc>
        <w:tc>
          <w:tcPr>
            <w:tcW w:w="2477" w:type="dxa"/>
            <w:vAlign w:val="center"/>
          </w:tcPr>
          <w:p>
            <w:pPr>
              <w:pStyle w:val="36"/>
              <w:spacing w:line="312" w:lineRule="auto"/>
              <w:jc w:val="center"/>
              <w:rPr>
                <w:rFonts w:hint="eastAsia" w:eastAsia="宋体"/>
                <w:bCs/>
                <w:color w:val="auto"/>
                <w:lang w:val="en-US" w:eastAsia="zh-CN"/>
              </w:rPr>
            </w:pPr>
            <w:r>
              <w:rPr>
                <w:rFonts w:hint="eastAsia"/>
                <w:bCs/>
                <w:color w:val="auto"/>
                <w:lang w:val="en-US" w:eastAsia="zh-CN"/>
              </w:rPr>
              <w:t>其他</w:t>
            </w:r>
          </w:p>
        </w:tc>
        <w:tc>
          <w:tcPr>
            <w:tcW w:w="5937" w:type="dxa"/>
          </w:tcPr>
          <w:p>
            <w:pPr>
              <w:pStyle w:val="36"/>
              <w:spacing w:line="312" w:lineRule="auto"/>
              <w:jc w:val="both"/>
              <w:rPr>
                <w:rFonts w:hint="eastAsia"/>
                <w:bCs/>
                <w:color w:val="auto"/>
              </w:rPr>
            </w:pPr>
            <w:r>
              <w:rPr>
                <w:rFonts w:hint="eastAsia"/>
                <w:bCs/>
                <w:color w:val="auto"/>
              </w:rPr>
              <w:t>1.本竞争性磋商文件中描述供应商的“公章 ”是指根据我国对公章的 管理规定，用供应商法定主体行为名称制作的实物印章或供应商通过指定 电子化政府采购平台办理数字证书（CA 认证）获得的以法定主体行为名称制作的电子印章。除本竞争性磋商文件有特殊规定外，供应商的财务章、 部门章、分公司章、工会章、合同章、投标专用章、业务专用章及银行的转账章、现金收讫章、现金付讫章等其他形式印章均不能代替公章。</w:t>
            </w:r>
          </w:p>
          <w:p>
            <w:pPr>
              <w:pStyle w:val="36"/>
              <w:spacing w:line="312" w:lineRule="auto"/>
              <w:jc w:val="both"/>
              <w:rPr>
                <w:rFonts w:hint="eastAsia"/>
                <w:bCs/>
                <w:color w:val="auto"/>
              </w:rPr>
            </w:pPr>
            <w:r>
              <w:rPr>
                <w:rFonts w:hint="eastAsia"/>
                <w:bCs/>
                <w:color w:val="auto"/>
              </w:rPr>
              <w:t>2.本竞争性磋商文件中描述供应商的“签字 ”是指供应商通过指定电 子化政府采购平台办理数字证书（CA认证）获得的以供应商法定代表人或者委托代理人姓名制作的电子印章或手写签字。</w:t>
            </w:r>
          </w:p>
          <w:p>
            <w:pPr>
              <w:pStyle w:val="36"/>
              <w:spacing w:line="360" w:lineRule="auto"/>
              <w:jc w:val="both"/>
              <w:rPr>
                <w:rFonts w:hint="eastAsia"/>
                <w:bCs/>
                <w:color w:val="auto"/>
              </w:rPr>
            </w:pPr>
            <w:r>
              <w:rPr>
                <w:rFonts w:hint="eastAsia"/>
                <w:bCs/>
                <w:color w:val="auto"/>
              </w:rPr>
              <w:t>3.本竞争性磋商文件所称的“电子签章”“电子签名”，是指经“广西政府采购云平台”认可的 CA 认证的电子签名数据为表现形式的印章，可用于签署电子响应文件，电子印章与实物印章具有同等法律效力，不因其采用电子化表现形式而否定其法律效力。</w:t>
            </w:r>
          </w:p>
          <w:p>
            <w:pPr>
              <w:pStyle w:val="36"/>
              <w:spacing w:line="312" w:lineRule="auto"/>
              <w:jc w:val="both"/>
              <w:rPr>
                <w:rFonts w:hint="eastAsia"/>
                <w:bCs/>
                <w:color w:val="auto"/>
              </w:rPr>
            </w:pPr>
            <w:r>
              <w:rPr>
                <w:rFonts w:hint="eastAsia"/>
                <w:bCs/>
                <w:color w:val="auto"/>
              </w:rPr>
              <w:t>4.供应商为其他组织或者自然人时，本竞争性磋商文件规定的法定代 表人指负责人或者自然人。本竞争性磋商文件所称负责人是指参加磋商的 其他组织营业执照上的负责人，本竞争性磋商文件所称自然人指参与磋商的自然人本人。</w:t>
            </w:r>
          </w:p>
          <w:p>
            <w:pPr>
              <w:pStyle w:val="36"/>
              <w:spacing w:line="312" w:lineRule="auto"/>
              <w:jc w:val="both"/>
              <w:rPr>
                <w:rFonts w:hint="eastAsia"/>
                <w:bCs/>
                <w:color w:val="auto"/>
              </w:rPr>
            </w:pPr>
            <w:r>
              <w:rPr>
                <w:rFonts w:hint="eastAsia"/>
                <w:bCs/>
                <w:color w:val="auto"/>
              </w:rPr>
              <w:t>5. 自然人磋商的，竞争性磋商文件规定盖公章处由自然人摁手指指印。</w:t>
            </w:r>
          </w:p>
          <w:p>
            <w:pPr>
              <w:pStyle w:val="36"/>
              <w:spacing w:line="312" w:lineRule="auto"/>
              <w:jc w:val="both"/>
              <w:rPr>
                <w:bCs/>
                <w:color w:val="auto"/>
              </w:rPr>
            </w:pPr>
            <w:r>
              <w:rPr>
                <w:rFonts w:hint="eastAsia"/>
                <w:bCs/>
                <w:color w:val="auto"/>
              </w:rPr>
              <w:t>6.本竞争性磋商文件所称的“以上”“以下”“以内”“届满”，包括本数；所称的“不满”“超过”“以外”，不包括本数。</w:t>
            </w:r>
          </w:p>
        </w:tc>
      </w:tr>
    </w:tbl>
    <w:p>
      <w:pPr>
        <w:rPr>
          <w:color w:val="auto"/>
          <w:sz w:val="21"/>
        </w:rPr>
        <w:sectPr>
          <w:pgSz w:w="11910" w:h="16840"/>
          <w:pgMar w:top="1417" w:right="1417" w:bottom="1417" w:left="1417" w:header="0" w:footer="1202" w:gutter="0"/>
          <w:cols w:space="0" w:num="1"/>
        </w:sectPr>
      </w:pPr>
    </w:p>
    <w:p>
      <w:pPr>
        <w:pStyle w:val="7"/>
        <w:spacing w:line="360" w:lineRule="auto"/>
        <w:ind w:left="0" w:right="0"/>
        <w:rPr>
          <w:color w:val="auto"/>
        </w:rPr>
      </w:pPr>
      <w:r>
        <w:rPr>
          <w:color w:val="auto"/>
        </w:rPr>
        <w:t>供应商须知正文</w:t>
      </w:r>
    </w:p>
    <w:p>
      <w:pPr>
        <w:pStyle w:val="7"/>
        <w:spacing w:line="360" w:lineRule="auto"/>
        <w:ind w:left="0" w:right="0"/>
        <w:rPr>
          <w:color w:val="auto"/>
        </w:rPr>
      </w:pPr>
      <w:r>
        <w:rPr>
          <w:color w:val="auto"/>
        </w:rPr>
        <w:t>一、总则</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适用范围</w:t>
      </w:r>
    </w:p>
    <w:p>
      <w:pPr>
        <w:pStyle w:val="35"/>
        <w:numPr>
          <w:ilvl w:val="1"/>
          <w:numId w:val="1"/>
        </w:numPr>
        <w:tabs>
          <w:tab w:val="left" w:pos="1108"/>
        </w:tabs>
        <w:spacing w:line="360" w:lineRule="auto"/>
        <w:ind w:left="0" w:firstLine="440" w:firstLineChars="200"/>
        <w:jc w:val="both"/>
        <w:rPr>
          <w:color w:val="auto"/>
        </w:rPr>
      </w:pPr>
      <w:r>
        <w:rPr>
          <w:rFonts w:hint="eastAsia"/>
          <w:color w:val="auto"/>
        </w:rPr>
        <w:t>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pStyle w:val="35"/>
        <w:numPr>
          <w:ilvl w:val="1"/>
          <w:numId w:val="1"/>
        </w:numPr>
        <w:tabs>
          <w:tab w:val="left" w:pos="1108"/>
        </w:tabs>
        <w:spacing w:line="360" w:lineRule="auto"/>
        <w:ind w:left="0" w:firstLine="440" w:firstLineChars="200"/>
        <w:jc w:val="both"/>
        <w:rPr>
          <w:color w:val="auto"/>
        </w:rPr>
      </w:pPr>
      <w:r>
        <w:rPr>
          <w:rFonts w:hint="eastAsia"/>
          <w:color w:val="auto"/>
        </w:rPr>
        <w:t>本竞争性磋商文件（以下简称磋商文件）适用于本项目的所有采购程序和环节（法律、法规另有规定的，从其规定）。</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定义</w:t>
      </w:r>
    </w:p>
    <w:p>
      <w:pPr>
        <w:pStyle w:val="35"/>
        <w:numPr>
          <w:ilvl w:val="1"/>
          <w:numId w:val="1"/>
        </w:numPr>
        <w:tabs>
          <w:tab w:val="left" w:pos="1057"/>
        </w:tabs>
        <w:spacing w:line="360" w:lineRule="auto"/>
        <w:ind w:left="0" w:firstLine="440" w:firstLineChars="200"/>
        <w:rPr>
          <w:color w:val="auto"/>
        </w:rPr>
      </w:pPr>
      <w:r>
        <w:rPr>
          <w:rFonts w:hint="eastAsia"/>
          <w:color w:val="auto"/>
        </w:rPr>
        <w:t>“采购人”是指依法进行政府采购的国家机关、事业单位、团体组织。</w:t>
      </w:r>
    </w:p>
    <w:p>
      <w:pPr>
        <w:pStyle w:val="35"/>
        <w:numPr>
          <w:ilvl w:val="1"/>
          <w:numId w:val="1"/>
        </w:numPr>
        <w:tabs>
          <w:tab w:val="left" w:pos="1057"/>
        </w:tabs>
        <w:spacing w:line="360" w:lineRule="auto"/>
        <w:ind w:left="0" w:firstLine="440" w:firstLineChars="200"/>
        <w:rPr>
          <w:color w:val="auto"/>
        </w:rPr>
      </w:pPr>
      <w:r>
        <w:rPr>
          <w:rFonts w:hint="eastAsia"/>
          <w:color w:val="auto"/>
        </w:rPr>
        <w:t>“采购代理机构”是指政府采购集中采购机构和集中采购机构以外的采购代理机构。</w:t>
      </w:r>
    </w:p>
    <w:p>
      <w:pPr>
        <w:pStyle w:val="35"/>
        <w:numPr>
          <w:ilvl w:val="1"/>
          <w:numId w:val="1"/>
        </w:numPr>
        <w:tabs>
          <w:tab w:val="left" w:pos="1057"/>
        </w:tabs>
        <w:spacing w:line="360" w:lineRule="auto"/>
        <w:ind w:left="0" w:firstLine="440" w:firstLineChars="200"/>
        <w:rPr>
          <w:color w:val="auto"/>
        </w:rPr>
      </w:pPr>
      <w:r>
        <w:rPr>
          <w:rFonts w:hint="eastAsia"/>
          <w:color w:val="auto"/>
        </w:rPr>
        <w:t>“供应商”是指向采购人提供货物、工程或者服务的法人、其他组织或者自然人。</w:t>
      </w:r>
    </w:p>
    <w:p>
      <w:pPr>
        <w:pStyle w:val="35"/>
        <w:numPr>
          <w:ilvl w:val="1"/>
          <w:numId w:val="1"/>
        </w:numPr>
        <w:tabs>
          <w:tab w:val="left" w:pos="1057"/>
        </w:tabs>
        <w:spacing w:line="360" w:lineRule="auto"/>
        <w:ind w:left="0" w:firstLine="440" w:firstLineChars="200"/>
        <w:rPr>
          <w:color w:val="auto"/>
        </w:rPr>
      </w:pPr>
      <w:r>
        <w:rPr>
          <w:rFonts w:hint="eastAsia"/>
          <w:color w:val="auto"/>
        </w:rPr>
        <w:t>“服务”是指除货物和工程以外的其他政府采购对象。</w:t>
      </w:r>
    </w:p>
    <w:p>
      <w:pPr>
        <w:pStyle w:val="35"/>
        <w:numPr>
          <w:ilvl w:val="1"/>
          <w:numId w:val="1"/>
        </w:numPr>
        <w:tabs>
          <w:tab w:val="left" w:pos="1057"/>
        </w:tabs>
        <w:spacing w:line="360" w:lineRule="auto"/>
        <w:ind w:left="0" w:firstLine="440" w:firstLineChars="200"/>
        <w:rPr>
          <w:color w:val="auto"/>
        </w:rPr>
      </w:pPr>
      <w:r>
        <w:rPr>
          <w:rFonts w:hint="eastAsia"/>
          <w:color w:val="auto"/>
        </w:rPr>
        <w:t>“竞标”是指供应商按照本项目竞争性磋商公告或者邀请函规定的方式获取磋商文件、提交响应文件并希望获得标的的行为。</w:t>
      </w:r>
    </w:p>
    <w:p>
      <w:pPr>
        <w:pStyle w:val="35"/>
        <w:numPr>
          <w:ilvl w:val="1"/>
          <w:numId w:val="1"/>
        </w:numPr>
        <w:tabs>
          <w:tab w:val="left" w:pos="1057"/>
        </w:tabs>
        <w:spacing w:line="360" w:lineRule="auto"/>
        <w:ind w:left="0" w:firstLine="440" w:firstLineChars="200"/>
        <w:rPr>
          <w:color w:val="auto"/>
        </w:rPr>
      </w:pPr>
      <w:r>
        <w:rPr>
          <w:rFonts w:hint="eastAsia"/>
          <w:color w:val="auto"/>
        </w:rPr>
        <w:t>“书面形式”是指合同书、信件和数据电文</w:t>
      </w:r>
      <w:r>
        <w:rPr>
          <w:rFonts w:hint="eastAsia"/>
          <w:color w:val="auto"/>
          <w:spacing w:val="4"/>
        </w:rPr>
        <w:t>（</w:t>
      </w:r>
      <w:r>
        <w:rPr>
          <w:rFonts w:hint="eastAsia"/>
          <w:color w:val="auto"/>
        </w:rPr>
        <w:t>包括电报、电传、传真、电子数据交换和电子邮件</w:t>
      </w:r>
      <w:r>
        <w:rPr>
          <w:rFonts w:hint="eastAsia"/>
          <w:color w:val="auto"/>
          <w:spacing w:val="4"/>
        </w:rPr>
        <w:t>）</w:t>
      </w:r>
      <w:r>
        <w:rPr>
          <w:rFonts w:hint="eastAsia"/>
          <w:color w:val="auto"/>
        </w:rPr>
        <w:t>等可以有形地表现所载内容的形式。</w:t>
      </w:r>
    </w:p>
    <w:p>
      <w:pPr>
        <w:pStyle w:val="35"/>
        <w:numPr>
          <w:ilvl w:val="1"/>
          <w:numId w:val="1"/>
        </w:numPr>
        <w:tabs>
          <w:tab w:val="left" w:pos="1057"/>
        </w:tabs>
        <w:spacing w:line="360" w:lineRule="auto"/>
        <w:ind w:left="0" w:firstLine="388" w:firstLineChars="200"/>
        <w:rPr>
          <w:color w:val="auto"/>
        </w:rPr>
      </w:pPr>
      <w:r>
        <w:rPr>
          <w:rFonts w:hint="eastAsia"/>
          <w:color w:val="auto"/>
          <w:spacing w:val="-13"/>
        </w:rPr>
        <w:t>“响应文件”是指：供应商根据本磋商文件要求，编制包含资格证明、报价商务技术等所有内容的文件。</w:t>
      </w:r>
    </w:p>
    <w:p>
      <w:pPr>
        <w:pStyle w:val="35"/>
        <w:numPr>
          <w:ilvl w:val="1"/>
          <w:numId w:val="1"/>
        </w:numPr>
        <w:tabs>
          <w:tab w:val="left" w:pos="1057"/>
        </w:tabs>
        <w:spacing w:line="360" w:lineRule="auto"/>
        <w:ind w:left="0" w:firstLine="440" w:firstLineChars="200"/>
        <w:rPr>
          <w:color w:val="auto"/>
        </w:rPr>
      </w:pPr>
      <w:r>
        <w:rPr>
          <w:rFonts w:hint="eastAsia"/>
          <w:color w:val="auto"/>
        </w:rPr>
        <w:t>“实质性要求”是指磋商文件中已经指明不满足则响应文件按无效响应处理的条款，或者不能负偏离的条款，或者采购需求中带“▲”的条款。</w:t>
      </w:r>
    </w:p>
    <w:p>
      <w:pPr>
        <w:pStyle w:val="35"/>
        <w:numPr>
          <w:ilvl w:val="1"/>
          <w:numId w:val="1"/>
        </w:numPr>
        <w:tabs>
          <w:tab w:val="left" w:pos="1057"/>
        </w:tabs>
        <w:spacing w:line="360" w:lineRule="auto"/>
        <w:ind w:left="0" w:firstLine="440" w:firstLineChars="200"/>
        <w:rPr>
          <w:color w:val="auto"/>
        </w:rPr>
      </w:pPr>
      <w:r>
        <w:rPr>
          <w:rFonts w:hint="eastAsia"/>
          <w:color w:val="auto"/>
        </w:rPr>
        <w:t>“正偏离”，是指响应文件对磋商文件“采购需求”中有关条款作出的响应优于条款要求并有利于采购人的情形。</w:t>
      </w:r>
    </w:p>
    <w:p>
      <w:pPr>
        <w:pStyle w:val="35"/>
        <w:numPr>
          <w:ilvl w:val="1"/>
          <w:numId w:val="1"/>
        </w:numPr>
        <w:tabs>
          <w:tab w:val="left" w:pos="1160"/>
        </w:tabs>
        <w:spacing w:line="360" w:lineRule="auto"/>
        <w:ind w:left="0" w:firstLine="420" w:firstLineChars="200"/>
        <w:rPr>
          <w:color w:val="auto"/>
        </w:rPr>
      </w:pPr>
      <w:r>
        <w:rPr>
          <w:rFonts w:hint="eastAsia"/>
          <w:color w:val="auto"/>
          <w:spacing w:val="-5"/>
        </w:rPr>
        <w:t>“负偏离”，是指响应文件对磋商文件“采购需求”中有关条款作出的响应不满足条款要求，导致采购人要求不能得到满足的情形。</w:t>
      </w:r>
    </w:p>
    <w:p>
      <w:pPr>
        <w:pStyle w:val="35"/>
        <w:numPr>
          <w:ilvl w:val="1"/>
          <w:numId w:val="1"/>
        </w:numPr>
        <w:tabs>
          <w:tab w:val="left" w:pos="1163"/>
        </w:tabs>
        <w:spacing w:line="360" w:lineRule="auto"/>
        <w:ind w:left="0" w:firstLine="440" w:firstLineChars="200"/>
        <w:rPr>
          <w:color w:val="auto"/>
        </w:rPr>
      </w:pPr>
      <w:r>
        <w:rPr>
          <w:rFonts w:hint="eastAsia"/>
          <w:color w:val="auto"/>
        </w:rPr>
        <w:t>“允许负偏离的条款”是指采购需求中的不属于“实质性要求”的条款。</w:t>
      </w:r>
    </w:p>
    <w:p>
      <w:pPr>
        <w:pStyle w:val="35"/>
        <w:numPr>
          <w:ilvl w:val="1"/>
          <w:numId w:val="1"/>
        </w:numPr>
        <w:tabs>
          <w:tab w:val="left" w:pos="1160"/>
        </w:tabs>
        <w:spacing w:line="360" w:lineRule="auto"/>
        <w:ind w:left="0" w:firstLine="440" w:firstLineChars="200"/>
        <w:rPr>
          <w:color w:val="auto"/>
        </w:rPr>
      </w:pPr>
      <w:r>
        <w:rPr>
          <w:rFonts w:hint="eastAsia"/>
          <w:color w:val="auto"/>
        </w:rPr>
        <w:t>“首次报价”是指供应商提交的首次响应文件中的报价。</w:t>
      </w:r>
    </w:p>
    <w:p>
      <w:pPr>
        <w:pStyle w:val="35"/>
        <w:numPr>
          <w:ilvl w:val="1"/>
          <w:numId w:val="1"/>
        </w:numPr>
        <w:tabs>
          <w:tab w:val="left" w:pos="1160"/>
        </w:tabs>
        <w:spacing w:line="360" w:lineRule="auto"/>
        <w:ind w:left="0" w:firstLine="440" w:firstLineChars="200"/>
        <w:rPr>
          <w:color w:val="auto"/>
        </w:rPr>
      </w:pPr>
      <w:r>
        <w:rPr>
          <w:rFonts w:hint="eastAsia"/>
          <w:color w:val="auto"/>
        </w:rPr>
        <w:t>“评审报价 ”是指供应商提交的最后报价并经修正（如有）和政策功能价格扣除（如有）后的价格。</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供应商的资格条件</w:t>
      </w:r>
    </w:p>
    <w:p>
      <w:pPr>
        <w:pStyle w:val="14"/>
        <w:spacing w:line="360" w:lineRule="auto"/>
        <w:ind w:firstLine="440" w:firstLineChars="200"/>
        <w:rPr>
          <w:color w:val="auto"/>
          <w:sz w:val="22"/>
          <w:szCs w:val="22"/>
        </w:rPr>
      </w:pPr>
      <w:r>
        <w:rPr>
          <w:rFonts w:hint="eastAsia"/>
          <w:color w:val="auto"/>
          <w:sz w:val="22"/>
          <w:szCs w:val="22"/>
        </w:rPr>
        <w:t>供应商的资格条件详见“供应商须知前附表”。</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竞标费用</w:t>
      </w:r>
    </w:p>
    <w:p>
      <w:pPr>
        <w:pStyle w:val="14"/>
        <w:spacing w:line="360" w:lineRule="auto"/>
        <w:ind w:firstLine="440" w:firstLineChars="200"/>
        <w:rPr>
          <w:color w:val="auto"/>
          <w:sz w:val="22"/>
          <w:szCs w:val="22"/>
        </w:rPr>
      </w:pPr>
      <w:r>
        <w:rPr>
          <w:rFonts w:hint="eastAsia"/>
          <w:color w:val="auto"/>
          <w:sz w:val="22"/>
          <w:szCs w:val="22"/>
        </w:rPr>
        <w:t>供应商应承担参与本次采购活动有关的所有费用，包括但不限于获取磋商文件、勘查现场、编制和提交响应文件、参加磋商与应答、签订合同等，不论竞标结果如何，均应自行承担。</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联合体竞标</w:t>
      </w:r>
    </w:p>
    <w:p>
      <w:pPr>
        <w:pStyle w:val="35"/>
        <w:numPr>
          <w:ilvl w:val="1"/>
          <w:numId w:val="1"/>
        </w:numPr>
        <w:tabs>
          <w:tab w:val="left" w:pos="1108"/>
        </w:tabs>
        <w:spacing w:line="360" w:lineRule="auto"/>
        <w:ind w:left="0" w:firstLine="440" w:firstLineChars="200"/>
        <w:rPr>
          <w:color w:val="auto"/>
        </w:rPr>
      </w:pPr>
      <w:r>
        <w:rPr>
          <w:rFonts w:hint="eastAsia"/>
          <w:color w:val="auto"/>
        </w:rPr>
        <w:t>本项目是否接受联合体竞标，详见“供应商须知前附表”。</w:t>
      </w:r>
    </w:p>
    <w:p>
      <w:pPr>
        <w:pStyle w:val="35"/>
        <w:numPr>
          <w:ilvl w:val="1"/>
          <w:numId w:val="1"/>
        </w:numPr>
        <w:tabs>
          <w:tab w:val="left" w:pos="1108"/>
        </w:tabs>
        <w:spacing w:line="360" w:lineRule="auto"/>
        <w:ind w:left="0" w:firstLine="440" w:firstLineChars="200"/>
        <w:rPr>
          <w:color w:val="auto"/>
        </w:rPr>
      </w:pPr>
      <w:r>
        <w:rPr>
          <w:rFonts w:hint="eastAsia"/>
          <w:color w:val="auto"/>
        </w:rPr>
        <w:t>如接受联合体竞标，联合体竞标要求详见“供应商须知前附表”。</w:t>
      </w:r>
    </w:p>
    <w:p>
      <w:pPr>
        <w:pStyle w:val="35"/>
        <w:numPr>
          <w:ilvl w:val="1"/>
          <w:numId w:val="1"/>
        </w:numPr>
        <w:tabs>
          <w:tab w:val="left" w:pos="1108"/>
        </w:tabs>
        <w:spacing w:line="360" w:lineRule="auto"/>
        <w:ind w:left="0" w:firstLine="440" w:firstLineChars="200"/>
        <w:rPr>
          <w:color w:val="auto"/>
        </w:rPr>
      </w:pPr>
      <w:r>
        <w:rPr>
          <w:rFonts w:hint="eastAsia"/>
          <w:color w:val="auto"/>
        </w:rPr>
        <w:t>根据《政府采购促进中小企业发展管理办法》（财库〔2020〕46 号）第九条第二款的规定，接受大中型企业与小微企业组成联合体或者允许大中型企业向一家或者多家小微企业分包的采购项目，对于联合协议或者分包意向协议约定小微企业的合同份额占到合同总金额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4%-6%的扣除，用扣除后的价格参加评审。</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转包与分包</w:t>
      </w:r>
    </w:p>
    <w:p>
      <w:pPr>
        <w:pStyle w:val="35"/>
        <w:numPr>
          <w:ilvl w:val="1"/>
          <w:numId w:val="1"/>
        </w:numPr>
        <w:tabs>
          <w:tab w:val="left" w:pos="1108"/>
        </w:tabs>
        <w:spacing w:line="360" w:lineRule="auto"/>
        <w:ind w:left="0" w:firstLine="440" w:firstLineChars="200"/>
        <w:rPr>
          <w:color w:val="auto"/>
        </w:rPr>
      </w:pPr>
      <w:bookmarkStart w:id="18" w:name="6.1本项目不允许转包。"/>
      <w:bookmarkEnd w:id="18"/>
      <w:r>
        <w:rPr>
          <w:rFonts w:hint="eastAsia"/>
          <w:color w:val="auto"/>
        </w:rPr>
        <w:t>本项目不允许转包。</w:t>
      </w:r>
    </w:p>
    <w:p>
      <w:pPr>
        <w:pStyle w:val="35"/>
        <w:numPr>
          <w:ilvl w:val="1"/>
          <w:numId w:val="1"/>
        </w:numPr>
        <w:tabs>
          <w:tab w:val="left" w:pos="1108"/>
        </w:tabs>
        <w:spacing w:line="360" w:lineRule="auto"/>
        <w:ind w:left="0" w:firstLine="440" w:firstLineChars="200"/>
        <w:rPr>
          <w:color w:val="auto"/>
        </w:rPr>
      </w:pPr>
      <w:bookmarkStart w:id="19" w:name="_6.2本项目是否允许分包详见“供应商须知前附表”，本项目不允许违法分包。允许分"/>
      <w:bookmarkEnd w:id="19"/>
      <w:r>
        <w:rPr>
          <w:rFonts w:hint="eastAsia"/>
          <w:color w:val="auto"/>
        </w:rPr>
        <w:t>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pPr>
        <w:pStyle w:val="35"/>
        <w:numPr>
          <w:ilvl w:val="1"/>
          <w:numId w:val="1"/>
        </w:numPr>
        <w:tabs>
          <w:tab w:val="left" w:pos="1108"/>
        </w:tabs>
        <w:spacing w:line="360" w:lineRule="auto"/>
        <w:ind w:left="0" w:firstLine="440" w:firstLineChars="200"/>
        <w:rPr>
          <w:color w:val="auto"/>
        </w:rPr>
      </w:pPr>
      <w:bookmarkStart w:id="20" w:name="_6.3供应商根据磋商文件的规定和采购项目的实际情况，拟在成交后将成交项目的非主"/>
      <w:bookmarkEnd w:id="20"/>
      <w:r>
        <w:rPr>
          <w:rFonts w:hint="eastAsia"/>
          <w:color w:val="auto"/>
        </w:rPr>
        <w:t>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特别说明</w:t>
      </w:r>
    </w:p>
    <w:p>
      <w:pPr>
        <w:pStyle w:val="35"/>
        <w:numPr>
          <w:ilvl w:val="1"/>
          <w:numId w:val="1"/>
        </w:numPr>
        <w:tabs>
          <w:tab w:val="left" w:pos="1108"/>
        </w:tabs>
        <w:spacing w:line="360" w:lineRule="auto"/>
        <w:ind w:left="0" w:firstLine="440" w:firstLineChars="200"/>
        <w:rPr>
          <w:color w:val="auto"/>
        </w:rPr>
      </w:pPr>
      <w:r>
        <w:rPr>
          <w:rFonts w:hint="eastAsia"/>
          <w:color w:val="auto"/>
        </w:rPr>
        <w:t>如果本磋商文件要求提供供应商或制造商的资格、信誉、荣誉、业绩与企业认证等材料的，资格、信誉、荣誉、业绩与企业认证等必须为供应商或者制造商所拥有或自身获得 。</w:t>
      </w:r>
    </w:p>
    <w:p>
      <w:pPr>
        <w:pStyle w:val="35"/>
        <w:numPr>
          <w:ilvl w:val="1"/>
          <w:numId w:val="1"/>
        </w:numPr>
        <w:tabs>
          <w:tab w:val="left" w:pos="1108"/>
        </w:tabs>
        <w:spacing w:line="360" w:lineRule="auto"/>
        <w:ind w:left="0" w:firstLine="440" w:firstLineChars="200"/>
        <w:rPr>
          <w:color w:val="auto"/>
        </w:rPr>
      </w:pPr>
      <w:r>
        <w:rPr>
          <w:rFonts w:hint="eastAsia"/>
          <w:color w:val="auto"/>
        </w:rPr>
        <w:t>供应商应仔细阅读磋商文件的所有内容，按照磋商文件的要求提交响应文件，并对所提供的全部资料的真实性承担法律责任。</w:t>
      </w:r>
    </w:p>
    <w:p>
      <w:pPr>
        <w:pStyle w:val="35"/>
        <w:numPr>
          <w:ilvl w:val="1"/>
          <w:numId w:val="1"/>
        </w:numPr>
        <w:tabs>
          <w:tab w:val="left" w:pos="1108"/>
        </w:tabs>
        <w:spacing w:line="360" w:lineRule="auto"/>
        <w:ind w:left="0" w:firstLine="440" w:firstLineChars="200"/>
        <w:rPr>
          <w:color w:val="auto"/>
        </w:rPr>
      </w:pPr>
      <w:r>
        <w:rPr>
          <w:rFonts w:hint="eastAsia"/>
          <w:color w:val="auto"/>
        </w:rPr>
        <w:t>供应商在竞标活动中提供任何疑似虚假材料，将报监管部门查处；签订合同后发现的，成交供应商须依法赔偿采购人，且民事赔偿并不免除违法供应商的行政与刑事责任。</w:t>
      </w:r>
    </w:p>
    <w:p>
      <w:pPr>
        <w:pStyle w:val="35"/>
        <w:numPr>
          <w:ilvl w:val="1"/>
          <w:numId w:val="1"/>
        </w:numPr>
        <w:tabs>
          <w:tab w:val="left" w:pos="1108"/>
        </w:tabs>
        <w:spacing w:line="360" w:lineRule="auto"/>
        <w:ind w:left="0" w:firstLine="440" w:firstLineChars="200"/>
        <w:rPr>
          <w:color w:val="auto"/>
        </w:rPr>
      </w:pPr>
      <w:r>
        <w:rPr>
          <w:rFonts w:hint="eastAsia"/>
          <w:color w:val="auto"/>
        </w:rPr>
        <w:t>在政府采购活动中，采购人员及相关人员与供应商有下列利害关系之一的，应当回避：</w:t>
      </w:r>
    </w:p>
    <w:p>
      <w:pPr>
        <w:pStyle w:val="35"/>
        <w:numPr>
          <w:ilvl w:val="0"/>
          <w:numId w:val="2"/>
        </w:numPr>
        <w:tabs>
          <w:tab w:val="left" w:pos="1265"/>
        </w:tabs>
        <w:spacing w:line="360" w:lineRule="auto"/>
        <w:ind w:left="0" w:firstLine="420"/>
        <w:rPr>
          <w:color w:val="auto"/>
        </w:rPr>
      </w:pPr>
      <w:r>
        <w:rPr>
          <w:rFonts w:hint="eastAsia"/>
          <w:color w:val="auto"/>
          <w:spacing w:val="-7"/>
        </w:rPr>
        <w:t xml:space="preserve">参加采购活动前 </w:t>
      </w:r>
      <w:r>
        <w:rPr>
          <w:rFonts w:hint="eastAsia"/>
          <w:color w:val="auto"/>
        </w:rPr>
        <w:t>3</w:t>
      </w:r>
      <w:r>
        <w:rPr>
          <w:rFonts w:hint="eastAsia"/>
          <w:color w:val="auto"/>
          <w:spacing w:val="-8"/>
        </w:rPr>
        <w:t xml:space="preserve"> 年内与供应商存在劳动关系；</w:t>
      </w:r>
    </w:p>
    <w:p>
      <w:pPr>
        <w:pStyle w:val="35"/>
        <w:numPr>
          <w:ilvl w:val="0"/>
          <w:numId w:val="2"/>
        </w:numPr>
        <w:tabs>
          <w:tab w:val="left" w:pos="1265"/>
        </w:tabs>
        <w:spacing w:line="360" w:lineRule="auto"/>
        <w:ind w:left="0" w:firstLine="420"/>
        <w:rPr>
          <w:color w:val="auto"/>
        </w:rPr>
      </w:pPr>
      <w:r>
        <w:rPr>
          <w:rFonts w:hint="eastAsia"/>
          <w:color w:val="auto"/>
          <w:spacing w:val="-7"/>
        </w:rPr>
        <w:t xml:space="preserve">参加采购活动前 </w:t>
      </w:r>
      <w:r>
        <w:rPr>
          <w:rFonts w:hint="eastAsia"/>
          <w:color w:val="auto"/>
        </w:rPr>
        <w:t>3</w:t>
      </w:r>
      <w:r>
        <w:rPr>
          <w:rFonts w:hint="eastAsia"/>
          <w:color w:val="auto"/>
          <w:spacing w:val="-8"/>
        </w:rPr>
        <w:t xml:space="preserve"> 年内担任供应商的董事、监事；</w:t>
      </w:r>
    </w:p>
    <w:p>
      <w:pPr>
        <w:pStyle w:val="35"/>
        <w:numPr>
          <w:ilvl w:val="0"/>
          <w:numId w:val="2"/>
        </w:numPr>
        <w:tabs>
          <w:tab w:val="left" w:pos="1265"/>
        </w:tabs>
        <w:spacing w:line="360" w:lineRule="auto"/>
        <w:ind w:left="0" w:firstLine="420"/>
        <w:rPr>
          <w:color w:val="auto"/>
        </w:rPr>
      </w:pPr>
      <w:r>
        <w:rPr>
          <w:rFonts w:hint="eastAsia"/>
          <w:color w:val="auto"/>
          <w:spacing w:val="-7"/>
        </w:rPr>
        <w:t xml:space="preserve">参加采购活动前 </w:t>
      </w:r>
      <w:r>
        <w:rPr>
          <w:rFonts w:hint="eastAsia"/>
          <w:color w:val="auto"/>
        </w:rPr>
        <w:t>3</w:t>
      </w:r>
      <w:r>
        <w:rPr>
          <w:rFonts w:hint="eastAsia"/>
          <w:color w:val="auto"/>
          <w:spacing w:val="-8"/>
        </w:rPr>
        <w:t xml:space="preserve"> 年内是供应商的控股股东或者实际控制人；</w:t>
      </w:r>
    </w:p>
    <w:p>
      <w:pPr>
        <w:pStyle w:val="35"/>
        <w:numPr>
          <w:ilvl w:val="0"/>
          <w:numId w:val="2"/>
        </w:numPr>
        <w:tabs>
          <w:tab w:val="left" w:pos="1265"/>
        </w:tabs>
        <w:spacing w:line="360" w:lineRule="auto"/>
        <w:ind w:left="0" w:firstLine="420"/>
        <w:rPr>
          <w:color w:val="auto"/>
        </w:rPr>
      </w:pPr>
      <w:r>
        <w:rPr>
          <w:rFonts w:hint="eastAsia"/>
          <w:color w:val="auto"/>
        </w:rPr>
        <w:t>与供应商的法定代表人或者负责人有夫妻、直系血亲、三代以内旁系血亲或者近姻亲关系；</w:t>
      </w:r>
    </w:p>
    <w:p>
      <w:pPr>
        <w:pStyle w:val="35"/>
        <w:numPr>
          <w:ilvl w:val="0"/>
          <w:numId w:val="2"/>
        </w:numPr>
        <w:tabs>
          <w:tab w:val="left" w:pos="1265"/>
        </w:tabs>
        <w:spacing w:line="360" w:lineRule="auto"/>
        <w:ind w:left="0" w:firstLine="420"/>
        <w:rPr>
          <w:color w:val="auto"/>
        </w:rPr>
      </w:pPr>
      <w:r>
        <w:rPr>
          <w:rFonts w:hint="eastAsia"/>
          <w:color w:val="auto"/>
        </w:rPr>
        <w:t>与供应商有其他可能影响政府采购活动公平、公正进行的关系。</w:t>
      </w:r>
    </w:p>
    <w:p>
      <w:pPr>
        <w:pStyle w:val="14"/>
        <w:spacing w:before="138" w:line="364" w:lineRule="auto"/>
        <w:ind w:left="320" w:right="213" w:firstLine="420"/>
        <w:rPr>
          <w:color w:val="auto"/>
          <w:sz w:val="22"/>
          <w:szCs w:val="22"/>
        </w:rPr>
      </w:pPr>
      <w:r>
        <w:rPr>
          <w:rFonts w:hint="eastAsia"/>
          <w:color w:val="auto"/>
          <w:sz w:val="22"/>
          <w:szCs w:val="22"/>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5"/>
        <w:numPr>
          <w:ilvl w:val="1"/>
          <w:numId w:val="1"/>
        </w:numPr>
        <w:tabs>
          <w:tab w:val="left" w:pos="1108"/>
        </w:tabs>
        <w:spacing w:line="360" w:lineRule="auto"/>
        <w:ind w:left="0" w:firstLine="440" w:firstLineChars="200"/>
        <w:rPr>
          <w:color w:val="auto"/>
        </w:rPr>
      </w:pPr>
      <w:r>
        <w:rPr>
          <w:rFonts w:hint="eastAsia"/>
          <w:color w:val="auto"/>
        </w:rPr>
        <w:t>有下列情形之一的视为供应商相互串通竞标，响应文件将被视为无效：</w:t>
      </w:r>
    </w:p>
    <w:p>
      <w:pPr>
        <w:pStyle w:val="35"/>
        <w:numPr>
          <w:ilvl w:val="0"/>
          <w:numId w:val="3"/>
        </w:numPr>
        <w:tabs>
          <w:tab w:val="left" w:pos="1265"/>
        </w:tabs>
        <w:spacing w:line="360" w:lineRule="auto"/>
        <w:ind w:left="0" w:firstLine="420"/>
        <w:rPr>
          <w:color w:val="auto"/>
        </w:rPr>
      </w:pPr>
      <w:r>
        <w:rPr>
          <w:rFonts w:hint="eastAsia"/>
          <w:color w:val="auto"/>
        </w:rPr>
        <w:t>不同供应商的响应文件由同一单位或者个人编制；</w:t>
      </w:r>
    </w:p>
    <w:p>
      <w:pPr>
        <w:pStyle w:val="35"/>
        <w:numPr>
          <w:ilvl w:val="0"/>
          <w:numId w:val="3"/>
        </w:numPr>
        <w:tabs>
          <w:tab w:val="left" w:pos="1265"/>
        </w:tabs>
        <w:spacing w:line="360" w:lineRule="auto"/>
        <w:ind w:left="0" w:firstLine="420"/>
        <w:rPr>
          <w:color w:val="auto"/>
        </w:rPr>
      </w:pPr>
      <w:r>
        <w:rPr>
          <w:rFonts w:hint="eastAsia"/>
          <w:color w:val="auto"/>
        </w:rPr>
        <w:t>不同供应商委托同一单位或者个人办理竞标事宜；</w:t>
      </w:r>
    </w:p>
    <w:p>
      <w:pPr>
        <w:pStyle w:val="35"/>
        <w:numPr>
          <w:ilvl w:val="0"/>
          <w:numId w:val="3"/>
        </w:numPr>
        <w:tabs>
          <w:tab w:val="left" w:pos="1265"/>
        </w:tabs>
        <w:spacing w:line="360" w:lineRule="auto"/>
        <w:ind w:left="0" w:firstLine="420"/>
        <w:rPr>
          <w:color w:val="auto"/>
        </w:rPr>
      </w:pPr>
      <w:r>
        <w:rPr>
          <w:rFonts w:hint="eastAsia"/>
          <w:color w:val="auto"/>
        </w:rPr>
        <w:t>不同的供应商的响应文件载明的项目管理员为同一个人；</w:t>
      </w:r>
    </w:p>
    <w:p>
      <w:pPr>
        <w:pStyle w:val="35"/>
        <w:numPr>
          <w:ilvl w:val="0"/>
          <w:numId w:val="3"/>
        </w:numPr>
        <w:tabs>
          <w:tab w:val="left" w:pos="1265"/>
        </w:tabs>
        <w:spacing w:line="360" w:lineRule="auto"/>
        <w:ind w:left="0" w:firstLine="420"/>
        <w:rPr>
          <w:color w:val="auto"/>
        </w:rPr>
      </w:pPr>
      <w:r>
        <w:rPr>
          <w:rFonts w:hint="eastAsia"/>
          <w:color w:val="auto"/>
        </w:rPr>
        <w:t>不同供应商的响应文件异常一致或者报价呈规律性差异；</w:t>
      </w:r>
    </w:p>
    <w:p>
      <w:pPr>
        <w:pStyle w:val="35"/>
        <w:numPr>
          <w:ilvl w:val="0"/>
          <w:numId w:val="3"/>
        </w:numPr>
        <w:tabs>
          <w:tab w:val="left" w:pos="1265"/>
        </w:tabs>
        <w:spacing w:line="360" w:lineRule="auto"/>
        <w:ind w:left="0" w:firstLine="420"/>
        <w:rPr>
          <w:color w:val="auto"/>
        </w:rPr>
      </w:pPr>
      <w:r>
        <w:rPr>
          <w:rFonts w:hint="eastAsia"/>
          <w:color w:val="auto"/>
        </w:rPr>
        <w:t>不同供应商的响应文件相互混装；</w:t>
      </w:r>
    </w:p>
    <w:p>
      <w:pPr>
        <w:pStyle w:val="35"/>
        <w:numPr>
          <w:ilvl w:val="0"/>
          <w:numId w:val="3"/>
        </w:numPr>
        <w:tabs>
          <w:tab w:val="left" w:pos="1265"/>
        </w:tabs>
        <w:spacing w:line="360" w:lineRule="auto"/>
        <w:ind w:left="0" w:firstLine="420"/>
        <w:rPr>
          <w:color w:val="auto"/>
        </w:rPr>
      </w:pPr>
      <w:r>
        <w:rPr>
          <w:rFonts w:hint="eastAsia"/>
          <w:color w:val="auto"/>
        </w:rPr>
        <w:t>不同供应商的磋商保证金从同一单位或者个人账户转出。</w:t>
      </w:r>
    </w:p>
    <w:p>
      <w:pPr>
        <w:pStyle w:val="35"/>
        <w:numPr>
          <w:ilvl w:val="1"/>
          <w:numId w:val="1"/>
        </w:numPr>
        <w:tabs>
          <w:tab w:val="left" w:pos="1108"/>
        </w:tabs>
        <w:spacing w:line="360" w:lineRule="auto"/>
        <w:ind w:left="0" w:firstLine="440" w:firstLineChars="200"/>
        <w:rPr>
          <w:color w:val="auto"/>
        </w:rPr>
      </w:pPr>
      <w:r>
        <w:rPr>
          <w:rFonts w:hint="eastAsia"/>
          <w:color w:val="auto"/>
        </w:rPr>
        <w:t>供应商有下列情形之一的，属于恶意串通行为，将报同级监督管理部门：</w:t>
      </w:r>
    </w:p>
    <w:p>
      <w:pPr>
        <w:pStyle w:val="35"/>
        <w:numPr>
          <w:ilvl w:val="0"/>
          <w:numId w:val="4"/>
        </w:numPr>
        <w:tabs>
          <w:tab w:val="left" w:pos="1265"/>
        </w:tabs>
        <w:spacing w:line="360" w:lineRule="auto"/>
        <w:ind w:left="0" w:firstLine="440" w:firstLineChars="200"/>
        <w:rPr>
          <w:color w:val="auto"/>
        </w:rPr>
      </w:pPr>
      <w:r>
        <w:rPr>
          <w:color w:val="auto"/>
        </w:rPr>
        <w:t>供应商直接或者间接从采购人或者采购代理机构处获得其他供应商的相关信息并修改其响应文件；</w:t>
      </w:r>
    </w:p>
    <w:p>
      <w:pPr>
        <w:pStyle w:val="35"/>
        <w:numPr>
          <w:ilvl w:val="0"/>
          <w:numId w:val="4"/>
        </w:numPr>
        <w:tabs>
          <w:tab w:val="left" w:pos="1265"/>
        </w:tabs>
        <w:spacing w:line="360" w:lineRule="auto"/>
        <w:ind w:left="0" w:firstLine="440" w:firstLineChars="200"/>
        <w:rPr>
          <w:color w:val="auto"/>
        </w:rPr>
      </w:pPr>
      <w:r>
        <w:rPr>
          <w:color w:val="auto"/>
        </w:rPr>
        <w:t>供应商按照采购人或者采购代理机构的授意撤换、修改响应文件；</w:t>
      </w:r>
    </w:p>
    <w:p>
      <w:pPr>
        <w:pStyle w:val="35"/>
        <w:numPr>
          <w:ilvl w:val="0"/>
          <w:numId w:val="4"/>
        </w:numPr>
        <w:tabs>
          <w:tab w:val="left" w:pos="1265"/>
        </w:tabs>
        <w:spacing w:line="360" w:lineRule="auto"/>
        <w:ind w:left="0" w:firstLine="440" w:firstLineChars="200"/>
        <w:rPr>
          <w:color w:val="auto"/>
        </w:rPr>
      </w:pPr>
      <w:r>
        <w:rPr>
          <w:color w:val="auto"/>
        </w:rPr>
        <w:t>供应商之间协商报价、技术方案等响应文件或者响应文件的实质性内容；</w:t>
      </w:r>
    </w:p>
    <w:p>
      <w:pPr>
        <w:pStyle w:val="35"/>
        <w:numPr>
          <w:ilvl w:val="0"/>
          <w:numId w:val="4"/>
        </w:numPr>
        <w:tabs>
          <w:tab w:val="left" w:pos="1265"/>
        </w:tabs>
        <w:spacing w:line="360" w:lineRule="auto"/>
        <w:ind w:left="0" w:firstLine="440" w:firstLineChars="200"/>
        <w:rPr>
          <w:color w:val="auto"/>
        </w:rPr>
      </w:pPr>
      <w:r>
        <w:rPr>
          <w:color w:val="auto"/>
        </w:rPr>
        <w:t>属于同一集团、协会、商会等组织成员的供应商按照该组织要求协同参加政府采购活动；</w:t>
      </w:r>
    </w:p>
    <w:p>
      <w:pPr>
        <w:pStyle w:val="35"/>
        <w:numPr>
          <w:ilvl w:val="0"/>
          <w:numId w:val="4"/>
        </w:numPr>
        <w:tabs>
          <w:tab w:val="left" w:pos="1268"/>
        </w:tabs>
        <w:spacing w:line="360" w:lineRule="auto"/>
        <w:ind w:left="0" w:firstLine="440" w:firstLineChars="200"/>
        <w:rPr>
          <w:color w:val="auto"/>
        </w:rPr>
      </w:pPr>
      <w:r>
        <w:rPr>
          <w:color w:val="auto"/>
        </w:rPr>
        <w:t>供应商之间事先约定一致抬高或者压低报价，或者在政府采购活动中事先约定轮流以高价位或者低价位成交，或者事先约定由某一特定供应商成交，然后再参加竞标；</w:t>
      </w:r>
    </w:p>
    <w:p>
      <w:pPr>
        <w:pStyle w:val="35"/>
        <w:numPr>
          <w:ilvl w:val="0"/>
          <w:numId w:val="4"/>
        </w:numPr>
        <w:tabs>
          <w:tab w:val="left" w:pos="1265"/>
        </w:tabs>
        <w:spacing w:line="360" w:lineRule="auto"/>
        <w:ind w:left="0" w:firstLine="440" w:firstLineChars="200"/>
        <w:rPr>
          <w:color w:val="auto"/>
        </w:rPr>
      </w:pPr>
      <w:r>
        <w:rPr>
          <w:color w:val="auto"/>
        </w:rPr>
        <w:t>供应商之间商定部分供应商放弃参加政府采购活动或者放弃成交；</w:t>
      </w:r>
    </w:p>
    <w:p>
      <w:pPr>
        <w:pStyle w:val="35"/>
        <w:numPr>
          <w:ilvl w:val="0"/>
          <w:numId w:val="4"/>
        </w:numPr>
        <w:tabs>
          <w:tab w:val="left" w:pos="1268"/>
        </w:tabs>
        <w:spacing w:line="360" w:lineRule="auto"/>
        <w:ind w:left="0" w:firstLine="440" w:firstLineChars="200"/>
        <w:rPr>
          <w:color w:val="auto"/>
        </w:rPr>
      </w:pPr>
      <w:r>
        <w:rPr>
          <w:color w:val="auto"/>
        </w:rPr>
        <w:t>供应商与采购人或者采购代理机构之间、供应商相互之间，为谋求特定供应商成交或者排斥其他供应商的其他串通行为。</w:t>
      </w:r>
    </w:p>
    <w:p>
      <w:pPr>
        <w:pStyle w:val="7"/>
        <w:rPr>
          <w:color w:val="auto"/>
        </w:rPr>
      </w:pPr>
      <w:r>
        <w:rPr>
          <w:color w:val="auto"/>
        </w:rPr>
        <w:t>二、磋商文件</w:t>
      </w:r>
    </w:p>
    <w:p>
      <w:pPr>
        <w:pStyle w:val="14"/>
        <w:spacing w:before="3"/>
        <w:rPr>
          <w:b/>
          <w:color w:val="auto"/>
          <w:sz w:val="11"/>
        </w:rPr>
      </w:pP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磋商文件的构成</w:t>
      </w:r>
    </w:p>
    <w:p>
      <w:pPr>
        <w:pStyle w:val="35"/>
        <w:numPr>
          <w:ilvl w:val="0"/>
          <w:numId w:val="5"/>
        </w:numPr>
        <w:tabs>
          <w:tab w:val="left" w:pos="1265"/>
        </w:tabs>
        <w:spacing w:line="360" w:lineRule="auto"/>
        <w:ind w:left="0" w:firstLine="420"/>
        <w:rPr>
          <w:color w:val="auto"/>
          <w:sz w:val="21"/>
        </w:rPr>
      </w:pPr>
      <w:r>
        <w:rPr>
          <w:color w:val="auto"/>
          <w:sz w:val="21"/>
        </w:rPr>
        <w:t>竞争性磋商公告；</w:t>
      </w:r>
    </w:p>
    <w:p>
      <w:pPr>
        <w:pStyle w:val="35"/>
        <w:numPr>
          <w:ilvl w:val="0"/>
          <w:numId w:val="5"/>
        </w:numPr>
        <w:tabs>
          <w:tab w:val="left" w:pos="1265"/>
        </w:tabs>
        <w:spacing w:line="360" w:lineRule="auto"/>
        <w:ind w:left="0" w:firstLine="420"/>
        <w:rPr>
          <w:color w:val="auto"/>
          <w:sz w:val="21"/>
        </w:rPr>
      </w:pPr>
      <w:r>
        <w:rPr>
          <w:color w:val="auto"/>
          <w:sz w:val="21"/>
        </w:rPr>
        <w:t>供应商须知；</w:t>
      </w:r>
    </w:p>
    <w:p>
      <w:pPr>
        <w:pStyle w:val="35"/>
        <w:numPr>
          <w:ilvl w:val="0"/>
          <w:numId w:val="5"/>
        </w:numPr>
        <w:tabs>
          <w:tab w:val="left" w:pos="1265"/>
        </w:tabs>
        <w:spacing w:line="360" w:lineRule="auto"/>
        <w:ind w:left="0" w:firstLine="420"/>
        <w:rPr>
          <w:color w:val="auto"/>
          <w:sz w:val="21"/>
        </w:rPr>
      </w:pPr>
      <w:r>
        <w:rPr>
          <w:color w:val="auto"/>
          <w:sz w:val="21"/>
        </w:rPr>
        <w:t>采购需求；</w:t>
      </w:r>
    </w:p>
    <w:p>
      <w:pPr>
        <w:pStyle w:val="35"/>
        <w:numPr>
          <w:ilvl w:val="0"/>
          <w:numId w:val="5"/>
        </w:numPr>
        <w:tabs>
          <w:tab w:val="left" w:pos="1265"/>
        </w:tabs>
        <w:spacing w:line="360" w:lineRule="auto"/>
        <w:ind w:left="0" w:firstLine="420"/>
        <w:rPr>
          <w:color w:val="auto"/>
          <w:sz w:val="21"/>
        </w:rPr>
      </w:pPr>
      <w:r>
        <w:rPr>
          <w:color w:val="auto"/>
          <w:sz w:val="21"/>
        </w:rPr>
        <w:t>评审程序、评审方法和评审标准；</w:t>
      </w:r>
    </w:p>
    <w:p>
      <w:pPr>
        <w:pStyle w:val="35"/>
        <w:numPr>
          <w:ilvl w:val="0"/>
          <w:numId w:val="5"/>
        </w:numPr>
        <w:tabs>
          <w:tab w:val="left" w:pos="1265"/>
        </w:tabs>
        <w:spacing w:line="360" w:lineRule="auto"/>
        <w:ind w:left="0" w:firstLine="420"/>
        <w:rPr>
          <w:color w:val="auto"/>
          <w:sz w:val="21"/>
        </w:rPr>
      </w:pPr>
      <w:r>
        <w:rPr>
          <w:color w:val="auto"/>
          <w:sz w:val="21"/>
        </w:rPr>
        <w:t>响应文件格式；</w:t>
      </w:r>
    </w:p>
    <w:p>
      <w:pPr>
        <w:pStyle w:val="35"/>
        <w:numPr>
          <w:ilvl w:val="0"/>
          <w:numId w:val="5"/>
        </w:numPr>
        <w:tabs>
          <w:tab w:val="left" w:pos="1265"/>
        </w:tabs>
        <w:spacing w:line="360" w:lineRule="auto"/>
        <w:ind w:left="0" w:firstLine="420"/>
        <w:rPr>
          <w:color w:val="auto"/>
          <w:sz w:val="21"/>
        </w:rPr>
      </w:pPr>
      <w:r>
        <w:rPr>
          <w:color w:val="auto"/>
          <w:sz w:val="21"/>
        </w:rPr>
        <w:t>合同文本。</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供应商的询问</w:t>
      </w:r>
    </w:p>
    <w:p>
      <w:pPr>
        <w:pStyle w:val="14"/>
        <w:spacing w:line="360" w:lineRule="auto"/>
        <w:ind w:firstLine="440" w:firstLineChars="200"/>
        <w:rPr>
          <w:color w:val="auto"/>
          <w:sz w:val="22"/>
          <w:szCs w:val="22"/>
        </w:rPr>
      </w:pPr>
      <w:r>
        <w:rPr>
          <w:rFonts w:hint="eastAsia"/>
          <w:color w:val="auto"/>
          <w:sz w:val="22"/>
          <w:szCs w:val="22"/>
        </w:rPr>
        <w:t>供应商应认真阅读磋商文件的采购需求，如供应商对磋商文件有疑问的，如要求采购人作出澄清或者修改的，供应商尽可能在提交首次响应文件截止之日前，以纸质书面形式向采购人、采购代理机构提出，否则，由此产生的后果由供应商自行负责。</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磋商文件的澄清和修改</w:t>
      </w:r>
    </w:p>
    <w:p>
      <w:pPr>
        <w:pStyle w:val="14"/>
        <w:spacing w:before="11"/>
        <w:rPr>
          <w:rFonts w:ascii="黑体"/>
          <w:b/>
          <w:color w:val="auto"/>
          <w:sz w:val="20"/>
        </w:rPr>
      </w:pPr>
    </w:p>
    <w:p>
      <w:pPr>
        <w:pStyle w:val="35"/>
        <w:numPr>
          <w:ilvl w:val="1"/>
          <w:numId w:val="1"/>
        </w:numPr>
        <w:tabs>
          <w:tab w:val="left" w:pos="1108"/>
        </w:tabs>
        <w:spacing w:line="360" w:lineRule="auto"/>
        <w:ind w:left="0" w:firstLine="440" w:firstLineChars="200"/>
        <w:rPr>
          <w:color w:val="auto"/>
        </w:rPr>
      </w:pPr>
      <w:r>
        <w:rPr>
          <w:rFonts w:hint="eastAsia"/>
          <w:color w:val="auto"/>
        </w:rPr>
        <w:t>已获取磋商文件的潜在供应商，若有问题需要澄清，应于应标截止时间前，以书面形式向采购代理机构提出，采购代理机构与采购人研究后，对认为有必要回答的问题，按照本章 10.3 的内容处理。</w:t>
      </w:r>
    </w:p>
    <w:p>
      <w:pPr>
        <w:pStyle w:val="35"/>
        <w:numPr>
          <w:ilvl w:val="1"/>
          <w:numId w:val="1"/>
        </w:numPr>
        <w:tabs>
          <w:tab w:val="left" w:pos="1108"/>
        </w:tabs>
        <w:spacing w:line="360" w:lineRule="auto"/>
        <w:ind w:left="0" w:firstLine="440" w:firstLineChars="200"/>
        <w:rPr>
          <w:color w:val="auto"/>
        </w:rPr>
      </w:pPr>
      <w:r>
        <w:rPr>
          <w:rFonts w:hint="eastAsia"/>
          <w:color w:val="auto"/>
        </w:rPr>
        <w:t>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pStyle w:val="35"/>
        <w:numPr>
          <w:ilvl w:val="1"/>
          <w:numId w:val="1"/>
        </w:numPr>
        <w:tabs>
          <w:tab w:val="left" w:pos="1108"/>
        </w:tabs>
        <w:spacing w:line="360" w:lineRule="auto"/>
        <w:ind w:left="0" w:firstLine="440" w:firstLineChars="200"/>
        <w:rPr>
          <w:color w:val="auto"/>
        </w:rPr>
      </w:pPr>
      <w:r>
        <w:rPr>
          <w:rFonts w:hint="eastAsia"/>
          <w:color w:val="auto"/>
        </w:rPr>
        <w:t>提交首次响应文件截止之日前，采购人、采购代理机构或者磋商小组可以对已发出的磋商文件进 行必要的澄清或者修改，澄清或者修改的内容作为磋商文件的组成部分。澄清或者修改的内容可能影响响 应文件编制的，采购人、采购代理机构或者磋商小组在提交首次响应文件截止之日 5 日前，以书面形式（目前为网上公告和系统短信等形式）通知所有获取磋商文件的供应商，不足 5 日的，应当顺延提交首次响应 文件截止时间。澄清或者更正公告在竞争性磋商公告发布媒体上发布，一经发布，视作已以书面形式通知 所有获取竞争性磋商文件的潜在供应商，不再另行通知，所有潜在供应商应密切关注竞争性磋商公告发布媒体，因未能及时获知，由此产生的后果均应自行承担</w:t>
      </w:r>
      <w:r>
        <w:rPr>
          <w:rFonts w:hint="eastAsia"/>
          <w:b/>
          <w:bCs/>
          <w:color w:val="auto"/>
        </w:rPr>
        <w:t>。</w:t>
      </w:r>
    </w:p>
    <w:p>
      <w:pPr>
        <w:pStyle w:val="35"/>
        <w:numPr>
          <w:ilvl w:val="1"/>
          <w:numId w:val="1"/>
        </w:numPr>
        <w:tabs>
          <w:tab w:val="left" w:pos="1108"/>
        </w:tabs>
        <w:spacing w:line="360" w:lineRule="auto"/>
        <w:ind w:left="0" w:firstLine="440" w:firstLineChars="200"/>
        <w:rPr>
          <w:b w:val="0"/>
          <w:bCs w:val="0"/>
          <w:color w:val="auto"/>
        </w:rPr>
      </w:pPr>
      <w:r>
        <w:rPr>
          <w:rFonts w:hint="eastAsia"/>
          <w:b w:val="0"/>
          <w:bCs w:val="0"/>
          <w:color w:val="auto"/>
        </w:rPr>
        <w:t>采购信息更正公告的内容应当包括采购人和采购代理机构名称、地址、联系方式，原公告的采购项目名称及首次公告日期，更正事项、内容及日期，采购项目联系人和电话。</w:t>
      </w:r>
    </w:p>
    <w:p>
      <w:pPr>
        <w:pStyle w:val="35"/>
        <w:numPr>
          <w:ilvl w:val="1"/>
          <w:numId w:val="1"/>
        </w:numPr>
        <w:tabs>
          <w:tab w:val="left" w:pos="1108"/>
        </w:tabs>
        <w:spacing w:line="360" w:lineRule="auto"/>
        <w:ind w:left="0" w:firstLine="440" w:firstLineChars="200"/>
        <w:rPr>
          <w:rFonts w:hint="eastAsia" w:ascii="宋体" w:hAnsi="宋体" w:eastAsia="宋体" w:cs="宋体"/>
          <w:color w:val="auto"/>
          <w:sz w:val="22"/>
          <w:szCs w:val="22"/>
          <w:lang w:val="zh-CN" w:eastAsia="zh-CN" w:bidi="zh-CN"/>
        </w:rPr>
      </w:pPr>
      <w:r>
        <w:rPr>
          <w:rFonts w:hint="eastAsia"/>
          <w:b w:val="0"/>
          <w:bCs w:val="0"/>
          <w:color w:val="auto"/>
        </w:rPr>
        <w:t>采购人和采购代理机构可以视采购具体情况，变更提交首次响应文件截止时间和竞谈时间，将变更时间将在竞争性磋商公告 ”中“七、其他补充事宜 2.网上查询地址 ”规定的</w:t>
      </w:r>
      <w:r>
        <w:rPr>
          <w:rFonts w:hint="eastAsia" w:ascii="宋体" w:hAnsi="宋体" w:eastAsia="宋体" w:cs="宋体"/>
          <w:color w:val="auto"/>
          <w:sz w:val="22"/>
          <w:szCs w:val="22"/>
          <w:lang w:val="zh-CN" w:eastAsia="zh-CN" w:bidi="zh-CN"/>
        </w:rPr>
        <w:t>政府采购信息发布媒体上发布更正公告。</w:t>
      </w:r>
    </w:p>
    <w:p>
      <w:pPr>
        <w:pStyle w:val="14"/>
        <w:spacing w:line="360" w:lineRule="auto"/>
        <w:ind w:firstLine="442" w:firstLineChars="200"/>
        <w:rPr>
          <w:rFonts w:hint="eastAsia"/>
          <w:b/>
          <w:bCs/>
          <w:color w:val="auto"/>
          <w:sz w:val="22"/>
          <w:szCs w:val="22"/>
          <w:lang w:val="zh-CN" w:eastAsia="zh-CN"/>
        </w:rPr>
      </w:pPr>
      <w:r>
        <w:rPr>
          <w:rFonts w:hint="eastAsia"/>
          <w:b/>
          <w:bCs/>
          <w:color w:val="auto"/>
          <w:sz w:val="22"/>
          <w:szCs w:val="22"/>
          <w:lang w:val="zh-CN" w:eastAsia="zh-CN"/>
        </w:rPr>
        <w:t>▲响应文件未按磋商文件的澄清、修改的内容编制，又不符合实质性要求的，其响应文件按无效处理</w:t>
      </w:r>
    </w:p>
    <w:p>
      <w:pPr>
        <w:pStyle w:val="14"/>
        <w:rPr>
          <w:b/>
          <w:color w:val="auto"/>
          <w:sz w:val="20"/>
        </w:rPr>
      </w:pPr>
    </w:p>
    <w:p>
      <w:pPr>
        <w:pStyle w:val="7"/>
        <w:rPr>
          <w:color w:val="auto"/>
        </w:rPr>
      </w:pPr>
      <w:r>
        <w:rPr>
          <w:color w:val="auto"/>
        </w:rPr>
        <w:t>三、响应文件的编制</w:t>
      </w:r>
    </w:p>
    <w:p>
      <w:pPr>
        <w:pStyle w:val="14"/>
        <w:rPr>
          <w:b/>
          <w:color w:val="auto"/>
          <w:sz w:val="32"/>
        </w:rPr>
      </w:pP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响应文件的编制原则</w:t>
      </w:r>
    </w:p>
    <w:p>
      <w:pPr>
        <w:pStyle w:val="14"/>
        <w:spacing w:line="360" w:lineRule="auto"/>
        <w:ind w:firstLine="440" w:firstLineChars="200"/>
        <w:rPr>
          <w:color w:val="auto"/>
          <w:sz w:val="22"/>
          <w:szCs w:val="22"/>
        </w:rPr>
      </w:pPr>
      <w:r>
        <w:rPr>
          <w:rFonts w:hint="eastAsia"/>
          <w:color w:val="auto"/>
          <w:sz w:val="22"/>
          <w:szCs w:val="22"/>
        </w:rPr>
        <w:t>供应商必须按照磋商文件的要求编制响应文件，并对其提交的响应文件的真实性、合法性承担法律责任。响应文件必须对磋商文件作出实质性响应。</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响应文件的组成</w:t>
      </w:r>
    </w:p>
    <w:p>
      <w:pPr>
        <w:pStyle w:val="35"/>
        <w:numPr>
          <w:ilvl w:val="1"/>
          <w:numId w:val="1"/>
        </w:numPr>
        <w:tabs>
          <w:tab w:val="left" w:pos="1108"/>
        </w:tabs>
        <w:spacing w:line="360" w:lineRule="auto"/>
        <w:ind w:left="0" w:firstLine="440" w:firstLineChars="200"/>
        <w:rPr>
          <w:color w:val="auto"/>
        </w:rPr>
      </w:pPr>
      <w:r>
        <w:rPr>
          <w:rFonts w:hint="eastAsia"/>
          <w:color w:val="auto"/>
        </w:rPr>
        <w:t>响应文件由资格证明文件、商务技术文件、报价文件三部分组成。</w:t>
      </w:r>
    </w:p>
    <w:p>
      <w:pPr>
        <w:pStyle w:val="35"/>
        <w:numPr>
          <w:ilvl w:val="1"/>
          <w:numId w:val="1"/>
        </w:numPr>
        <w:tabs>
          <w:tab w:val="left" w:pos="1108"/>
        </w:tabs>
        <w:spacing w:line="360" w:lineRule="auto"/>
        <w:ind w:left="0" w:firstLine="440" w:firstLineChars="200"/>
        <w:rPr>
          <w:color w:val="auto"/>
        </w:rPr>
      </w:pPr>
      <w:r>
        <w:rPr>
          <w:rFonts w:hint="eastAsia"/>
          <w:color w:val="auto"/>
        </w:rPr>
        <w:t>资格证明文件：详见须知前附表</w:t>
      </w:r>
    </w:p>
    <w:p>
      <w:pPr>
        <w:pStyle w:val="35"/>
        <w:numPr>
          <w:ilvl w:val="1"/>
          <w:numId w:val="1"/>
        </w:numPr>
        <w:tabs>
          <w:tab w:val="left" w:pos="1108"/>
        </w:tabs>
        <w:spacing w:line="360" w:lineRule="auto"/>
        <w:ind w:left="0" w:firstLine="440" w:firstLineChars="200"/>
        <w:rPr>
          <w:color w:val="auto"/>
        </w:rPr>
      </w:pPr>
      <w:r>
        <w:rPr>
          <w:rFonts w:hint="eastAsia"/>
          <w:color w:val="auto"/>
        </w:rPr>
        <w:t>报价商务技术文件：详见须知前附表</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计量单位</w:t>
      </w:r>
    </w:p>
    <w:p>
      <w:pPr>
        <w:pStyle w:val="14"/>
        <w:spacing w:line="360" w:lineRule="auto"/>
        <w:ind w:firstLine="440" w:firstLineChars="200"/>
        <w:rPr>
          <w:color w:val="auto"/>
          <w:sz w:val="22"/>
          <w:szCs w:val="22"/>
        </w:rPr>
      </w:pPr>
      <w:r>
        <w:rPr>
          <w:rFonts w:hint="eastAsia"/>
          <w:color w:val="auto"/>
          <w:sz w:val="22"/>
          <w:szCs w:val="22"/>
        </w:rPr>
        <w:t>磋商文件已有明确规定的，使用磋商文件规定的计量单位；磋商文件没有规定的，应采用中华人民共和国法定计量单位，货币种类为人民币，否则视同未响应。</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竞标的风险</w:t>
      </w:r>
    </w:p>
    <w:p>
      <w:pPr>
        <w:pStyle w:val="14"/>
        <w:spacing w:line="360" w:lineRule="auto"/>
        <w:ind w:firstLine="440" w:firstLineChars="200"/>
        <w:rPr>
          <w:color w:val="auto"/>
          <w:sz w:val="22"/>
          <w:szCs w:val="22"/>
        </w:rPr>
      </w:pPr>
      <w:r>
        <w:rPr>
          <w:rFonts w:hint="eastAsia"/>
          <w:color w:val="auto"/>
          <w:sz w:val="22"/>
          <w:szCs w:val="22"/>
        </w:rPr>
        <w:t>供应商没有按照磋商文件要求提供全部资料，或者供应商没有对磋商文件在各方面作出实质性响应可能导致其响应无效，是供应商应当考虑的风险。</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竞标报价</w:t>
      </w:r>
    </w:p>
    <w:p>
      <w:pPr>
        <w:pStyle w:val="35"/>
        <w:numPr>
          <w:ilvl w:val="1"/>
          <w:numId w:val="1"/>
        </w:numPr>
        <w:tabs>
          <w:tab w:val="left" w:pos="1108"/>
        </w:tabs>
        <w:spacing w:line="360" w:lineRule="auto"/>
        <w:ind w:left="0" w:firstLine="440" w:firstLineChars="200"/>
        <w:rPr>
          <w:color w:val="auto"/>
        </w:rPr>
      </w:pPr>
      <w:r>
        <w:rPr>
          <w:rFonts w:hint="eastAsia"/>
          <w:color w:val="auto"/>
        </w:rPr>
        <w:t>竞标报价应按磋商文件中“竞标报价表”格式填写。</w:t>
      </w:r>
    </w:p>
    <w:p>
      <w:pPr>
        <w:pStyle w:val="35"/>
        <w:numPr>
          <w:ilvl w:val="1"/>
          <w:numId w:val="1"/>
        </w:numPr>
        <w:tabs>
          <w:tab w:val="left" w:pos="1108"/>
        </w:tabs>
        <w:spacing w:line="360" w:lineRule="auto"/>
        <w:ind w:left="0" w:firstLine="440" w:firstLineChars="200"/>
        <w:rPr>
          <w:color w:val="auto"/>
        </w:rPr>
      </w:pPr>
      <w:r>
        <w:rPr>
          <w:rFonts w:hint="eastAsia"/>
          <w:color w:val="auto"/>
        </w:rPr>
        <w:t>竞标报价的内容见“供应商须知前附表”。</w:t>
      </w:r>
    </w:p>
    <w:p>
      <w:pPr>
        <w:pStyle w:val="35"/>
        <w:numPr>
          <w:ilvl w:val="1"/>
          <w:numId w:val="1"/>
        </w:numPr>
        <w:tabs>
          <w:tab w:val="left" w:pos="1108"/>
        </w:tabs>
        <w:spacing w:line="360" w:lineRule="auto"/>
        <w:ind w:left="0" w:firstLine="440" w:firstLineChars="200"/>
        <w:rPr>
          <w:color w:val="auto"/>
        </w:rPr>
      </w:pPr>
      <w:r>
        <w:rPr>
          <w:rFonts w:hint="eastAsia"/>
          <w:color w:val="auto"/>
        </w:rPr>
        <w:t>竞标报价要求</w:t>
      </w:r>
    </w:p>
    <w:p>
      <w:pPr>
        <w:numPr>
          <w:ilvl w:val="2"/>
          <w:numId w:val="1"/>
        </w:numPr>
        <w:tabs>
          <w:tab w:val="left" w:pos="1427"/>
        </w:tabs>
        <w:spacing w:line="360" w:lineRule="auto"/>
        <w:ind w:left="0" w:firstLine="422" w:firstLineChars="200"/>
        <w:rPr>
          <w:b/>
          <w:color w:val="auto"/>
          <w:sz w:val="21"/>
        </w:rPr>
      </w:pPr>
      <w:r>
        <w:rPr>
          <w:b/>
          <w:color w:val="auto"/>
          <w:sz w:val="21"/>
        </w:rPr>
        <w:t>供应商的竞标报价应符合以下要求，否则响应文件按无效响应处理：</w:t>
      </w:r>
    </w:p>
    <w:p>
      <w:pPr>
        <w:pStyle w:val="35"/>
        <w:numPr>
          <w:ilvl w:val="0"/>
          <w:numId w:val="6"/>
        </w:numPr>
        <w:tabs>
          <w:tab w:val="left" w:pos="1268"/>
        </w:tabs>
        <w:spacing w:line="360" w:lineRule="auto"/>
        <w:ind w:left="0" w:firstLine="420" w:firstLineChars="200"/>
        <w:rPr>
          <w:color w:val="auto"/>
        </w:rPr>
      </w:pPr>
      <w:r>
        <w:rPr>
          <w:color w:val="auto"/>
          <w:sz w:val="21"/>
        </w:rPr>
        <w:t>供应商必须就“采购需求”中所竞标的每个分标的全部内容分别作完整唯一总价报价，不得存在漏项报</w:t>
      </w:r>
      <w:r>
        <w:rPr>
          <w:color w:val="auto"/>
        </w:rPr>
        <w:t>价；</w:t>
      </w:r>
    </w:p>
    <w:p>
      <w:pPr>
        <w:pStyle w:val="35"/>
        <w:numPr>
          <w:ilvl w:val="0"/>
          <w:numId w:val="6"/>
        </w:numPr>
        <w:tabs>
          <w:tab w:val="left" w:pos="1265"/>
        </w:tabs>
        <w:spacing w:line="360" w:lineRule="auto"/>
        <w:ind w:left="0" w:firstLine="420" w:firstLineChars="200"/>
        <w:rPr>
          <w:color w:val="auto"/>
          <w:sz w:val="21"/>
        </w:rPr>
      </w:pPr>
      <w:r>
        <w:rPr>
          <w:color w:val="auto"/>
          <w:sz w:val="21"/>
        </w:rPr>
        <w:t>供应商必须就所竞标的分标的单项内容作唯一报价。</w:t>
      </w:r>
    </w:p>
    <w:p>
      <w:pPr>
        <w:pStyle w:val="35"/>
        <w:numPr>
          <w:ilvl w:val="2"/>
          <w:numId w:val="1"/>
        </w:numPr>
        <w:tabs>
          <w:tab w:val="left" w:pos="1422"/>
        </w:tabs>
        <w:spacing w:line="360" w:lineRule="auto"/>
        <w:ind w:left="0" w:firstLine="420" w:firstLineChars="200"/>
        <w:rPr>
          <w:color w:val="auto"/>
          <w:sz w:val="21"/>
        </w:rPr>
      </w:pPr>
      <w:r>
        <w:rPr>
          <w:rFonts w:hint="eastAsia"/>
          <w:color w:val="auto"/>
          <w:sz w:val="21"/>
        </w:rPr>
        <w:t xml:space="preserve"> 响应报价（包含首次报价、最后报价）超过所磋商项目规定的采购预算金额或者最高限价的（如本项目公布了最高限价），其响应文件将按无效处理</w:t>
      </w:r>
      <w:r>
        <w:rPr>
          <w:color w:val="auto"/>
          <w:sz w:val="21"/>
        </w:rPr>
        <w:t>。</w:t>
      </w:r>
    </w:p>
    <w:p>
      <w:pPr>
        <w:pStyle w:val="35"/>
        <w:numPr>
          <w:ilvl w:val="2"/>
          <w:numId w:val="1"/>
        </w:numPr>
        <w:tabs>
          <w:tab w:val="left" w:pos="1422"/>
        </w:tabs>
        <w:spacing w:line="360" w:lineRule="auto"/>
        <w:ind w:left="0" w:firstLine="420" w:firstLineChars="200"/>
        <w:rPr>
          <w:color w:val="auto"/>
          <w:sz w:val="21"/>
        </w:rPr>
      </w:pPr>
      <w:r>
        <w:rPr>
          <w:rFonts w:hint="eastAsia"/>
          <w:color w:val="auto"/>
          <w:sz w:val="21"/>
        </w:rPr>
        <w:t>响应报价（包含首次报价、最后报价）超过分项采购预算金额或者最高限价的（如本项目公布了最高限价），其响应文件将按无效处理</w:t>
      </w:r>
      <w:r>
        <w:rPr>
          <w:rFonts w:hint="eastAsia"/>
          <w:color w:val="auto"/>
          <w:sz w:val="21"/>
          <w:lang w:eastAsia="zh-CN"/>
        </w:rPr>
        <w:t>。</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竞标有效期</w:t>
      </w:r>
    </w:p>
    <w:p>
      <w:pPr>
        <w:pStyle w:val="35"/>
        <w:numPr>
          <w:ilvl w:val="1"/>
          <w:numId w:val="1"/>
        </w:numPr>
        <w:tabs>
          <w:tab w:val="left" w:pos="1108"/>
        </w:tabs>
        <w:spacing w:line="360" w:lineRule="auto"/>
        <w:ind w:left="0" w:firstLine="440" w:firstLineChars="200"/>
        <w:rPr>
          <w:color w:val="auto"/>
        </w:rPr>
      </w:pPr>
      <w:r>
        <w:rPr>
          <w:rFonts w:hint="eastAsia"/>
          <w:color w:val="auto"/>
        </w:rPr>
        <w:t>竞标有效期是指为保证采购人有足够的时间在提交响应文件后完成评审、确定成交供应商、合同签订等工作而要求供应商提交的响应文件在一定时间内保持有效的期限。</w:t>
      </w:r>
    </w:p>
    <w:p>
      <w:pPr>
        <w:pStyle w:val="35"/>
        <w:numPr>
          <w:ilvl w:val="1"/>
          <w:numId w:val="1"/>
        </w:numPr>
        <w:tabs>
          <w:tab w:val="left" w:pos="1108"/>
        </w:tabs>
        <w:spacing w:line="360" w:lineRule="auto"/>
        <w:ind w:left="0" w:firstLine="440" w:firstLineChars="200"/>
        <w:rPr>
          <w:color w:val="auto"/>
        </w:rPr>
      </w:pPr>
      <w:r>
        <w:rPr>
          <w:rFonts w:hint="eastAsia"/>
          <w:color w:val="auto"/>
        </w:rPr>
        <w:t>竞标有效期应由供应商按“供应商须知前附表”规定的期限作出响应。</w:t>
      </w:r>
    </w:p>
    <w:p>
      <w:pPr>
        <w:pStyle w:val="35"/>
        <w:numPr>
          <w:ilvl w:val="1"/>
          <w:numId w:val="1"/>
        </w:numPr>
        <w:tabs>
          <w:tab w:val="left" w:pos="1108"/>
        </w:tabs>
        <w:spacing w:line="360" w:lineRule="auto"/>
        <w:ind w:left="0" w:firstLine="440" w:firstLineChars="200"/>
        <w:rPr>
          <w:color w:val="auto"/>
        </w:rPr>
      </w:pPr>
      <w:r>
        <w:rPr>
          <w:rFonts w:hint="eastAsia"/>
          <w:color w:val="auto"/>
        </w:rPr>
        <w:t>供应商的响应文件在竞标有效期内均保持有效。</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磋商保证金</w:t>
      </w:r>
    </w:p>
    <w:p>
      <w:pPr>
        <w:pStyle w:val="14"/>
        <w:spacing w:line="360" w:lineRule="auto"/>
        <w:ind w:firstLine="440" w:firstLineChars="200"/>
        <w:rPr>
          <w:color w:val="auto"/>
          <w:sz w:val="22"/>
          <w:szCs w:val="22"/>
        </w:rPr>
      </w:pPr>
      <w:r>
        <w:rPr>
          <w:rFonts w:hint="eastAsia"/>
          <w:color w:val="auto"/>
          <w:sz w:val="22"/>
          <w:szCs w:val="22"/>
        </w:rPr>
        <w:t>本项目不收取磋商保证金。</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响应文件编制的要求</w:t>
      </w:r>
    </w:p>
    <w:p>
      <w:pPr>
        <w:pStyle w:val="35"/>
        <w:numPr>
          <w:ilvl w:val="1"/>
          <w:numId w:val="1"/>
        </w:numPr>
        <w:tabs>
          <w:tab w:val="left" w:pos="1108"/>
        </w:tabs>
        <w:spacing w:line="360" w:lineRule="auto"/>
        <w:ind w:left="0" w:firstLine="440" w:firstLineChars="200"/>
        <w:rPr>
          <w:color w:val="auto"/>
        </w:rPr>
      </w:pPr>
      <w:r>
        <w:rPr>
          <w:rFonts w:hint="eastAsia"/>
          <w:color w:val="auto"/>
        </w:rPr>
        <w:t>供应商应按本磋商文件规定的格式和顺序编制响应文件并标注页码，响应文件内容不完整、编排混乱导致响应文件被误读、漏读或者查找不到相关内容的，由此引发的后果由供应商承担。</w:t>
      </w:r>
    </w:p>
    <w:p>
      <w:pPr>
        <w:pStyle w:val="35"/>
        <w:numPr>
          <w:ilvl w:val="1"/>
          <w:numId w:val="1"/>
        </w:numPr>
        <w:tabs>
          <w:tab w:val="left" w:pos="1108"/>
        </w:tabs>
        <w:spacing w:line="360" w:lineRule="auto"/>
        <w:ind w:left="0" w:firstLine="440" w:firstLineChars="200"/>
        <w:rPr>
          <w:color w:val="auto"/>
        </w:rPr>
      </w:pPr>
      <w:r>
        <w:rPr>
          <w:rFonts w:hint="eastAsia"/>
          <w:color w:val="auto"/>
        </w:rPr>
        <w:t>响应文件应按资格证明文件、报价商务技术文件分别编制电子文件，并按“政采云”平台的要求编制、加密、上传。</w:t>
      </w:r>
    </w:p>
    <w:p>
      <w:pPr>
        <w:pStyle w:val="35"/>
        <w:numPr>
          <w:ilvl w:val="1"/>
          <w:numId w:val="1"/>
        </w:numPr>
        <w:tabs>
          <w:tab w:val="left" w:pos="1108"/>
        </w:tabs>
        <w:spacing w:line="360" w:lineRule="auto"/>
        <w:ind w:left="0" w:firstLine="440" w:firstLineChars="200"/>
        <w:rPr>
          <w:color w:val="auto"/>
        </w:rPr>
      </w:pPr>
      <w:r>
        <w:rPr>
          <w:rFonts w:hint="eastAsia"/>
          <w:color w:val="auto"/>
        </w:rPr>
        <w:t>响应文件须由供应商在规定位置盖公章并签字（具体以供应商须知前附表或响应文件格式规定为准），否则其响应文件按无效响应处理。</w:t>
      </w:r>
    </w:p>
    <w:p>
      <w:pPr>
        <w:pStyle w:val="35"/>
        <w:numPr>
          <w:ilvl w:val="1"/>
          <w:numId w:val="1"/>
        </w:numPr>
        <w:tabs>
          <w:tab w:val="left" w:pos="1108"/>
        </w:tabs>
        <w:spacing w:line="360" w:lineRule="auto"/>
        <w:ind w:left="0" w:firstLine="440" w:firstLineChars="200"/>
        <w:rPr>
          <w:color w:val="auto"/>
        </w:rPr>
      </w:pPr>
      <w:r>
        <w:rPr>
          <w:rFonts w:hint="eastAsia"/>
          <w:color w:val="auto"/>
        </w:rPr>
        <w:t>响应文件中标注的供应商名称应与营业执照（事业单位法人证书、执业许可证、自然人身份证）及公章一</w:t>
      </w:r>
      <w:r>
        <w:rPr>
          <w:color w:val="auto"/>
        </w:rPr>
        <w:t>致，否则其响应文件按无效响应处理。</w:t>
      </w:r>
    </w:p>
    <w:p>
      <w:pPr>
        <w:pStyle w:val="35"/>
        <w:numPr>
          <w:ilvl w:val="1"/>
          <w:numId w:val="1"/>
        </w:numPr>
        <w:tabs>
          <w:tab w:val="left" w:pos="1108"/>
        </w:tabs>
        <w:spacing w:line="360" w:lineRule="auto"/>
        <w:ind w:left="0" w:firstLine="440" w:firstLineChars="200"/>
        <w:rPr>
          <w:color w:val="auto"/>
        </w:rPr>
      </w:pPr>
      <w:r>
        <w:rPr>
          <w:rFonts w:hint="eastAsia"/>
          <w:color w:val="auto"/>
        </w:rPr>
        <w:t>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响应文件的加密、解密</w:t>
      </w:r>
    </w:p>
    <w:p>
      <w:pPr>
        <w:pStyle w:val="35"/>
        <w:numPr>
          <w:ilvl w:val="1"/>
          <w:numId w:val="1"/>
        </w:numPr>
        <w:tabs>
          <w:tab w:val="left" w:pos="1108"/>
        </w:tabs>
        <w:spacing w:line="360" w:lineRule="auto"/>
        <w:ind w:left="0" w:firstLine="440" w:firstLineChars="200"/>
        <w:rPr>
          <w:color w:val="auto"/>
        </w:rPr>
      </w:pPr>
      <w:r>
        <w:rPr>
          <w:rFonts w:hint="eastAsia"/>
          <w:color w:val="auto"/>
        </w:rPr>
        <w:t>供应商进行电子交易应安装客户端软件—“广西政府采购云平台客户端 ”，并按照磋商文件和电子交易平台的要求编制并加密响应文件。供应商未按规定加密的响应文件，电子交易平台将拒收并提示。</w:t>
      </w:r>
    </w:p>
    <w:p>
      <w:pPr>
        <w:pStyle w:val="35"/>
        <w:numPr>
          <w:ilvl w:val="1"/>
          <w:numId w:val="1"/>
        </w:numPr>
        <w:tabs>
          <w:tab w:val="left" w:pos="1108"/>
        </w:tabs>
        <w:spacing w:line="360" w:lineRule="auto"/>
        <w:ind w:left="0" w:firstLine="440" w:firstLineChars="200"/>
        <w:rPr>
          <w:color w:val="auto"/>
        </w:rPr>
      </w:pPr>
      <w:r>
        <w:rPr>
          <w:rFonts w:hint="eastAsia"/>
          <w:color w:val="auto"/>
        </w:rPr>
        <w:t>使用“广西政府采购云平台客户端 ”需要提前申领 CA 数字证书</w:t>
      </w:r>
      <w:r>
        <w:rPr>
          <w:rFonts w:hint="eastAsia"/>
          <w:color w:val="auto"/>
          <w:lang w:eastAsia="zh-CN"/>
        </w:rPr>
        <w:t>。</w:t>
      </w:r>
    </w:p>
    <w:p>
      <w:pPr>
        <w:pStyle w:val="35"/>
        <w:numPr>
          <w:ilvl w:val="1"/>
          <w:numId w:val="1"/>
        </w:numPr>
        <w:tabs>
          <w:tab w:val="left" w:pos="1108"/>
        </w:tabs>
        <w:spacing w:line="360" w:lineRule="auto"/>
        <w:ind w:left="0" w:firstLine="440" w:firstLineChars="200"/>
        <w:rPr>
          <w:color w:val="auto"/>
        </w:rPr>
      </w:pPr>
      <w:r>
        <w:rPr>
          <w:rFonts w:hint="eastAsia"/>
          <w:color w:val="auto"/>
        </w:rPr>
        <w:t>为确保网上操作合法、有效和安全，供应商应当在响应文件提交截止时间前完成在“政府采购云平台 ”的身份认证，确保在电子交易过程中能够对相关数据电文进行加密和使用电子签名</w:t>
      </w:r>
      <w:r>
        <w:rPr>
          <w:rFonts w:hint="eastAsia"/>
          <w:color w:val="auto"/>
          <w:lang w:eastAsia="zh-CN"/>
        </w:rPr>
        <w:t>。</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响应文件的提交</w:t>
      </w:r>
    </w:p>
    <w:p>
      <w:pPr>
        <w:pStyle w:val="35"/>
        <w:numPr>
          <w:ilvl w:val="1"/>
          <w:numId w:val="1"/>
        </w:numPr>
        <w:tabs>
          <w:tab w:val="left" w:pos="1108"/>
        </w:tabs>
        <w:spacing w:line="360" w:lineRule="auto"/>
        <w:ind w:left="0" w:firstLine="440" w:firstLineChars="200"/>
        <w:rPr>
          <w:color w:val="auto"/>
        </w:rPr>
      </w:pPr>
      <w:r>
        <w:rPr>
          <w:rFonts w:hint="eastAsia"/>
          <w:color w:val="auto"/>
        </w:rPr>
        <w:t>供应商必须在“供应商须知前附表”规定的时间和地点提交响应文件。</w:t>
      </w:r>
    </w:p>
    <w:p>
      <w:pPr>
        <w:pStyle w:val="35"/>
        <w:numPr>
          <w:ilvl w:val="1"/>
          <w:numId w:val="1"/>
        </w:numPr>
        <w:tabs>
          <w:tab w:val="left" w:pos="1108"/>
        </w:tabs>
        <w:spacing w:line="360" w:lineRule="auto"/>
        <w:ind w:left="0" w:firstLine="440" w:firstLineChars="200"/>
        <w:rPr>
          <w:color w:val="auto"/>
        </w:rPr>
      </w:pPr>
      <w:r>
        <w:rPr>
          <w:rFonts w:hint="eastAsia"/>
          <w:color w:val="auto"/>
        </w:rPr>
        <w:t>在响应文件提交截止时间以后，不能补充、修改响应文件</w:t>
      </w:r>
      <w:r>
        <w:rPr>
          <w:rFonts w:hint="eastAsia"/>
          <w:color w:val="auto"/>
          <w:lang w:eastAsia="zh-CN"/>
        </w:rPr>
        <w:t>。</w:t>
      </w:r>
    </w:p>
    <w:p>
      <w:pPr>
        <w:pStyle w:val="35"/>
        <w:numPr>
          <w:ilvl w:val="1"/>
          <w:numId w:val="1"/>
        </w:numPr>
        <w:tabs>
          <w:tab w:val="left" w:pos="1108"/>
        </w:tabs>
        <w:spacing w:line="360" w:lineRule="auto"/>
        <w:ind w:left="0" w:firstLine="440" w:firstLineChars="200"/>
        <w:rPr>
          <w:color w:val="auto"/>
        </w:rPr>
      </w:pPr>
      <w:bookmarkStart w:id="21" w:name="20.3未在规定时间内上传或者未按“政采云”平台的要求编制、加密的电子响应文件，"/>
      <w:bookmarkEnd w:id="21"/>
      <w:r>
        <w:rPr>
          <w:rFonts w:hint="eastAsia"/>
          <w:color w:val="auto"/>
        </w:rPr>
        <w:t>在提交“最后报价 ”后，供应商不能退出磋商。</w:t>
      </w:r>
    </w:p>
    <w:p>
      <w:pPr>
        <w:pStyle w:val="35"/>
        <w:numPr>
          <w:ilvl w:val="1"/>
          <w:numId w:val="1"/>
        </w:numPr>
        <w:tabs>
          <w:tab w:val="left" w:pos="1108"/>
        </w:tabs>
        <w:spacing w:line="360" w:lineRule="auto"/>
        <w:ind w:left="0" w:firstLine="440" w:firstLineChars="200"/>
        <w:rPr>
          <w:color w:val="auto"/>
        </w:rPr>
      </w:pPr>
      <w:r>
        <w:rPr>
          <w:rFonts w:hint="eastAsia"/>
          <w:color w:val="auto"/>
        </w:rPr>
        <w:t>电子交易平台收到响应文件，将妥善保存并即时向供应商发出确认回执通知。在响应文件提交截止时间前，除供应商补充、修改或者撤回响应文件外，任何单位和个人不得解密或提取响应文件。</w:t>
      </w:r>
    </w:p>
    <w:p>
      <w:pPr>
        <w:pStyle w:val="35"/>
        <w:numPr>
          <w:ilvl w:val="1"/>
          <w:numId w:val="1"/>
        </w:numPr>
        <w:tabs>
          <w:tab w:val="left" w:pos="1108"/>
        </w:tabs>
        <w:spacing w:line="360" w:lineRule="auto"/>
        <w:ind w:left="0" w:firstLine="440" w:firstLineChars="200"/>
        <w:rPr>
          <w:color w:val="auto"/>
        </w:rPr>
      </w:pPr>
      <w:r>
        <w:rPr>
          <w:rFonts w:hint="eastAsia"/>
          <w:color w:val="auto"/>
        </w:rPr>
        <w:t>采购机构不可视情况延长提交响应文件的截止时间</w:t>
      </w:r>
      <w:r>
        <w:rPr>
          <w:rFonts w:hint="eastAsia"/>
          <w:color w:val="auto"/>
          <w:lang w:eastAsia="zh-CN"/>
        </w:rPr>
        <w:t>。</w:t>
      </w:r>
    </w:p>
    <w:p>
      <w:pPr>
        <w:pStyle w:val="35"/>
        <w:numPr>
          <w:ilvl w:val="1"/>
          <w:numId w:val="1"/>
        </w:numPr>
        <w:tabs>
          <w:tab w:val="left" w:pos="1108"/>
        </w:tabs>
        <w:spacing w:line="360" w:lineRule="auto"/>
        <w:ind w:left="0" w:firstLine="440" w:firstLineChars="200"/>
        <w:rPr>
          <w:color w:val="auto"/>
        </w:rPr>
      </w:pPr>
      <w:r>
        <w:rPr>
          <w:rFonts w:hint="eastAsia"/>
          <w:color w:val="auto"/>
        </w:rPr>
        <w:t>备份响应文件。详见“供应商须知前附表 ”</w:t>
      </w:r>
      <w:r>
        <w:rPr>
          <w:rFonts w:hint="eastAsia"/>
          <w:color w:val="auto"/>
          <w:lang w:eastAsia="zh-CN"/>
        </w:rPr>
        <w:t>。</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首次响应文件的补充、修改与撤回</w:t>
      </w:r>
    </w:p>
    <w:p>
      <w:pPr>
        <w:pStyle w:val="35"/>
        <w:numPr>
          <w:ilvl w:val="0"/>
          <w:numId w:val="0"/>
        </w:numPr>
        <w:tabs>
          <w:tab w:val="left" w:pos="1108"/>
        </w:tabs>
        <w:spacing w:line="360" w:lineRule="auto"/>
        <w:ind w:leftChars="200"/>
        <w:rPr>
          <w:color w:val="auto"/>
        </w:rPr>
      </w:pPr>
      <w:r>
        <w:rPr>
          <w:rFonts w:hint="eastAsia"/>
          <w:color w:val="auto"/>
        </w:rPr>
        <w:t>详见“供应商须知前附表 ”。</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首次响应文件的退回</w:t>
      </w:r>
    </w:p>
    <w:p>
      <w:pPr>
        <w:pStyle w:val="35"/>
        <w:keepNext w:val="0"/>
        <w:keepLines w:val="0"/>
        <w:pageBreakBefore w:val="0"/>
        <w:widowControl w:val="0"/>
        <w:numPr>
          <w:ilvl w:val="0"/>
          <w:numId w:val="0"/>
        </w:numPr>
        <w:tabs>
          <w:tab w:val="left" w:pos="1108"/>
        </w:tabs>
        <w:kinsoku/>
        <w:wordWrap/>
        <w:overflowPunct/>
        <w:topLinePunct w:val="0"/>
        <w:autoSpaceDE w:val="0"/>
        <w:autoSpaceDN w:val="0"/>
        <w:bidi w:val="0"/>
        <w:adjustRightInd/>
        <w:snapToGrid/>
        <w:spacing w:line="360" w:lineRule="auto"/>
        <w:ind w:leftChars="0" w:firstLine="440" w:firstLineChars="200"/>
        <w:textAlignment w:val="auto"/>
        <w:rPr>
          <w:color w:val="auto"/>
        </w:rPr>
      </w:pPr>
      <w:r>
        <w:rPr>
          <w:rFonts w:hint="eastAsia"/>
          <w:color w:val="auto"/>
        </w:rPr>
        <w:t>在首次响应文件提交截止时间止提交响应文件的供应商不足 3 家时电子响应文件由代理机构在“广西政府采购云平台 ”操作退回，除此之外采购人和采购代理机构对已提交的电子响应文件概不退回。</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截止时间后的撤回</w:t>
      </w:r>
    </w:p>
    <w:p>
      <w:pPr>
        <w:pStyle w:val="35"/>
        <w:keepNext w:val="0"/>
        <w:keepLines w:val="0"/>
        <w:pageBreakBefore w:val="0"/>
        <w:widowControl w:val="0"/>
        <w:numPr>
          <w:ilvl w:val="0"/>
          <w:numId w:val="0"/>
        </w:numPr>
        <w:tabs>
          <w:tab w:val="left" w:pos="1108"/>
        </w:tabs>
        <w:kinsoku/>
        <w:wordWrap/>
        <w:overflowPunct/>
        <w:topLinePunct w:val="0"/>
        <w:autoSpaceDE w:val="0"/>
        <w:autoSpaceDN w:val="0"/>
        <w:bidi w:val="0"/>
        <w:adjustRightInd/>
        <w:snapToGrid/>
        <w:spacing w:line="360" w:lineRule="auto"/>
        <w:ind w:leftChars="0" w:firstLine="440" w:firstLineChars="200"/>
        <w:textAlignment w:val="auto"/>
        <w:rPr>
          <w:rFonts w:hint="eastAsia"/>
          <w:color w:val="auto"/>
        </w:rPr>
      </w:pPr>
      <w:r>
        <w:rPr>
          <w:rFonts w:hint="eastAsia"/>
          <w:color w:val="auto"/>
        </w:rPr>
        <w:t>本项目不收取磋商保证金，供应商在首次响应文件提交截止时间后可向采购人、采购代理机构书面申请撤回电子响应文件。</w:t>
      </w:r>
    </w:p>
    <w:p>
      <w:pPr>
        <w:pStyle w:val="35"/>
        <w:keepNext w:val="0"/>
        <w:keepLines w:val="0"/>
        <w:pageBreakBefore w:val="0"/>
        <w:widowControl w:val="0"/>
        <w:numPr>
          <w:ilvl w:val="0"/>
          <w:numId w:val="0"/>
        </w:numPr>
        <w:tabs>
          <w:tab w:val="left" w:pos="1108"/>
        </w:tabs>
        <w:kinsoku/>
        <w:wordWrap/>
        <w:overflowPunct/>
        <w:topLinePunct w:val="0"/>
        <w:autoSpaceDE w:val="0"/>
        <w:autoSpaceDN w:val="0"/>
        <w:bidi w:val="0"/>
        <w:adjustRightInd/>
        <w:snapToGrid/>
        <w:spacing w:line="360" w:lineRule="auto"/>
        <w:ind w:leftChars="0" w:firstLine="440" w:firstLineChars="200"/>
        <w:textAlignment w:val="auto"/>
        <w:rPr>
          <w:rFonts w:hint="eastAsia"/>
          <w:color w:val="auto"/>
        </w:rPr>
      </w:pPr>
      <w:r>
        <w:rPr>
          <w:rFonts w:hint="eastAsia"/>
          <w:color w:val="auto"/>
        </w:rPr>
        <w:t>供应商在首次响应文件提交截止时间后向采购人、采购代理机构书面申请撤回电子响应文件的，将根据本须知正文 17.1 的规定不予退还其磋商保证金。</w:t>
      </w:r>
    </w:p>
    <w:p>
      <w:pPr>
        <w:pStyle w:val="14"/>
        <w:rPr>
          <w:color w:val="auto"/>
          <w:sz w:val="20"/>
        </w:rPr>
      </w:pPr>
    </w:p>
    <w:p>
      <w:pPr>
        <w:pStyle w:val="7"/>
        <w:spacing w:before="176"/>
        <w:ind w:right="1774"/>
        <w:rPr>
          <w:color w:val="auto"/>
        </w:rPr>
      </w:pPr>
      <w:r>
        <w:rPr>
          <w:color w:val="auto"/>
        </w:rPr>
        <w:t>四、评审及磋商</w:t>
      </w:r>
    </w:p>
    <w:p>
      <w:pPr>
        <w:pStyle w:val="14"/>
        <w:rPr>
          <w:b/>
          <w:color w:val="auto"/>
          <w:sz w:val="32"/>
        </w:rPr>
      </w:pP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磋商小组成立</w:t>
      </w:r>
    </w:p>
    <w:p>
      <w:pPr>
        <w:pStyle w:val="35"/>
        <w:numPr>
          <w:ilvl w:val="1"/>
          <w:numId w:val="1"/>
        </w:numPr>
        <w:tabs>
          <w:tab w:val="left" w:pos="1108"/>
        </w:tabs>
        <w:spacing w:line="360" w:lineRule="auto"/>
        <w:ind w:left="0" w:firstLine="440" w:firstLineChars="200"/>
        <w:rPr>
          <w:color w:val="auto"/>
        </w:rPr>
      </w:pPr>
      <w:r>
        <w:rPr>
          <w:rFonts w:hint="eastAsia"/>
          <w:color w:val="auto"/>
        </w:rPr>
        <w:t>磋商小组由采购人代表和评审专家共 3 人以上单数组成，具体人数见“供应商须知前附表”，其中评审专家人数不得少于磋商小组成员总数的 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 5 人以上单数组成。</w:t>
      </w:r>
    </w:p>
    <w:p>
      <w:pPr>
        <w:pStyle w:val="35"/>
        <w:numPr>
          <w:ilvl w:val="1"/>
          <w:numId w:val="1"/>
        </w:numPr>
        <w:tabs>
          <w:tab w:val="left" w:pos="1108"/>
        </w:tabs>
        <w:spacing w:line="360" w:lineRule="auto"/>
        <w:ind w:left="0" w:firstLine="440" w:firstLineChars="200"/>
        <w:rPr>
          <w:color w:val="auto"/>
        </w:rPr>
      </w:pPr>
      <w:r>
        <w:rPr>
          <w:rFonts w:hint="eastAsia"/>
          <w:color w:val="auto"/>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w:t>
      </w:r>
      <w:r>
        <w:rPr>
          <w:color w:val="auto"/>
        </w:rPr>
        <w:t>同意，可以自行选定评审专家。技术复杂、专业性强的采购项目，评审专家中应当包含 1 名法律专家。</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首次响应文件的开启</w:t>
      </w:r>
    </w:p>
    <w:p>
      <w:pPr>
        <w:pStyle w:val="35"/>
        <w:numPr>
          <w:ilvl w:val="1"/>
          <w:numId w:val="1"/>
        </w:numPr>
        <w:tabs>
          <w:tab w:val="left" w:pos="1108"/>
        </w:tabs>
        <w:spacing w:line="360" w:lineRule="auto"/>
        <w:ind w:left="0" w:firstLine="440" w:firstLineChars="200"/>
        <w:rPr>
          <w:color w:val="auto"/>
        </w:rPr>
      </w:pPr>
      <w:r>
        <w:rPr>
          <w:rFonts w:hint="eastAsia"/>
          <w:color w:val="auto"/>
        </w:rPr>
        <w:t>首次响应文件由磋商小组或者采购代理机构在“供应商须知前附表”规定的时间开启。</w:t>
      </w:r>
    </w:p>
    <w:p>
      <w:pPr>
        <w:pStyle w:val="35"/>
        <w:numPr>
          <w:ilvl w:val="1"/>
          <w:numId w:val="1"/>
        </w:numPr>
        <w:tabs>
          <w:tab w:val="left" w:pos="1108"/>
        </w:tabs>
        <w:spacing w:line="360" w:lineRule="auto"/>
        <w:ind w:left="0" w:firstLine="440" w:firstLineChars="200"/>
        <w:rPr>
          <w:rFonts w:hint="eastAsia"/>
          <w:color w:val="auto"/>
        </w:rPr>
      </w:pPr>
      <w:r>
        <w:rPr>
          <w:rFonts w:hint="eastAsia"/>
          <w:color w:val="auto"/>
          <w:lang w:eastAsia="zh-CN"/>
        </w:rPr>
        <w:t>响应文件解密</w:t>
      </w:r>
    </w:p>
    <w:p>
      <w:pPr>
        <w:pStyle w:val="35"/>
        <w:keepNext w:val="0"/>
        <w:keepLines w:val="0"/>
        <w:pageBreakBefore w:val="0"/>
        <w:widowControl w:val="0"/>
        <w:numPr>
          <w:ilvl w:val="0"/>
          <w:numId w:val="0"/>
        </w:numPr>
        <w:tabs>
          <w:tab w:val="left" w:pos="1108"/>
        </w:tabs>
        <w:kinsoku/>
        <w:wordWrap/>
        <w:overflowPunct/>
        <w:topLinePunct w:val="0"/>
        <w:autoSpaceDE w:val="0"/>
        <w:autoSpaceDN w:val="0"/>
        <w:bidi w:val="0"/>
        <w:adjustRightInd/>
        <w:snapToGrid/>
        <w:spacing w:line="360" w:lineRule="auto"/>
        <w:ind w:leftChars="0" w:firstLine="440" w:firstLineChars="200"/>
        <w:textAlignment w:val="auto"/>
        <w:rPr>
          <w:rFonts w:hint="eastAsia"/>
          <w:color w:val="auto"/>
        </w:rPr>
      </w:pPr>
      <w:r>
        <w:rPr>
          <w:rFonts w:hint="eastAsia"/>
          <w:color w:val="auto"/>
        </w:rPr>
        <w:t>采购代理机构将在“供应商须知前附表”规定的时间通过电子交易平台组织响应文件开启，采购机构依托电子交易平台发起开始解密指令，供应商的法定代表人或其委托代理人须携带加密时所用的 CA 锁按平台提示和采购文件的规定登录到“广西政府采购云平台 ”电子开标大厅签到并在规定的时间内完成对电子响应文件在线解密。响应文件未按时解密的，视为响应文件无效。（解密异常情况处理：详见本章 26.4电子交易活动的中止。）</w:t>
      </w:r>
    </w:p>
    <w:p>
      <w:pPr>
        <w:pStyle w:val="35"/>
        <w:keepNext w:val="0"/>
        <w:keepLines w:val="0"/>
        <w:pageBreakBefore w:val="0"/>
        <w:widowControl w:val="0"/>
        <w:numPr>
          <w:ilvl w:val="0"/>
          <w:numId w:val="0"/>
        </w:numPr>
        <w:tabs>
          <w:tab w:val="left" w:pos="1108"/>
        </w:tabs>
        <w:kinsoku/>
        <w:wordWrap/>
        <w:overflowPunct/>
        <w:topLinePunct w:val="0"/>
        <w:autoSpaceDE w:val="0"/>
        <w:autoSpaceDN w:val="0"/>
        <w:bidi w:val="0"/>
        <w:adjustRightInd/>
        <w:snapToGrid/>
        <w:spacing w:line="360" w:lineRule="auto"/>
        <w:ind w:leftChars="0" w:firstLine="440" w:firstLineChars="200"/>
        <w:textAlignment w:val="auto"/>
        <w:rPr>
          <w:rFonts w:hint="eastAsia"/>
          <w:color w:val="auto"/>
        </w:rPr>
      </w:pPr>
      <w:r>
        <w:rPr>
          <w:rFonts w:hint="eastAsia"/>
          <w:color w:val="auto"/>
        </w:rPr>
        <w:t>如供应商成功解密响应文件，但未在“广西政府采购云平台 ”电子开标大厅参加磋商的，视同认可磋商过程和结果， 由此产生的后果由供应商自行负责。 参与磋商的供应商不足 3 家的，不得磋商</w:t>
      </w:r>
      <w:r>
        <w:rPr>
          <w:rFonts w:hint="eastAsia"/>
          <w:color w:val="auto"/>
          <w:lang w:eastAsia="zh-CN"/>
        </w:rPr>
        <w:t>。</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评审程序、评审方法和评审标准</w:t>
      </w:r>
    </w:p>
    <w:p>
      <w:pPr>
        <w:pStyle w:val="35"/>
        <w:numPr>
          <w:ilvl w:val="1"/>
          <w:numId w:val="1"/>
        </w:numPr>
        <w:tabs>
          <w:tab w:val="left" w:pos="1108"/>
        </w:tabs>
        <w:spacing w:line="360" w:lineRule="auto"/>
        <w:ind w:left="0" w:firstLine="440" w:firstLineChars="200"/>
        <w:rPr>
          <w:color w:val="auto"/>
        </w:rPr>
      </w:pPr>
      <w:r>
        <w:rPr>
          <w:rFonts w:hint="eastAsia"/>
          <w:color w:val="auto"/>
        </w:rPr>
        <w:t>磋商小组按照“第四章 评审程序、评审方法和评审标准”规定的方法、评审因素、标准和程序对响应文件进行评审。</w:t>
      </w:r>
    </w:p>
    <w:p>
      <w:pPr>
        <w:pStyle w:val="35"/>
        <w:numPr>
          <w:ilvl w:val="1"/>
          <w:numId w:val="1"/>
        </w:numPr>
        <w:tabs>
          <w:tab w:val="left" w:pos="1108"/>
        </w:tabs>
        <w:spacing w:line="360" w:lineRule="auto"/>
        <w:ind w:left="0" w:firstLine="440" w:firstLineChars="200"/>
        <w:rPr>
          <w:color w:val="auto"/>
        </w:rPr>
      </w:pPr>
      <w:r>
        <w:rPr>
          <w:rFonts w:hint="eastAsia"/>
          <w:color w:val="auto"/>
        </w:rPr>
        <w:t>电子交易活动的中止。采购过程中出现以下情形，导致电子交易平台无法正常运行，或者无法保证电子交易的公平、公正和安全时，采购机构可中止电子交易活动：</w:t>
      </w:r>
    </w:p>
    <w:p>
      <w:pPr>
        <w:pStyle w:val="35"/>
        <w:numPr>
          <w:ilvl w:val="0"/>
          <w:numId w:val="7"/>
        </w:numPr>
        <w:tabs>
          <w:tab w:val="left" w:pos="1265"/>
        </w:tabs>
        <w:spacing w:line="360" w:lineRule="auto"/>
        <w:ind w:left="0" w:firstLine="420" w:firstLineChars="200"/>
        <w:rPr>
          <w:color w:val="auto"/>
          <w:sz w:val="21"/>
        </w:rPr>
      </w:pPr>
      <w:r>
        <w:rPr>
          <w:color w:val="auto"/>
          <w:sz w:val="21"/>
        </w:rPr>
        <w:t>电子交易平台发生故障而无法登录访问的；</w:t>
      </w:r>
    </w:p>
    <w:p>
      <w:pPr>
        <w:pStyle w:val="35"/>
        <w:numPr>
          <w:ilvl w:val="0"/>
          <w:numId w:val="7"/>
        </w:numPr>
        <w:tabs>
          <w:tab w:val="left" w:pos="1265"/>
        </w:tabs>
        <w:spacing w:line="360" w:lineRule="auto"/>
        <w:ind w:left="0" w:firstLine="420" w:firstLineChars="200"/>
        <w:rPr>
          <w:color w:val="auto"/>
          <w:sz w:val="21"/>
        </w:rPr>
      </w:pPr>
      <w:r>
        <w:rPr>
          <w:color w:val="auto"/>
          <w:sz w:val="21"/>
        </w:rPr>
        <w:t>电子交易平台应用或数据库出现错误，不能进行正常操作的；</w:t>
      </w:r>
    </w:p>
    <w:p>
      <w:pPr>
        <w:pStyle w:val="35"/>
        <w:numPr>
          <w:ilvl w:val="0"/>
          <w:numId w:val="7"/>
        </w:numPr>
        <w:tabs>
          <w:tab w:val="left" w:pos="1265"/>
        </w:tabs>
        <w:spacing w:line="360" w:lineRule="auto"/>
        <w:ind w:left="0" w:firstLine="420" w:firstLineChars="200"/>
        <w:rPr>
          <w:color w:val="auto"/>
          <w:sz w:val="21"/>
        </w:rPr>
      </w:pPr>
      <w:r>
        <w:rPr>
          <w:color w:val="auto"/>
          <w:sz w:val="21"/>
        </w:rPr>
        <w:t>电子交易平台发现严重安全漏洞，有潜在泄密危险的；</w:t>
      </w:r>
    </w:p>
    <w:p>
      <w:pPr>
        <w:pStyle w:val="35"/>
        <w:numPr>
          <w:ilvl w:val="0"/>
          <w:numId w:val="7"/>
        </w:numPr>
        <w:tabs>
          <w:tab w:val="left" w:pos="1265"/>
        </w:tabs>
        <w:spacing w:line="360" w:lineRule="auto"/>
        <w:ind w:left="0" w:firstLine="420" w:firstLineChars="200"/>
        <w:rPr>
          <w:color w:val="auto"/>
          <w:sz w:val="21"/>
        </w:rPr>
      </w:pPr>
      <w:r>
        <w:rPr>
          <w:color w:val="auto"/>
          <w:sz w:val="21"/>
        </w:rPr>
        <w:t>病毒发作导致不能进行正常操作的；</w:t>
      </w:r>
    </w:p>
    <w:p>
      <w:pPr>
        <w:pStyle w:val="35"/>
        <w:numPr>
          <w:ilvl w:val="0"/>
          <w:numId w:val="7"/>
        </w:numPr>
        <w:tabs>
          <w:tab w:val="left" w:pos="1265"/>
        </w:tabs>
        <w:spacing w:line="360" w:lineRule="auto"/>
        <w:ind w:left="0" w:firstLine="440" w:firstLineChars="200"/>
        <w:rPr>
          <w:color w:val="auto"/>
        </w:rPr>
      </w:pPr>
      <w:r>
        <w:rPr>
          <w:color w:val="auto"/>
        </w:rPr>
        <w:t>其他无法保证电子交易的公平、公正和安全的情况。</w:t>
      </w:r>
    </w:p>
    <w:p>
      <w:pPr>
        <w:pStyle w:val="35"/>
        <w:numPr>
          <w:ilvl w:val="1"/>
          <w:numId w:val="1"/>
        </w:numPr>
        <w:tabs>
          <w:tab w:val="left" w:pos="1108"/>
        </w:tabs>
        <w:spacing w:line="360" w:lineRule="auto"/>
        <w:ind w:left="0" w:firstLine="440" w:firstLineChars="200"/>
        <w:rPr>
          <w:color w:val="auto"/>
        </w:rPr>
      </w:pPr>
      <w:r>
        <w:rPr>
          <w:rFonts w:hint="eastAsia"/>
          <w:color w:val="auto"/>
        </w:rPr>
        <w:t>出现以上情形，不影响采购公平、公正性的，采购代理机构可以待上述情形消除后继续组织电子交易活动；影响或可能影响采购公平、公正性的，经采购代理机构确认后，应当重新采购。</w:t>
      </w:r>
    </w:p>
    <w:p>
      <w:pPr>
        <w:pStyle w:val="7"/>
        <w:spacing w:before="176" w:line="360" w:lineRule="auto"/>
        <w:ind w:right="1774"/>
        <w:rPr>
          <w:rFonts w:hint="eastAsia"/>
          <w:color w:val="auto"/>
          <w:lang w:eastAsia="zh-CN"/>
        </w:rPr>
      </w:pPr>
      <w:r>
        <w:rPr>
          <w:rFonts w:hint="eastAsia"/>
          <w:color w:val="auto"/>
          <w:lang w:eastAsia="zh-CN"/>
        </w:rPr>
        <w:t>五、成交与合同</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确定成交供应商及结果公告</w:t>
      </w:r>
    </w:p>
    <w:p>
      <w:pPr>
        <w:pStyle w:val="35"/>
        <w:numPr>
          <w:ilvl w:val="1"/>
          <w:numId w:val="1"/>
        </w:numPr>
        <w:tabs>
          <w:tab w:val="left" w:pos="1108"/>
        </w:tabs>
        <w:spacing w:line="360" w:lineRule="auto"/>
        <w:ind w:left="0" w:firstLine="440" w:firstLineChars="200"/>
        <w:rPr>
          <w:color w:val="auto"/>
        </w:rPr>
      </w:pPr>
      <w:r>
        <w:rPr>
          <w:rFonts w:hint="eastAsia"/>
          <w:color w:val="auto"/>
        </w:rPr>
        <w:t>采购代理机构应当在评审结束后 2 个工作日内将评审报告送采购人确认。采购人应当在收到评审报告后</w:t>
      </w:r>
      <w:r>
        <w:rPr>
          <w:rFonts w:hint="eastAsia"/>
          <w:color w:val="auto"/>
          <w:lang w:val="en-US"/>
        </w:rPr>
        <w:t>2</w:t>
      </w:r>
      <w:r>
        <w:rPr>
          <w:rFonts w:hint="eastAsia"/>
          <w:color w:val="auto"/>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35"/>
        <w:numPr>
          <w:ilvl w:val="1"/>
          <w:numId w:val="1"/>
        </w:numPr>
        <w:tabs>
          <w:tab w:val="left" w:pos="1108"/>
        </w:tabs>
        <w:spacing w:line="360" w:lineRule="auto"/>
        <w:ind w:left="0" w:firstLine="440" w:firstLineChars="200"/>
        <w:rPr>
          <w:color w:val="auto"/>
        </w:rPr>
      </w:pPr>
      <w:r>
        <w:rPr>
          <w:rFonts w:hint="eastAsia"/>
          <w:color w:val="auto"/>
        </w:rPr>
        <w:t>采购代理机构应当在成交供应商确定后 2 个工作日内，在省级以上财政部门指定的媒体上公告成交结果， 同时向成交供应商发出成交通知书。</w:t>
      </w:r>
      <w:r>
        <w:rPr>
          <w:b/>
          <w:color w:val="auto"/>
          <w:spacing w:val="-12"/>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w:t>
      </w:r>
      <w:r>
        <w:rPr>
          <w:b/>
          <w:color w:val="auto"/>
          <w:spacing w:val="-13"/>
        </w:rPr>
        <w:t>商。</w:t>
      </w:r>
      <w:r>
        <w:rPr>
          <w:color w:val="auto"/>
          <w:spacing w:val="-1"/>
        </w:rPr>
        <w:t>排名第二的成交候选人因上述规定的同样原因被取消成交资格的，采购人可以确定排名第三的成交候选人为成</w:t>
      </w:r>
      <w:r>
        <w:rPr>
          <w:color w:val="auto"/>
          <w:spacing w:val="-6"/>
        </w:rPr>
        <w:t>交供应商，以此类推。以上信息查询记录及相关证据与磋商文件一并保存。成交供应商享受《政府采购促进中小企</w:t>
      </w:r>
      <w:r>
        <w:rPr>
          <w:color w:val="auto"/>
          <w:spacing w:val="-8"/>
        </w:rPr>
        <w:t>业发展管理办法》</w:t>
      </w:r>
      <w:r>
        <w:rPr>
          <w:color w:val="auto"/>
        </w:rPr>
        <w:t>（</w:t>
      </w:r>
      <w:r>
        <w:rPr>
          <w:color w:val="auto"/>
          <w:spacing w:val="-3"/>
        </w:rPr>
        <w:t>财库〔</w:t>
      </w:r>
      <w:r>
        <w:rPr>
          <w:color w:val="auto"/>
        </w:rPr>
        <w:t>2020</w:t>
      </w:r>
      <w:r>
        <w:rPr>
          <w:color w:val="auto"/>
          <w:spacing w:val="-13"/>
        </w:rPr>
        <w:t>〕</w:t>
      </w:r>
      <w:r>
        <w:rPr>
          <w:color w:val="auto"/>
        </w:rPr>
        <w:t>46</w:t>
      </w:r>
      <w:r>
        <w:rPr>
          <w:color w:val="auto"/>
          <w:spacing w:val="-31"/>
        </w:rPr>
        <w:t xml:space="preserve"> 号</w:t>
      </w:r>
      <w:r>
        <w:rPr>
          <w:color w:val="auto"/>
          <w:spacing w:val="-13"/>
        </w:rPr>
        <w:t>）</w:t>
      </w:r>
      <w:r>
        <w:rPr>
          <w:color w:val="auto"/>
          <w:spacing w:val="-2"/>
        </w:rPr>
        <w:t>规定的中小企业扶持政策的，采购人、采购代理机构应当随成交结果公开成交供应商的《中小企业声明函》。</w:t>
      </w:r>
    </w:p>
    <w:p>
      <w:pPr>
        <w:pStyle w:val="35"/>
        <w:numPr>
          <w:ilvl w:val="1"/>
          <w:numId w:val="1"/>
        </w:numPr>
        <w:tabs>
          <w:tab w:val="left" w:pos="1108"/>
        </w:tabs>
        <w:spacing w:line="360" w:lineRule="auto"/>
        <w:ind w:left="0" w:firstLine="432" w:firstLineChars="200"/>
        <w:rPr>
          <w:color w:val="auto"/>
          <w:spacing w:val="-2"/>
        </w:rPr>
      </w:pPr>
      <w:r>
        <w:rPr>
          <w:color w:val="auto"/>
          <w:spacing w:val="-2"/>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履约保证金</w:t>
      </w:r>
    </w:p>
    <w:p>
      <w:pPr>
        <w:pStyle w:val="14"/>
        <w:spacing w:line="360" w:lineRule="auto"/>
        <w:ind w:firstLine="412" w:firstLineChars="200"/>
        <w:jc w:val="both"/>
        <w:rPr>
          <w:color w:val="auto"/>
          <w:spacing w:val="-7"/>
          <w:sz w:val="22"/>
          <w:szCs w:val="22"/>
        </w:rPr>
      </w:pPr>
      <w:r>
        <w:rPr>
          <w:color w:val="auto"/>
          <w:spacing w:val="-7"/>
          <w:sz w:val="22"/>
          <w:szCs w:val="22"/>
        </w:rPr>
        <w:t>本项目不收取履约保证金。</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签订合同</w:t>
      </w:r>
    </w:p>
    <w:p>
      <w:pPr>
        <w:pStyle w:val="35"/>
        <w:numPr>
          <w:ilvl w:val="1"/>
          <w:numId w:val="1"/>
        </w:numPr>
        <w:tabs>
          <w:tab w:val="left" w:pos="1108"/>
        </w:tabs>
        <w:spacing w:line="360" w:lineRule="auto"/>
        <w:ind w:left="0" w:firstLine="432" w:firstLineChars="200"/>
        <w:rPr>
          <w:color w:val="auto"/>
          <w:spacing w:val="-2"/>
        </w:rPr>
      </w:pPr>
      <w:r>
        <w:rPr>
          <w:color w:val="auto"/>
          <w:spacing w:val="-2"/>
        </w:rPr>
        <w:t>成交供应商在收到成交通知书（书面或电子）后，应当在签订合同时向采购人出示相关证明材料，具体内容详见 “供应商须知前附表”，经采购人核验合格后方可签订合同（书面或电子）。如成交供应商为联合体的， 联合体各方应当共同与采购人签订采购合同，就采购合同约定的事项对采购人承担连带责任。</w:t>
      </w:r>
    </w:p>
    <w:p>
      <w:pPr>
        <w:pStyle w:val="35"/>
        <w:numPr>
          <w:ilvl w:val="1"/>
          <w:numId w:val="1"/>
        </w:numPr>
        <w:tabs>
          <w:tab w:val="left" w:pos="1108"/>
        </w:tabs>
        <w:spacing w:line="360" w:lineRule="auto"/>
        <w:ind w:left="0" w:firstLine="432" w:firstLineChars="200"/>
        <w:rPr>
          <w:color w:val="auto"/>
          <w:spacing w:val="-2"/>
        </w:rPr>
      </w:pPr>
      <w:r>
        <w:rPr>
          <w:color w:val="auto"/>
          <w:spacing w:val="-2"/>
        </w:rPr>
        <w:t>签订合同时间：按成交通知书规定的时间与采购人签订政府采购合同（最长不能超过</w:t>
      </w:r>
      <w:r>
        <w:rPr>
          <w:rFonts w:hint="eastAsia"/>
          <w:color w:val="auto"/>
          <w:spacing w:val="-2"/>
          <w:lang w:val="en-US"/>
        </w:rPr>
        <w:t>20日历天</w:t>
      </w:r>
      <w:r>
        <w:rPr>
          <w:color w:val="auto"/>
          <w:spacing w:val="-2"/>
        </w:rPr>
        <w:t>）。</w:t>
      </w:r>
    </w:p>
    <w:p>
      <w:pPr>
        <w:pStyle w:val="35"/>
        <w:numPr>
          <w:ilvl w:val="1"/>
          <w:numId w:val="1"/>
        </w:numPr>
        <w:tabs>
          <w:tab w:val="left" w:pos="1108"/>
        </w:tabs>
        <w:spacing w:line="360" w:lineRule="auto"/>
        <w:ind w:left="0" w:firstLine="432" w:firstLineChars="200"/>
        <w:rPr>
          <w:color w:val="auto"/>
          <w:spacing w:val="-2"/>
        </w:rPr>
      </w:pPr>
      <w:r>
        <w:rPr>
          <w:color w:val="auto"/>
          <w:spacing w:val="-2"/>
        </w:rPr>
        <w:t>成交供应商拒绝与采购人签订合同的，按照本须知正文第 27.3 条的规定执行。</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政府采购合同公告</w:t>
      </w:r>
    </w:p>
    <w:p>
      <w:pPr>
        <w:pStyle w:val="14"/>
        <w:spacing w:line="360" w:lineRule="auto"/>
        <w:ind w:firstLine="412" w:firstLineChars="200"/>
        <w:jc w:val="both"/>
        <w:rPr>
          <w:color w:val="auto"/>
          <w:spacing w:val="-7"/>
          <w:sz w:val="22"/>
          <w:szCs w:val="22"/>
        </w:rPr>
      </w:pPr>
      <w:r>
        <w:rPr>
          <w:color w:val="auto"/>
          <w:spacing w:val="-7"/>
          <w:sz w:val="22"/>
          <w:szCs w:val="22"/>
        </w:rPr>
        <w:t>根据《中华人民共和国政府采购法实施条例》第五十条规定，采购人应当自政府采购合同签订之日起 2 个工作日内，将政府采购合同在省级以上人民政府财政部门指定的媒体上公告，但政府采购合同中涉及国家秘密、商业秘密的内容除外。</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询问、质疑和投诉</w:t>
      </w:r>
    </w:p>
    <w:p>
      <w:pPr>
        <w:pStyle w:val="35"/>
        <w:numPr>
          <w:ilvl w:val="1"/>
          <w:numId w:val="1"/>
        </w:numPr>
        <w:tabs>
          <w:tab w:val="left" w:pos="1108"/>
        </w:tabs>
        <w:spacing w:line="360" w:lineRule="auto"/>
        <w:ind w:left="0" w:firstLine="432" w:firstLineChars="200"/>
        <w:rPr>
          <w:color w:val="auto"/>
          <w:spacing w:val="-2"/>
        </w:rPr>
      </w:pPr>
      <w:r>
        <w:rPr>
          <w:color w:val="auto"/>
          <w:spacing w:val="-2"/>
        </w:rPr>
        <w:t>供应商对政府采购活动事项有疑问的，可以向采购人、采购代理机构提出询问，采购人或者采购代理机构应当在 3 个工作日内对供应商依法提出的询问作出答复，但答复的内容不得涉及商业秘密。</w:t>
      </w:r>
    </w:p>
    <w:p>
      <w:pPr>
        <w:pStyle w:val="35"/>
        <w:numPr>
          <w:ilvl w:val="1"/>
          <w:numId w:val="1"/>
        </w:numPr>
        <w:tabs>
          <w:tab w:val="left" w:pos="1108"/>
        </w:tabs>
        <w:spacing w:line="360" w:lineRule="auto"/>
        <w:ind w:left="0" w:firstLine="432" w:firstLineChars="200"/>
        <w:rPr>
          <w:color w:val="auto"/>
          <w:spacing w:val="-2"/>
        </w:rPr>
      </w:pPr>
      <w:r>
        <w:rPr>
          <w:color w:val="auto"/>
          <w:spacing w:val="-2"/>
        </w:rPr>
        <w:t>供应商认为磋商文件、采购过程或者成交结果使自己的合法权益受到损害的，应当在知道或者应知其权益受到损害之日起 7 个工作日内，以纸质书面形式向采购人、采购代理机构提出质疑，接收质疑函的方式、联系部门、联系电话和通讯地址等信息详见“供应商须知前附表”。具体质疑起算时间如下：</w:t>
      </w:r>
    </w:p>
    <w:p>
      <w:pPr>
        <w:pStyle w:val="35"/>
        <w:numPr>
          <w:ilvl w:val="0"/>
          <w:numId w:val="8"/>
        </w:numPr>
        <w:tabs>
          <w:tab w:val="left" w:pos="1265"/>
        </w:tabs>
        <w:spacing w:line="360" w:lineRule="auto"/>
        <w:ind w:left="0" w:firstLine="440" w:firstLineChars="200"/>
        <w:rPr>
          <w:color w:val="auto"/>
        </w:rPr>
      </w:pPr>
      <w:r>
        <w:rPr>
          <w:color w:val="auto"/>
        </w:rPr>
        <w:t>对可以质疑的磋商文件提出质疑的，为收到磋商文件之日或者竞争性磋商公告期限届满之日；</w:t>
      </w:r>
    </w:p>
    <w:p>
      <w:pPr>
        <w:pStyle w:val="35"/>
        <w:numPr>
          <w:ilvl w:val="0"/>
          <w:numId w:val="8"/>
        </w:numPr>
        <w:tabs>
          <w:tab w:val="left" w:pos="1265"/>
        </w:tabs>
        <w:spacing w:line="360" w:lineRule="auto"/>
        <w:ind w:left="0" w:firstLine="440" w:firstLineChars="200"/>
        <w:rPr>
          <w:color w:val="auto"/>
        </w:rPr>
      </w:pPr>
      <w:r>
        <w:rPr>
          <w:color w:val="auto"/>
        </w:rPr>
        <w:t>对采购过程提出质疑的，为各采购程序环节结束之日；</w:t>
      </w:r>
    </w:p>
    <w:p>
      <w:pPr>
        <w:pStyle w:val="35"/>
        <w:numPr>
          <w:ilvl w:val="0"/>
          <w:numId w:val="8"/>
        </w:numPr>
        <w:tabs>
          <w:tab w:val="left" w:pos="1265"/>
        </w:tabs>
        <w:spacing w:line="360" w:lineRule="auto"/>
        <w:ind w:left="0" w:firstLine="440" w:firstLineChars="200"/>
        <w:rPr>
          <w:color w:val="auto"/>
        </w:rPr>
      </w:pPr>
      <w:r>
        <w:rPr>
          <w:color w:val="auto"/>
        </w:rPr>
        <w:t>对成交结果提出质疑的，为成交结果公告期限届满之日。</w:t>
      </w:r>
    </w:p>
    <w:p>
      <w:pPr>
        <w:pStyle w:val="35"/>
        <w:numPr>
          <w:ilvl w:val="1"/>
          <w:numId w:val="1"/>
        </w:numPr>
        <w:tabs>
          <w:tab w:val="left" w:pos="1108"/>
        </w:tabs>
        <w:spacing w:line="360" w:lineRule="auto"/>
        <w:ind w:left="0" w:firstLine="432" w:firstLineChars="200"/>
        <w:rPr>
          <w:color w:val="auto"/>
          <w:spacing w:val="-2"/>
        </w:rPr>
      </w:pPr>
      <w:r>
        <w:rPr>
          <w:color w:val="auto"/>
          <w:spacing w:val="-2"/>
        </w:rPr>
        <w:t>供应商提出的询问或者质疑超出采购人对采购代理机构委托授权范围的，采购代理机构应当告知供应商向采购人提出。政府采购评审专家应当配合采购人或者采购代理机构答复供应商的询问和质疑。</w:t>
      </w:r>
    </w:p>
    <w:p>
      <w:pPr>
        <w:pStyle w:val="35"/>
        <w:numPr>
          <w:ilvl w:val="1"/>
          <w:numId w:val="1"/>
        </w:numPr>
        <w:tabs>
          <w:tab w:val="left" w:pos="1108"/>
        </w:tabs>
        <w:spacing w:line="360" w:lineRule="auto"/>
        <w:ind w:left="0" w:firstLine="432" w:firstLineChars="200"/>
        <w:rPr>
          <w:color w:val="auto"/>
          <w:spacing w:val="-2"/>
        </w:rPr>
      </w:pPr>
      <w:r>
        <w:rPr>
          <w:color w:val="auto"/>
          <w:spacing w:val="-2"/>
        </w:rPr>
        <w:t>供应商提出质疑应当提交质疑函和必要的证明材料，针对同一采购程序环节的质疑必须在法定质疑期内一次性提出。质疑函应当包括下列内容（质疑函格式后附）：</w:t>
      </w:r>
    </w:p>
    <w:p>
      <w:pPr>
        <w:pStyle w:val="35"/>
        <w:numPr>
          <w:ilvl w:val="0"/>
          <w:numId w:val="9"/>
        </w:numPr>
        <w:tabs>
          <w:tab w:val="left" w:pos="1265"/>
        </w:tabs>
        <w:spacing w:line="360" w:lineRule="auto"/>
        <w:ind w:left="0" w:firstLine="440" w:firstLineChars="200"/>
        <w:rPr>
          <w:color w:val="auto"/>
        </w:rPr>
      </w:pPr>
      <w:r>
        <w:rPr>
          <w:color w:val="auto"/>
        </w:rPr>
        <w:t>供应商的姓名或者名称、地址、邮编、联系人及联系电话；</w:t>
      </w:r>
    </w:p>
    <w:p>
      <w:pPr>
        <w:pStyle w:val="35"/>
        <w:numPr>
          <w:ilvl w:val="0"/>
          <w:numId w:val="9"/>
        </w:numPr>
        <w:tabs>
          <w:tab w:val="left" w:pos="1265"/>
        </w:tabs>
        <w:spacing w:line="360" w:lineRule="auto"/>
        <w:ind w:left="0" w:firstLine="440" w:firstLineChars="200"/>
        <w:rPr>
          <w:color w:val="auto"/>
        </w:rPr>
      </w:pPr>
      <w:r>
        <w:rPr>
          <w:color w:val="auto"/>
        </w:rPr>
        <w:t>质疑项目的名称、编号；</w:t>
      </w:r>
    </w:p>
    <w:p>
      <w:pPr>
        <w:pStyle w:val="35"/>
        <w:numPr>
          <w:ilvl w:val="0"/>
          <w:numId w:val="9"/>
        </w:numPr>
        <w:tabs>
          <w:tab w:val="left" w:pos="1265"/>
        </w:tabs>
        <w:spacing w:line="360" w:lineRule="auto"/>
        <w:ind w:left="0" w:firstLine="440" w:firstLineChars="200"/>
        <w:rPr>
          <w:color w:val="auto"/>
        </w:rPr>
      </w:pPr>
      <w:r>
        <w:rPr>
          <w:color w:val="auto"/>
        </w:rPr>
        <w:t>具体、明确的质疑事项和与质疑事项相关的请求；</w:t>
      </w:r>
    </w:p>
    <w:p>
      <w:pPr>
        <w:pStyle w:val="35"/>
        <w:numPr>
          <w:ilvl w:val="0"/>
          <w:numId w:val="9"/>
        </w:numPr>
        <w:tabs>
          <w:tab w:val="left" w:pos="1265"/>
        </w:tabs>
        <w:spacing w:line="360" w:lineRule="auto"/>
        <w:ind w:left="0" w:firstLine="440" w:firstLineChars="200"/>
        <w:rPr>
          <w:color w:val="auto"/>
        </w:rPr>
      </w:pPr>
      <w:r>
        <w:rPr>
          <w:color w:val="auto"/>
        </w:rPr>
        <w:t>事实依据；</w:t>
      </w:r>
    </w:p>
    <w:p>
      <w:pPr>
        <w:pStyle w:val="35"/>
        <w:numPr>
          <w:ilvl w:val="0"/>
          <w:numId w:val="9"/>
        </w:numPr>
        <w:tabs>
          <w:tab w:val="left" w:pos="1265"/>
        </w:tabs>
        <w:spacing w:line="360" w:lineRule="auto"/>
        <w:ind w:left="0" w:firstLine="440" w:firstLineChars="200"/>
        <w:rPr>
          <w:color w:val="auto"/>
        </w:rPr>
      </w:pPr>
      <w:r>
        <w:rPr>
          <w:color w:val="auto"/>
        </w:rPr>
        <w:t>必要的法律依据；</w:t>
      </w:r>
    </w:p>
    <w:p>
      <w:pPr>
        <w:pStyle w:val="35"/>
        <w:numPr>
          <w:ilvl w:val="0"/>
          <w:numId w:val="9"/>
        </w:numPr>
        <w:tabs>
          <w:tab w:val="left" w:pos="1265"/>
        </w:tabs>
        <w:spacing w:line="360" w:lineRule="auto"/>
        <w:ind w:left="0" w:firstLine="440" w:firstLineChars="200"/>
        <w:rPr>
          <w:color w:val="auto"/>
        </w:rPr>
      </w:pPr>
      <w:r>
        <w:rPr>
          <w:color w:val="auto"/>
        </w:rPr>
        <w:t>提出质疑的日期。</w:t>
      </w:r>
    </w:p>
    <w:p>
      <w:pPr>
        <w:pStyle w:val="14"/>
        <w:spacing w:line="360" w:lineRule="auto"/>
        <w:ind w:firstLine="412" w:firstLineChars="200"/>
        <w:jc w:val="both"/>
        <w:rPr>
          <w:color w:val="auto"/>
          <w:spacing w:val="-7"/>
          <w:sz w:val="22"/>
          <w:szCs w:val="22"/>
        </w:rPr>
      </w:pPr>
      <w:r>
        <w:rPr>
          <w:color w:val="auto"/>
          <w:spacing w:val="-7"/>
          <w:sz w:val="22"/>
          <w:szCs w:val="22"/>
        </w:rPr>
        <w:t>供应商为自然人的，应当由本人签字；供应商为法人或者其他组织的，应当由法定代表人、主要负责人，或者其委托代理人签字或者盖章，并加盖公章。</w:t>
      </w:r>
    </w:p>
    <w:p>
      <w:pPr>
        <w:pStyle w:val="35"/>
        <w:numPr>
          <w:ilvl w:val="1"/>
          <w:numId w:val="1"/>
        </w:numPr>
        <w:tabs>
          <w:tab w:val="left" w:pos="1108"/>
        </w:tabs>
        <w:spacing w:line="360" w:lineRule="auto"/>
        <w:ind w:left="0" w:firstLine="432" w:firstLineChars="200"/>
        <w:rPr>
          <w:color w:val="auto"/>
          <w:spacing w:val="-2"/>
        </w:rPr>
      </w:pPr>
      <w:r>
        <w:rPr>
          <w:color w:val="auto"/>
          <w:spacing w:val="-2"/>
        </w:rPr>
        <w:t>采购人、采购代理机构认为供应商质疑不成立，或者成立但未对成交结果构成影响的，继续开展采购活动；认为供应商质疑成立且影响或者可能影响成交结果的，按照下列情况处理：</w:t>
      </w:r>
    </w:p>
    <w:p>
      <w:pPr>
        <w:pStyle w:val="35"/>
        <w:numPr>
          <w:ilvl w:val="0"/>
          <w:numId w:val="10"/>
        </w:numPr>
        <w:tabs>
          <w:tab w:val="left" w:pos="1268"/>
        </w:tabs>
        <w:spacing w:line="360" w:lineRule="auto"/>
        <w:ind w:left="0" w:firstLine="440" w:firstLineChars="200"/>
        <w:rPr>
          <w:color w:val="auto"/>
        </w:rPr>
      </w:pPr>
      <w:r>
        <w:rPr>
          <w:color w:val="auto"/>
        </w:rPr>
        <w:t>对采购文件提出的质疑，依法通过澄清或者修改可以继续开展采购活动的，澄清或者修改采购文件后继续开展采购活动；否则应当修改采购文件后重新开展采购活动。</w:t>
      </w:r>
    </w:p>
    <w:p>
      <w:pPr>
        <w:pStyle w:val="35"/>
        <w:numPr>
          <w:ilvl w:val="0"/>
          <w:numId w:val="10"/>
        </w:numPr>
        <w:tabs>
          <w:tab w:val="left" w:pos="1268"/>
        </w:tabs>
        <w:spacing w:line="360" w:lineRule="auto"/>
        <w:ind w:left="0" w:firstLine="440" w:firstLineChars="200"/>
        <w:rPr>
          <w:color w:val="auto"/>
        </w:rPr>
      </w:pPr>
      <w:r>
        <w:rPr>
          <w:color w:val="auto"/>
        </w:rPr>
        <w:t>对采购过程或者成交结果提出的质疑，合格供应商符合法定数量时，可以从合格的成交候选人中另行确定成交供应商的，应当依法另行确定成交供应商；否则应当重新开展采购活动。</w:t>
      </w:r>
    </w:p>
    <w:p>
      <w:pPr>
        <w:pStyle w:val="14"/>
        <w:spacing w:line="360" w:lineRule="auto"/>
        <w:ind w:firstLine="412" w:firstLineChars="200"/>
        <w:jc w:val="both"/>
        <w:rPr>
          <w:color w:val="auto"/>
          <w:spacing w:val="-7"/>
          <w:sz w:val="22"/>
          <w:szCs w:val="22"/>
        </w:rPr>
      </w:pPr>
      <w:r>
        <w:rPr>
          <w:color w:val="auto"/>
          <w:spacing w:val="-7"/>
          <w:sz w:val="22"/>
          <w:szCs w:val="22"/>
        </w:rPr>
        <w:t>质疑答复导致成交结果改变的，采购人或者采购代理机构应当将有关情况书面报告本级财政部门。</w:t>
      </w:r>
    </w:p>
    <w:p>
      <w:pPr>
        <w:pStyle w:val="35"/>
        <w:numPr>
          <w:ilvl w:val="1"/>
          <w:numId w:val="1"/>
        </w:numPr>
        <w:tabs>
          <w:tab w:val="left" w:pos="1108"/>
        </w:tabs>
        <w:spacing w:line="360" w:lineRule="auto"/>
        <w:ind w:left="0" w:firstLine="432" w:firstLineChars="200"/>
        <w:rPr>
          <w:color w:val="auto"/>
          <w:spacing w:val="-2"/>
        </w:rPr>
      </w:pPr>
      <w:r>
        <w:rPr>
          <w:color w:val="auto"/>
          <w:spacing w:val="-2"/>
        </w:rPr>
        <w:t>质疑供应商对采购人、采购代理机构的答复不满意，或者采购人、采购代理机构未在规定时间内作出答复的，可以在答复期满后 15 个工作日内向《政府采购质疑和投诉办法》（财政部令第 94 号）第六条规定的财政部门提起投诉（投诉书格式后附）。</w:t>
      </w:r>
    </w:p>
    <w:p>
      <w:pPr>
        <w:pStyle w:val="7"/>
        <w:spacing w:before="176" w:line="360" w:lineRule="auto"/>
        <w:ind w:right="1774"/>
        <w:rPr>
          <w:rFonts w:hint="eastAsia"/>
          <w:color w:val="auto"/>
          <w:lang w:eastAsia="zh-CN"/>
        </w:rPr>
      </w:pPr>
      <w:r>
        <w:rPr>
          <w:rFonts w:hint="eastAsia"/>
          <w:color w:val="auto"/>
          <w:lang w:eastAsia="zh-CN"/>
        </w:rPr>
        <w:t>六、验收</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lang w:eastAsia="zh-CN"/>
        </w:rPr>
        <w:t>验收</w:t>
      </w:r>
    </w:p>
    <w:p>
      <w:pPr>
        <w:pStyle w:val="35"/>
        <w:numPr>
          <w:ilvl w:val="1"/>
          <w:numId w:val="1"/>
        </w:numPr>
        <w:tabs>
          <w:tab w:val="left" w:pos="1108"/>
        </w:tabs>
        <w:spacing w:line="360" w:lineRule="auto"/>
        <w:ind w:left="0" w:firstLine="432" w:firstLineChars="200"/>
        <w:rPr>
          <w:rFonts w:hint="eastAsia"/>
          <w:color w:val="auto"/>
        </w:rPr>
      </w:pPr>
      <w:r>
        <w:rPr>
          <w:rFonts w:hint="eastAsia"/>
          <w:color w:val="auto"/>
          <w:spacing w:val="-2"/>
        </w:rPr>
        <w:t>采购</w:t>
      </w:r>
      <w:r>
        <w:rPr>
          <w:rFonts w:hint="eastAsia"/>
          <w:color w:val="auto"/>
        </w:rPr>
        <w:t>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35"/>
        <w:numPr>
          <w:ilvl w:val="1"/>
          <w:numId w:val="1"/>
        </w:numPr>
        <w:tabs>
          <w:tab w:val="left" w:pos="1108"/>
        </w:tabs>
        <w:spacing w:line="360" w:lineRule="auto"/>
        <w:ind w:left="0" w:firstLine="440" w:firstLineChars="200"/>
        <w:rPr>
          <w:rFonts w:hint="eastAsia"/>
          <w:color w:val="auto"/>
        </w:rPr>
      </w:pPr>
      <w:r>
        <w:rPr>
          <w:rFonts w:hint="eastAsia"/>
          <w:color w:val="auto"/>
        </w:rPr>
        <w:t>采购人可以邀请参加本项目的其他供应商或者第三方机构参与验收。参与验收的供应商或者第三方机构的意见作为验收书的参考资料一并存档。</w:t>
      </w:r>
    </w:p>
    <w:p>
      <w:pPr>
        <w:pStyle w:val="35"/>
        <w:numPr>
          <w:ilvl w:val="1"/>
          <w:numId w:val="1"/>
        </w:numPr>
        <w:tabs>
          <w:tab w:val="left" w:pos="1108"/>
        </w:tabs>
        <w:spacing w:line="360" w:lineRule="auto"/>
        <w:ind w:left="0" w:firstLine="440" w:firstLineChars="200"/>
        <w:jc w:val="both"/>
        <w:rPr>
          <w:rFonts w:hint="eastAsia"/>
          <w:color w:val="auto"/>
        </w:rPr>
      </w:pPr>
      <w:r>
        <w:rPr>
          <w:rFonts w:hint="eastAsia"/>
          <w:color w:val="auto"/>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35"/>
        <w:numPr>
          <w:ilvl w:val="1"/>
          <w:numId w:val="1"/>
        </w:numPr>
        <w:tabs>
          <w:tab w:val="left" w:pos="1108"/>
        </w:tabs>
        <w:spacing w:line="360" w:lineRule="auto"/>
        <w:ind w:left="0" w:firstLine="440" w:firstLineChars="200"/>
        <w:rPr>
          <w:color w:val="auto"/>
        </w:rPr>
      </w:pPr>
      <w:r>
        <w:rPr>
          <w:rFonts w:hint="eastAsia"/>
          <w:color w:val="auto"/>
        </w:rPr>
        <w:t>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7"/>
        <w:spacing w:before="176" w:line="360" w:lineRule="auto"/>
        <w:ind w:right="1774"/>
        <w:rPr>
          <w:rFonts w:hint="eastAsia"/>
          <w:color w:val="auto"/>
          <w:lang w:eastAsia="zh-CN"/>
        </w:rPr>
      </w:pPr>
      <w:r>
        <w:rPr>
          <w:rFonts w:hint="eastAsia"/>
          <w:color w:val="auto"/>
          <w:lang w:eastAsia="zh-CN"/>
        </w:rPr>
        <w:t>七、其他事项</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其他内容</w:t>
      </w:r>
    </w:p>
    <w:p>
      <w:pPr>
        <w:pStyle w:val="36"/>
        <w:spacing w:line="360" w:lineRule="auto"/>
        <w:ind w:firstLine="442" w:firstLineChars="200"/>
        <w:rPr>
          <w:bCs/>
          <w:color w:val="auto"/>
        </w:rPr>
      </w:pPr>
      <w:r>
        <w:rPr>
          <w:rFonts w:hint="eastAsia"/>
          <w:b/>
          <w:color w:val="auto"/>
        </w:rPr>
        <w:t>采购代理服务费专用帐户：</w:t>
      </w:r>
    </w:p>
    <w:p>
      <w:pPr>
        <w:pStyle w:val="36"/>
        <w:spacing w:line="360" w:lineRule="auto"/>
        <w:ind w:firstLine="440" w:firstLineChars="200"/>
        <w:rPr>
          <w:rFonts w:hint="eastAsia" w:eastAsia="宋体"/>
          <w:bCs/>
          <w:color w:val="auto"/>
          <w:lang w:eastAsia="zh-CN"/>
        </w:rPr>
      </w:pPr>
      <w:r>
        <w:rPr>
          <w:rFonts w:hint="eastAsia"/>
          <w:bCs/>
          <w:color w:val="auto"/>
        </w:rPr>
        <w:t>开户名称：</w:t>
      </w:r>
      <w:r>
        <w:rPr>
          <w:rFonts w:hint="eastAsia"/>
          <w:bCs/>
          <w:color w:val="auto"/>
          <w:lang w:eastAsia="zh-CN"/>
        </w:rPr>
        <w:t>广西万宸工程咨询有限公司</w:t>
      </w:r>
    </w:p>
    <w:p>
      <w:pPr>
        <w:pStyle w:val="36"/>
        <w:spacing w:line="360" w:lineRule="auto"/>
        <w:ind w:firstLine="440" w:firstLineChars="200"/>
        <w:rPr>
          <w:rFonts w:hint="eastAsia" w:eastAsia="宋体"/>
          <w:bCs/>
          <w:color w:val="auto"/>
          <w:lang w:eastAsia="zh-CN"/>
        </w:rPr>
      </w:pPr>
      <w:r>
        <w:rPr>
          <w:rFonts w:hint="eastAsia"/>
          <w:bCs/>
          <w:color w:val="auto"/>
        </w:rPr>
        <w:t>开户银行：</w:t>
      </w:r>
      <w:r>
        <w:rPr>
          <w:rFonts w:hint="eastAsia"/>
          <w:bCs/>
          <w:color w:val="auto"/>
          <w:lang w:eastAsia="zh-CN"/>
        </w:rPr>
        <w:t>广西北部湾银行股份有限公司贵港市迎宾大道支行</w:t>
      </w:r>
    </w:p>
    <w:p>
      <w:pPr>
        <w:spacing w:line="360" w:lineRule="auto"/>
        <w:ind w:firstLine="440" w:firstLineChars="200"/>
        <w:rPr>
          <w:rFonts w:hint="eastAsia" w:eastAsia="宋体"/>
          <w:color w:val="auto"/>
          <w:lang w:eastAsia="zh-CN"/>
        </w:rPr>
      </w:pPr>
      <w:r>
        <w:rPr>
          <w:rFonts w:hint="eastAsia"/>
          <w:bCs/>
          <w:color w:val="auto"/>
        </w:rPr>
        <w:t>银行账号：</w:t>
      </w:r>
      <w:r>
        <w:rPr>
          <w:rFonts w:hint="eastAsia"/>
          <w:bCs/>
          <w:color w:val="auto"/>
          <w:lang w:eastAsia="zh-CN"/>
        </w:rPr>
        <w:t>805020861300001</w:t>
      </w:r>
    </w:p>
    <w:p>
      <w:pPr>
        <w:pStyle w:val="12"/>
        <w:numPr>
          <w:ilvl w:val="0"/>
          <w:numId w:val="1"/>
        </w:numPr>
        <w:tabs>
          <w:tab w:val="left" w:pos="1044"/>
        </w:tabs>
        <w:spacing w:line="360" w:lineRule="auto"/>
        <w:ind w:left="0" w:firstLine="442" w:firstLineChars="200"/>
        <w:rPr>
          <w:rFonts w:ascii="宋体" w:hAnsi="宋体" w:eastAsia="宋体" w:cs="宋体"/>
          <w:color w:val="auto"/>
          <w:sz w:val="22"/>
          <w:szCs w:val="22"/>
        </w:rPr>
      </w:pPr>
      <w:r>
        <w:rPr>
          <w:rFonts w:hint="eastAsia" w:ascii="宋体" w:hAnsi="宋体" w:eastAsia="宋体" w:cs="宋体"/>
          <w:color w:val="auto"/>
          <w:sz w:val="22"/>
          <w:szCs w:val="22"/>
        </w:rPr>
        <w:t>需要补充的其他内容</w:t>
      </w:r>
    </w:p>
    <w:p>
      <w:pPr>
        <w:pStyle w:val="35"/>
        <w:numPr>
          <w:ilvl w:val="1"/>
          <w:numId w:val="1"/>
        </w:numPr>
        <w:tabs>
          <w:tab w:val="left" w:pos="1108"/>
        </w:tabs>
        <w:spacing w:line="360" w:lineRule="auto"/>
        <w:ind w:left="0" w:firstLine="432" w:firstLineChars="200"/>
        <w:rPr>
          <w:color w:val="auto"/>
          <w:spacing w:val="-2"/>
        </w:rPr>
      </w:pPr>
      <w:r>
        <w:rPr>
          <w:color w:val="auto"/>
          <w:spacing w:val="-2"/>
        </w:rPr>
        <w:t>本磋商文件解释规则详见“供应商须知前附表”。</w:t>
      </w:r>
    </w:p>
    <w:p>
      <w:pPr>
        <w:pStyle w:val="35"/>
        <w:numPr>
          <w:ilvl w:val="1"/>
          <w:numId w:val="1"/>
        </w:numPr>
        <w:tabs>
          <w:tab w:val="left" w:pos="1108"/>
        </w:tabs>
        <w:spacing w:line="360" w:lineRule="auto"/>
        <w:ind w:left="0" w:firstLine="432" w:firstLineChars="200"/>
        <w:rPr>
          <w:color w:val="auto"/>
          <w:spacing w:val="-2"/>
        </w:rPr>
      </w:pPr>
      <w:r>
        <w:rPr>
          <w:color w:val="auto"/>
          <w:spacing w:val="-2"/>
        </w:rPr>
        <w:t>其他事项详见“供应商须知前附表”。</w:t>
      </w:r>
    </w:p>
    <w:p>
      <w:pPr>
        <w:pStyle w:val="35"/>
        <w:numPr>
          <w:ilvl w:val="1"/>
          <w:numId w:val="1"/>
        </w:numPr>
        <w:tabs>
          <w:tab w:val="left" w:pos="1108"/>
        </w:tabs>
        <w:spacing w:line="360" w:lineRule="auto"/>
        <w:ind w:left="0" w:firstLine="432" w:firstLineChars="200"/>
        <w:rPr>
          <w:color w:val="auto"/>
          <w:spacing w:val="-2"/>
        </w:rPr>
      </w:pPr>
      <w:r>
        <w:rPr>
          <w:color w:val="auto"/>
          <w:spacing w:val="-2"/>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pPr>
        <w:pStyle w:val="35"/>
        <w:numPr>
          <w:ilvl w:val="0"/>
          <w:numId w:val="11"/>
        </w:numPr>
        <w:tabs>
          <w:tab w:val="left" w:pos="1268"/>
        </w:tabs>
        <w:spacing w:line="360" w:lineRule="auto"/>
        <w:ind w:left="0" w:firstLine="440" w:firstLineChars="200"/>
        <w:rPr>
          <w:color w:val="auto"/>
        </w:rPr>
      </w:pPr>
      <w:r>
        <w:rPr>
          <w:color w:val="auto"/>
        </w:rPr>
        <w:t>在货物采购项目中，货物由中小企业制造，即货物由中小企业生产且使用该中小企业商号或者注册商标，不对其中涉及的工程承建商和服务的承接商作出要求；</w:t>
      </w:r>
    </w:p>
    <w:p>
      <w:pPr>
        <w:pStyle w:val="35"/>
        <w:numPr>
          <w:ilvl w:val="0"/>
          <w:numId w:val="11"/>
        </w:numPr>
        <w:tabs>
          <w:tab w:val="left" w:pos="1268"/>
        </w:tabs>
        <w:spacing w:line="360" w:lineRule="auto"/>
        <w:ind w:left="0" w:firstLine="440" w:firstLineChars="200"/>
        <w:rPr>
          <w:color w:val="auto"/>
        </w:rPr>
      </w:pPr>
      <w:r>
        <w:rPr>
          <w:color w:val="auto"/>
        </w:rPr>
        <w:t>在工程采购项目中，工程由中小企业承建，即工程施工单位为中小企业，不对其中涉及的货物的制造商和服务的承接商作出要求；</w:t>
      </w:r>
    </w:p>
    <w:p>
      <w:pPr>
        <w:pStyle w:val="35"/>
        <w:numPr>
          <w:ilvl w:val="0"/>
          <w:numId w:val="11"/>
        </w:numPr>
        <w:tabs>
          <w:tab w:val="left" w:pos="1268"/>
        </w:tabs>
        <w:spacing w:line="360" w:lineRule="auto"/>
        <w:ind w:left="0" w:firstLine="440" w:firstLineChars="200"/>
        <w:rPr>
          <w:color w:val="auto"/>
        </w:rPr>
      </w:pPr>
      <w:r>
        <w:rPr>
          <w:color w:val="auto"/>
        </w:rPr>
        <w:t>在服务采购项目中，服务由中小企业承接，即提供服务的人员为中小企业依照《中华人民共和国劳动合同法》订立劳动合同的从业人员，不对其中涉及的货物的制造商和工程承建商作出要求。</w:t>
      </w:r>
    </w:p>
    <w:p>
      <w:pPr>
        <w:pStyle w:val="36"/>
        <w:spacing w:line="360" w:lineRule="auto"/>
        <w:ind w:firstLine="440" w:firstLineChars="200"/>
        <w:rPr>
          <w:bCs/>
          <w:color w:val="auto"/>
        </w:rPr>
      </w:pPr>
      <w:r>
        <w:rPr>
          <w:rFonts w:hint="eastAsia"/>
          <w:bCs/>
          <w:color w:val="auto"/>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pPr>
        <w:pStyle w:val="36"/>
        <w:spacing w:line="360" w:lineRule="auto"/>
        <w:ind w:firstLine="440" w:firstLineChars="200"/>
        <w:rPr>
          <w:bCs/>
          <w:color w:val="auto"/>
        </w:rPr>
      </w:pPr>
      <w:r>
        <w:rPr>
          <w:rFonts w:hint="eastAsia"/>
          <w:bCs/>
          <w:color w:val="auto"/>
        </w:rPr>
        <w:t>依据本磋商文件规定享受扶持政策获得政府采购合同的，小微企业不得将合同分包给大中型企业，中型企业不得将合同分包给大型企业。</w:t>
      </w:r>
    </w:p>
    <w:p>
      <w:pPr>
        <w:pStyle w:val="12"/>
        <w:numPr>
          <w:ilvl w:val="0"/>
          <w:numId w:val="1"/>
        </w:numPr>
        <w:tabs>
          <w:tab w:val="left" w:pos="1044"/>
        </w:tabs>
        <w:spacing w:line="360" w:lineRule="auto"/>
        <w:ind w:left="0" w:firstLine="470" w:firstLineChars="200"/>
        <w:rPr>
          <w:bCs/>
          <w:color w:val="auto"/>
        </w:rPr>
      </w:pPr>
      <w:r>
        <w:rPr>
          <w:color w:val="auto"/>
          <w:spacing w:val="-3"/>
          <w:sz w:val="24"/>
          <w:szCs w:val="24"/>
        </w:rPr>
        <w:t>广西线上“政采贷</w:t>
      </w:r>
      <w:r>
        <w:rPr>
          <w:color w:val="auto"/>
          <w:spacing w:val="-82"/>
          <w:sz w:val="24"/>
          <w:szCs w:val="24"/>
        </w:rPr>
        <w:t xml:space="preserve"> </w:t>
      </w:r>
      <w:r>
        <w:rPr>
          <w:color w:val="auto"/>
          <w:spacing w:val="-3"/>
          <w:sz w:val="24"/>
          <w:szCs w:val="24"/>
        </w:rPr>
        <w:t>”政策告知函</w:t>
      </w:r>
    </w:p>
    <w:p>
      <w:pPr>
        <w:jc w:val="center"/>
        <w:rPr>
          <w:rFonts w:hint="eastAsia"/>
          <w:color w:val="auto"/>
          <w:sz w:val="24"/>
          <w:szCs w:val="24"/>
        </w:rPr>
      </w:pPr>
      <w:r>
        <w:rPr>
          <w:rFonts w:hint="eastAsia"/>
          <w:color w:val="auto"/>
          <w:sz w:val="24"/>
          <w:szCs w:val="24"/>
        </w:rPr>
        <w:t>广西线上“政采贷 ”政策告知函</w:t>
      </w:r>
    </w:p>
    <w:p>
      <w:pPr>
        <w:pStyle w:val="36"/>
        <w:spacing w:line="360" w:lineRule="auto"/>
        <w:rPr>
          <w:rFonts w:hint="eastAsia"/>
          <w:bCs/>
          <w:color w:val="auto"/>
        </w:rPr>
      </w:pPr>
      <w:r>
        <w:rPr>
          <w:rFonts w:hint="eastAsia"/>
          <w:bCs/>
          <w:color w:val="auto"/>
        </w:rPr>
        <w:t>各供应商：</w:t>
      </w:r>
    </w:p>
    <w:p>
      <w:pPr>
        <w:pStyle w:val="36"/>
        <w:spacing w:line="360" w:lineRule="auto"/>
        <w:ind w:firstLine="440" w:firstLineChars="200"/>
        <w:rPr>
          <w:rFonts w:hint="eastAsia"/>
          <w:bCs/>
          <w:color w:val="auto"/>
        </w:rPr>
      </w:pPr>
      <w:r>
        <w:rPr>
          <w:rFonts w:hint="eastAsia"/>
          <w:bCs/>
          <w:color w:val="auto"/>
        </w:rPr>
        <w:t>欢迎贵公司参与广西政府采购活动！</w:t>
      </w:r>
    </w:p>
    <w:p>
      <w:pPr>
        <w:pStyle w:val="36"/>
        <w:spacing w:line="360" w:lineRule="auto"/>
        <w:ind w:firstLine="440" w:firstLineChars="200"/>
        <w:rPr>
          <w:rFonts w:hint="eastAsia"/>
          <w:bCs/>
          <w:color w:val="auto"/>
        </w:rPr>
      </w:pPr>
      <w:r>
        <w:rPr>
          <w:rFonts w:hint="eastAsia"/>
          <w:bCs/>
          <w:color w:val="auto"/>
        </w:rPr>
        <w:t>线上“政采贷 ”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 南宁中心支行 广西壮族自治区财政厅关于推广线上“政采贷 ”融资模式的通知》（南宁银发〔2021〕258号），按照双方自愿的原则提供便捷、优惠的贷款服务。</w:t>
      </w:r>
    </w:p>
    <w:p>
      <w:pPr>
        <w:pStyle w:val="36"/>
        <w:spacing w:line="360" w:lineRule="auto"/>
        <w:ind w:firstLine="440" w:firstLineChars="200"/>
        <w:rPr>
          <w:rFonts w:hint="eastAsia"/>
          <w:bCs/>
          <w:color w:val="auto"/>
        </w:rPr>
        <w:sectPr>
          <w:footerReference r:id="rId5" w:type="default"/>
          <w:pgSz w:w="11910" w:h="16840"/>
          <w:pgMar w:top="1417" w:right="1417" w:bottom="1417" w:left="1417" w:header="0" w:footer="1202" w:gutter="0"/>
          <w:cols w:space="0" w:num="1"/>
        </w:sectPr>
      </w:pPr>
      <w:r>
        <w:rPr>
          <w:rFonts w:hint="eastAsia"/>
          <w:bCs/>
          <w:color w:val="auto"/>
        </w:rPr>
        <w:t>相关金融产品和银行业金融机构联系方式 ， 可在中征应收账款融资服务平台查询（网址：https://www.crcrfsp.com/，客服电话：400-009-0001）。</w:t>
      </w:r>
    </w:p>
    <w:p>
      <w:pPr>
        <w:pStyle w:val="4"/>
        <w:spacing w:before="0" w:line="360" w:lineRule="auto"/>
        <w:ind w:right="0"/>
        <w:rPr>
          <w:color w:val="auto"/>
          <w:sz w:val="32"/>
          <w:szCs w:val="32"/>
        </w:rPr>
      </w:pPr>
      <w:bookmarkStart w:id="22" w:name="第三章_采购需求"/>
      <w:bookmarkEnd w:id="22"/>
      <w:bookmarkStart w:id="23" w:name="_bookmark2"/>
      <w:bookmarkEnd w:id="23"/>
      <w:bookmarkStart w:id="24" w:name="_Toc6581"/>
      <w:r>
        <w:rPr>
          <w:color w:val="auto"/>
          <w:sz w:val="32"/>
          <w:szCs w:val="32"/>
        </w:rPr>
        <w:t>第三章 采购需求</w:t>
      </w:r>
      <w:bookmarkEnd w:id="24"/>
    </w:p>
    <w:p>
      <w:pPr>
        <w:numPr>
          <w:ilvl w:val="0"/>
          <w:numId w:val="12"/>
        </w:numPr>
        <w:tabs>
          <w:tab w:val="left" w:pos="1045"/>
        </w:tabs>
        <w:spacing w:line="360" w:lineRule="auto"/>
        <w:ind w:left="0" w:firstLine="482" w:firstLineChars="200"/>
        <w:jc w:val="both"/>
        <w:rPr>
          <w:b/>
          <w:color w:val="auto"/>
          <w:sz w:val="24"/>
          <w:szCs w:val="24"/>
        </w:rPr>
      </w:pPr>
      <w:r>
        <w:rPr>
          <w:rFonts w:hint="eastAsia"/>
          <w:b/>
          <w:color w:val="auto"/>
          <w:sz w:val="24"/>
          <w:szCs w:val="24"/>
        </w:rPr>
        <w:t>为落实政府采购政策需满足的要求</w:t>
      </w:r>
      <w:r>
        <w:rPr>
          <w:rFonts w:hint="eastAsia"/>
          <w:b/>
          <w:color w:val="auto"/>
          <w:sz w:val="24"/>
          <w:szCs w:val="24"/>
          <w:lang w:val="en-US" w:eastAsia="zh-CN"/>
        </w:rPr>
        <w:t>：本项目为专门面向中小企业采购项目（根据项目实际情况填写内容）</w:t>
      </w:r>
    </w:p>
    <w:p>
      <w:pPr>
        <w:numPr>
          <w:ilvl w:val="0"/>
          <w:numId w:val="13"/>
        </w:numPr>
        <w:tabs>
          <w:tab w:val="left" w:pos="1259"/>
        </w:tabs>
        <w:spacing w:line="360" w:lineRule="auto"/>
        <w:ind w:left="0" w:firstLine="482" w:firstLineChars="200"/>
        <w:jc w:val="both"/>
        <w:rPr>
          <w:b/>
          <w:color w:val="auto"/>
          <w:sz w:val="24"/>
          <w:szCs w:val="24"/>
        </w:rPr>
      </w:pPr>
      <w:r>
        <w:rPr>
          <w:rFonts w:hint="eastAsia"/>
          <w:b/>
          <w:color w:val="auto"/>
          <w:sz w:val="24"/>
          <w:szCs w:val="24"/>
        </w:rPr>
        <w:t>本竞争性磋商采购文件所称中小企业必须符合《政府采购促进中小企业发展管理办法》（财库〔2020〕46 号）的规定。</w:t>
      </w:r>
    </w:p>
    <w:p>
      <w:pPr>
        <w:numPr>
          <w:ilvl w:val="0"/>
          <w:numId w:val="13"/>
        </w:numPr>
        <w:tabs>
          <w:tab w:val="left" w:pos="1256"/>
        </w:tabs>
        <w:spacing w:line="360" w:lineRule="auto"/>
        <w:ind w:left="0" w:firstLine="470" w:firstLineChars="200"/>
        <w:jc w:val="both"/>
        <w:rPr>
          <w:b/>
          <w:color w:val="auto"/>
          <w:spacing w:val="-3"/>
          <w:sz w:val="24"/>
          <w:szCs w:val="24"/>
        </w:rPr>
      </w:pPr>
      <w:r>
        <w:rPr>
          <w:rFonts w:hint="eastAsia"/>
          <w:b/>
          <w:color w:val="auto"/>
          <w:spacing w:val="-3"/>
          <w:sz w:val="24"/>
          <w:szCs w:val="24"/>
        </w:rPr>
        <w:t>服务项目中包含货物的，根据《财政部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供应商必须在响应文件中提供所竞标产品的节能产品认证证书复印件（加盖供应商电子章），否则响应文件作无效处理。如本项目包含的配套货物属于品目清单内非标注“★”的产品时，应优先采购，具体详见“第四章：评审办法”。</w:t>
      </w:r>
    </w:p>
    <w:p>
      <w:pPr>
        <w:numPr>
          <w:ilvl w:val="0"/>
          <w:numId w:val="12"/>
        </w:numPr>
        <w:tabs>
          <w:tab w:val="left" w:pos="1045"/>
        </w:tabs>
        <w:spacing w:line="360" w:lineRule="auto"/>
        <w:ind w:left="0" w:firstLine="482" w:firstLineChars="200"/>
        <w:jc w:val="both"/>
        <w:rPr>
          <w:b/>
          <w:color w:val="auto"/>
          <w:sz w:val="24"/>
          <w:szCs w:val="24"/>
        </w:rPr>
      </w:pPr>
      <w:r>
        <w:rPr>
          <w:rFonts w:hint="eastAsia"/>
          <w:b/>
          <w:color w:val="auto"/>
          <w:sz w:val="24"/>
          <w:szCs w:val="24"/>
        </w:rPr>
        <w:t>打★条款为重要技术参数及有关要求。不带“★”的一般参数，参数允许偏离，打★条款为实质性参数或要求，必须满足，否则作无效处理</w:t>
      </w:r>
    </w:p>
    <w:p>
      <w:pPr>
        <w:numPr>
          <w:ilvl w:val="0"/>
          <w:numId w:val="12"/>
        </w:numPr>
        <w:tabs>
          <w:tab w:val="left" w:pos="1045"/>
        </w:tabs>
        <w:spacing w:line="360" w:lineRule="auto"/>
        <w:ind w:left="0" w:firstLine="482" w:firstLineChars="200"/>
        <w:jc w:val="both"/>
        <w:rPr>
          <w:b/>
          <w:color w:val="auto"/>
          <w:sz w:val="24"/>
          <w:szCs w:val="24"/>
        </w:rPr>
      </w:pPr>
      <w:r>
        <w:rPr>
          <w:rFonts w:hint="eastAsia"/>
          <w:b/>
          <w:color w:val="auto"/>
          <w:sz w:val="24"/>
          <w:szCs w:val="24"/>
        </w:rPr>
        <w:t>如竞标人竞标产品存在侵犯他人的知识产权或者专利成果行为的，应承担相应法律责任。</w:t>
      </w:r>
      <w:r>
        <w:rPr>
          <w:rFonts w:hint="eastAsia"/>
          <w:b/>
          <w:color w:val="auto"/>
          <w:w w:val="95"/>
          <w:sz w:val="24"/>
          <w:szCs w:val="24"/>
        </w:rPr>
        <w:t xml:space="preserve">   </w:t>
      </w:r>
    </w:p>
    <w:p>
      <w:pPr>
        <w:numPr>
          <w:ilvl w:val="0"/>
          <w:numId w:val="12"/>
        </w:numPr>
        <w:tabs>
          <w:tab w:val="left" w:pos="1045"/>
        </w:tabs>
        <w:spacing w:line="360" w:lineRule="auto"/>
        <w:ind w:left="0" w:firstLine="482" w:firstLineChars="200"/>
        <w:jc w:val="both"/>
        <w:rPr>
          <w:b/>
          <w:color w:val="auto"/>
          <w:sz w:val="24"/>
          <w:szCs w:val="24"/>
        </w:rPr>
      </w:pPr>
      <w:r>
        <w:rPr>
          <w:rFonts w:hint="eastAsia"/>
          <w:b/>
          <w:color w:val="auto"/>
          <w:sz w:val="24"/>
          <w:szCs w:val="24"/>
        </w:rPr>
        <w:t>中小企业划分标准所属行业名称为：</w:t>
      </w:r>
      <w:r>
        <w:rPr>
          <w:rFonts w:hint="eastAsia"/>
          <w:b/>
          <w:color w:val="auto"/>
          <w:sz w:val="24"/>
          <w:szCs w:val="24"/>
          <w:lang w:eastAsia="zh-CN"/>
        </w:rPr>
        <w:t>建筑业</w:t>
      </w:r>
      <w:r>
        <w:rPr>
          <w:rFonts w:hint="eastAsia"/>
          <w:b/>
          <w:color w:val="auto"/>
          <w:sz w:val="24"/>
          <w:szCs w:val="24"/>
          <w:lang w:val="en-US" w:eastAsia="zh-CN"/>
        </w:rPr>
        <w:t xml:space="preserve"> </w:t>
      </w:r>
    </w:p>
    <w:tbl>
      <w:tblPr>
        <w:tblStyle w:val="29"/>
        <w:tblpPr w:leftFromText="180" w:rightFromText="180" w:vertAnchor="text" w:horzAnchor="page" w:tblpX="1999" w:tblpY="80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6"/>
        <w:gridCol w:w="1404"/>
        <w:gridCol w:w="926"/>
        <w:gridCol w:w="1643"/>
        <w:gridCol w:w="1460"/>
        <w:gridCol w:w="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1726" w:type="dxa"/>
            <w:vAlign w:val="center"/>
          </w:tcPr>
          <w:p>
            <w:pPr>
              <w:pStyle w:val="36"/>
              <w:spacing w:before="158"/>
              <w:ind w:left="107"/>
              <w:jc w:val="center"/>
              <w:rPr>
                <w:b/>
                <w:color w:val="auto"/>
                <w:sz w:val="24"/>
                <w:szCs w:val="24"/>
                <w:highlight w:val="none"/>
              </w:rPr>
            </w:pPr>
            <w:r>
              <w:rPr>
                <w:rFonts w:hint="eastAsia" w:ascii="仿宋" w:eastAsia="仿宋"/>
                <w:b/>
                <w:color w:val="auto"/>
                <w:sz w:val="24"/>
                <w:highlight w:val="none"/>
              </w:rPr>
              <w:t>行业名称</w:t>
            </w:r>
          </w:p>
        </w:tc>
        <w:tc>
          <w:tcPr>
            <w:tcW w:w="1404" w:type="dxa"/>
            <w:vAlign w:val="center"/>
          </w:tcPr>
          <w:p>
            <w:pPr>
              <w:pStyle w:val="36"/>
              <w:spacing w:before="158"/>
              <w:ind w:left="108"/>
              <w:jc w:val="center"/>
              <w:rPr>
                <w:color w:val="auto"/>
                <w:sz w:val="24"/>
                <w:szCs w:val="24"/>
                <w:highlight w:val="none"/>
              </w:rPr>
            </w:pPr>
            <w:r>
              <w:rPr>
                <w:rFonts w:hint="eastAsia" w:ascii="仿宋" w:eastAsia="仿宋"/>
                <w:b/>
                <w:color w:val="auto"/>
                <w:sz w:val="24"/>
                <w:highlight w:val="none"/>
              </w:rPr>
              <w:t>指标名称</w:t>
            </w:r>
          </w:p>
        </w:tc>
        <w:tc>
          <w:tcPr>
            <w:tcW w:w="926" w:type="dxa"/>
            <w:vAlign w:val="center"/>
          </w:tcPr>
          <w:p>
            <w:pPr>
              <w:pStyle w:val="36"/>
              <w:spacing w:before="2"/>
              <w:ind w:left="106"/>
              <w:jc w:val="center"/>
              <w:rPr>
                <w:rFonts w:ascii="仿宋" w:eastAsia="仿宋"/>
                <w:b/>
                <w:color w:val="auto"/>
                <w:sz w:val="24"/>
                <w:highlight w:val="none"/>
              </w:rPr>
            </w:pPr>
            <w:r>
              <w:rPr>
                <w:rFonts w:hint="eastAsia" w:ascii="仿宋" w:eastAsia="仿宋"/>
                <w:b/>
                <w:color w:val="auto"/>
                <w:w w:val="95"/>
                <w:sz w:val="24"/>
                <w:highlight w:val="none"/>
              </w:rPr>
              <w:t>计量</w:t>
            </w:r>
          </w:p>
          <w:p>
            <w:pPr>
              <w:pStyle w:val="36"/>
              <w:spacing w:before="4" w:line="290" w:lineRule="exact"/>
              <w:ind w:left="106"/>
              <w:jc w:val="center"/>
              <w:rPr>
                <w:color w:val="auto"/>
                <w:sz w:val="24"/>
                <w:szCs w:val="24"/>
                <w:highlight w:val="none"/>
              </w:rPr>
            </w:pPr>
            <w:r>
              <w:rPr>
                <w:rFonts w:hint="eastAsia" w:ascii="仿宋" w:eastAsia="仿宋"/>
                <w:b/>
                <w:color w:val="auto"/>
                <w:w w:val="95"/>
                <w:sz w:val="24"/>
                <w:highlight w:val="none"/>
              </w:rPr>
              <w:t>单位</w:t>
            </w:r>
          </w:p>
        </w:tc>
        <w:tc>
          <w:tcPr>
            <w:tcW w:w="1643" w:type="dxa"/>
            <w:vAlign w:val="center"/>
          </w:tcPr>
          <w:p>
            <w:pPr>
              <w:pStyle w:val="36"/>
              <w:spacing w:before="158"/>
              <w:ind w:left="107"/>
              <w:jc w:val="center"/>
              <w:rPr>
                <w:color w:val="auto"/>
                <w:sz w:val="24"/>
                <w:szCs w:val="24"/>
                <w:highlight w:val="none"/>
              </w:rPr>
            </w:pPr>
            <w:r>
              <w:rPr>
                <w:rFonts w:hint="eastAsia" w:ascii="仿宋" w:eastAsia="仿宋"/>
                <w:b/>
                <w:color w:val="auto"/>
                <w:sz w:val="24"/>
                <w:highlight w:val="none"/>
              </w:rPr>
              <w:t>中型</w:t>
            </w:r>
          </w:p>
        </w:tc>
        <w:tc>
          <w:tcPr>
            <w:tcW w:w="1460" w:type="dxa"/>
            <w:vAlign w:val="center"/>
          </w:tcPr>
          <w:p>
            <w:pPr>
              <w:pStyle w:val="36"/>
              <w:spacing w:before="158"/>
              <w:ind w:left="107"/>
              <w:jc w:val="center"/>
              <w:rPr>
                <w:color w:val="auto"/>
                <w:sz w:val="24"/>
                <w:szCs w:val="24"/>
                <w:highlight w:val="none"/>
              </w:rPr>
            </w:pPr>
            <w:r>
              <w:rPr>
                <w:rFonts w:hint="eastAsia" w:ascii="仿宋" w:eastAsia="仿宋"/>
                <w:b/>
                <w:color w:val="auto"/>
                <w:sz w:val="24"/>
                <w:highlight w:val="none"/>
              </w:rPr>
              <w:t>小型</w:t>
            </w:r>
          </w:p>
        </w:tc>
        <w:tc>
          <w:tcPr>
            <w:tcW w:w="938" w:type="dxa"/>
            <w:vAlign w:val="center"/>
          </w:tcPr>
          <w:p>
            <w:pPr>
              <w:pStyle w:val="36"/>
              <w:spacing w:before="158"/>
              <w:ind w:left="107"/>
              <w:jc w:val="center"/>
              <w:rPr>
                <w:color w:val="auto"/>
                <w:sz w:val="24"/>
                <w:szCs w:val="24"/>
                <w:highlight w:val="none"/>
              </w:rPr>
            </w:pPr>
            <w:r>
              <w:rPr>
                <w:rFonts w:hint="eastAsia" w:ascii="仿宋" w:eastAsia="仿宋"/>
                <w:b/>
                <w:color w:val="auto"/>
                <w:sz w:val="24"/>
                <w:highlight w:val="none"/>
              </w:rPr>
              <w:t>微型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1726" w:type="dxa"/>
            <w:vMerge w:val="restart"/>
            <w:vAlign w:val="center"/>
          </w:tcPr>
          <w:p>
            <w:pPr>
              <w:widowControl/>
              <w:spacing w:line="360" w:lineRule="auto"/>
              <w:jc w:val="center"/>
              <w:rPr>
                <w:b/>
                <w:color w:val="auto"/>
                <w:sz w:val="24"/>
                <w:szCs w:val="24"/>
                <w:highlight w:val="none"/>
              </w:rPr>
            </w:pPr>
            <w:r>
              <w:rPr>
                <w:rFonts w:hint="eastAsia" w:ascii="仿宋_GB2312" w:hAnsi="仿宋" w:eastAsia="仿宋_GB2312"/>
                <w:b/>
                <w:bCs/>
                <w:color w:val="auto"/>
                <w:sz w:val="18"/>
                <w:szCs w:val="18"/>
                <w:highlight w:val="none"/>
              </w:rPr>
              <w:t>建筑业</w:t>
            </w:r>
          </w:p>
        </w:tc>
        <w:tc>
          <w:tcPr>
            <w:tcW w:w="1404" w:type="dxa"/>
            <w:vAlign w:val="center"/>
          </w:tcPr>
          <w:p>
            <w:pPr>
              <w:widowControl/>
              <w:jc w:val="center"/>
              <w:rPr>
                <w:color w:val="auto"/>
                <w:sz w:val="24"/>
                <w:szCs w:val="24"/>
                <w:highlight w:val="none"/>
              </w:rPr>
            </w:pPr>
            <w:r>
              <w:rPr>
                <w:rFonts w:hint="eastAsia" w:ascii="仿宋_GB2312" w:hAnsi="仿宋" w:eastAsia="仿宋_GB2312" w:cs="宋体"/>
                <w:color w:val="auto"/>
                <w:kern w:val="0"/>
                <w:sz w:val="18"/>
                <w:szCs w:val="18"/>
                <w:highlight w:val="none"/>
              </w:rPr>
              <w:t>营业收入（Y）</w:t>
            </w:r>
          </w:p>
        </w:tc>
        <w:tc>
          <w:tcPr>
            <w:tcW w:w="926" w:type="dxa"/>
            <w:vAlign w:val="center"/>
          </w:tcPr>
          <w:p>
            <w:pPr>
              <w:widowControl/>
              <w:jc w:val="center"/>
              <w:rPr>
                <w:color w:val="auto"/>
                <w:sz w:val="24"/>
                <w:szCs w:val="24"/>
                <w:highlight w:val="none"/>
              </w:rPr>
            </w:pPr>
            <w:r>
              <w:rPr>
                <w:rFonts w:hint="eastAsia" w:ascii="仿宋_GB2312" w:hAnsi="仿宋" w:eastAsia="仿宋_GB2312" w:cs="宋体"/>
                <w:color w:val="auto"/>
                <w:kern w:val="0"/>
                <w:sz w:val="18"/>
                <w:szCs w:val="18"/>
                <w:highlight w:val="none"/>
              </w:rPr>
              <w:t>万元</w:t>
            </w:r>
          </w:p>
        </w:tc>
        <w:tc>
          <w:tcPr>
            <w:tcW w:w="1643" w:type="dxa"/>
            <w:vAlign w:val="center"/>
          </w:tcPr>
          <w:p>
            <w:pPr>
              <w:widowControl/>
              <w:jc w:val="center"/>
              <w:rPr>
                <w:color w:val="auto"/>
                <w:sz w:val="24"/>
                <w:szCs w:val="24"/>
                <w:highlight w:val="none"/>
              </w:rPr>
            </w:pPr>
            <w:r>
              <w:rPr>
                <w:rFonts w:hint="eastAsia" w:ascii="仿宋_GB2312" w:hAnsi="仿宋" w:eastAsia="仿宋_GB2312" w:cs="宋体"/>
                <w:color w:val="auto"/>
                <w:kern w:val="0"/>
                <w:sz w:val="18"/>
                <w:szCs w:val="18"/>
                <w:highlight w:val="none"/>
              </w:rPr>
              <w:t>6000≤Y＜80000</w:t>
            </w:r>
          </w:p>
        </w:tc>
        <w:tc>
          <w:tcPr>
            <w:tcW w:w="1460" w:type="dxa"/>
            <w:vAlign w:val="center"/>
          </w:tcPr>
          <w:p>
            <w:pPr>
              <w:widowControl/>
              <w:jc w:val="center"/>
              <w:rPr>
                <w:color w:val="auto"/>
                <w:sz w:val="24"/>
                <w:szCs w:val="24"/>
                <w:highlight w:val="none"/>
              </w:rPr>
            </w:pPr>
            <w:r>
              <w:rPr>
                <w:rFonts w:hint="eastAsia" w:ascii="仿宋_GB2312" w:hAnsi="仿宋" w:eastAsia="仿宋_GB2312" w:cs="宋体"/>
                <w:color w:val="auto"/>
                <w:kern w:val="0"/>
                <w:sz w:val="18"/>
                <w:szCs w:val="18"/>
                <w:highlight w:val="none"/>
              </w:rPr>
              <w:t>300≤Y＜6000</w:t>
            </w:r>
          </w:p>
        </w:tc>
        <w:tc>
          <w:tcPr>
            <w:tcW w:w="938" w:type="dxa"/>
            <w:vAlign w:val="center"/>
          </w:tcPr>
          <w:p>
            <w:pPr>
              <w:widowControl/>
              <w:jc w:val="center"/>
              <w:rPr>
                <w:color w:val="auto"/>
                <w:sz w:val="24"/>
                <w:szCs w:val="24"/>
                <w:highlight w:val="none"/>
              </w:rPr>
            </w:pPr>
            <w:r>
              <w:rPr>
                <w:rFonts w:hint="eastAsia" w:ascii="仿宋_GB2312" w:hAnsi="仿宋" w:eastAsia="仿宋_GB2312" w:cs="宋体"/>
                <w:color w:val="auto"/>
                <w:kern w:val="0"/>
                <w:sz w:val="18"/>
                <w:szCs w:val="18"/>
                <w:highlight w:val="none"/>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1726" w:type="dxa"/>
            <w:vMerge w:val="continue"/>
            <w:vAlign w:val="center"/>
          </w:tcPr>
          <w:p>
            <w:pPr>
              <w:widowControl/>
              <w:spacing w:line="360" w:lineRule="auto"/>
              <w:jc w:val="center"/>
              <w:rPr>
                <w:rFonts w:hint="eastAsia" w:ascii="仿宋_GB2312" w:hAnsi="仿宋" w:eastAsia="仿宋_GB2312"/>
                <w:b/>
                <w:bCs/>
                <w:color w:val="auto"/>
                <w:sz w:val="18"/>
                <w:szCs w:val="18"/>
                <w:highlight w:val="none"/>
              </w:rPr>
            </w:pPr>
          </w:p>
        </w:tc>
        <w:tc>
          <w:tcPr>
            <w:tcW w:w="1404" w:type="dxa"/>
            <w:vAlign w:val="center"/>
          </w:tcPr>
          <w:p>
            <w:pPr>
              <w:widowControl/>
              <w:jc w:val="center"/>
              <w:rPr>
                <w:rFonts w:hint="eastAsia" w:ascii="仿宋_GB2312" w:hAnsi="仿宋" w:eastAsia="仿宋_GB2312"/>
                <w:color w:val="auto"/>
                <w:sz w:val="18"/>
                <w:szCs w:val="18"/>
                <w:highlight w:val="none"/>
              </w:rPr>
            </w:pPr>
            <w:r>
              <w:rPr>
                <w:rFonts w:hint="eastAsia" w:ascii="仿宋_GB2312" w:hAnsi="仿宋" w:eastAsia="仿宋_GB2312" w:cs="宋体"/>
                <w:color w:val="auto"/>
                <w:kern w:val="0"/>
                <w:sz w:val="18"/>
                <w:szCs w:val="18"/>
                <w:highlight w:val="none"/>
              </w:rPr>
              <w:t>资产总额（Z）</w:t>
            </w:r>
          </w:p>
        </w:tc>
        <w:tc>
          <w:tcPr>
            <w:tcW w:w="926" w:type="dxa"/>
            <w:vAlign w:val="center"/>
          </w:tcPr>
          <w:p>
            <w:pPr>
              <w:widowControl/>
              <w:jc w:val="center"/>
              <w:rPr>
                <w:rFonts w:hint="eastAsia" w:ascii="仿宋_GB2312" w:hAnsi="仿宋" w:eastAsia="仿宋_GB2312"/>
                <w:color w:val="auto"/>
                <w:sz w:val="18"/>
                <w:szCs w:val="18"/>
                <w:highlight w:val="none"/>
              </w:rPr>
            </w:pPr>
            <w:r>
              <w:rPr>
                <w:rFonts w:hint="eastAsia" w:ascii="仿宋_GB2312" w:hAnsi="仿宋" w:eastAsia="仿宋_GB2312" w:cs="宋体"/>
                <w:color w:val="auto"/>
                <w:kern w:val="0"/>
                <w:sz w:val="18"/>
                <w:szCs w:val="18"/>
                <w:highlight w:val="none"/>
              </w:rPr>
              <w:t>万元</w:t>
            </w:r>
          </w:p>
        </w:tc>
        <w:tc>
          <w:tcPr>
            <w:tcW w:w="1643" w:type="dxa"/>
            <w:vAlign w:val="center"/>
          </w:tcPr>
          <w:p>
            <w:pPr>
              <w:widowControl/>
              <w:jc w:val="center"/>
              <w:rPr>
                <w:rFonts w:hint="eastAsia" w:ascii="仿宋_GB2312" w:hAnsi="仿宋" w:eastAsia="仿宋_GB2312"/>
                <w:color w:val="auto"/>
                <w:sz w:val="18"/>
                <w:szCs w:val="18"/>
                <w:highlight w:val="none"/>
              </w:rPr>
            </w:pPr>
            <w:r>
              <w:rPr>
                <w:rFonts w:hint="eastAsia" w:ascii="仿宋_GB2312" w:hAnsi="仿宋" w:eastAsia="仿宋_GB2312" w:cs="宋体"/>
                <w:color w:val="auto"/>
                <w:kern w:val="0"/>
                <w:sz w:val="18"/>
                <w:szCs w:val="18"/>
                <w:highlight w:val="none"/>
              </w:rPr>
              <w:t>5000≤Z＜80000</w:t>
            </w:r>
          </w:p>
        </w:tc>
        <w:tc>
          <w:tcPr>
            <w:tcW w:w="1460" w:type="dxa"/>
            <w:vAlign w:val="center"/>
          </w:tcPr>
          <w:p>
            <w:pPr>
              <w:widowControl/>
              <w:jc w:val="center"/>
              <w:rPr>
                <w:rFonts w:hint="eastAsia" w:ascii="仿宋_GB2312" w:hAnsi="仿宋" w:eastAsia="仿宋_GB2312"/>
                <w:color w:val="auto"/>
                <w:sz w:val="18"/>
                <w:szCs w:val="18"/>
                <w:highlight w:val="none"/>
              </w:rPr>
            </w:pPr>
            <w:r>
              <w:rPr>
                <w:rFonts w:hint="eastAsia" w:ascii="仿宋_GB2312" w:hAnsi="仿宋" w:eastAsia="仿宋_GB2312" w:cs="宋体"/>
                <w:color w:val="auto"/>
                <w:kern w:val="0"/>
                <w:sz w:val="18"/>
                <w:szCs w:val="18"/>
                <w:highlight w:val="none"/>
              </w:rPr>
              <w:t>300≤Z＜5000</w:t>
            </w:r>
          </w:p>
        </w:tc>
        <w:tc>
          <w:tcPr>
            <w:tcW w:w="938" w:type="dxa"/>
            <w:vAlign w:val="center"/>
          </w:tcPr>
          <w:p>
            <w:pPr>
              <w:widowControl/>
              <w:jc w:val="center"/>
              <w:rPr>
                <w:rFonts w:hint="eastAsia" w:ascii="仿宋_GB2312" w:hAnsi="仿宋" w:eastAsia="仿宋_GB2312"/>
                <w:color w:val="auto"/>
                <w:sz w:val="18"/>
                <w:szCs w:val="18"/>
                <w:highlight w:val="none"/>
              </w:rPr>
            </w:pPr>
            <w:r>
              <w:rPr>
                <w:rFonts w:hint="eastAsia" w:ascii="仿宋_GB2312" w:hAnsi="仿宋" w:eastAsia="仿宋_GB2312" w:cs="宋体"/>
                <w:color w:val="auto"/>
                <w:kern w:val="0"/>
                <w:sz w:val="18"/>
                <w:szCs w:val="18"/>
                <w:highlight w:val="none"/>
              </w:rPr>
              <w:t>Z＜300</w:t>
            </w:r>
          </w:p>
        </w:tc>
      </w:tr>
    </w:tbl>
    <w:p>
      <w:pPr>
        <w:spacing w:line="321" w:lineRule="auto"/>
        <w:jc w:val="both"/>
        <w:rPr>
          <w:rFonts w:hint="eastAsia" w:eastAsia="宋体"/>
          <w:color w:val="auto"/>
          <w:sz w:val="21"/>
          <w:lang w:eastAsia="zh-CN"/>
        </w:rPr>
        <w:sectPr>
          <w:pgSz w:w="11910" w:h="16840"/>
          <w:pgMar w:top="1417" w:right="1417" w:bottom="1417" w:left="1417" w:header="0" w:footer="1202" w:gutter="0"/>
          <w:cols w:space="0" w:num="1"/>
        </w:sectPr>
      </w:pPr>
    </w:p>
    <w:tbl>
      <w:tblPr>
        <w:tblStyle w:val="29"/>
        <w:tblW w:w="0" w:type="auto"/>
        <w:tblInd w:w="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080"/>
        <w:gridCol w:w="600"/>
        <w:gridCol w:w="6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982" w:type="dxa"/>
            <w:gridSpan w:val="4"/>
            <w:vAlign w:val="center"/>
          </w:tcPr>
          <w:p>
            <w:pPr>
              <w:pStyle w:val="36"/>
              <w:spacing w:line="360" w:lineRule="auto"/>
              <w:jc w:val="both"/>
              <w:rPr>
                <w:rFonts w:hint="eastAsia" w:eastAsia="宋体"/>
                <w:b/>
                <w:color w:val="auto"/>
                <w:sz w:val="24"/>
                <w:szCs w:val="24"/>
                <w:highlight w:val="none"/>
                <w:lang w:eastAsia="zh-CN"/>
              </w:rPr>
            </w:pPr>
            <w:bookmarkStart w:id="25" w:name="一、项目要求及服务需求"/>
            <w:bookmarkEnd w:id="25"/>
            <w:r>
              <w:rPr>
                <w:rFonts w:hint="eastAsia"/>
                <w:b/>
                <w:color w:val="auto"/>
                <w:sz w:val="24"/>
                <w:szCs w:val="24"/>
                <w:highlight w:val="none"/>
              </w:rPr>
              <w:t>一、</w:t>
            </w:r>
            <w:r>
              <w:rPr>
                <w:rFonts w:hint="eastAsia"/>
                <w:b/>
                <w:color w:val="auto"/>
                <w:sz w:val="24"/>
                <w:szCs w:val="24"/>
                <w:highlight w:val="none"/>
                <w:lang w:eastAsia="zh-CN"/>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720" w:type="dxa"/>
            <w:vAlign w:val="center"/>
          </w:tcPr>
          <w:p>
            <w:pPr>
              <w:pStyle w:val="36"/>
              <w:spacing w:line="360" w:lineRule="auto"/>
              <w:jc w:val="center"/>
              <w:rPr>
                <w:b/>
                <w:color w:val="auto"/>
                <w:sz w:val="24"/>
                <w:szCs w:val="24"/>
                <w:highlight w:val="none"/>
              </w:rPr>
            </w:pPr>
            <w:bookmarkStart w:id="26" w:name="序号"/>
            <w:bookmarkEnd w:id="26"/>
            <w:r>
              <w:rPr>
                <w:rFonts w:hint="eastAsia"/>
                <w:b/>
                <w:color w:val="auto"/>
                <w:sz w:val="24"/>
                <w:szCs w:val="24"/>
                <w:highlight w:val="none"/>
              </w:rPr>
              <w:t>序号</w:t>
            </w:r>
          </w:p>
        </w:tc>
        <w:tc>
          <w:tcPr>
            <w:tcW w:w="1080" w:type="dxa"/>
            <w:vAlign w:val="center"/>
          </w:tcPr>
          <w:p>
            <w:pPr>
              <w:pStyle w:val="36"/>
              <w:spacing w:line="360" w:lineRule="auto"/>
              <w:jc w:val="center"/>
              <w:rPr>
                <w:b/>
                <w:color w:val="auto"/>
                <w:sz w:val="24"/>
                <w:szCs w:val="24"/>
                <w:highlight w:val="none"/>
              </w:rPr>
            </w:pPr>
            <w:bookmarkStart w:id="27" w:name="服务名称"/>
            <w:bookmarkEnd w:id="27"/>
            <w:r>
              <w:rPr>
                <w:rFonts w:hint="eastAsia"/>
                <w:b/>
                <w:color w:val="auto"/>
                <w:sz w:val="24"/>
                <w:szCs w:val="24"/>
                <w:highlight w:val="none"/>
                <w:lang w:eastAsia="zh-CN"/>
              </w:rPr>
              <w:t>项目</w:t>
            </w:r>
            <w:r>
              <w:rPr>
                <w:rFonts w:hint="eastAsia"/>
                <w:b/>
                <w:color w:val="auto"/>
                <w:sz w:val="24"/>
                <w:szCs w:val="24"/>
                <w:highlight w:val="none"/>
              </w:rPr>
              <w:t>名称</w:t>
            </w:r>
          </w:p>
        </w:tc>
        <w:tc>
          <w:tcPr>
            <w:tcW w:w="600" w:type="dxa"/>
            <w:vAlign w:val="center"/>
          </w:tcPr>
          <w:p>
            <w:pPr>
              <w:pStyle w:val="36"/>
              <w:spacing w:line="360" w:lineRule="auto"/>
              <w:jc w:val="center"/>
              <w:rPr>
                <w:b/>
                <w:color w:val="auto"/>
                <w:sz w:val="24"/>
                <w:szCs w:val="24"/>
                <w:highlight w:val="none"/>
              </w:rPr>
            </w:pPr>
            <w:bookmarkStart w:id="28" w:name="数量"/>
            <w:bookmarkEnd w:id="28"/>
            <w:r>
              <w:rPr>
                <w:rFonts w:hint="eastAsia"/>
                <w:b/>
                <w:color w:val="auto"/>
                <w:sz w:val="24"/>
                <w:szCs w:val="24"/>
                <w:highlight w:val="none"/>
              </w:rPr>
              <w:t>数量</w:t>
            </w:r>
          </w:p>
        </w:tc>
        <w:tc>
          <w:tcPr>
            <w:tcW w:w="6582" w:type="dxa"/>
            <w:vAlign w:val="center"/>
          </w:tcPr>
          <w:p>
            <w:pPr>
              <w:pStyle w:val="36"/>
              <w:spacing w:line="360" w:lineRule="auto"/>
              <w:jc w:val="center"/>
              <w:rPr>
                <w:b/>
                <w:color w:val="auto"/>
                <w:sz w:val="24"/>
                <w:szCs w:val="24"/>
                <w:highlight w:val="none"/>
              </w:rPr>
            </w:pPr>
            <w:bookmarkStart w:id="29" w:name="服务内容及要求"/>
            <w:bookmarkEnd w:id="29"/>
            <w:r>
              <w:rPr>
                <w:rFonts w:hint="eastAsia"/>
                <w:b/>
                <w:color w:val="auto"/>
                <w:sz w:val="24"/>
                <w:szCs w:val="24"/>
                <w:highlight w:val="none"/>
                <w:lang w:eastAsia="zh-CN"/>
              </w:rPr>
              <w:t>项目</w:t>
            </w:r>
            <w:r>
              <w:rPr>
                <w:rFonts w:hint="eastAsia"/>
                <w:b/>
                <w:color w:val="auto"/>
                <w:sz w:val="24"/>
                <w:szCs w:val="24"/>
                <w:highlight w:val="none"/>
              </w:rPr>
              <w:t>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6" w:hRule="atLeast"/>
        </w:trPr>
        <w:tc>
          <w:tcPr>
            <w:tcW w:w="720" w:type="dxa"/>
            <w:vAlign w:val="center"/>
          </w:tcPr>
          <w:p>
            <w:pPr>
              <w:pStyle w:val="36"/>
              <w:spacing w:line="360" w:lineRule="auto"/>
              <w:jc w:val="center"/>
              <w:rPr>
                <w:b/>
                <w:color w:val="auto"/>
                <w:sz w:val="24"/>
                <w:szCs w:val="24"/>
                <w:highlight w:val="none"/>
              </w:rPr>
            </w:pPr>
          </w:p>
          <w:p>
            <w:pPr>
              <w:pStyle w:val="36"/>
              <w:spacing w:line="360" w:lineRule="auto"/>
              <w:jc w:val="center"/>
              <w:rPr>
                <w:color w:val="auto"/>
                <w:sz w:val="24"/>
                <w:szCs w:val="24"/>
                <w:highlight w:val="none"/>
              </w:rPr>
            </w:pPr>
            <w:r>
              <w:rPr>
                <w:rFonts w:hint="eastAsia"/>
                <w:color w:val="auto"/>
                <w:w w:val="99"/>
                <w:sz w:val="24"/>
                <w:szCs w:val="24"/>
                <w:highlight w:val="none"/>
              </w:rPr>
              <w:t>1</w:t>
            </w:r>
          </w:p>
        </w:tc>
        <w:tc>
          <w:tcPr>
            <w:tcW w:w="1080" w:type="dxa"/>
            <w:vAlign w:val="center"/>
          </w:tcPr>
          <w:p>
            <w:pPr>
              <w:pStyle w:val="36"/>
              <w:spacing w:line="360" w:lineRule="auto"/>
              <w:jc w:val="center"/>
              <w:rPr>
                <w:rFonts w:hint="eastAsia" w:eastAsia="宋体"/>
                <w:color w:val="auto"/>
                <w:sz w:val="24"/>
                <w:szCs w:val="24"/>
                <w:highlight w:val="none"/>
                <w:lang w:eastAsia="zh-CN"/>
              </w:rPr>
            </w:pPr>
            <w:r>
              <w:rPr>
                <w:rFonts w:hint="eastAsia"/>
                <w:color w:val="auto"/>
                <w:sz w:val="24"/>
                <w:szCs w:val="24"/>
                <w:highlight w:val="none"/>
                <w:lang w:eastAsia="zh-CN"/>
              </w:rPr>
              <w:t>平南县思旺镇镇北村新型农村集体经济项目</w:t>
            </w:r>
          </w:p>
        </w:tc>
        <w:tc>
          <w:tcPr>
            <w:tcW w:w="600" w:type="dxa"/>
            <w:vAlign w:val="center"/>
          </w:tcPr>
          <w:p>
            <w:pPr>
              <w:pStyle w:val="36"/>
              <w:spacing w:line="360" w:lineRule="auto"/>
              <w:jc w:val="center"/>
              <w:rPr>
                <w:color w:val="auto"/>
                <w:sz w:val="24"/>
                <w:szCs w:val="24"/>
                <w:highlight w:val="none"/>
              </w:rPr>
            </w:pPr>
            <w:r>
              <w:rPr>
                <w:rFonts w:hint="eastAsia"/>
                <w:color w:val="auto"/>
                <w:sz w:val="24"/>
                <w:szCs w:val="24"/>
                <w:highlight w:val="none"/>
              </w:rPr>
              <w:t>1 项</w:t>
            </w:r>
          </w:p>
        </w:tc>
        <w:tc>
          <w:tcPr>
            <w:tcW w:w="6582" w:type="dxa"/>
            <w:vAlign w:val="center"/>
          </w:tcPr>
          <w:p>
            <w:pPr>
              <w:pStyle w:val="36"/>
              <w:spacing w:line="360" w:lineRule="auto"/>
              <w:jc w:val="both"/>
              <w:rPr>
                <w:b/>
                <w:color w:val="auto"/>
                <w:sz w:val="24"/>
                <w:szCs w:val="24"/>
                <w:highlight w:val="none"/>
              </w:rPr>
            </w:pPr>
            <w:r>
              <w:rPr>
                <w:rFonts w:hint="eastAsia"/>
                <w:b/>
                <w:color w:val="auto"/>
                <w:sz w:val="24"/>
                <w:szCs w:val="24"/>
                <w:highlight w:val="none"/>
              </w:rPr>
              <w:t>一、项目建设规模及主要建设内容</w:t>
            </w:r>
          </w:p>
          <w:p>
            <w:pPr>
              <w:pStyle w:val="36"/>
              <w:spacing w:line="360" w:lineRule="auto"/>
              <w:ind w:firstLine="464" w:firstLineChars="200"/>
              <w:jc w:val="both"/>
              <w:rPr>
                <w:rFonts w:hint="eastAsia" w:eastAsia="宋体"/>
                <w:color w:val="auto"/>
                <w:spacing w:val="-4"/>
                <w:sz w:val="24"/>
                <w:szCs w:val="24"/>
                <w:highlight w:val="none"/>
                <w:lang w:eastAsia="zh-CN"/>
              </w:rPr>
            </w:pPr>
            <w:r>
              <w:rPr>
                <w:rFonts w:hint="eastAsia"/>
                <w:color w:val="auto"/>
                <w:spacing w:val="-4"/>
                <w:sz w:val="24"/>
                <w:szCs w:val="24"/>
                <w:highlight w:val="none"/>
                <w:lang w:eastAsia="zh-CN"/>
              </w:rPr>
              <w:t>建设总建筑面积576.83平方米，占地面积576.83平方米的农产品交易中心，主体为框架混凝土结构，建筑总高度为6米。（具体详见施工图及工程量清单）</w:t>
            </w:r>
          </w:p>
          <w:p>
            <w:pPr>
              <w:pStyle w:val="36"/>
              <w:numPr>
                <w:ilvl w:val="0"/>
                <w:numId w:val="0"/>
              </w:numPr>
              <w:spacing w:line="360" w:lineRule="auto"/>
              <w:jc w:val="both"/>
              <w:rPr>
                <w:rFonts w:hint="eastAsia"/>
                <w:b/>
                <w:color w:val="auto"/>
                <w:sz w:val="24"/>
                <w:szCs w:val="24"/>
                <w:highlight w:val="none"/>
                <w:lang w:eastAsia="zh-CN"/>
              </w:rPr>
            </w:pPr>
            <w:r>
              <w:rPr>
                <w:rFonts w:hint="eastAsia"/>
                <w:b/>
                <w:color w:val="auto"/>
                <w:sz w:val="24"/>
                <w:szCs w:val="24"/>
                <w:highlight w:val="none"/>
                <w:lang w:eastAsia="zh-CN"/>
              </w:rPr>
              <w:t>二、</w:t>
            </w:r>
            <w:r>
              <w:rPr>
                <w:rFonts w:hint="eastAsia"/>
                <w:b/>
                <w:color w:val="auto"/>
                <w:sz w:val="24"/>
                <w:szCs w:val="24"/>
                <w:highlight w:val="none"/>
              </w:rPr>
              <w:t>建设地点</w:t>
            </w:r>
            <w:r>
              <w:rPr>
                <w:rFonts w:hint="eastAsia"/>
                <w:b/>
                <w:color w:val="auto"/>
                <w:sz w:val="24"/>
                <w:szCs w:val="24"/>
                <w:highlight w:val="none"/>
                <w:lang w:eastAsia="zh-CN"/>
              </w:rPr>
              <w:t>：平南县思旺镇镇北村</w:t>
            </w:r>
          </w:p>
          <w:p>
            <w:pPr>
              <w:pStyle w:val="36"/>
              <w:numPr>
                <w:ilvl w:val="0"/>
                <w:numId w:val="0"/>
              </w:numPr>
              <w:spacing w:line="360" w:lineRule="auto"/>
              <w:jc w:val="both"/>
              <w:rPr>
                <w:rFonts w:hint="eastAsia"/>
                <w:b/>
                <w:color w:val="auto"/>
                <w:sz w:val="24"/>
                <w:szCs w:val="24"/>
                <w:highlight w:val="none"/>
                <w:lang w:eastAsia="zh-CN"/>
              </w:rPr>
            </w:pPr>
            <w:r>
              <w:rPr>
                <w:rFonts w:hint="eastAsia"/>
                <w:b/>
                <w:color w:val="auto"/>
                <w:sz w:val="24"/>
                <w:szCs w:val="24"/>
                <w:highlight w:val="none"/>
                <w:lang w:eastAsia="zh-CN"/>
              </w:rPr>
              <w:t>三、资金来源及出资比例：申请上级补助资金</w:t>
            </w:r>
          </w:p>
          <w:p>
            <w:pPr>
              <w:pStyle w:val="36"/>
              <w:numPr>
                <w:ilvl w:val="0"/>
                <w:numId w:val="0"/>
              </w:numPr>
              <w:spacing w:line="360" w:lineRule="auto"/>
              <w:jc w:val="both"/>
              <w:rPr>
                <w:rFonts w:hint="eastAsia"/>
                <w:b/>
                <w:color w:val="auto"/>
                <w:sz w:val="24"/>
                <w:szCs w:val="24"/>
                <w:highlight w:val="none"/>
                <w:lang w:eastAsia="zh-CN"/>
              </w:rPr>
            </w:pPr>
            <w:r>
              <w:rPr>
                <w:rFonts w:hint="eastAsia"/>
                <w:b/>
                <w:color w:val="auto"/>
                <w:sz w:val="24"/>
                <w:szCs w:val="24"/>
                <w:highlight w:val="none"/>
                <w:lang w:eastAsia="zh-CN"/>
              </w:rPr>
              <w:t>四、合同形式：固定综合单价</w:t>
            </w:r>
          </w:p>
          <w:p>
            <w:pPr>
              <w:pStyle w:val="36"/>
              <w:numPr>
                <w:ilvl w:val="0"/>
                <w:numId w:val="0"/>
              </w:numPr>
              <w:spacing w:line="360" w:lineRule="auto"/>
              <w:jc w:val="both"/>
              <w:rPr>
                <w:color w:val="auto"/>
                <w:sz w:val="24"/>
                <w:szCs w:val="24"/>
                <w:highlight w:val="none"/>
              </w:rPr>
            </w:pPr>
            <w:r>
              <w:rPr>
                <w:rFonts w:hint="eastAsia"/>
                <w:b/>
                <w:color w:val="auto"/>
                <w:sz w:val="24"/>
                <w:szCs w:val="24"/>
                <w:highlight w:val="none"/>
                <w:lang w:eastAsia="zh-CN"/>
              </w:rPr>
              <w:t>五、要求工期：计划工期:</w:t>
            </w:r>
            <w:r>
              <w:rPr>
                <w:rFonts w:hint="eastAsia"/>
                <w:b/>
                <w:color w:val="auto"/>
                <w:sz w:val="24"/>
                <w:szCs w:val="24"/>
                <w:highlight w:val="none"/>
                <w:lang w:val="en-US" w:eastAsia="zh-CN"/>
              </w:rPr>
              <w:t>90</w:t>
            </w:r>
            <w:r>
              <w:rPr>
                <w:rFonts w:hint="eastAsia"/>
                <w:b/>
                <w:color w:val="auto"/>
                <w:sz w:val="24"/>
                <w:szCs w:val="24"/>
                <w:highlight w:val="none"/>
                <w:lang w:eastAsia="zh-CN"/>
              </w:rPr>
              <w:t>日历天，定额工期：</w:t>
            </w:r>
            <w:r>
              <w:rPr>
                <w:rFonts w:hint="eastAsia"/>
                <w:b/>
                <w:color w:val="auto"/>
                <w:sz w:val="24"/>
                <w:szCs w:val="24"/>
                <w:highlight w:val="none"/>
                <w:lang w:val="en-US" w:eastAsia="zh-CN"/>
              </w:rPr>
              <w:t>90</w:t>
            </w:r>
            <w:r>
              <w:rPr>
                <w:rFonts w:hint="eastAsia"/>
                <w:b/>
                <w:color w:val="auto"/>
                <w:sz w:val="24"/>
                <w:szCs w:val="24"/>
                <w:highlight w:val="none"/>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8982" w:type="dxa"/>
            <w:gridSpan w:val="4"/>
            <w:vAlign w:val="center"/>
          </w:tcPr>
          <w:p>
            <w:pPr>
              <w:pStyle w:val="36"/>
              <w:spacing w:line="360" w:lineRule="auto"/>
              <w:rPr>
                <w:b/>
                <w:color w:val="auto"/>
                <w:sz w:val="24"/>
                <w:szCs w:val="24"/>
                <w:highlight w:val="none"/>
              </w:rPr>
            </w:pPr>
            <w:r>
              <w:rPr>
                <w:rFonts w:hint="eastAsia"/>
                <w:b/>
                <w:color w:val="auto"/>
                <w:sz w:val="24"/>
                <w:szCs w:val="24"/>
                <w:highlight w:val="none"/>
              </w:rPr>
              <w:t>二、商务要求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800" w:type="dxa"/>
            <w:gridSpan w:val="2"/>
            <w:vAlign w:val="center"/>
          </w:tcPr>
          <w:p>
            <w:pPr>
              <w:pStyle w:val="36"/>
              <w:spacing w:line="360" w:lineRule="auto"/>
              <w:jc w:val="center"/>
              <w:rPr>
                <w:color w:val="auto"/>
                <w:sz w:val="24"/>
                <w:szCs w:val="24"/>
                <w:highlight w:val="none"/>
              </w:rPr>
            </w:pPr>
            <w:r>
              <w:rPr>
                <w:rFonts w:hint="eastAsia"/>
                <w:color w:val="auto"/>
                <w:sz w:val="24"/>
                <w:szCs w:val="24"/>
                <w:highlight w:val="none"/>
              </w:rPr>
              <w:t>合同签订时间</w:t>
            </w:r>
          </w:p>
        </w:tc>
        <w:tc>
          <w:tcPr>
            <w:tcW w:w="7182" w:type="dxa"/>
            <w:gridSpan w:val="2"/>
          </w:tcPr>
          <w:p>
            <w:pPr>
              <w:pStyle w:val="36"/>
              <w:spacing w:line="360" w:lineRule="auto"/>
              <w:rPr>
                <w:color w:val="auto"/>
                <w:sz w:val="24"/>
                <w:szCs w:val="24"/>
                <w:highlight w:val="none"/>
              </w:rPr>
            </w:pPr>
            <w:r>
              <w:rPr>
                <w:rFonts w:hint="eastAsia"/>
                <w:color w:val="auto"/>
                <w:sz w:val="24"/>
                <w:szCs w:val="24"/>
                <w:highlight w:val="none"/>
              </w:rPr>
              <w:t>自成交通知书发出之日起</w:t>
            </w:r>
            <w:r>
              <w:rPr>
                <w:rFonts w:hint="eastAsia"/>
                <w:color w:val="auto"/>
                <w:sz w:val="24"/>
                <w:szCs w:val="24"/>
                <w:highlight w:val="none"/>
                <w:lang w:val="en-US"/>
              </w:rPr>
              <w:t>20</w:t>
            </w:r>
            <w:r>
              <w:rPr>
                <w:rFonts w:hint="eastAsia"/>
                <w:color w:val="auto"/>
                <w:sz w:val="24"/>
                <w:szCs w:val="24"/>
                <w:highlight w:val="none"/>
              </w:rPr>
              <w:t>日历天内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1800" w:type="dxa"/>
            <w:gridSpan w:val="2"/>
            <w:vAlign w:val="center"/>
          </w:tcPr>
          <w:p>
            <w:pPr>
              <w:pStyle w:val="36"/>
              <w:spacing w:line="360" w:lineRule="auto"/>
              <w:jc w:val="center"/>
              <w:rPr>
                <w:color w:val="auto"/>
                <w:sz w:val="24"/>
                <w:szCs w:val="24"/>
                <w:highlight w:val="none"/>
              </w:rPr>
            </w:pPr>
            <w:r>
              <w:rPr>
                <w:rFonts w:hint="eastAsia"/>
                <w:color w:val="auto"/>
                <w:sz w:val="24"/>
                <w:szCs w:val="24"/>
                <w:highlight w:val="none"/>
              </w:rPr>
              <w:t>报价要求</w:t>
            </w:r>
          </w:p>
        </w:tc>
        <w:tc>
          <w:tcPr>
            <w:tcW w:w="7182" w:type="dxa"/>
            <w:gridSpan w:val="2"/>
          </w:tcPr>
          <w:p>
            <w:pPr>
              <w:pStyle w:val="36"/>
              <w:spacing w:line="360" w:lineRule="auto"/>
              <w:rPr>
                <w:rFonts w:hint="eastAsia"/>
                <w:color w:val="auto"/>
                <w:sz w:val="24"/>
                <w:szCs w:val="24"/>
                <w:highlight w:val="none"/>
              </w:rPr>
            </w:pPr>
            <w:r>
              <w:rPr>
                <w:rFonts w:hint="eastAsia"/>
                <w:color w:val="auto"/>
                <w:sz w:val="24"/>
                <w:szCs w:val="24"/>
                <w:highlight w:val="none"/>
              </w:rPr>
              <w:t>1、本项目采用</w:t>
            </w:r>
            <w:r>
              <w:rPr>
                <w:rFonts w:hint="eastAsia"/>
                <w:b/>
                <w:color w:val="auto"/>
                <w:sz w:val="24"/>
                <w:szCs w:val="24"/>
                <w:highlight w:val="none"/>
                <w:lang w:eastAsia="zh-CN"/>
              </w:rPr>
              <w:t>固定综合单价</w:t>
            </w:r>
            <w:r>
              <w:rPr>
                <w:rFonts w:hint="eastAsia"/>
                <w:color w:val="auto"/>
                <w:sz w:val="24"/>
                <w:szCs w:val="24"/>
                <w:highlight w:val="none"/>
              </w:rPr>
              <w:t>进行报价。供应商的报价超出采购预算价的作为无效报价处理。</w:t>
            </w:r>
          </w:p>
          <w:p>
            <w:pPr>
              <w:pStyle w:val="36"/>
              <w:spacing w:line="360" w:lineRule="auto"/>
              <w:rPr>
                <w:rFonts w:hint="eastAsia"/>
                <w:color w:val="auto"/>
                <w:sz w:val="24"/>
                <w:szCs w:val="24"/>
                <w:highlight w:val="none"/>
              </w:rPr>
            </w:pPr>
            <w:r>
              <w:rPr>
                <w:rFonts w:hint="eastAsia"/>
                <w:color w:val="auto"/>
                <w:sz w:val="24"/>
                <w:szCs w:val="24"/>
                <w:highlight w:val="none"/>
              </w:rPr>
              <w:t>2、供应商的报价已包括了实施和完成</w:t>
            </w:r>
            <w:r>
              <w:rPr>
                <w:rFonts w:hint="eastAsia"/>
                <w:color w:val="auto"/>
                <w:sz w:val="24"/>
                <w:szCs w:val="24"/>
                <w:highlight w:val="none"/>
                <w:lang w:eastAsia="zh-CN"/>
              </w:rPr>
              <w:t>项目</w:t>
            </w:r>
            <w:r>
              <w:rPr>
                <w:rFonts w:hint="eastAsia"/>
                <w:color w:val="auto"/>
                <w:sz w:val="24"/>
                <w:szCs w:val="24"/>
                <w:highlight w:val="none"/>
              </w:rPr>
              <w:t>所需的劳务费、技术服务费、交通、通讯、办公场地、管理费、税费和利润等费用和政策性文件规定及合同包含的所有风险、责任等各项应有的费用。</w:t>
            </w:r>
          </w:p>
          <w:p>
            <w:pPr>
              <w:pStyle w:val="36"/>
              <w:spacing w:line="360" w:lineRule="auto"/>
              <w:rPr>
                <w:color w:val="auto"/>
                <w:sz w:val="24"/>
                <w:szCs w:val="24"/>
                <w:highlight w:val="none"/>
              </w:rPr>
            </w:pPr>
            <w:r>
              <w:rPr>
                <w:rFonts w:hint="eastAsia"/>
                <w:color w:val="auto"/>
                <w:sz w:val="24"/>
                <w:szCs w:val="24"/>
                <w:highlight w:val="none"/>
              </w:rPr>
              <w:t>3、本项目合同价款包含合同服务过程中所产生的所有费用，合同价在合同实施期间不因市场价格变化因素而变动。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800" w:type="dxa"/>
            <w:gridSpan w:val="2"/>
            <w:vAlign w:val="center"/>
          </w:tcPr>
          <w:p>
            <w:pPr>
              <w:pStyle w:val="36"/>
              <w:spacing w:line="360" w:lineRule="auto"/>
              <w:jc w:val="center"/>
              <w:rPr>
                <w:rFonts w:hint="eastAsia" w:eastAsia="宋体"/>
                <w:b/>
                <w:color w:val="auto"/>
                <w:sz w:val="24"/>
                <w:szCs w:val="24"/>
                <w:highlight w:val="none"/>
                <w:lang w:val="en-US" w:eastAsia="zh-CN"/>
              </w:rPr>
            </w:pPr>
            <w:r>
              <w:rPr>
                <w:rFonts w:hint="eastAsia"/>
                <w:b/>
                <w:color w:val="auto"/>
                <w:sz w:val="24"/>
                <w:szCs w:val="24"/>
                <w:highlight w:val="none"/>
                <w:lang w:val="en-US" w:eastAsia="zh-CN"/>
              </w:rPr>
              <w:t>合同履约期限</w:t>
            </w:r>
          </w:p>
        </w:tc>
        <w:tc>
          <w:tcPr>
            <w:tcW w:w="7182" w:type="dxa"/>
            <w:gridSpan w:val="2"/>
            <w:vAlign w:val="center"/>
          </w:tcPr>
          <w:p>
            <w:pPr>
              <w:pStyle w:val="36"/>
              <w:spacing w:line="360" w:lineRule="auto"/>
              <w:jc w:val="both"/>
              <w:rPr>
                <w:rFonts w:hint="eastAsia" w:eastAsia="宋体"/>
                <w:color w:val="auto"/>
                <w:sz w:val="24"/>
                <w:szCs w:val="24"/>
                <w:highlight w:val="none"/>
                <w:lang w:eastAsia="zh-CN"/>
              </w:rPr>
            </w:pPr>
            <w:r>
              <w:rPr>
                <w:rFonts w:hint="eastAsia"/>
                <w:b/>
                <w:color w:val="auto"/>
                <w:sz w:val="24"/>
                <w:szCs w:val="24"/>
                <w:highlight w:val="none"/>
                <w:lang w:eastAsia="zh-CN"/>
              </w:rPr>
              <w:t>计划工期:</w:t>
            </w:r>
            <w:r>
              <w:rPr>
                <w:rFonts w:hint="eastAsia"/>
                <w:b/>
                <w:color w:val="auto"/>
                <w:sz w:val="24"/>
                <w:szCs w:val="24"/>
                <w:highlight w:val="none"/>
                <w:lang w:val="en-US" w:eastAsia="zh-CN"/>
              </w:rPr>
              <w:t>90</w:t>
            </w:r>
            <w:r>
              <w:rPr>
                <w:rFonts w:hint="eastAsia"/>
                <w:b/>
                <w:color w:val="auto"/>
                <w:sz w:val="24"/>
                <w:szCs w:val="24"/>
                <w:highlight w:val="none"/>
                <w:lang w:eastAsia="zh-CN"/>
              </w:rPr>
              <w:t>日历天，定额工期：</w:t>
            </w:r>
            <w:r>
              <w:rPr>
                <w:rFonts w:hint="eastAsia"/>
                <w:b/>
                <w:color w:val="auto"/>
                <w:sz w:val="24"/>
                <w:szCs w:val="24"/>
                <w:highlight w:val="none"/>
                <w:lang w:val="en-US" w:eastAsia="zh-CN"/>
              </w:rPr>
              <w:t>90</w:t>
            </w:r>
            <w:r>
              <w:rPr>
                <w:rFonts w:hint="eastAsia"/>
                <w:b/>
                <w:color w:val="auto"/>
                <w:sz w:val="24"/>
                <w:szCs w:val="24"/>
                <w:highlight w:val="none"/>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800" w:type="dxa"/>
            <w:gridSpan w:val="2"/>
            <w:vAlign w:val="center"/>
          </w:tcPr>
          <w:p>
            <w:pPr>
              <w:pStyle w:val="36"/>
              <w:spacing w:line="360" w:lineRule="auto"/>
              <w:jc w:val="center"/>
              <w:rPr>
                <w:b/>
                <w:color w:val="auto"/>
                <w:sz w:val="24"/>
                <w:szCs w:val="24"/>
                <w:highlight w:val="none"/>
              </w:rPr>
            </w:pPr>
            <w:r>
              <w:rPr>
                <w:rFonts w:hint="eastAsia"/>
                <w:b/>
                <w:color w:val="auto"/>
                <w:sz w:val="24"/>
                <w:szCs w:val="24"/>
                <w:highlight w:val="none"/>
              </w:rPr>
              <w:t>质量要求</w:t>
            </w:r>
          </w:p>
        </w:tc>
        <w:tc>
          <w:tcPr>
            <w:tcW w:w="7182" w:type="dxa"/>
            <w:gridSpan w:val="2"/>
          </w:tcPr>
          <w:p>
            <w:pPr>
              <w:pStyle w:val="36"/>
              <w:spacing w:line="360" w:lineRule="auto"/>
              <w:rPr>
                <w:rFonts w:hint="eastAsia" w:eastAsia="宋体"/>
                <w:color w:val="auto"/>
                <w:sz w:val="24"/>
                <w:szCs w:val="24"/>
                <w:highlight w:val="none"/>
                <w:lang w:eastAsia="zh-CN"/>
              </w:rPr>
            </w:pPr>
            <w:r>
              <w:rPr>
                <w:rFonts w:hint="eastAsia"/>
                <w:color w:val="auto"/>
                <w:sz w:val="24"/>
                <w:szCs w:val="24"/>
                <w:highlight w:val="none"/>
              </w:rPr>
              <w:t>达到国家施工验收规范合格标准</w:t>
            </w:r>
            <w:r>
              <w:rPr>
                <w:rFonts w:hint="eastAsia"/>
                <w:color w:val="auto"/>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800" w:type="dxa"/>
            <w:gridSpan w:val="2"/>
            <w:vAlign w:val="center"/>
          </w:tcPr>
          <w:p>
            <w:pPr>
              <w:pStyle w:val="36"/>
              <w:spacing w:line="360" w:lineRule="auto"/>
              <w:jc w:val="center"/>
              <w:rPr>
                <w:color w:val="auto"/>
                <w:sz w:val="24"/>
                <w:szCs w:val="24"/>
                <w:highlight w:val="none"/>
              </w:rPr>
            </w:pPr>
            <w:r>
              <w:rPr>
                <w:rFonts w:hint="eastAsia"/>
                <w:color w:val="auto"/>
                <w:sz w:val="24"/>
                <w:szCs w:val="24"/>
                <w:highlight w:val="none"/>
              </w:rPr>
              <w:t>付款方式</w:t>
            </w:r>
          </w:p>
        </w:tc>
        <w:tc>
          <w:tcPr>
            <w:tcW w:w="7182" w:type="dxa"/>
            <w:gridSpan w:val="2"/>
          </w:tcPr>
          <w:p>
            <w:pPr>
              <w:pStyle w:val="36"/>
              <w:spacing w:line="360" w:lineRule="auto"/>
              <w:rPr>
                <w:rFonts w:hint="eastAsia"/>
                <w:color w:val="auto"/>
                <w:sz w:val="24"/>
                <w:szCs w:val="24"/>
                <w:highlight w:val="none"/>
              </w:rPr>
            </w:pPr>
            <w:r>
              <w:rPr>
                <w:rFonts w:hint="eastAsia"/>
                <w:b/>
                <w:bCs/>
                <w:color w:val="auto"/>
                <w:sz w:val="24"/>
                <w:szCs w:val="24"/>
                <w:highlight w:val="none"/>
              </w:rPr>
              <w:t>本项目预付款</w:t>
            </w:r>
            <w:r>
              <w:rPr>
                <w:rFonts w:hint="eastAsia"/>
                <w:b/>
                <w:bCs/>
                <w:color w:val="auto"/>
                <w:sz w:val="24"/>
                <w:szCs w:val="24"/>
                <w:highlight w:val="none"/>
                <w:lang w:eastAsia="zh-CN"/>
              </w:rPr>
              <w:t>比例为</w:t>
            </w:r>
            <w:r>
              <w:rPr>
                <w:rFonts w:hint="eastAsia"/>
                <w:b/>
                <w:bCs/>
                <w:color w:val="auto"/>
                <w:sz w:val="24"/>
                <w:szCs w:val="24"/>
                <w:highlight w:val="none"/>
                <w:lang w:val="en-US" w:eastAsia="zh-CN"/>
              </w:rPr>
              <w:t>30%，合同签订后承包人进场施工后5个工作日内支付</w:t>
            </w:r>
            <w:r>
              <w:rPr>
                <w:rFonts w:hint="eastAsia"/>
                <w:color w:val="auto"/>
                <w:sz w:val="24"/>
                <w:szCs w:val="24"/>
                <w:highlight w:val="none"/>
              </w:rPr>
              <w:t>。</w:t>
            </w:r>
            <w:r>
              <w:rPr>
                <w:rFonts w:hint="eastAsia"/>
                <w:color w:val="auto"/>
                <w:sz w:val="24"/>
                <w:szCs w:val="24"/>
                <w:highlight w:val="none"/>
                <w:lang w:eastAsia="zh-CN"/>
              </w:rPr>
              <w:t>工程款原则上按月支付，工程进度款支付限额为已完成工程量的80%。</w:t>
            </w:r>
          </w:p>
          <w:p>
            <w:pPr>
              <w:pStyle w:val="36"/>
              <w:spacing w:line="360" w:lineRule="auto"/>
              <w:rPr>
                <w:rFonts w:hint="eastAsia"/>
                <w:color w:val="auto"/>
                <w:sz w:val="24"/>
                <w:szCs w:val="24"/>
                <w:highlight w:val="none"/>
              </w:rPr>
            </w:pPr>
            <w:r>
              <w:rPr>
                <w:rFonts w:hint="eastAsia" w:ascii="宋体" w:hAnsi="宋体" w:cs="宋体"/>
                <w:b/>
                <w:bCs/>
                <w:color w:val="auto"/>
                <w:sz w:val="24"/>
                <w:highlight w:val="none"/>
              </w:rPr>
              <w:t>注：如采购人在签订合同时，供应商明确表示无需预付款或者主动要求降低预付款比例的，采购人可不适用前述规定。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800" w:type="dxa"/>
            <w:gridSpan w:val="2"/>
            <w:vAlign w:val="center"/>
          </w:tcPr>
          <w:p>
            <w:pPr>
              <w:pStyle w:val="36"/>
              <w:spacing w:line="360" w:lineRule="auto"/>
              <w:jc w:val="center"/>
              <w:rPr>
                <w:color w:val="auto"/>
                <w:sz w:val="24"/>
                <w:szCs w:val="24"/>
                <w:highlight w:val="none"/>
              </w:rPr>
            </w:pPr>
            <w:r>
              <w:rPr>
                <w:rFonts w:hint="eastAsia"/>
                <w:color w:val="auto"/>
                <w:sz w:val="24"/>
                <w:szCs w:val="24"/>
                <w:highlight w:val="none"/>
              </w:rPr>
              <w:t>验收标准及要求</w:t>
            </w:r>
          </w:p>
        </w:tc>
        <w:tc>
          <w:tcPr>
            <w:tcW w:w="7182" w:type="dxa"/>
            <w:gridSpan w:val="2"/>
          </w:tcPr>
          <w:p>
            <w:pPr>
              <w:pStyle w:val="36"/>
              <w:spacing w:line="360" w:lineRule="auto"/>
              <w:rPr>
                <w:color w:val="auto"/>
                <w:sz w:val="24"/>
                <w:szCs w:val="24"/>
                <w:highlight w:val="none"/>
              </w:rPr>
            </w:pPr>
            <w:r>
              <w:rPr>
                <w:rFonts w:hint="eastAsia"/>
                <w:color w:val="auto"/>
                <w:sz w:val="24"/>
                <w:szCs w:val="24"/>
                <w:highlight w:val="none"/>
              </w:rPr>
              <w:t>1.国家强制性标准及有关规定。</w:t>
            </w:r>
          </w:p>
          <w:p>
            <w:pPr>
              <w:pStyle w:val="36"/>
              <w:spacing w:line="360" w:lineRule="auto"/>
              <w:rPr>
                <w:color w:val="auto"/>
                <w:sz w:val="24"/>
                <w:szCs w:val="24"/>
                <w:highlight w:val="none"/>
              </w:rPr>
            </w:pPr>
            <w:r>
              <w:rPr>
                <w:rFonts w:hint="eastAsia"/>
                <w:color w:val="auto"/>
                <w:sz w:val="24"/>
                <w:szCs w:val="24"/>
                <w:highlight w:val="none"/>
                <w:lang w:val="en-US"/>
              </w:rPr>
              <w:t>2.</w:t>
            </w:r>
            <w:r>
              <w:rPr>
                <w:rFonts w:hint="eastAsia"/>
                <w:color w:val="auto"/>
                <w:sz w:val="24"/>
                <w:szCs w:val="24"/>
                <w:highlight w:val="none"/>
              </w:rPr>
              <w:t>竞争性磋商文件的采购需求及成交供应商响应文件响应的事项。</w:t>
            </w:r>
          </w:p>
        </w:tc>
      </w:tr>
    </w:tbl>
    <w:p>
      <w:pPr>
        <w:spacing w:line="253" w:lineRule="exact"/>
        <w:rPr>
          <w:color w:val="auto"/>
          <w:sz w:val="21"/>
        </w:rPr>
        <w:sectPr>
          <w:pgSz w:w="11910" w:h="16840"/>
          <w:pgMar w:top="1417" w:right="1417" w:bottom="1417" w:left="1417" w:header="0" w:footer="1202" w:gutter="0"/>
          <w:cols w:space="0" w:num="1"/>
        </w:sectPr>
      </w:pPr>
    </w:p>
    <w:p>
      <w:pPr>
        <w:pStyle w:val="4"/>
        <w:spacing w:before="0" w:line="360" w:lineRule="auto"/>
        <w:ind w:right="0"/>
        <w:rPr>
          <w:color w:val="auto"/>
          <w:sz w:val="32"/>
          <w:szCs w:val="32"/>
        </w:rPr>
      </w:pPr>
      <w:bookmarkStart w:id="30" w:name="第四章__评审程序、评审方法和评审标准"/>
      <w:bookmarkEnd w:id="30"/>
      <w:bookmarkStart w:id="31" w:name="_bookmark3"/>
      <w:bookmarkEnd w:id="31"/>
      <w:bookmarkStart w:id="32" w:name="_Toc21"/>
      <w:r>
        <w:rPr>
          <w:color w:val="auto"/>
          <w:sz w:val="32"/>
          <w:szCs w:val="32"/>
        </w:rPr>
        <w:t>第四章</w:t>
      </w:r>
      <w:r>
        <w:rPr>
          <w:color w:val="auto"/>
          <w:sz w:val="32"/>
          <w:szCs w:val="32"/>
        </w:rPr>
        <w:tab/>
      </w:r>
      <w:r>
        <w:rPr>
          <w:color w:val="auto"/>
          <w:sz w:val="32"/>
          <w:szCs w:val="32"/>
        </w:rPr>
        <w:t>评审程序、评审方法和评审标准</w:t>
      </w:r>
      <w:bookmarkEnd w:id="32"/>
    </w:p>
    <w:p>
      <w:pPr>
        <w:pStyle w:val="5"/>
        <w:ind w:left="1769" w:right="1769"/>
        <w:rPr>
          <w:rFonts w:ascii="宋体" w:hAnsi="宋体" w:eastAsia="宋体" w:cs="宋体"/>
          <w:b/>
          <w:bCs/>
          <w:color w:val="auto"/>
          <w:sz w:val="30"/>
          <w:szCs w:val="30"/>
        </w:rPr>
      </w:pPr>
      <w:bookmarkStart w:id="33" w:name="_Toc28493"/>
      <w:r>
        <w:rPr>
          <w:rFonts w:hint="eastAsia" w:ascii="宋体" w:hAnsi="宋体" w:eastAsia="宋体" w:cs="宋体"/>
          <w:b/>
          <w:bCs/>
          <w:color w:val="auto"/>
          <w:sz w:val="30"/>
          <w:szCs w:val="30"/>
        </w:rPr>
        <w:t>一、评审程序和评审方法</w:t>
      </w:r>
      <w:bookmarkEnd w:id="33"/>
    </w:p>
    <w:p>
      <w:pPr>
        <w:pStyle w:val="14"/>
        <w:rPr>
          <w:b/>
          <w:color w:val="auto"/>
          <w:sz w:val="32"/>
        </w:rPr>
      </w:pPr>
    </w:p>
    <w:p>
      <w:pPr>
        <w:pStyle w:val="12"/>
        <w:numPr>
          <w:ilvl w:val="0"/>
          <w:numId w:val="14"/>
        </w:numPr>
        <w:tabs>
          <w:tab w:val="left" w:pos="1041"/>
        </w:tabs>
        <w:spacing w:line="360" w:lineRule="auto"/>
        <w:ind w:left="-99" w:firstLine="442"/>
        <w:jc w:val="left"/>
        <w:rPr>
          <w:rFonts w:ascii="宋体" w:hAnsi="宋体" w:eastAsia="宋体" w:cs="宋体"/>
          <w:color w:val="auto"/>
          <w:sz w:val="22"/>
          <w:szCs w:val="22"/>
        </w:rPr>
      </w:pPr>
      <w:r>
        <w:rPr>
          <w:rFonts w:hint="eastAsia" w:ascii="宋体" w:hAnsi="宋体" w:eastAsia="宋体" w:cs="宋体"/>
          <w:color w:val="auto"/>
          <w:sz w:val="22"/>
          <w:szCs w:val="22"/>
        </w:rPr>
        <w:t>资格审查</w:t>
      </w:r>
    </w:p>
    <w:p>
      <w:pPr>
        <w:pStyle w:val="35"/>
        <w:numPr>
          <w:ilvl w:val="1"/>
          <w:numId w:val="14"/>
        </w:numPr>
        <w:tabs>
          <w:tab w:val="left" w:pos="1108"/>
        </w:tabs>
        <w:spacing w:line="360" w:lineRule="auto"/>
        <w:ind w:left="0" w:firstLine="440" w:firstLineChars="200"/>
        <w:jc w:val="both"/>
        <w:rPr>
          <w:color w:val="auto"/>
        </w:rPr>
      </w:pPr>
      <w:r>
        <w:rPr>
          <w:rFonts w:hint="eastAsia"/>
          <w:color w:val="auto"/>
        </w:rPr>
        <w:t>响应文件开启后，磋商小组依法对供应商的资格证明文件进行审查。</w:t>
      </w:r>
    </w:p>
    <w:p>
      <w:pPr>
        <w:pStyle w:val="35"/>
        <w:numPr>
          <w:ilvl w:val="0"/>
          <w:numId w:val="15"/>
        </w:numPr>
        <w:tabs>
          <w:tab w:val="left" w:pos="1265"/>
        </w:tabs>
        <w:spacing w:line="360" w:lineRule="auto"/>
        <w:ind w:left="0" w:firstLine="440" w:firstLineChars="200"/>
        <w:jc w:val="both"/>
        <w:rPr>
          <w:color w:val="auto"/>
        </w:rPr>
      </w:pPr>
      <w:r>
        <w:rPr>
          <w:rFonts w:hint="eastAsia"/>
          <w:color w:val="auto"/>
        </w:rPr>
        <w:t>查询渠道：“信用中国”网站（</w:t>
      </w:r>
      <w:r>
        <w:rPr>
          <w:color w:val="auto"/>
        </w:rPr>
        <w:fldChar w:fldCharType="begin"/>
      </w:r>
      <w:r>
        <w:rPr>
          <w:color w:val="auto"/>
        </w:rPr>
        <w:instrText xml:space="preserve"> HYPERLINK "http://www.creditchina.gov.cn/" \h </w:instrText>
      </w:r>
      <w:r>
        <w:rPr>
          <w:color w:val="auto"/>
        </w:rPr>
        <w:fldChar w:fldCharType="separate"/>
      </w:r>
      <w:r>
        <w:rPr>
          <w:rFonts w:hint="eastAsia"/>
          <w:color w:val="auto"/>
        </w:rPr>
        <w:t>www.creditchina.gov.cn</w:t>
      </w:r>
      <w:r>
        <w:rPr>
          <w:rFonts w:hint="eastAsia"/>
          <w:color w:val="auto"/>
        </w:rPr>
        <w:fldChar w:fldCharType="end"/>
      </w:r>
      <w:r>
        <w:rPr>
          <w:rFonts w:hint="eastAsia"/>
          <w:color w:val="auto"/>
        </w:rPr>
        <w:t>）、中国政府采购网（</w:t>
      </w:r>
      <w:r>
        <w:rPr>
          <w:color w:val="auto"/>
        </w:rPr>
        <w:fldChar w:fldCharType="begin"/>
      </w:r>
      <w:r>
        <w:rPr>
          <w:color w:val="auto"/>
        </w:rPr>
        <w:instrText xml:space="preserve"> HYPERLINK "http://www.ccgp.gov.cn/" \h </w:instrText>
      </w:r>
      <w:r>
        <w:rPr>
          <w:color w:val="auto"/>
        </w:rPr>
        <w:fldChar w:fldCharType="separate"/>
      </w:r>
      <w:r>
        <w:rPr>
          <w:rFonts w:hint="eastAsia"/>
          <w:color w:val="auto"/>
        </w:rPr>
        <w:t>www.ccgp.gov.cn</w:t>
      </w:r>
      <w:r>
        <w:rPr>
          <w:rFonts w:hint="eastAsia"/>
          <w:color w:val="auto"/>
        </w:rPr>
        <w:fldChar w:fldCharType="end"/>
      </w:r>
      <w:r>
        <w:rPr>
          <w:rFonts w:hint="eastAsia"/>
          <w:color w:val="auto"/>
        </w:rPr>
        <w:t>）</w:t>
      </w:r>
    </w:p>
    <w:p>
      <w:pPr>
        <w:pStyle w:val="35"/>
        <w:numPr>
          <w:ilvl w:val="0"/>
          <w:numId w:val="15"/>
        </w:numPr>
        <w:tabs>
          <w:tab w:val="left" w:pos="1265"/>
        </w:tabs>
        <w:spacing w:line="360" w:lineRule="auto"/>
        <w:ind w:left="0" w:firstLine="440" w:firstLineChars="200"/>
        <w:rPr>
          <w:color w:val="auto"/>
        </w:rPr>
      </w:pPr>
      <w:r>
        <w:rPr>
          <w:rFonts w:hint="eastAsia"/>
          <w:color w:val="auto"/>
        </w:rPr>
        <w:t>信用查询截止时点：资格审查结束前</w:t>
      </w:r>
    </w:p>
    <w:p>
      <w:pPr>
        <w:pStyle w:val="35"/>
        <w:numPr>
          <w:ilvl w:val="0"/>
          <w:numId w:val="15"/>
        </w:numPr>
        <w:tabs>
          <w:tab w:val="left" w:pos="1265"/>
        </w:tabs>
        <w:spacing w:line="360" w:lineRule="auto"/>
        <w:ind w:left="0" w:firstLine="440" w:firstLineChars="200"/>
        <w:rPr>
          <w:color w:val="auto"/>
        </w:rPr>
      </w:pPr>
      <w:r>
        <w:rPr>
          <w:rFonts w:hint="eastAsia"/>
          <w:color w:val="auto"/>
        </w:rPr>
        <w:t>查询记录和证据留存方式：将查询网站中的查询记录截图并作为评审资料保存。</w:t>
      </w:r>
    </w:p>
    <w:p>
      <w:pPr>
        <w:pStyle w:val="35"/>
        <w:numPr>
          <w:ilvl w:val="0"/>
          <w:numId w:val="15"/>
        </w:numPr>
        <w:tabs>
          <w:tab w:val="left" w:pos="1265"/>
        </w:tabs>
        <w:spacing w:line="360" w:lineRule="auto"/>
        <w:ind w:left="0" w:firstLine="440" w:firstLineChars="200"/>
        <w:jc w:val="both"/>
        <w:rPr>
          <w:color w:val="auto"/>
        </w:rPr>
      </w:pPr>
      <w:r>
        <w:rPr>
          <w:rFonts w:hint="eastAsia"/>
          <w:color w:val="auto"/>
        </w:rPr>
        <w:t>信用信息使用规则：根据财政部《关于在政府采购活动中查询及使用信用记录有关问题的通知》（财库〔2016</w:t>
      </w:r>
      <w:r>
        <w:rPr>
          <w:rFonts w:hint="eastAsia"/>
          <w:color w:val="auto"/>
          <w:spacing w:val="-29"/>
        </w:rPr>
        <w:t>〕</w:t>
      </w:r>
      <w:r>
        <w:rPr>
          <w:rFonts w:hint="eastAsia"/>
          <w:color w:val="auto"/>
        </w:rPr>
        <w:t>125</w:t>
      </w:r>
      <w:r>
        <w:rPr>
          <w:rFonts w:hint="eastAsia"/>
          <w:color w:val="auto"/>
          <w:spacing w:val="-31"/>
        </w:rPr>
        <w:t xml:space="preserve"> 号</w:t>
      </w:r>
      <w:r>
        <w:rPr>
          <w:rFonts w:hint="eastAsia"/>
          <w:color w:val="auto"/>
          <w:spacing w:val="-29"/>
        </w:rPr>
        <w:t>）</w:t>
      </w:r>
      <w:r>
        <w:rPr>
          <w:rFonts w:hint="eastAsia"/>
          <w:color w:val="auto"/>
          <w:spacing w:val="-10"/>
        </w:rPr>
        <w:t>的规定，对在“信用中国”网站</w:t>
      </w:r>
      <w:r>
        <w:rPr>
          <w:rFonts w:hint="eastAsia"/>
          <w:color w:val="auto"/>
        </w:rPr>
        <w:t>(www.creditchina.gov.cn</w:t>
      </w:r>
      <w:r>
        <w:rPr>
          <w:rFonts w:hint="eastAsia"/>
          <w:color w:val="auto"/>
          <w:spacing w:val="-8"/>
        </w:rPr>
        <w:t>) 、中国政府采购</w:t>
      </w:r>
      <w:r>
        <w:rPr>
          <w:rFonts w:hint="eastAsia"/>
          <w:color w:val="auto"/>
          <w:spacing w:val="-10"/>
        </w:rPr>
        <w:t>网(www.ccgp.gov.cn) 被列入失信被执行人、重大税收违法案件当事人名单、政府采购严重违法失信行为记录名单及其他不符合《中华人民共和国政府采购法》第二十二条规定条件的供应商，不得参与政府采购活动。</w:t>
      </w:r>
    </w:p>
    <w:p>
      <w:pPr>
        <w:pStyle w:val="35"/>
        <w:numPr>
          <w:ilvl w:val="1"/>
          <w:numId w:val="14"/>
        </w:numPr>
        <w:tabs>
          <w:tab w:val="left" w:pos="1108"/>
        </w:tabs>
        <w:spacing w:line="360" w:lineRule="auto"/>
        <w:ind w:left="0" w:firstLine="440" w:firstLineChars="200"/>
        <w:jc w:val="both"/>
        <w:rPr>
          <w:color w:val="auto"/>
        </w:rPr>
      </w:pPr>
      <w:r>
        <w:rPr>
          <w:rFonts w:hint="eastAsia"/>
          <w:color w:val="auto"/>
        </w:rPr>
        <w:t>资格审查标准为本磋商文件中载明对供应商资格要求的条件。资格审查采用合格制，凡符合磋商文件规定的供应商资格要求的响应文件均通过资格审查。</w:t>
      </w:r>
    </w:p>
    <w:p>
      <w:pPr>
        <w:pStyle w:val="35"/>
        <w:numPr>
          <w:ilvl w:val="1"/>
          <w:numId w:val="14"/>
        </w:numPr>
        <w:tabs>
          <w:tab w:val="left" w:pos="1108"/>
        </w:tabs>
        <w:spacing w:line="360" w:lineRule="auto"/>
        <w:ind w:left="0" w:firstLine="440" w:firstLineChars="200"/>
        <w:jc w:val="both"/>
        <w:rPr>
          <w:color w:val="auto"/>
        </w:rPr>
      </w:pPr>
      <w:r>
        <w:rPr>
          <w:rFonts w:hint="eastAsia"/>
          <w:color w:val="auto"/>
        </w:rPr>
        <w:t>供应商有下列情形之一的，资格审查不通过，其响应文件按无效响应处理：</w:t>
      </w:r>
    </w:p>
    <w:p>
      <w:pPr>
        <w:pStyle w:val="35"/>
        <w:numPr>
          <w:ilvl w:val="0"/>
          <w:numId w:val="16"/>
        </w:numPr>
        <w:tabs>
          <w:tab w:val="left" w:pos="1265"/>
        </w:tabs>
        <w:spacing w:line="360" w:lineRule="auto"/>
        <w:ind w:left="0" w:firstLine="440" w:firstLineChars="200"/>
        <w:rPr>
          <w:color w:val="auto"/>
        </w:rPr>
      </w:pPr>
      <w:r>
        <w:rPr>
          <w:rFonts w:hint="eastAsia"/>
          <w:color w:val="auto"/>
        </w:rPr>
        <w:t>不具备磋商文件中规定的资格要求的；</w:t>
      </w:r>
    </w:p>
    <w:p>
      <w:pPr>
        <w:pStyle w:val="35"/>
        <w:numPr>
          <w:ilvl w:val="0"/>
          <w:numId w:val="16"/>
        </w:numPr>
        <w:tabs>
          <w:tab w:val="left" w:pos="1268"/>
        </w:tabs>
        <w:spacing w:line="360" w:lineRule="auto"/>
        <w:ind w:left="0" w:firstLine="440" w:firstLineChars="200"/>
        <w:rPr>
          <w:color w:val="auto"/>
        </w:rPr>
      </w:pPr>
      <w:r>
        <w:rPr>
          <w:rFonts w:hint="eastAsia"/>
          <w:color w:val="auto"/>
        </w:rPr>
        <w:t>响应文件的资格证明文件缺少任一项“供应商须知前附表”资格证明文件规定的“必须提供”的文件资料的；</w:t>
      </w:r>
    </w:p>
    <w:p>
      <w:pPr>
        <w:pStyle w:val="35"/>
        <w:numPr>
          <w:ilvl w:val="0"/>
          <w:numId w:val="16"/>
        </w:numPr>
        <w:tabs>
          <w:tab w:val="left" w:pos="1268"/>
        </w:tabs>
        <w:spacing w:line="360" w:lineRule="auto"/>
        <w:ind w:left="0" w:firstLine="440" w:firstLineChars="200"/>
        <w:rPr>
          <w:color w:val="auto"/>
        </w:rPr>
      </w:pPr>
      <w:r>
        <w:rPr>
          <w:rFonts w:hint="eastAsia"/>
          <w:color w:val="auto"/>
        </w:rPr>
        <w:t>响应文件中的资格证明文件出现任一项不符合“供应商须知前附表”资格证明文件规定的“必须提供” 的文件资料要求或者无效的；</w:t>
      </w:r>
    </w:p>
    <w:p>
      <w:pPr>
        <w:pStyle w:val="35"/>
        <w:numPr>
          <w:ilvl w:val="0"/>
          <w:numId w:val="16"/>
        </w:numPr>
        <w:tabs>
          <w:tab w:val="left" w:pos="1268"/>
        </w:tabs>
        <w:spacing w:line="360" w:lineRule="auto"/>
        <w:ind w:left="0" w:firstLine="440" w:firstLineChars="200"/>
        <w:rPr>
          <w:color w:val="auto"/>
        </w:rPr>
      </w:pPr>
      <w:r>
        <w:rPr>
          <w:rFonts w:hint="eastAsia"/>
          <w:color w:val="auto"/>
        </w:rPr>
        <w:t>同一合同项下的不同供应商，单位负责人为同一人或者存在直接控股、管理关系的；为本项目提供过整体设计、规范编制或者项目管理、监理、检测等服务的供应商，再参加该采购项目的其他采购活动的。</w:t>
      </w:r>
    </w:p>
    <w:p>
      <w:pPr>
        <w:pStyle w:val="35"/>
        <w:numPr>
          <w:ilvl w:val="1"/>
          <w:numId w:val="14"/>
        </w:numPr>
        <w:tabs>
          <w:tab w:val="left" w:pos="1108"/>
        </w:tabs>
        <w:spacing w:line="360" w:lineRule="auto"/>
        <w:ind w:left="0" w:firstLine="424" w:firstLineChars="200"/>
        <w:rPr>
          <w:color w:val="auto"/>
        </w:rPr>
      </w:pPr>
      <w:r>
        <w:rPr>
          <w:rFonts w:hint="eastAsia"/>
          <w:color w:val="auto"/>
          <w:spacing w:val="-4"/>
        </w:rPr>
        <w:t xml:space="preserve">通过资格审查的合格供应商不足 </w:t>
      </w:r>
      <w:r>
        <w:rPr>
          <w:rFonts w:hint="eastAsia"/>
          <w:color w:val="auto"/>
        </w:rPr>
        <w:t>3</w:t>
      </w:r>
      <w:r>
        <w:rPr>
          <w:rFonts w:hint="eastAsia"/>
          <w:color w:val="auto"/>
          <w:spacing w:val="-8"/>
        </w:rPr>
        <w:t xml:space="preserve"> 家的，不得进入符合性审查环节，采购人或者采购代理机构应当重新开展采购活动。</w:t>
      </w:r>
    </w:p>
    <w:p>
      <w:pPr>
        <w:pStyle w:val="12"/>
        <w:numPr>
          <w:ilvl w:val="0"/>
          <w:numId w:val="14"/>
        </w:numPr>
        <w:tabs>
          <w:tab w:val="left" w:pos="1041"/>
        </w:tabs>
        <w:spacing w:line="360" w:lineRule="auto"/>
        <w:ind w:left="-99" w:firstLine="442"/>
        <w:jc w:val="left"/>
        <w:rPr>
          <w:rFonts w:ascii="宋体" w:hAnsi="宋体" w:eastAsia="宋体" w:cs="宋体"/>
          <w:color w:val="auto"/>
          <w:sz w:val="22"/>
          <w:szCs w:val="22"/>
        </w:rPr>
      </w:pPr>
      <w:r>
        <w:rPr>
          <w:rFonts w:hint="eastAsia" w:ascii="宋体" w:hAnsi="宋体" w:eastAsia="宋体" w:cs="宋体"/>
          <w:color w:val="auto"/>
          <w:sz w:val="22"/>
          <w:szCs w:val="22"/>
        </w:rPr>
        <w:t>符合性审查</w:t>
      </w:r>
    </w:p>
    <w:p>
      <w:pPr>
        <w:pStyle w:val="35"/>
        <w:numPr>
          <w:ilvl w:val="1"/>
          <w:numId w:val="14"/>
        </w:numPr>
        <w:tabs>
          <w:tab w:val="left" w:pos="1108"/>
        </w:tabs>
        <w:spacing w:line="360" w:lineRule="auto"/>
        <w:ind w:left="0" w:firstLine="440" w:firstLineChars="200"/>
        <w:jc w:val="both"/>
        <w:rPr>
          <w:color w:val="auto"/>
        </w:rPr>
      </w:pPr>
      <w:r>
        <w:rPr>
          <w:rFonts w:hint="eastAsia"/>
          <w:color w:val="auto"/>
        </w:rPr>
        <w:t>由磋商小组对资格审查的合格供应商的响应文件的竞标报价、商务、技术等实质性要求进行符合性审查， 以确定其是否满足磋商文件的实质性要求。</w:t>
      </w:r>
    </w:p>
    <w:p>
      <w:pPr>
        <w:pStyle w:val="35"/>
        <w:numPr>
          <w:ilvl w:val="1"/>
          <w:numId w:val="14"/>
        </w:numPr>
        <w:tabs>
          <w:tab w:val="left" w:pos="1108"/>
        </w:tabs>
        <w:spacing w:line="360" w:lineRule="auto"/>
        <w:ind w:left="0" w:firstLine="440" w:firstLineChars="200"/>
        <w:jc w:val="both"/>
        <w:rPr>
          <w:color w:val="auto"/>
        </w:rPr>
      </w:pPr>
      <w:r>
        <w:rPr>
          <w:rFonts w:hint="eastAsia"/>
          <w:color w:val="auto"/>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5"/>
        <w:numPr>
          <w:ilvl w:val="1"/>
          <w:numId w:val="14"/>
        </w:numPr>
        <w:tabs>
          <w:tab w:val="left" w:pos="1108"/>
        </w:tabs>
        <w:spacing w:line="360" w:lineRule="auto"/>
        <w:ind w:left="0" w:firstLine="440" w:firstLineChars="200"/>
        <w:jc w:val="both"/>
        <w:rPr>
          <w:color w:val="auto"/>
        </w:rPr>
      </w:pPr>
      <w:r>
        <w:rPr>
          <w:rFonts w:hint="eastAsia"/>
          <w:color w:val="auto"/>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供应商为自然人的，必须由本人签字并附身份证明。</w:t>
      </w:r>
    </w:p>
    <w:p>
      <w:pPr>
        <w:pStyle w:val="35"/>
        <w:numPr>
          <w:ilvl w:val="1"/>
          <w:numId w:val="14"/>
        </w:numPr>
        <w:tabs>
          <w:tab w:val="left" w:pos="1108"/>
        </w:tabs>
        <w:spacing w:line="360" w:lineRule="auto"/>
        <w:ind w:left="0" w:firstLine="440" w:firstLineChars="200"/>
        <w:jc w:val="both"/>
        <w:rPr>
          <w:color w:val="auto"/>
        </w:rPr>
      </w:pPr>
      <w:r>
        <w:rPr>
          <w:rFonts w:hint="eastAsia"/>
          <w:color w:val="auto"/>
        </w:rPr>
        <w:t>首次响应文件报价出现前后不一致的，按照下列规定修正：</w:t>
      </w:r>
    </w:p>
    <w:p>
      <w:pPr>
        <w:pStyle w:val="35"/>
        <w:numPr>
          <w:ilvl w:val="0"/>
          <w:numId w:val="17"/>
        </w:numPr>
        <w:tabs>
          <w:tab w:val="left" w:pos="1265"/>
        </w:tabs>
        <w:spacing w:line="360" w:lineRule="auto"/>
        <w:ind w:left="0" w:firstLine="440" w:firstLineChars="200"/>
        <w:rPr>
          <w:color w:val="auto"/>
        </w:rPr>
      </w:pPr>
      <w:r>
        <w:rPr>
          <w:rFonts w:hint="eastAsia"/>
          <w:color w:val="auto"/>
        </w:rPr>
        <w:t>响应文件中报价表内容与响应文件中相应内容不一致的，以报价表为准；</w:t>
      </w:r>
    </w:p>
    <w:p>
      <w:pPr>
        <w:pStyle w:val="35"/>
        <w:numPr>
          <w:ilvl w:val="0"/>
          <w:numId w:val="17"/>
        </w:numPr>
        <w:tabs>
          <w:tab w:val="left" w:pos="1265"/>
        </w:tabs>
        <w:spacing w:line="360" w:lineRule="auto"/>
        <w:ind w:left="0" w:firstLine="440" w:firstLineChars="200"/>
        <w:rPr>
          <w:color w:val="auto"/>
        </w:rPr>
      </w:pPr>
      <w:r>
        <w:rPr>
          <w:rFonts w:hint="eastAsia"/>
          <w:color w:val="auto"/>
        </w:rPr>
        <w:t>大写金额和小写金额不一致的，以大写金额为准；</w:t>
      </w:r>
    </w:p>
    <w:p>
      <w:pPr>
        <w:pStyle w:val="35"/>
        <w:numPr>
          <w:ilvl w:val="0"/>
          <w:numId w:val="17"/>
        </w:numPr>
        <w:tabs>
          <w:tab w:val="left" w:pos="1265"/>
        </w:tabs>
        <w:spacing w:line="360" w:lineRule="auto"/>
        <w:ind w:left="0" w:firstLine="440" w:firstLineChars="200"/>
        <w:rPr>
          <w:color w:val="auto"/>
        </w:rPr>
      </w:pPr>
      <w:r>
        <w:rPr>
          <w:rFonts w:hint="eastAsia"/>
          <w:color w:val="auto"/>
        </w:rPr>
        <w:t>单价金额小数点或者百分比有明显错位的，以报价表的总价为准，并修改单价；</w:t>
      </w:r>
    </w:p>
    <w:p>
      <w:pPr>
        <w:pStyle w:val="35"/>
        <w:numPr>
          <w:ilvl w:val="0"/>
          <w:numId w:val="17"/>
        </w:numPr>
        <w:tabs>
          <w:tab w:val="left" w:pos="1265"/>
        </w:tabs>
        <w:spacing w:line="360" w:lineRule="auto"/>
        <w:ind w:left="0" w:firstLine="440" w:firstLineChars="200"/>
        <w:rPr>
          <w:color w:val="auto"/>
        </w:rPr>
      </w:pPr>
      <w:r>
        <w:rPr>
          <w:rFonts w:hint="eastAsia"/>
          <w:color w:val="auto"/>
        </w:rPr>
        <w:t>总价金额与按单价汇总金额不一致的，以单价金额计算结果为准。</w:t>
      </w:r>
    </w:p>
    <w:p>
      <w:pPr>
        <w:pStyle w:val="14"/>
        <w:spacing w:line="360" w:lineRule="auto"/>
        <w:ind w:firstLine="440" w:firstLineChars="200"/>
        <w:rPr>
          <w:color w:val="auto"/>
          <w:sz w:val="22"/>
          <w:szCs w:val="22"/>
        </w:rPr>
      </w:pPr>
      <w:r>
        <w:rPr>
          <w:rFonts w:hint="eastAsia"/>
          <w:color w:val="auto"/>
          <w:sz w:val="22"/>
          <w:szCs w:val="22"/>
        </w:rPr>
        <w:t>同时出现两种以上不一致的，按照以上（1）-（4）规定的顺序逐条进行修正。修正后的报价经供应商确认后产生约束力，供应商不确认的，其响应文件按无效响应处理。</w:t>
      </w:r>
    </w:p>
    <w:p>
      <w:pPr>
        <w:pStyle w:val="35"/>
        <w:numPr>
          <w:ilvl w:val="1"/>
          <w:numId w:val="14"/>
        </w:numPr>
        <w:tabs>
          <w:tab w:val="left" w:pos="1108"/>
        </w:tabs>
        <w:spacing w:line="360" w:lineRule="auto"/>
        <w:ind w:left="0" w:firstLine="440" w:firstLineChars="200"/>
        <w:rPr>
          <w:color w:val="auto"/>
        </w:rPr>
      </w:pPr>
      <w:r>
        <w:rPr>
          <w:rFonts w:hint="eastAsia"/>
          <w:color w:val="auto"/>
        </w:rPr>
        <w:t>商务技术报价评审</w:t>
      </w:r>
    </w:p>
    <w:p>
      <w:pPr>
        <w:pStyle w:val="14"/>
        <w:spacing w:line="360" w:lineRule="auto"/>
        <w:ind w:firstLine="440" w:firstLineChars="200"/>
        <w:rPr>
          <w:color w:val="auto"/>
          <w:sz w:val="22"/>
          <w:szCs w:val="22"/>
        </w:rPr>
      </w:pPr>
      <w:r>
        <w:rPr>
          <w:rFonts w:hint="eastAsia"/>
          <w:color w:val="auto"/>
          <w:sz w:val="22"/>
          <w:szCs w:val="22"/>
        </w:rPr>
        <w:t>在评审时，如发现下列情形之一的，将被视为响应文件无效响应处理：</w:t>
      </w:r>
    </w:p>
    <w:p>
      <w:pPr>
        <w:pStyle w:val="35"/>
        <w:numPr>
          <w:ilvl w:val="0"/>
          <w:numId w:val="18"/>
        </w:numPr>
        <w:tabs>
          <w:tab w:val="left" w:pos="1265"/>
        </w:tabs>
        <w:spacing w:line="360" w:lineRule="auto"/>
        <w:ind w:left="0" w:firstLine="440" w:firstLineChars="200"/>
        <w:rPr>
          <w:color w:val="auto"/>
        </w:rPr>
      </w:pPr>
      <w:r>
        <w:rPr>
          <w:rFonts w:hint="eastAsia"/>
          <w:color w:val="auto"/>
        </w:rPr>
        <w:t>商务技术评审</w:t>
      </w:r>
    </w:p>
    <w:p>
      <w:pPr>
        <w:pStyle w:val="35"/>
        <w:numPr>
          <w:ilvl w:val="0"/>
          <w:numId w:val="19"/>
        </w:numPr>
        <w:tabs>
          <w:tab w:val="left" w:pos="1056"/>
        </w:tabs>
        <w:spacing w:line="360" w:lineRule="auto"/>
        <w:ind w:left="0" w:firstLine="440" w:firstLineChars="200"/>
        <w:rPr>
          <w:color w:val="auto"/>
        </w:rPr>
      </w:pPr>
      <w:r>
        <w:rPr>
          <w:rFonts w:hint="eastAsia"/>
          <w:color w:val="auto"/>
        </w:rPr>
        <w:t>响应文件未按磋商文件要求签署、盖章；</w:t>
      </w:r>
    </w:p>
    <w:p>
      <w:pPr>
        <w:pStyle w:val="35"/>
        <w:numPr>
          <w:ilvl w:val="0"/>
          <w:numId w:val="19"/>
        </w:numPr>
        <w:tabs>
          <w:tab w:val="left" w:pos="1056"/>
        </w:tabs>
        <w:spacing w:line="360" w:lineRule="auto"/>
        <w:ind w:left="0" w:firstLine="440" w:firstLineChars="200"/>
        <w:rPr>
          <w:color w:val="auto"/>
        </w:rPr>
      </w:pPr>
      <w:r>
        <w:rPr>
          <w:rFonts w:hint="eastAsia"/>
          <w:color w:val="auto"/>
        </w:rPr>
        <w:t>委托代理人未能出具有效身份证或者出具的身份证与授权委托书中的信息不符的；</w:t>
      </w:r>
    </w:p>
    <w:p>
      <w:pPr>
        <w:pStyle w:val="35"/>
        <w:numPr>
          <w:ilvl w:val="0"/>
          <w:numId w:val="19"/>
        </w:numPr>
        <w:tabs>
          <w:tab w:val="left" w:pos="1056"/>
        </w:tabs>
        <w:spacing w:line="360" w:lineRule="auto"/>
        <w:ind w:left="0" w:firstLine="440" w:firstLineChars="200"/>
        <w:rPr>
          <w:color w:val="auto"/>
        </w:rPr>
      </w:pPr>
      <w:r>
        <w:rPr>
          <w:rFonts w:hint="eastAsia"/>
          <w:color w:val="auto"/>
        </w:rPr>
        <w:t>提交的磋商保证金无效的或者未按照磋商文件的规定提交磋商保证金；</w:t>
      </w:r>
    </w:p>
    <w:p>
      <w:pPr>
        <w:pStyle w:val="35"/>
        <w:numPr>
          <w:ilvl w:val="0"/>
          <w:numId w:val="19"/>
        </w:numPr>
        <w:tabs>
          <w:tab w:val="left" w:pos="1057"/>
        </w:tabs>
        <w:spacing w:line="360" w:lineRule="auto"/>
        <w:ind w:left="0" w:firstLine="440" w:firstLineChars="200"/>
        <w:rPr>
          <w:color w:val="auto"/>
        </w:rPr>
      </w:pPr>
      <w:r>
        <w:rPr>
          <w:rFonts w:hint="eastAsia"/>
          <w:color w:val="auto"/>
        </w:rPr>
        <w:t>响应文件中的商务技术文件出现任一项不符合“供应商须知前附表”中“必须提供”或者“委托时必须提供”文件资料要求的规定或者提供的报价商务技术文件无效。</w:t>
      </w:r>
    </w:p>
    <w:p>
      <w:pPr>
        <w:pStyle w:val="35"/>
        <w:numPr>
          <w:ilvl w:val="0"/>
          <w:numId w:val="19"/>
        </w:numPr>
        <w:tabs>
          <w:tab w:val="left" w:pos="1056"/>
        </w:tabs>
        <w:spacing w:line="360" w:lineRule="auto"/>
        <w:ind w:left="0" w:firstLine="440" w:firstLineChars="200"/>
        <w:rPr>
          <w:color w:val="auto"/>
        </w:rPr>
      </w:pPr>
      <w:r>
        <w:rPr>
          <w:rFonts w:hint="eastAsia"/>
          <w:color w:val="auto"/>
        </w:rPr>
        <w:t>商务条款中标“▲”的条款发生负偏离或者允许负偏离的条款数超过“供应商须知前附表”规定项数的；</w:t>
      </w:r>
    </w:p>
    <w:p>
      <w:pPr>
        <w:pStyle w:val="35"/>
        <w:numPr>
          <w:ilvl w:val="0"/>
          <w:numId w:val="19"/>
        </w:numPr>
        <w:tabs>
          <w:tab w:val="left" w:pos="1056"/>
        </w:tabs>
        <w:spacing w:line="360" w:lineRule="auto"/>
        <w:ind w:left="0" w:firstLine="440" w:firstLineChars="200"/>
        <w:rPr>
          <w:color w:val="auto"/>
        </w:rPr>
      </w:pPr>
      <w:r>
        <w:rPr>
          <w:rFonts w:hint="eastAsia"/>
          <w:color w:val="auto"/>
        </w:rPr>
        <w:t>未对竞标有效期作出响应或者响应文件承诺的竞标有效期不满足磋商文件要求；</w:t>
      </w:r>
    </w:p>
    <w:p>
      <w:pPr>
        <w:pStyle w:val="35"/>
        <w:numPr>
          <w:ilvl w:val="0"/>
          <w:numId w:val="19"/>
        </w:numPr>
        <w:tabs>
          <w:tab w:val="left" w:pos="1056"/>
        </w:tabs>
        <w:spacing w:line="360" w:lineRule="auto"/>
        <w:ind w:left="0" w:firstLine="440" w:firstLineChars="200"/>
        <w:rPr>
          <w:color w:val="auto"/>
        </w:rPr>
      </w:pPr>
      <w:r>
        <w:rPr>
          <w:rFonts w:hint="eastAsia"/>
          <w:color w:val="auto"/>
        </w:rPr>
        <w:t>响应文件的实质性内容未使用中文表述、使用计量单位不符合磋商文件要求；</w:t>
      </w:r>
    </w:p>
    <w:p>
      <w:pPr>
        <w:pStyle w:val="35"/>
        <w:numPr>
          <w:ilvl w:val="0"/>
          <w:numId w:val="19"/>
        </w:numPr>
        <w:tabs>
          <w:tab w:val="left" w:pos="1056"/>
        </w:tabs>
        <w:spacing w:line="360" w:lineRule="auto"/>
        <w:ind w:left="0" w:firstLine="440" w:firstLineChars="200"/>
        <w:rPr>
          <w:color w:val="auto"/>
        </w:rPr>
      </w:pPr>
      <w:r>
        <w:rPr>
          <w:rFonts w:hint="eastAsia"/>
          <w:color w:val="auto"/>
        </w:rPr>
        <w:t>响应文件中的文件资料因填写不齐全或者内容虚假或者出现其他情形而导致被磋商小组认定无效；</w:t>
      </w:r>
    </w:p>
    <w:p>
      <w:pPr>
        <w:pStyle w:val="35"/>
        <w:numPr>
          <w:ilvl w:val="0"/>
          <w:numId w:val="19"/>
        </w:numPr>
        <w:tabs>
          <w:tab w:val="left" w:pos="1056"/>
        </w:tabs>
        <w:spacing w:line="360" w:lineRule="auto"/>
        <w:ind w:left="0" w:firstLine="440" w:firstLineChars="200"/>
        <w:rPr>
          <w:color w:val="auto"/>
        </w:rPr>
      </w:pPr>
      <w:r>
        <w:rPr>
          <w:rFonts w:hint="eastAsia"/>
          <w:color w:val="auto"/>
        </w:rPr>
        <w:t>响应文件含有采购人不能接受的附加条件；</w:t>
      </w:r>
    </w:p>
    <w:p>
      <w:pPr>
        <w:pStyle w:val="35"/>
        <w:numPr>
          <w:ilvl w:val="0"/>
          <w:numId w:val="19"/>
        </w:numPr>
        <w:tabs>
          <w:tab w:val="left" w:pos="1159"/>
        </w:tabs>
        <w:spacing w:line="360" w:lineRule="auto"/>
        <w:ind w:left="0" w:firstLine="420" w:firstLineChars="200"/>
        <w:rPr>
          <w:color w:val="auto"/>
        </w:rPr>
      </w:pPr>
      <w:r>
        <w:rPr>
          <w:rFonts w:hint="eastAsia"/>
          <w:color w:val="auto"/>
          <w:spacing w:val="-5"/>
        </w:rPr>
        <w:t xml:space="preserve">属于“供应商须知正文”第 </w:t>
      </w:r>
      <w:r>
        <w:rPr>
          <w:rFonts w:hint="eastAsia"/>
          <w:color w:val="auto"/>
        </w:rPr>
        <w:t>7.5</w:t>
      </w:r>
      <w:r>
        <w:rPr>
          <w:rFonts w:hint="eastAsia"/>
          <w:color w:val="auto"/>
          <w:spacing w:val="-12"/>
        </w:rPr>
        <w:t xml:space="preserve"> 条情形；</w:t>
      </w:r>
    </w:p>
    <w:p>
      <w:pPr>
        <w:pStyle w:val="35"/>
        <w:numPr>
          <w:ilvl w:val="0"/>
          <w:numId w:val="19"/>
        </w:numPr>
        <w:tabs>
          <w:tab w:val="left" w:pos="1159"/>
        </w:tabs>
        <w:spacing w:line="360" w:lineRule="auto"/>
        <w:ind w:left="0" w:firstLine="440" w:firstLineChars="200"/>
        <w:rPr>
          <w:color w:val="auto"/>
        </w:rPr>
      </w:pPr>
      <w:r>
        <w:rPr>
          <w:rFonts w:hint="eastAsia"/>
          <w:color w:val="auto"/>
        </w:rPr>
        <w:t>技术要求中标“▲”的条款发生负偏离或允许负偏离的条款数超过“供应商须知前附表”规定项数的；</w:t>
      </w:r>
    </w:p>
    <w:p>
      <w:pPr>
        <w:pStyle w:val="35"/>
        <w:numPr>
          <w:ilvl w:val="0"/>
          <w:numId w:val="19"/>
        </w:numPr>
        <w:tabs>
          <w:tab w:val="left" w:pos="1159"/>
        </w:tabs>
        <w:spacing w:line="360" w:lineRule="auto"/>
        <w:ind w:left="0" w:firstLine="440" w:firstLineChars="200"/>
        <w:rPr>
          <w:color w:val="auto"/>
        </w:rPr>
      </w:pPr>
      <w:r>
        <w:rPr>
          <w:rFonts w:hint="eastAsia"/>
          <w:color w:val="auto"/>
        </w:rPr>
        <w:t>虚假竞标，或者出现其他情形而导致被磋商小组认定无效；</w:t>
      </w:r>
    </w:p>
    <w:p>
      <w:pPr>
        <w:pStyle w:val="35"/>
        <w:numPr>
          <w:ilvl w:val="0"/>
          <w:numId w:val="19"/>
        </w:numPr>
        <w:tabs>
          <w:tab w:val="left" w:pos="1159"/>
        </w:tabs>
        <w:spacing w:line="360" w:lineRule="auto"/>
        <w:ind w:left="0" w:firstLine="440" w:firstLineChars="200"/>
        <w:rPr>
          <w:color w:val="auto"/>
        </w:rPr>
      </w:pPr>
      <w:r>
        <w:rPr>
          <w:rFonts w:hint="eastAsia"/>
          <w:color w:val="auto"/>
        </w:rPr>
        <w:t>磋商文件未载明允许提供备选（替代）竞标方案或明确不允许提供备选（替代）竞标方案时，供应商提供了备选（替代）竞标方案的；</w:t>
      </w:r>
    </w:p>
    <w:p>
      <w:pPr>
        <w:pStyle w:val="35"/>
        <w:numPr>
          <w:ilvl w:val="0"/>
          <w:numId w:val="19"/>
        </w:numPr>
        <w:tabs>
          <w:tab w:val="left" w:pos="1159"/>
        </w:tabs>
        <w:spacing w:line="360" w:lineRule="auto"/>
        <w:ind w:left="0" w:firstLine="440" w:firstLineChars="200"/>
        <w:rPr>
          <w:color w:val="auto"/>
        </w:rPr>
      </w:pPr>
      <w:r>
        <w:rPr>
          <w:rFonts w:hint="eastAsia"/>
          <w:color w:val="auto"/>
        </w:rPr>
        <w:t>响应文件标注的项目名称或者项目编号与磋商文件标注的项目名称或者项目编号不一致的；</w:t>
      </w:r>
    </w:p>
    <w:p>
      <w:pPr>
        <w:pStyle w:val="35"/>
        <w:numPr>
          <w:ilvl w:val="0"/>
          <w:numId w:val="19"/>
        </w:numPr>
        <w:tabs>
          <w:tab w:val="left" w:pos="1160"/>
        </w:tabs>
        <w:spacing w:line="360" w:lineRule="auto"/>
        <w:ind w:left="0" w:firstLine="440" w:firstLineChars="200"/>
        <w:rPr>
          <w:color w:val="auto"/>
        </w:rPr>
      </w:pPr>
      <w:r>
        <w:rPr>
          <w:rFonts w:hint="eastAsia"/>
          <w:color w:val="auto"/>
        </w:rPr>
        <w:t>竞争性磋商文件明确不允许分包，响应文件拟分包的；</w:t>
      </w:r>
    </w:p>
    <w:p>
      <w:pPr>
        <w:pStyle w:val="35"/>
        <w:numPr>
          <w:ilvl w:val="0"/>
          <w:numId w:val="19"/>
        </w:numPr>
        <w:tabs>
          <w:tab w:val="left" w:pos="1159"/>
        </w:tabs>
        <w:spacing w:line="360" w:lineRule="auto"/>
        <w:ind w:left="0" w:firstLine="440" w:firstLineChars="200"/>
        <w:rPr>
          <w:color w:val="auto"/>
        </w:rPr>
      </w:pPr>
      <w:r>
        <w:rPr>
          <w:rFonts w:hint="eastAsia"/>
          <w:color w:val="auto"/>
        </w:rPr>
        <w:t>未响应磋商文件实质性要求；</w:t>
      </w:r>
    </w:p>
    <w:p>
      <w:pPr>
        <w:pStyle w:val="35"/>
        <w:numPr>
          <w:ilvl w:val="0"/>
          <w:numId w:val="19"/>
        </w:numPr>
        <w:tabs>
          <w:tab w:val="left" w:pos="1159"/>
        </w:tabs>
        <w:spacing w:line="360" w:lineRule="auto"/>
        <w:ind w:left="0" w:firstLine="440" w:firstLineChars="200"/>
        <w:rPr>
          <w:color w:val="auto"/>
        </w:rPr>
      </w:pPr>
      <w:r>
        <w:rPr>
          <w:rFonts w:hint="eastAsia"/>
          <w:color w:val="auto"/>
        </w:rPr>
        <w:t>法律、法规和磋商文件规定的其他无效情形。</w:t>
      </w:r>
    </w:p>
    <w:p>
      <w:pPr>
        <w:pStyle w:val="35"/>
        <w:numPr>
          <w:ilvl w:val="0"/>
          <w:numId w:val="18"/>
        </w:numPr>
        <w:tabs>
          <w:tab w:val="left" w:pos="1265"/>
        </w:tabs>
        <w:spacing w:line="360" w:lineRule="auto"/>
        <w:ind w:left="0" w:firstLine="440" w:firstLineChars="200"/>
        <w:rPr>
          <w:color w:val="auto"/>
        </w:rPr>
      </w:pPr>
      <w:r>
        <w:rPr>
          <w:rFonts w:hint="eastAsia"/>
          <w:color w:val="auto"/>
        </w:rPr>
        <w:t>报价评审</w:t>
      </w:r>
    </w:p>
    <w:p>
      <w:pPr>
        <w:pStyle w:val="35"/>
        <w:numPr>
          <w:ilvl w:val="0"/>
          <w:numId w:val="20"/>
        </w:numPr>
        <w:tabs>
          <w:tab w:val="left" w:pos="1160"/>
        </w:tabs>
        <w:spacing w:line="360" w:lineRule="auto"/>
        <w:ind w:left="0" w:firstLine="436" w:firstLineChars="200"/>
        <w:rPr>
          <w:color w:val="auto"/>
        </w:rPr>
      </w:pPr>
      <w:r>
        <w:rPr>
          <w:rFonts w:hint="eastAsia"/>
          <w:color w:val="auto"/>
          <w:spacing w:val="-1"/>
        </w:rPr>
        <w:t>响应文件未提供“供应商须知前附表” 报价文件中规定的“竞标报价表”；</w:t>
      </w:r>
    </w:p>
    <w:p>
      <w:pPr>
        <w:pStyle w:val="35"/>
        <w:numPr>
          <w:ilvl w:val="0"/>
          <w:numId w:val="20"/>
        </w:numPr>
        <w:tabs>
          <w:tab w:val="left" w:pos="1056"/>
        </w:tabs>
        <w:spacing w:line="360" w:lineRule="auto"/>
        <w:ind w:left="0" w:firstLine="440" w:firstLineChars="200"/>
        <w:rPr>
          <w:color w:val="auto"/>
        </w:rPr>
      </w:pPr>
      <w:r>
        <w:rPr>
          <w:rFonts w:hint="eastAsia"/>
          <w:color w:val="auto"/>
        </w:rPr>
        <w:t>未采用人民币报价或者未按照磋商文件标明的币种报价；</w:t>
      </w:r>
    </w:p>
    <w:p>
      <w:pPr>
        <w:pStyle w:val="35"/>
        <w:numPr>
          <w:ilvl w:val="0"/>
          <w:numId w:val="20"/>
        </w:numPr>
        <w:tabs>
          <w:tab w:val="left" w:pos="1057"/>
        </w:tabs>
        <w:spacing w:line="360" w:lineRule="auto"/>
        <w:ind w:left="0" w:firstLine="440" w:firstLineChars="200"/>
        <w:rPr>
          <w:color w:val="auto"/>
        </w:rPr>
      </w:pPr>
      <w:r>
        <w:rPr>
          <w:rFonts w:hint="eastAsia"/>
          <w:color w:val="auto"/>
        </w:rPr>
        <w:t>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pPr>
        <w:pStyle w:val="35"/>
        <w:numPr>
          <w:ilvl w:val="0"/>
          <w:numId w:val="20"/>
        </w:numPr>
        <w:tabs>
          <w:tab w:val="left" w:pos="1057"/>
        </w:tabs>
        <w:spacing w:line="360" w:lineRule="auto"/>
        <w:ind w:left="0" w:firstLine="440" w:firstLineChars="200"/>
        <w:rPr>
          <w:color w:val="auto"/>
        </w:rPr>
      </w:pPr>
      <w:r>
        <w:rPr>
          <w:rFonts w:hint="eastAsia"/>
          <w:color w:val="auto"/>
        </w:rPr>
        <w:t>最后报价超过所竞标分标规定的采购预算金额或者最高限价的（如本项目公布了最高限价）；</w:t>
      </w:r>
    </w:p>
    <w:p>
      <w:pPr>
        <w:pStyle w:val="35"/>
        <w:numPr>
          <w:ilvl w:val="0"/>
          <w:numId w:val="20"/>
        </w:numPr>
        <w:tabs>
          <w:tab w:val="left" w:pos="1057"/>
        </w:tabs>
        <w:spacing w:line="360" w:lineRule="auto"/>
        <w:ind w:left="0" w:firstLine="440" w:firstLineChars="200"/>
        <w:rPr>
          <w:color w:val="auto"/>
        </w:rPr>
      </w:pPr>
      <w:r>
        <w:rPr>
          <w:rFonts w:hint="eastAsia"/>
          <w:color w:val="auto"/>
        </w:rPr>
        <w:t>修正后的报价，供应商不确认的；或者经供应商确认修正后的最后报价超过所竞标分标规定的采购预算金额或者最高限价（如本项目公布了最高限价）；</w:t>
      </w:r>
    </w:p>
    <w:p>
      <w:pPr>
        <w:pStyle w:val="35"/>
        <w:numPr>
          <w:ilvl w:val="0"/>
          <w:numId w:val="20"/>
        </w:numPr>
        <w:tabs>
          <w:tab w:val="left" w:pos="1057"/>
        </w:tabs>
        <w:spacing w:line="360" w:lineRule="auto"/>
        <w:ind w:left="0" w:firstLine="440" w:firstLineChars="200"/>
        <w:rPr>
          <w:color w:val="auto"/>
        </w:rPr>
      </w:pPr>
      <w:r>
        <w:rPr>
          <w:rFonts w:hint="eastAsia"/>
          <w:color w:val="auto"/>
        </w:rPr>
        <w:t>响应文件响应的标的数量及单位与竞争性磋商采购文件要求实质性不一致的。</w:t>
      </w:r>
    </w:p>
    <w:p>
      <w:pPr>
        <w:pStyle w:val="35"/>
        <w:numPr>
          <w:ilvl w:val="1"/>
          <w:numId w:val="14"/>
        </w:numPr>
        <w:tabs>
          <w:tab w:val="left" w:pos="1108"/>
        </w:tabs>
        <w:spacing w:line="360" w:lineRule="auto"/>
        <w:ind w:left="0" w:firstLine="440" w:firstLineChars="200"/>
        <w:jc w:val="both"/>
        <w:rPr>
          <w:color w:val="auto"/>
        </w:rPr>
      </w:pPr>
      <w:r>
        <w:rPr>
          <w:rFonts w:hint="eastAsia"/>
          <w:color w:val="auto"/>
        </w:rPr>
        <w:t>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 家的供应商参加磋商。</w:t>
      </w:r>
    </w:p>
    <w:p>
      <w:pPr>
        <w:pStyle w:val="35"/>
        <w:numPr>
          <w:ilvl w:val="1"/>
          <w:numId w:val="14"/>
        </w:numPr>
        <w:tabs>
          <w:tab w:val="left" w:pos="1108"/>
        </w:tabs>
        <w:spacing w:line="360" w:lineRule="auto"/>
        <w:ind w:left="0" w:firstLine="440" w:firstLineChars="200"/>
        <w:jc w:val="both"/>
        <w:rPr>
          <w:color w:val="auto"/>
        </w:rPr>
      </w:pPr>
      <w:r>
        <w:rPr>
          <w:rFonts w:hint="eastAsia"/>
          <w:color w:val="auto"/>
        </w:rPr>
        <w:t>非政府购买服务项目，通过符合性审查的合格供应商不足 3 家的，不得进入磋商环节，采购人或者采购代理机构应当重新开展采购活动。政府购买服务项目，按《财政部关于政府采购竞争性磋商采购方式管理暂行办法有关问题的补充通知》（财库〔2015〕124 号）规定，采购过程中通过符合性审查的供应商（社会资本）只有 2 家的， 磋商采购活动可以继续进行。</w:t>
      </w:r>
    </w:p>
    <w:p>
      <w:pPr>
        <w:pStyle w:val="12"/>
        <w:numPr>
          <w:ilvl w:val="0"/>
          <w:numId w:val="14"/>
        </w:numPr>
        <w:tabs>
          <w:tab w:val="left" w:pos="1041"/>
        </w:tabs>
        <w:spacing w:line="360" w:lineRule="auto"/>
        <w:ind w:left="-99" w:firstLine="442"/>
        <w:jc w:val="left"/>
        <w:rPr>
          <w:rFonts w:ascii="宋体" w:hAnsi="宋体" w:eastAsia="宋体" w:cs="宋体"/>
          <w:color w:val="auto"/>
          <w:sz w:val="22"/>
          <w:szCs w:val="22"/>
        </w:rPr>
      </w:pPr>
      <w:r>
        <w:rPr>
          <w:rFonts w:hint="eastAsia" w:ascii="宋体" w:hAnsi="宋体" w:eastAsia="宋体" w:cs="宋体"/>
          <w:color w:val="auto"/>
          <w:sz w:val="22"/>
          <w:szCs w:val="22"/>
        </w:rPr>
        <w:t>磋商程序</w:t>
      </w:r>
    </w:p>
    <w:p>
      <w:pPr>
        <w:pStyle w:val="35"/>
        <w:numPr>
          <w:ilvl w:val="1"/>
          <w:numId w:val="14"/>
        </w:numPr>
        <w:tabs>
          <w:tab w:val="left" w:pos="1108"/>
        </w:tabs>
        <w:spacing w:line="360" w:lineRule="auto"/>
        <w:ind w:left="0" w:firstLine="408" w:firstLineChars="200"/>
        <w:jc w:val="both"/>
        <w:rPr>
          <w:color w:val="auto"/>
          <w:spacing w:val="-8"/>
        </w:rPr>
      </w:pPr>
      <w:r>
        <w:rPr>
          <w:rFonts w:hint="eastAsia"/>
          <w:color w:val="auto"/>
          <w:spacing w:val="-8"/>
        </w:rPr>
        <w:t>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pStyle w:val="35"/>
        <w:numPr>
          <w:ilvl w:val="1"/>
          <w:numId w:val="14"/>
        </w:numPr>
        <w:tabs>
          <w:tab w:val="left" w:pos="1108"/>
        </w:tabs>
        <w:spacing w:line="360" w:lineRule="auto"/>
        <w:ind w:left="0" w:firstLine="408" w:firstLineChars="200"/>
        <w:jc w:val="both"/>
        <w:rPr>
          <w:color w:val="auto"/>
          <w:spacing w:val="-8"/>
        </w:rPr>
      </w:pPr>
      <w:r>
        <w:rPr>
          <w:rFonts w:hint="eastAsia"/>
          <w:color w:val="auto"/>
          <w:spacing w:val="-8"/>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pStyle w:val="35"/>
        <w:numPr>
          <w:ilvl w:val="1"/>
          <w:numId w:val="14"/>
        </w:numPr>
        <w:tabs>
          <w:tab w:val="left" w:pos="1108"/>
        </w:tabs>
        <w:spacing w:line="360" w:lineRule="auto"/>
        <w:ind w:left="0" w:firstLine="408" w:firstLineChars="200"/>
        <w:jc w:val="both"/>
        <w:rPr>
          <w:color w:val="auto"/>
          <w:spacing w:val="-8"/>
        </w:rPr>
      </w:pPr>
      <w:r>
        <w:rPr>
          <w:rFonts w:hint="eastAsia"/>
          <w:color w:val="auto"/>
          <w:spacing w:val="-8"/>
        </w:rPr>
        <w:t>对磋商文件作出的实质性变动是磋商文件的有效组成部分，由磋商小组及时以电子磋商记录形式同时通知所有参加磋商的供应商。</w:t>
      </w:r>
    </w:p>
    <w:p>
      <w:pPr>
        <w:pStyle w:val="35"/>
        <w:numPr>
          <w:ilvl w:val="1"/>
          <w:numId w:val="14"/>
        </w:numPr>
        <w:tabs>
          <w:tab w:val="left" w:pos="1108"/>
        </w:tabs>
        <w:spacing w:line="360" w:lineRule="auto"/>
        <w:ind w:left="0" w:firstLine="408" w:firstLineChars="200"/>
        <w:jc w:val="both"/>
        <w:rPr>
          <w:color w:val="auto"/>
          <w:spacing w:val="-8"/>
        </w:rPr>
      </w:pPr>
      <w:r>
        <w:rPr>
          <w:rFonts w:hint="eastAsia"/>
          <w:color w:val="auto"/>
          <w:spacing w:val="-8"/>
        </w:rP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pPr>
        <w:pStyle w:val="35"/>
        <w:numPr>
          <w:ilvl w:val="1"/>
          <w:numId w:val="14"/>
        </w:numPr>
        <w:tabs>
          <w:tab w:val="left" w:pos="1108"/>
        </w:tabs>
        <w:spacing w:line="360" w:lineRule="auto"/>
        <w:ind w:left="0" w:firstLine="408" w:firstLineChars="200"/>
        <w:jc w:val="both"/>
        <w:rPr>
          <w:color w:val="auto"/>
          <w:spacing w:val="-8"/>
        </w:rPr>
      </w:pPr>
      <w:r>
        <w:rPr>
          <w:rFonts w:hint="eastAsia"/>
          <w:color w:val="auto"/>
          <w:spacing w:val="-8"/>
        </w:rPr>
        <w:t>磋商中，磋商的任何一方不得透露与磋商有关的其他供应商的技术资料、价格和其他信息。</w:t>
      </w:r>
    </w:p>
    <w:p>
      <w:pPr>
        <w:pStyle w:val="35"/>
        <w:numPr>
          <w:ilvl w:val="1"/>
          <w:numId w:val="14"/>
        </w:numPr>
        <w:tabs>
          <w:tab w:val="left" w:pos="1108"/>
        </w:tabs>
        <w:spacing w:line="360" w:lineRule="auto"/>
        <w:ind w:left="0" w:firstLine="408" w:firstLineChars="200"/>
        <w:jc w:val="both"/>
        <w:rPr>
          <w:color w:val="auto"/>
          <w:spacing w:val="-8"/>
        </w:rPr>
      </w:pPr>
      <w:r>
        <w:rPr>
          <w:rFonts w:hint="eastAsia"/>
          <w:color w:val="auto"/>
          <w:spacing w:val="-8"/>
        </w:rPr>
        <w:t>对磋商过程提交的响应文件进行有效性、完整性和响应程度审查，通过审查的合格供应商不足 3 家的，采购人或者采购代理机构应当重新开展采购活动。</w:t>
      </w:r>
    </w:p>
    <w:p>
      <w:pPr>
        <w:pStyle w:val="35"/>
        <w:numPr>
          <w:ilvl w:val="1"/>
          <w:numId w:val="14"/>
        </w:numPr>
        <w:tabs>
          <w:tab w:val="left" w:pos="1108"/>
        </w:tabs>
        <w:spacing w:line="360" w:lineRule="auto"/>
        <w:ind w:left="0" w:firstLine="408" w:firstLineChars="200"/>
        <w:jc w:val="both"/>
        <w:rPr>
          <w:color w:val="auto"/>
        </w:rPr>
      </w:pPr>
      <w:r>
        <w:rPr>
          <w:rFonts w:hint="eastAsia"/>
          <w:color w:val="auto"/>
          <w:spacing w:val="-8"/>
        </w:rPr>
        <w:t>根据《财政部关于政府采购竞争性磋商采购方式管理暂行办法有关问题的补充通知》（财库〔2015〕124 号）的规定，采用竞争性磋商采购方式采购的政府购买服务项目（含政府和社会资本合作项目），在采购过程中符合要求的供应商（社会资本）只有 2 家的，竞争性磋商采购活动可以继续进行。采购过程中符合要求的供应商（社会资本）只有 1 家的，采购人（项目实施机构）或者采购代理机构应当终止竞争性磋商采购活动，发布项目终止公告并说明原因，重新开展采购活动。</w:t>
      </w:r>
    </w:p>
    <w:p>
      <w:pPr>
        <w:pStyle w:val="12"/>
        <w:numPr>
          <w:ilvl w:val="0"/>
          <w:numId w:val="14"/>
        </w:numPr>
        <w:tabs>
          <w:tab w:val="left" w:pos="1163"/>
        </w:tabs>
        <w:spacing w:line="360" w:lineRule="auto"/>
        <w:ind w:left="-99" w:firstLine="420"/>
        <w:jc w:val="both"/>
        <w:rPr>
          <w:rFonts w:ascii="宋体" w:hAnsi="宋体" w:eastAsia="宋体" w:cs="宋体"/>
          <w:color w:val="auto"/>
          <w:sz w:val="22"/>
          <w:szCs w:val="22"/>
        </w:rPr>
      </w:pPr>
      <w:r>
        <w:rPr>
          <w:rFonts w:hint="eastAsia" w:ascii="宋体" w:hAnsi="宋体" w:eastAsia="宋体" w:cs="宋体"/>
          <w:color w:val="auto"/>
          <w:w w:val="95"/>
          <w:sz w:val="22"/>
          <w:szCs w:val="22"/>
        </w:rPr>
        <w:t>最后报价</w:t>
      </w:r>
    </w:p>
    <w:p>
      <w:pPr>
        <w:pStyle w:val="35"/>
        <w:numPr>
          <w:ilvl w:val="1"/>
          <w:numId w:val="14"/>
        </w:numPr>
        <w:tabs>
          <w:tab w:val="left" w:pos="1108"/>
        </w:tabs>
        <w:spacing w:line="360" w:lineRule="auto"/>
        <w:ind w:left="0" w:firstLine="408" w:firstLineChars="200"/>
        <w:jc w:val="both"/>
        <w:rPr>
          <w:color w:val="auto"/>
        </w:rPr>
      </w:pPr>
      <w:r>
        <w:rPr>
          <w:rFonts w:hint="eastAsia"/>
          <w:color w:val="auto"/>
          <w:spacing w:val="-8"/>
        </w:rPr>
        <w:t>磋商文件能够详细列明采购标的的技术、服务要求的，磋商结束后，由磋商小组要求所有继续参加磋商的供应商在规定时间内以电子文件形式提交最后报价，除本章第 2.7、3.7、4.3 条外，提交最后报价的供应商不得少</w:t>
      </w:r>
      <w:r>
        <w:rPr>
          <w:rFonts w:hint="eastAsia"/>
          <w:color w:val="auto"/>
        </w:rPr>
        <w:t>于 3 家，否则必须重新采购。</w:t>
      </w:r>
    </w:p>
    <w:p>
      <w:pPr>
        <w:pStyle w:val="35"/>
        <w:numPr>
          <w:ilvl w:val="1"/>
          <w:numId w:val="14"/>
        </w:numPr>
        <w:tabs>
          <w:tab w:val="left" w:pos="1108"/>
        </w:tabs>
        <w:spacing w:line="360" w:lineRule="auto"/>
        <w:ind w:left="0" w:firstLine="408" w:firstLineChars="200"/>
        <w:jc w:val="both"/>
        <w:rPr>
          <w:color w:val="auto"/>
          <w:spacing w:val="-8"/>
        </w:rPr>
      </w:pPr>
      <w:r>
        <w:rPr>
          <w:rFonts w:hint="eastAsia"/>
          <w:color w:val="auto"/>
          <w:spacing w:val="-8"/>
        </w:rPr>
        <w:t>磋商文件不能详细列明采购标的的技术、服务要求，需经磋商由供应商提供最后设计方案或者解决方案的，磋商结束后，由磋商小组按照少数服从多数的原则投票推荐 3 家以上供应商的设计方案或者解决方案，并要求其在规定时间内以电子文件形式提交最后报价。</w:t>
      </w:r>
    </w:p>
    <w:p>
      <w:pPr>
        <w:pStyle w:val="35"/>
        <w:numPr>
          <w:ilvl w:val="1"/>
          <w:numId w:val="14"/>
        </w:numPr>
        <w:tabs>
          <w:tab w:val="left" w:pos="1108"/>
        </w:tabs>
        <w:spacing w:line="360" w:lineRule="auto"/>
        <w:ind w:left="0" w:firstLine="408" w:firstLineChars="200"/>
        <w:jc w:val="both"/>
        <w:rPr>
          <w:color w:val="auto"/>
        </w:rPr>
      </w:pPr>
      <w:r>
        <w:rPr>
          <w:rFonts w:hint="eastAsia"/>
          <w:color w:val="auto"/>
          <w:spacing w:val="-8"/>
        </w:rPr>
        <w:t>最后报价是供应商响应文件的有效组成部分。符合《政府采购竞争性磋商采购方式管理暂行办法》（财库〔2014〕214 号）第三条第四项“市场竞争不充分的科研项目，以及需要扶持的科技成果转化项目”和本章第 3.7</w:t>
      </w:r>
      <w:r>
        <w:rPr>
          <w:rFonts w:hint="eastAsia"/>
          <w:color w:val="auto"/>
        </w:rPr>
        <w:t>条情形的，提交最后报价的供应商可以为 2 家。</w:t>
      </w:r>
    </w:p>
    <w:p>
      <w:pPr>
        <w:pStyle w:val="35"/>
        <w:numPr>
          <w:ilvl w:val="1"/>
          <w:numId w:val="14"/>
        </w:numPr>
        <w:tabs>
          <w:tab w:val="left" w:pos="1108"/>
        </w:tabs>
        <w:spacing w:line="360" w:lineRule="auto"/>
        <w:ind w:left="0" w:firstLine="440" w:firstLineChars="200"/>
        <w:jc w:val="both"/>
        <w:rPr>
          <w:color w:val="auto"/>
        </w:rPr>
      </w:pPr>
      <w:r>
        <w:rPr>
          <w:rFonts w:hint="eastAsia"/>
          <w:color w:val="auto"/>
        </w:rPr>
        <w:t>已经提交响应文件的供应商，在提交最后报价之前，可以根据磋商情况退出磋商，退出磋商的供应商的响应文件按无效响应处理。采购人、采购代理机构将退还退出磋商的供应商的保证金。</w:t>
      </w:r>
    </w:p>
    <w:p>
      <w:pPr>
        <w:pStyle w:val="35"/>
        <w:numPr>
          <w:ilvl w:val="1"/>
          <w:numId w:val="14"/>
        </w:numPr>
        <w:tabs>
          <w:tab w:val="left" w:pos="1108"/>
        </w:tabs>
        <w:spacing w:line="360" w:lineRule="auto"/>
        <w:ind w:left="0" w:firstLine="440" w:firstLineChars="200"/>
        <w:jc w:val="both"/>
        <w:rPr>
          <w:color w:val="auto"/>
        </w:rPr>
      </w:pPr>
      <w:r>
        <w:rPr>
          <w:rFonts w:hint="eastAsia"/>
          <w:color w:val="auto"/>
        </w:rPr>
        <w:t>供应商未在规定时间内提交最后报价的，视同退出磋商。</w:t>
      </w:r>
    </w:p>
    <w:p>
      <w:pPr>
        <w:pStyle w:val="35"/>
        <w:numPr>
          <w:ilvl w:val="1"/>
          <w:numId w:val="14"/>
        </w:numPr>
        <w:tabs>
          <w:tab w:val="left" w:pos="1108"/>
        </w:tabs>
        <w:spacing w:line="360" w:lineRule="auto"/>
        <w:ind w:left="0" w:firstLine="440" w:firstLineChars="200"/>
        <w:jc w:val="both"/>
        <w:rPr>
          <w:color w:val="auto"/>
        </w:rPr>
      </w:pPr>
      <w:r>
        <w:rPr>
          <w:rFonts w:hint="eastAsia"/>
          <w:color w:val="auto"/>
        </w:rPr>
        <w:t>磋商小组收齐某一分标最后报价后或达到规定时间后统一开启，磋商小组对最后报价进行有效性、完整性和响应程度的审查。</w:t>
      </w:r>
    </w:p>
    <w:p>
      <w:pPr>
        <w:pStyle w:val="35"/>
        <w:numPr>
          <w:ilvl w:val="1"/>
          <w:numId w:val="14"/>
        </w:numPr>
        <w:tabs>
          <w:tab w:val="left" w:pos="1108"/>
        </w:tabs>
        <w:spacing w:line="360" w:lineRule="auto"/>
        <w:ind w:left="0" w:firstLine="440" w:firstLineChars="200"/>
        <w:jc w:val="both"/>
        <w:rPr>
          <w:color w:val="auto"/>
        </w:rPr>
      </w:pPr>
      <w:r>
        <w:rPr>
          <w:rFonts w:hint="eastAsia"/>
          <w:color w:val="auto"/>
        </w:rPr>
        <w:t>响应文件最后报价出现前后不一致的，按照本章第 2.4 条的规定修正。</w:t>
      </w:r>
    </w:p>
    <w:p>
      <w:pPr>
        <w:pStyle w:val="35"/>
        <w:numPr>
          <w:ilvl w:val="1"/>
          <w:numId w:val="14"/>
        </w:numPr>
        <w:tabs>
          <w:tab w:val="left" w:pos="1108"/>
        </w:tabs>
        <w:spacing w:line="360" w:lineRule="auto"/>
        <w:ind w:left="0" w:firstLine="440" w:firstLineChars="200"/>
        <w:jc w:val="both"/>
        <w:rPr>
          <w:color w:val="auto"/>
        </w:rPr>
      </w:pPr>
      <w:r>
        <w:rPr>
          <w:rFonts w:hint="eastAsia"/>
          <w:color w:val="auto"/>
        </w:rPr>
        <w:t>经供应商确认修正后的最后报价作为评审及签订合同的依据。</w:t>
      </w:r>
    </w:p>
    <w:p>
      <w:pPr>
        <w:pStyle w:val="35"/>
        <w:numPr>
          <w:ilvl w:val="1"/>
          <w:numId w:val="14"/>
        </w:numPr>
        <w:tabs>
          <w:tab w:val="left" w:pos="1108"/>
        </w:tabs>
        <w:spacing w:line="360" w:lineRule="auto"/>
        <w:ind w:left="0" w:firstLine="440" w:firstLineChars="200"/>
        <w:jc w:val="both"/>
        <w:rPr>
          <w:color w:val="auto"/>
        </w:rPr>
      </w:pPr>
      <w:r>
        <w:rPr>
          <w:rFonts w:hint="eastAsia"/>
          <w:color w:val="auto"/>
        </w:rPr>
        <w:t>供应商出现最后报价按无效响应处理或者响应文件按无效响应处理时，磋商小组应当告知有关供应商。</w:t>
      </w:r>
    </w:p>
    <w:p>
      <w:pPr>
        <w:pStyle w:val="35"/>
        <w:numPr>
          <w:ilvl w:val="1"/>
          <w:numId w:val="14"/>
        </w:numPr>
        <w:tabs>
          <w:tab w:val="left" w:pos="1108"/>
        </w:tabs>
        <w:spacing w:line="360" w:lineRule="auto"/>
        <w:ind w:left="0" w:firstLine="440" w:firstLineChars="200"/>
        <w:jc w:val="both"/>
        <w:rPr>
          <w:color w:val="auto"/>
        </w:rPr>
      </w:pPr>
      <w:r>
        <w:rPr>
          <w:rFonts w:hint="eastAsia"/>
          <w:color w:val="auto"/>
        </w:rPr>
        <w:t>最后报价结束后，磋商小组不得再与供应商进行任何形式的商谈。</w:t>
      </w:r>
    </w:p>
    <w:p>
      <w:pPr>
        <w:pStyle w:val="12"/>
        <w:numPr>
          <w:ilvl w:val="0"/>
          <w:numId w:val="14"/>
        </w:numPr>
        <w:tabs>
          <w:tab w:val="left" w:pos="1041"/>
        </w:tabs>
        <w:spacing w:line="360" w:lineRule="auto"/>
        <w:ind w:left="-99" w:firstLine="442"/>
        <w:jc w:val="left"/>
        <w:rPr>
          <w:rFonts w:ascii="宋体" w:hAnsi="宋体" w:eastAsia="宋体" w:cs="宋体"/>
          <w:color w:val="auto"/>
          <w:sz w:val="22"/>
          <w:szCs w:val="22"/>
        </w:rPr>
      </w:pPr>
      <w:r>
        <w:rPr>
          <w:rFonts w:hint="eastAsia" w:ascii="宋体" w:hAnsi="宋体" w:eastAsia="宋体" w:cs="宋体"/>
          <w:color w:val="auto"/>
          <w:sz w:val="22"/>
          <w:szCs w:val="22"/>
        </w:rPr>
        <w:t>比较与评价</w:t>
      </w:r>
    </w:p>
    <w:p>
      <w:pPr>
        <w:pStyle w:val="35"/>
        <w:numPr>
          <w:ilvl w:val="1"/>
          <w:numId w:val="14"/>
        </w:numPr>
        <w:tabs>
          <w:tab w:val="left" w:pos="1108"/>
        </w:tabs>
        <w:spacing w:line="360" w:lineRule="auto"/>
        <w:ind w:left="0" w:firstLine="440" w:firstLineChars="200"/>
        <w:jc w:val="both"/>
        <w:rPr>
          <w:color w:val="auto"/>
        </w:rPr>
      </w:pPr>
      <w:r>
        <w:rPr>
          <w:rFonts w:hint="eastAsia"/>
          <w:color w:val="auto"/>
        </w:rPr>
        <w:t>评审方法：综合评分法。</w:t>
      </w:r>
    </w:p>
    <w:p>
      <w:pPr>
        <w:pStyle w:val="35"/>
        <w:numPr>
          <w:ilvl w:val="1"/>
          <w:numId w:val="14"/>
        </w:numPr>
        <w:tabs>
          <w:tab w:val="left" w:pos="1108"/>
        </w:tabs>
        <w:spacing w:line="360" w:lineRule="auto"/>
        <w:ind w:left="0" w:firstLine="440" w:firstLineChars="200"/>
        <w:jc w:val="both"/>
        <w:rPr>
          <w:color w:val="auto"/>
        </w:rPr>
      </w:pPr>
      <w:r>
        <w:rPr>
          <w:rFonts w:hint="eastAsia"/>
          <w:color w:val="auto"/>
        </w:rPr>
        <w:t>经磋商确定最终采购需求和提交最后报价的供应商后，由磋商小组采用综合评分法对提交最后报价的供应商的响应文件和最后报价进行综合评分。</w:t>
      </w:r>
    </w:p>
    <w:p>
      <w:pPr>
        <w:pStyle w:val="35"/>
        <w:numPr>
          <w:ilvl w:val="1"/>
          <w:numId w:val="14"/>
        </w:numPr>
        <w:tabs>
          <w:tab w:val="left" w:pos="1108"/>
        </w:tabs>
        <w:spacing w:line="360" w:lineRule="auto"/>
        <w:ind w:left="0" w:firstLine="440" w:firstLineChars="200"/>
        <w:jc w:val="both"/>
        <w:rPr>
          <w:color w:val="auto"/>
        </w:rPr>
      </w:pPr>
      <w:r>
        <w:rPr>
          <w:rFonts w:hint="eastAsia"/>
          <w:color w:val="auto"/>
        </w:rPr>
        <w:t>评审时，磋商小组各成员应当独立对每个有效响应的文件进行评价、打分，然后汇总每个供应商每项评分因素的得分。</w:t>
      </w:r>
    </w:p>
    <w:p>
      <w:pPr>
        <w:pStyle w:val="35"/>
        <w:numPr>
          <w:ilvl w:val="1"/>
          <w:numId w:val="14"/>
        </w:numPr>
        <w:tabs>
          <w:tab w:val="left" w:pos="1108"/>
        </w:tabs>
        <w:spacing w:line="360" w:lineRule="auto"/>
        <w:ind w:left="0" w:firstLine="440" w:firstLineChars="200"/>
        <w:jc w:val="both"/>
        <w:rPr>
          <w:color w:val="auto"/>
        </w:rPr>
      </w:pPr>
      <w:r>
        <w:rPr>
          <w:rFonts w:hint="eastAsia"/>
          <w:color w:val="auto"/>
        </w:rPr>
        <w:t>磋商小组按照磋商文件中规定的评审标准计算各供应商的报价得分。项目评审过程中，不得去掉最后报价中的最高报价和最低报价。</w:t>
      </w:r>
    </w:p>
    <w:p>
      <w:pPr>
        <w:pStyle w:val="35"/>
        <w:numPr>
          <w:ilvl w:val="1"/>
          <w:numId w:val="14"/>
        </w:numPr>
        <w:tabs>
          <w:tab w:val="left" w:pos="1108"/>
        </w:tabs>
        <w:spacing w:line="360" w:lineRule="auto"/>
        <w:ind w:left="0" w:firstLine="440" w:firstLineChars="200"/>
        <w:jc w:val="both"/>
        <w:rPr>
          <w:color w:val="auto"/>
        </w:rPr>
      </w:pPr>
      <w:r>
        <w:rPr>
          <w:rFonts w:hint="eastAsia"/>
          <w:color w:val="auto"/>
        </w:rPr>
        <w:t>各供应商的得分为磋商小组所有成员的有效评分的算术平均数。</w:t>
      </w:r>
    </w:p>
    <w:p>
      <w:pPr>
        <w:pStyle w:val="35"/>
        <w:numPr>
          <w:ilvl w:val="1"/>
          <w:numId w:val="14"/>
        </w:numPr>
        <w:tabs>
          <w:tab w:val="left" w:pos="1108"/>
        </w:tabs>
        <w:spacing w:line="360" w:lineRule="auto"/>
        <w:ind w:left="0" w:firstLine="440" w:firstLineChars="200"/>
        <w:jc w:val="both"/>
        <w:rPr>
          <w:color w:val="auto"/>
        </w:rPr>
      </w:pPr>
      <w:r>
        <w:rPr>
          <w:rFonts w:hint="eastAsia"/>
          <w:color w:val="auto"/>
        </w:rPr>
        <w:t>评标价为供应商的最后报价进行政策性扣除后的价格，评标价只是作为评审时使用。最终成交供应商的成交金额等于最后报价（如有修正，以确认修正后的最后报价为准）。</w:t>
      </w:r>
    </w:p>
    <w:p>
      <w:pPr>
        <w:pStyle w:val="35"/>
        <w:numPr>
          <w:ilvl w:val="1"/>
          <w:numId w:val="14"/>
        </w:numPr>
        <w:tabs>
          <w:tab w:val="left" w:pos="1108"/>
        </w:tabs>
        <w:spacing w:line="360" w:lineRule="auto"/>
        <w:ind w:left="0" w:firstLine="440" w:firstLineChars="200"/>
        <w:jc w:val="both"/>
        <w:rPr>
          <w:color w:val="auto"/>
        </w:rPr>
      </w:pPr>
      <w:r>
        <w:rPr>
          <w:rFonts w:hint="eastAsia"/>
          <w:color w:val="auto"/>
        </w:rPr>
        <w:t>由磋商小组根据综合评分情况，按照评审得分由高到低顺序推荐 3 名以上成交候选供应商，并编写评审报告。符合本章第 2.7、3.7、4.3 条情形的，可以推荐 2 家成交候选供应商。评审得分相同的，按照最后报价由低到高的顺序推荐。评审得分且最后报价相同的，按照技术指标优劣顺序推荐。</w:t>
      </w:r>
    </w:p>
    <w:p>
      <w:pPr>
        <w:pStyle w:val="35"/>
        <w:numPr>
          <w:ilvl w:val="1"/>
          <w:numId w:val="14"/>
        </w:numPr>
        <w:tabs>
          <w:tab w:val="left" w:pos="1108"/>
        </w:tabs>
        <w:spacing w:line="360" w:lineRule="auto"/>
        <w:ind w:left="0" w:firstLine="440" w:firstLineChars="200"/>
        <w:jc w:val="both"/>
        <w:rPr>
          <w:color w:val="auto"/>
        </w:rPr>
      </w:pPr>
      <w:r>
        <w:rPr>
          <w:rFonts w:hint="eastAsia"/>
          <w:color w:val="auto"/>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40" w:firstLineChars="200"/>
        <w:jc w:val="both"/>
        <w:rPr>
          <w:color w:val="auto"/>
        </w:rPr>
        <w:sectPr>
          <w:footerReference r:id="rId6" w:type="default"/>
          <w:pgSz w:w="11910" w:h="16840"/>
          <w:pgMar w:top="1417" w:right="1417" w:bottom="1417" w:left="1417" w:header="0" w:footer="1202" w:gutter="0"/>
          <w:cols w:space="0" w:num="1"/>
        </w:sectPr>
      </w:pPr>
    </w:p>
    <w:p>
      <w:pPr>
        <w:pStyle w:val="5"/>
        <w:spacing w:line="360" w:lineRule="auto"/>
        <w:ind w:left="1769" w:right="1769"/>
        <w:rPr>
          <w:rFonts w:ascii="宋体" w:hAnsi="宋体" w:eastAsia="宋体" w:cs="宋体"/>
          <w:b/>
          <w:bCs/>
          <w:color w:val="auto"/>
          <w:sz w:val="30"/>
          <w:szCs w:val="30"/>
        </w:rPr>
      </w:pPr>
      <w:bookmarkStart w:id="34" w:name="_Toc17488"/>
      <w:r>
        <w:rPr>
          <w:rFonts w:hint="eastAsia" w:ascii="宋体" w:hAnsi="宋体" w:eastAsia="宋体" w:cs="宋体"/>
          <w:b/>
          <w:bCs/>
          <w:color w:val="auto"/>
          <w:sz w:val="30"/>
          <w:szCs w:val="30"/>
        </w:rPr>
        <w:t>二、评审标准</w:t>
      </w:r>
      <w:bookmarkEnd w:id="34"/>
    </w:p>
    <w:p>
      <w:pPr>
        <w:pStyle w:val="35"/>
        <w:tabs>
          <w:tab w:val="left" w:pos="952"/>
        </w:tabs>
        <w:spacing w:line="360" w:lineRule="auto"/>
        <w:ind w:left="0" w:firstLineChars="200"/>
        <w:rPr>
          <w:color w:val="auto"/>
        </w:rPr>
      </w:pPr>
      <w:r>
        <w:rPr>
          <w:rFonts w:hint="eastAsia"/>
          <w:color w:val="auto"/>
          <w:spacing w:val="-10"/>
        </w:rPr>
        <w:t>一、</w:t>
      </w:r>
      <w:r>
        <w:rPr>
          <w:color w:val="auto"/>
          <w:spacing w:val="-10"/>
        </w:rPr>
        <w:t>评审依据：磋商小组将以磋商响应文件为评审依据，对供应商的报价、技术、商务等方面内容按百分制打分。</w:t>
      </w:r>
      <w:r>
        <w:rPr>
          <w:color w:val="auto"/>
        </w:rPr>
        <w:t xml:space="preserve">（计分方法按四舍五入取至百分位） </w:t>
      </w:r>
    </w:p>
    <w:p>
      <w:pPr>
        <w:pStyle w:val="35"/>
        <w:tabs>
          <w:tab w:val="left" w:pos="952"/>
        </w:tabs>
        <w:spacing w:line="360" w:lineRule="auto"/>
        <w:ind w:left="0" w:firstLine="440" w:firstLineChars="200"/>
        <w:rPr>
          <w:color w:val="auto"/>
        </w:rPr>
      </w:pPr>
      <w:r>
        <w:rPr>
          <w:rFonts w:hint="eastAsia"/>
          <w:color w:val="auto"/>
        </w:rPr>
        <w:t>二、</w:t>
      </w:r>
      <w:r>
        <w:rPr>
          <w:color w:val="auto"/>
        </w:rPr>
        <w:t>评标方法</w:t>
      </w:r>
    </w:p>
    <w:p>
      <w:pPr>
        <w:pStyle w:val="14"/>
        <w:spacing w:line="360" w:lineRule="auto"/>
        <w:ind w:firstLine="440" w:firstLineChars="200"/>
        <w:rPr>
          <w:color w:val="auto"/>
          <w:sz w:val="24"/>
        </w:rPr>
      </w:pPr>
      <w:r>
        <w:rPr>
          <w:color w:val="auto"/>
          <w:sz w:val="22"/>
          <w:szCs w:val="22"/>
        </w:rPr>
        <w:t>对进入详评的，磋商小组将以竞争性磋商文件 、电子响应文件为评定依据，采用百分制综合评分法： 计分办法（按四舍五入取至百分位）：</w:t>
      </w:r>
    </w:p>
    <w:tbl>
      <w:tblPr>
        <w:tblStyle w:val="29"/>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8"/>
        <w:gridCol w:w="920"/>
        <w:gridCol w:w="6891"/>
        <w:gridCol w:w="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438" w:type="dxa"/>
            <w:vAlign w:val="center"/>
          </w:tcPr>
          <w:p>
            <w:pPr>
              <w:pStyle w:val="36"/>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rPr>
            </w:pPr>
            <w:r>
              <w:rPr>
                <w:rFonts w:hint="eastAsia"/>
                <w:color w:val="auto"/>
                <w:highlight w:val="none"/>
              </w:rPr>
              <w:t>序</w:t>
            </w:r>
          </w:p>
          <w:p>
            <w:pPr>
              <w:pStyle w:val="36"/>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rPr>
            </w:pPr>
            <w:r>
              <w:rPr>
                <w:rFonts w:hint="eastAsia"/>
                <w:color w:val="auto"/>
                <w:highlight w:val="none"/>
              </w:rPr>
              <w:t>号</w:t>
            </w:r>
          </w:p>
        </w:tc>
        <w:tc>
          <w:tcPr>
            <w:tcW w:w="920" w:type="dxa"/>
            <w:vAlign w:val="center"/>
          </w:tcPr>
          <w:p>
            <w:pPr>
              <w:pStyle w:val="36"/>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rPr>
            </w:pPr>
            <w:r>
              <w:rPr>
                <w:rFonts w:hint="eastAsia"/>
                <w:color w:val="auto"/>
                <w:highlight w:val="none"/>
              </w:rPr>
              <w:t>评审因素</w:t>
            </w:r>
          </w:p>
        </w:tc>
        <w:tc>
          <w:tcPr>
            <w:tcW w:w="6891" w:type="dxa"/>
            <w:vAlign w:val="center"/>
          </w:tcPr>
          <w:p>
            <w:pPr>
              <w:pStyle w:val="36"/>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rPr>
            </w:pPr>
            <w:r>
              <w:rPr>
                <w:rFonts w:hint="eastAsia"/>
                <w:color w:val="auto"/>
                <w:highlight w:val="none"/>
              </w:rPr>
              <w:t>评审因素具体内容</w:t>
            </w:r>
          </w:p>
        </w:tc>
        <w:tc>
          <w:tcPr>
            <w:tcW w:w="688" w:type="dxa"/>
            <w:vAlign w:val="center"/>
          </w:tcPr>
          <w:p>
            <w:pPr>
              <w:pStyle w:val="36"/>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rPr>
            </w:pPr>
            <w:r>
              <w:rPr>
                <w:rFonts w:hint="eastAsia"/>
                <w:color w:val="auto"/>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5" w:hRule="atLeast"/>
        </w:trPr>
        <w:tc>
          <w:tcPr>
            <w:tcW w:w="438" w:type="dxa"/>
            <w:vAlign w:val="center"/>
          </w:tcPr>
          <w:p>
            <w:pPr>
              <w:pStyle w:val="36"/>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rPr>
            </w:pPr>
            <w:r>
              <w:rPr>
                <w:rFonts w:hint="eastAsia"/>
                <w:color w:val="auto"/>
                <w:w w:val="99"/>
                <w:highlight w:val="none"/>
              </w:rPr>
              <w:t>1</w:t>
            </w:r>
          </w:p>
        </w:tc>
        <w:tc>
          <w:tcPr>
            <w:tcW w:w="920" w:type="dxa"/>
            <w:vAlign w:val="center"/>
          </w:tcPr>
          <w:p>
            <w:pPr>
              <w:pStyle w:val="36"/>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rPr>
            </w:pPr>
            <w:r>
              <w:rPr>
                <w:rFonts w:hint="eastAsia"/>
                <w:color w:val="auto"/>
                <w:highlight w:val="none"/>
              </w:rPr>
              <w:t>价格分</w:t>
            </w:r>
          </w:p>
        </w:tc>
        <w:tc>
          <w:tcPr>
            <w:tcW w:w="6891" w:type="dxa"/>
          </w:tcPr>
          <w:p>
            <w:pPr>
              <w:pStyle w:val="36"/>
              <w:keepNext w:val="0"/>
              <w:keepLines w:val="0"/>
              <w:pageBreakBefore w:val="0"/>
              <w:widowControl w:val="0"/>
              <w:kinsoku/>
              <w:wordWrap/>
              <w:overflowPunct/>
              <w:topLinePunct w:val="0"/>
              <w:autoSpaceDE w:val="0"/>
              <w:autoSpaceDN w:val="0"/>
              <w:bidi w:val="0"/>
              <w:adjustRightInd/>
              <w:snapToGrid/>
              <w:spacing w:line="384" w:lineRule="auto"/>
              <w:textAlignment w:val="auto"/>
              <w:rPr>
                <w:b/>
                <w:color w:val="auto"/>
                <w:highlight w:val="none"/>
              </w:rPr>
            </w:pPr>
            <w:r>
              <w:rPr>
                <w:rFonts w:hint="eastAsia"/>
                <w:b/>
                <w:color w:val="auto"/>
                <w:highlight w:val="none"/>
              </w:rPr>
              <w:t>一、政府采购政策扣除</w:t>
            </w:r>
          </w:p>
          <w:p>
            <w:pPr>
              <w:pStyle w:val="36"/>
              <w:keepNext w:val="0"/>
              <w:keepLines w:val="0"/>
              <w:pageBreakBefore w:val="0"/>
              <w:widowControl w:val="0"/>
              <w:kinsoku/>
              <w:wordWrap/>
              <w:overflowPunct/>
              <w:topLinePunct w:val="0"/>
              <w:autoSpaceDE w:val="0"/>
              <w:autoSpaceDN w:val="0"/>
              <w:bidi w:val="0"/>
              <w:adjustRightInd/>
              <w:snapToGrid/>
              <w:spacing w:line="384" w:lineRule="auto"/>
              <w:ind w:firstLine="420"/>
              <w:textAlignment w:val="auto"/>
              <w:rPr>
                <w:rFonts w:hint="eastAsia" w:ascii="宋体" w:hAnsi="宋体" w:eastAsia="宋体" w:cs="宋体"/>
                <w:b/>
                <w:bCs/>
                <w:color w:val="auto"/>
                <w:highlight w:val="none"/>
              </w:rPr>
            </w:pPr>
            <w:bookmarkStart w:id="35" w:name="二、报价分（满分10分）"/>
            <w:bookmarkEnd w:id="35"/>
            <w:r>
              <w:rPr>
                <w:rFonts w:hint="eastAsia" w:ascii="宋体" w:hAnsi="宋体" w:eastAsia="宋体" w:cs="宋体"/>
                <w:b/>
                <w:bCs/>
                <w:color w:val="auto"/>
                <w:highlight w:val="none"/>
                <w:lang w:eastAsia="zh-CN"/>
              </w:rPr>
              <w:t>本项目属于专门面向中小企业采购项目，不载明价格扣除比例</w:t>
            </w:r>
            <w:r>
              <w:rPr>
                <w:rFonts w:hint="eastAsia" w:ascii="宋体" w:hAnsi="宋体" w:eastAsia="宋体" w:cs="宋体"/>
                <w:b/>
                <w:bCs/>
                <w:color w:val="auto"/>
                <w:highlight w:val="none"/>
              </w:rPr>
              <w:t>。</w:t>
            </w:r>
          </w:p>
          <w:p>
            <w:pPr>
              <w:pStyle w:val="36"/>
              <w:keepNext w:val="0"/>
              <w:keepLines w:val="0"/>
              <w:pageBreakBefore w:val="0"/>
              <w:widowControl w:val="0"/>
              <w:kinsoku/>
              <w:wordWrap/>
              <w:overflowPunct/>
              <w:topLinePunct w:val="0"/>
              <w:autoSpaceDE w:val="0"/>
              <w:autoSpaceDN w:val="0"/>
              <w:bidi w:val="0"/>
              <w:adjustRightInd/>
              <w:snapToGrid/>
              <w:spacing w:line="384" w:lineRule="auto"/>
              <w:textAlignment w:val="auto"/>
              <w:rPr>
                <w:b/>
                <w:color w:val="auto"/>
                <w:highlight w:val="none"/>
              </w:rPr>
            </w:pPr>
            <w:r>
              <w:rPr>
                <w:rFonts w:hint="eastAsia"/>
                <w:b/>
                <w:color w:val="auto"/>
                <w:highlight w:val="none"/>
              </w:rPr>
              <w:t xml:space="preserve">二、报价分（满分 </w:t>
            </w:r>
            <w:r>
              <w:rPr>
                <w:rFonts w:hint="eastAsia"/>
                <w:b/>
                <w:color w:val="auto"/>
                <w:highlight w:val="none"/>
                <w:lang w:val="en-US" w:eastAsia="zh-CN"/>
              </w:rPr>
              <w:t>3</w:t>
            </w:r>
            <w:r>
              <w:rPr>
                <w:rFonts w:hint="eastAsia"/>
                <w:b/>
                <w:color w:val="auto"/>
                <w:highlight w:val="none"/>
              </w:rPr>
              <w:t>0 分）</w:t>
            </w:r>
          </w:p>
          <w:p>
            <w:pPr>
              <w:pStyle w:val="36"/>
              <w:keepNext w:val="0"/>
              <w:keepLines w:val="0"/>
              <w:pageBreakBefore w:val="0"/>
              <w:widowControl w:val="0"/>
              <w:kinsoku/>
              <w:wordWrap/>
              <w:overflowPunct/>
              <w:topLinePunct w:val="0"/>
              <w:autoSpaceDE w:val="0"/>
              <w:autoSpaceDN w:val="0"/>
              <w:bidi w:val="0"/>
              <w:adjustRightInd/>
              <w:snapToGrid/>
              <w:spacing w:line="384" w:lineRule="auto"/>
              <w:ind w:firstLine="420"/>
              <w:textAlignment w:val="auto"/>
              <w:rPr>
                <w:color w:val="auto"/>
                <w:highlight w:val="none"/>
              </w:rPr>
            </w:pPr>
            <w:r>
              <w:rPr>
                <w:rFonts w:hint="eastAsia"/>
                <w:color w:val="auto"/>
                <w:highlight w:val="none"/>
              </w:rPr>
              <w:t>1、报价分采用低价优先法计算，满足磋商文件要求且最终报价最低的有效供应商的最终报价为评标基准价，其报价分为满分。</w:t>
            </w:r>
          </w:p>
          <w:p>
            <w:pPr>
              <w:pStyle w:val="36"/>
              <w:keepNext w:val="0"/>
              <w:keepLines w:val="0"/>
              <w:pageBreakBefore w:val="0"/>
              <w:widowControl w:val="0"/>
              <w:kinsoku/>
              <w:wordWrap/>
              <w:overflowPunct/>
              <w:topLinePunct w:val="0"/>
              <w:autoSpaceDE w:val="0"/>
              <w:autoSpaceDN w:val="0"/>
              <w:bidi w:val="0"/>
              <w:adjustRightInd/>
              <w:snapToGrid/>
              <w:spacing w:line="384" w:lineRule="auto"/>
              <w:ind w:firstLine="440" w:firstLineChars="200"/>
              <w:textAlignment w:val="auto"/>
              <w:rPr>
                <w:color w:val="auto"/>
                <w:highlight w:val="none"/>
              </w:rPr>
            </w:pPr>
            <w:r>
              <w:rPr>
                <w:rFonts w:hint="eastAsia"/>
                <w:color w:val="auto"/>
                <w:highlight w:val="none"/>
              </w:rPr>
              <w:t>2、其他供应商的价格分统一按照下列公式计算：</w:t>
            </w:r>
          </w:p>
          <w:p>
            <w:pPr>
              <w:pStyle w:val="36"/>
              <w:keepNext w:val="0"/>
              <w:keepLines w:val="0"/>
              <w:pageBreakBefore w:val="0"/>
              <w:widowControl w:val="0"/>
              <w:kinsoku/>
              <w:wordWrap/>
              <w:overflowPunct/>
              <w:topLinePunct w:val="0"/>
              <w:autoSpaceDE w:val="0"/>
              <w:autoSpaceDN w:val="0"/>
              <w:bidi w:val="0"/>
              <w:adjustRightInd/>
              <w:snapToGrid/>
              <w:spacing w:line="384" w:lineRule="auto"/>
              <w:textAlignment w:val="auto"/>
              <w:rPr>
                <w:color w:val="auto"/>
                <w:highlight w:val="none"/>
              </w:rPr>
            </w:pPr>
            <w:r>
              <w:rPr>
                <w:rFonts w:hint="eastAsia"/>
                <w:color w:val="auto"/>
                <w:highlight w:val="none"/>
              </w:rPr>
              <w:t>某有效供应商的报价分=（评标基准价／某有效供应商最终报价）×</w:t>
            </w:r>
            <w:r>
              <w:rPr>
                <w:rFonts w:hint="eastAsia"/>
                <w:color w:val="auto"/>
                <w:highlight w:val="none"/>
                <w:lang w:val="en-US" w:eastAsia="zh-CN"/>
              </w:rPr>
              <w:t>3</w:t>
            </w:r>
            <w:r>
              <w:rPr>
                <w:rFonts w:hint="eastAsia"/>
                <w:color w:val="auto"/>
                <w:highlight w:val="none"/>
              </w:rPr>
              <w:t>0 分</w:t>
            </w:r>
          </w:p>
        </w:tc>
        <w:tc>
          <w:tcPr>
            <w:tcW w:w="688" w:type="dxa"/>
            <w:vAlign w:val="center"/>
          </w:tcPr>
          <w:p>
            <w:pPr>
              <w:pStyle w:val="36"/>
              <w:keepNext w:val="0"/>
              <w:keepLines w:val="0"/>
              <w:pageBreakBefore w:val="0"/>
              <w:widowControl w:val="0"/>
              <w:kinsoku/>
              <w:wordWrap/>
              <w:overflowPunct/>
              <w:topLinePunct w:val="0"/>
              <w:autoSpaceDE w:val="0"/>
              <w:autoSpaceDN w:val="0"/>
              <w:bidi w:val="0"/>
              <w:adjustRightInd/>
              <w:snapToGrid/>
              <w:spacing w:line="384" w:lineRule="auto"/>
              <w:ind w:firstLine="24"/>
              <w:jc w:val="center"/>
              <w:textAlignment w:val="auto"/>
              <w:rPr>
                <w:color w:val="auto"/>
                <w:highlight w:val="none"/>
              </w:rPr>
            </w:pPr>
            <w:r>
              <w:rPr>
                <w:rFonts w:hint="eastAsia"/>
                <w:color w:val="auto"/>
                <w:highlight w:val="none"/>
              </w:rPr>
              <w:t>满分</w:t>
            </w:r>
            <w:r>
              <w:rPr>
                <w:rFonts w:hint="eastAsia"/>
                <w:color w:val="auto"/>
                <w:highlight w:val="none"/>
                <w:lang w:val="en-US" w:eastAsia="zh-CN"/>
              </w:rPr>
              <w:t>3</w:t>
            </w:r>
            <w:r>
              <w:rPr>
                <w:rFonts w:hint="eastAsia"/>
                <w:color w:val="auto"/>
                <w:highlight w:val="none"/>
              </w:rPr>
              <w:t>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438" w:type="dxa"/>
          </w:tcPr>
          <w:p>
            <w:pPr>
              <w:pStyle w:val="36"/>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rPr>
            </w:pPr>
          </w:p>
          <w:p>
            <w:pPr>
              <w:pStyle w:val="36"/>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rPr>
            </w:pPr>
            <w:r>
              <w:rPr>
                <w:rFonts w:hint="eastAsia"/>
                <w:color w:val="auto"/>
                <w:highlight w:val="none"/>
              </w:rPr>
              <w:t>2</w:t>
            </w:r>
          </w:p>
        </w:tc>
        <w:tc>
          <w:tcPr>
            <w:tcW w:w="920" w:type="dxa"/>
          </w:tcPr>
          <w:p>
            <w:pPr>
              <w:pStyle w:val="36"/>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rFonts w:hint="eastAsia" w:eastAsia="宋体"/>
                <w:color w:val="auto"/>
                <w:highlight w:val="none"/>
                <w:lang w:eastAsia="zh-CN"/>
              </w:rPr>
            </w:pPr>
            <w:r>
              <w:rPr>
                <w:rFonts w:hint="eastAsia"/>
                <w:color w:val="auto"/>
                <w:highlight w:val="none"/>
              </w:rPr>
              <w:t>技术</w:t>
            </w:r>
            <w:r>
              <w:rPr>
                <w:rFonts w:hint="eastAsia"/>
                <w:color w:val="auto"/>
                <w:highlight w:val="none"/>
                <w:lang w:eastAsia="zh-CN"/>
              </w:rPr>
              <w:t>实施</w:t>
            </w:r>
          </w:p>
          <w:p>
            <w:pPr>
              <w:pStyle w:val="36"/>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rPr>
            </w:pPr>
            <w:r>
              <w:rPr>
                <w:rFonts w:hint="eastAsia"/>
                <w:color w:val="auto"/>
                <w:highlight w:val="none"/>
              </w:rPr>
              <w:t>方案分</w:t>
            </w:r>
          </w:p>
        </w:tc>
        <w:tc>
          <w:tcPr>
            <w:tcW w:w="6891" w:type="dxa"/>
            <w:vAlign w:val="center"/>
          </w:tcPr>
          <w:p>
            <w:pPr>
              <w:pStyle w:val="36"/>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rPr>
            </w:pPr>
            <w:r>
              <w:rPr>
                <w:rFonts w:hint="eastAsia"/>
                <w:color w:val="auto"/>
                <w:highlight w:val="none"/>
              </w:rPr>
              <w:t>评审因素</w:t>
            </w:r>
          </w:p>
        </w:tc>
        <w:tc>
          <w:tcPr>
            <w:tcW w:w="688" w:type="dxa"/>
          </w:tcPr>
          <w:p>
            <w:pPr>
              <w:pStyle w:val="36"/>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rPr>
            </w:pPr>
            <w:r>
              <w:rPr>
                <w:rFonts w:hint="eastAsia"/>
                <w:color w:val="auto"/>
                <w:highlight w:val="none"/>
              </w:rPr>
              <w:t>满分</w:t>
            </w:r>
          </w:p>
          <w:p>
            <w:pPr>
              <w:pStyle w:val="36"/>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rPr>
            </w:pPr>
            <w:r>
              <w:rPr>
                <w:rFonts w:hint="eastAsia"/>
                <w:color w:val="auto"/>
                <w:highlight w:val="none"/>
                <w:lang w:val="en-US" w:eastAsia="zh-CN"/>
              </w:rPr>
              <w:t>62</w:t>
            </w:r>
            <w:r>
              <w:rPr>
                <w:rFonts w:hint="eastAsia"/>
                <w:color w:val="auto"/>
                <w:highlight w:val="none"/>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438" w:type="dxa"/>
            <w:vAlign w:val="center"/>
          </w:tcPr>
          <w:p>
            <w:pPr>
              <w:pStyle w:val="36"/>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rFonts w:hint="eastAsia" w:eastAsia="宋体"/>
                <w:color w:val="auto"/>
                <w:highlight w:val="none"/>
                <w:lang w:eastAsia="zh-CN"/>
              </w:rPr>
            </w:pPr>
            <w:r>
              <w:rPr>
                <w:rFonts w:hint="eastAsia"/>
                <w:color w:val="auto"/>
                <w:highlight w:val="none"/>
              </w:rPr>
              <w:t>2.</w:t>
            </w:r>
            <w:r>
              <w:rPr>
                <w:rFonts w:hint="eastAsia"/>
                <w:color w:val="auto"/>
                <w:highlight w:val="none"/>
                <w:lang w:val="en-US" w:eastAsia="zh-CN"/>
              </w:rPr>
              <w:t>1</w:t>
            </w:r>
          </w:p>
        </w:tc>
        <w:tc>
          <w:tcPr>
            <w:tcW w:w="920" w:type="dxa"/>
            <w:vAlign w:val="center"/>
          </w:tcPr>
          <w:p>
            <w:pPr>
              <w:pStyle w:val="36"/>
              <w:keepNext w:val="0"/>
              <w:keepLines w:val="0"/>
              <w:pageBreakBefore w:val="0"/>
              <w:widowControl w:val="0"/>
              <w:kinsoku/>
              <w:wordWrap/>
              <w:overflowPunct/>
              <w:topLinePunct w:val="0"/>
              <w:autoSpaceDE w:val="0"/>
              <w:autoSpaceDN w:val="0"/>
              <w:bidi w:val="0"/>
              <w:adjustRightInd/>
              <w:snapToGrid/>
              <w:spacing w:line="384" w:lineRule="auto"/>
              <w:ind w:left="108" w:right="52"/>
              <w:jc w:val="center"/>
              <w:textAlignment w:val="auto"/>
              <w:rPr>
                <w:b/>
                <w:color w:val="auto"/>
                <w:highlight w:val="none"/>
              </w:rPr>
            </w:pPr>
            <w:r>
              <w:rPr>
                <w:rStyle w:val="43"/>
                <w:rFonts w:hint="eastAsia"/>
                <w:b/>
                <w:color w:val="auto"/>
                <w:szCs w:val="21"/>
                <w:highlight w:val="none"/>
              </w:rPr>
              <w:t>施工组织设计分（满分</w:t>
            </w:r>
            <w:r>
              <w:rPr>
                <w:rStyle w:val="43"/>
                <w:rFonts w:hint="eastAsia"/>
                <w:b/>
                <w:color w:val="auto"/>
                <w:szCs w:val="21"/>
                <w:highlight w:val="none"/>
                <w:lang w:val="en-US" w:eastAsia="zh-CN"/>
              </w:rPr>
              <w:t>56</w:t>
            </w:r>
            <w:r>
              <w:rPr>
                <w:rStyle w:val="43"/>
                <w:rFonts w:hint="eastAsia"/>
                <w:b/>
                <w:color w:val="auto"/>
                <w:szCs w:val="21"/>
                <w:highlight w:val="none"/>
              </w:rPr>
              <w:t>分）</w:t>
            </w:r>
          </w:p>
        </w:tc>
        <w:tc>
          <w:tcPr>
            <w:tcW w:w="6891" w:type="dxa"/>
          </w:tcPr>
          <w:p>
            <w:pPr>
              <w:spacing w:line="360" w:lineRule="auto"/>
              <w:jc w:val="left"/>
              <w:rPr>
                <w:rFonts w:ascii="宋体" w:hAnsi="宋体"/>
                <w:b/>
                <w:bCs/>
                <w:color w:val="auto"/>
                <w:kern w:val="0"/>
                <w:szCs w:val="21"/>
                <w:highlight w:val="none"/>
              </w:rPr>
            </w:pPr>
            <w:r>
              <w:rPr>
                <w:rFonts w:hint="eastAsia" w:ascii="宋体" w:hAnsi="宋体"/>
                <w:b/>
                <w:bCs/>
                <w:color w:val="auto"/>
                <w:kern w:val="0"/>
                <w:szCs w:val="21"/>
                <w:highlight w:val="none"/>
              </w:rPr>
              <w:t>（1）主要施工方法（满分</w:t>
            </w:r>
            <w:r>
              <w:rPr>
                <w:rFonts w:hint="eastAsia"/>
                <w:b/>
                <w:bCs/>
                <w:color w:val="auto"/>
                <w:kern w:val="0"/>
                <w:szCs w:val="21"/>
                <w:highlight w:val="none"/>
                <w:lang w:val="en-US" w:eastAsia="zh-CN"/>
              </w:rPr>
              <w:t>10</w:t>
            </w:r>
            <w:r>
              <w:rPr>
                <w:rFonts w:hint="eastAsia" w:ascii="宋体" w:hAnsi="宋体"/>
                <w:b/>
                <w:bCs/>
                <w:color w:val="auto"/>
                <w:kern w:val="0"/>
                <w:szCs w:val="21"/>
                <w:highlight w:val="none"/>
              </w:rPr>
              <w:t>分）</w:t>
            </w:r>
          </w:p>
          <w:p>
            <w:pPr>
              <w:spacing w:line="360" w:lineRule="auto"/>
              <w:ind w:firstLine="440" w:firstLineChars="200"/>
              <w:jc w:val="left"/>
              <w:rPr>
                <w:rFonts w:hint="eastAsia" w:ascii="宋体" w:hAnsi="宋体"/>
                <w:bCs/>
                <w:color w:val="auto"/>
                <w:szCs w:val="21"/>
                <w:highlight w:val="none"/>
              </w:rPr>
            </w:pPr>
            <w:r>
              <w:rPr>
                <w:rFonts w:hint="eastAsia" w:ascii="宋体" w:hAnsi="宋体"/>
                <w:bCs/>
                <w:color w:val="auto"/>
                <w:szCs w:val="21"/>
                <w:highlight w:val="none"/>
              </w:rPr>
              <w:t>一档（</w:t>
            </w:r>
            <w:r>
              <w:rPr>
                <w:rFonts w:hint="eastAsia"/>
                <w:bCs/>
                <w:color w:val="auto"/>
                <w:szCs w:val="21"/>
                <w:highlight w:val="none"/>
                <w:lang w:val="en-US" w:eastAsia="zh-CN"/>
              </w:rPr>
              <w:t>3</w:t>
            </w:r>
            <w:r>
              <w:rPr>
                <w:rFonts w:hint="eastAsia" w:ascii="宋体" w:hAnsi="宋体"/>
                <w:bCs/>
                <w:color w:val="auto"/>
                <w:szCs w:val="21"/>
                <w:highlight w:val="none"/>
              </w:rPr>
              <w:t>分）：对项目的总体认识不足，施工方案不完整，技术措施不具体，施工段划分不合理。</w:t>
            </w:r>
          </w:p>
          <w:p>
            <w:pPr>
              <w:spacing w:line="360" w:lineRule="auto"/>
              <w:ind w:firstLine="440" w:firstLineChars="200"/>
              <w:jc w:val="left"/>
              <w:rPr>
                <w:rFonts w:hint="eastAsia" w:ascii="宋体" w:hAnsi="宋体"/>
                <w:bCs/>
                <w:color w:val="auto"/>
                <w:szCs w:val="21"/>
                <w:highlight w:val="none"/>
              </w:rPr>
            </w:pPr>
            <w:r>
              <w:rPr>
                <w:rFonts w:hint="eastAsia" w:ascii="宋体" w:hAnsi="宋体"/>
                <w:bCs/>
                <w:color w:val="auto"/>
                <w:szCs w:val="21"/>
                <w:highlight w:val="none"/>
              </w:rPr>
              <w:t>二档（</w:t>
            </w:r>
            <w:r>
              <w:rPr>
                <w:rFonts w:hint="eastAsia"/>
                <w:bCs/>
                <w:color w:val="auto"/>
                <w:szCs w:val="21"/>
                <w:highlight w:val="none"/>
                <w:lang w:val="en-US" w:eastAsia="zh-CN"/>
              </w:rPr>
              <w:t>6</w:t>
            </w:r>
            <w:r>
              <w:rPr>
                <w:rFonts w:hint="eastAsia" w:ascii="宋体" w:hAnsi="宋体"/>
                <w:bCs/>
                <w:color w:val="auto"/>
                <w:szCs w:val="21"/>
                <w:highlight w:val="none"/>
              </w:rPr>
              <w:t>分）：对项目总体有认识，表述基本清晰。施工方案基本完整、合理，技术措施不够具体，施工段划分较合理、采用了一般的技术、工艺、材料、设备。</w:t>
            </w:r>
          </w:p>
          <w:p>
            <w:pPr>
              <w:spacing w:line="360" w:lineRule="auto"/>
              <w:ind w:firstLine="440" w:firstLineChars="200"/>
              <w:jc w:val="left"/>
              <w:rPr>
                <w:rFonts w:ascii="宋体" w:hAnsi="宋体"/>
                <w:bCs/>
                <w:color w:val="auto"/>
                <w:szCs w:val="21"/>
                <w:highlight w:val="none"/>
              </w:rPr>
            </w:pPr>
            <w:r>
              <w:rPr>
                <w:rFonts w:hint="eastAsia" w:ascii="宋体" w:hAnsi="宋体"/>
                <w:bCs/>
                <w:color w:val="auto"/>
                <w:szCs w:val="21"/>
                <w:highlight w:val="none"/>
              </w:rPr>
              <w:t>三档（</w:t>
            </w:r>
            <w:r>
              <w:rPr>
                <w:rFonts w:hint="eastAsia"/>
                <w:bCs/>
                <w:color w:val="auto"/>
                <w:szCs w:val="21"/>
                <w:highlight w:val="none"/>
                <w:lang w:val="en-US" w:eastAsia="zh-CN"/>
              </w:rPr>
              <w:t>10</w:t>
            </w:r>
            <w:r>
              <w:rPr>
                <w:rFonts w:hint="eastAsia" w:ascii="宋体" w:hAnsi="宋体"/>
                <w:bCs/>
                <w:color w:val="auto"/>
                <w:szCs w:val="21"/>
                <w:highlight w:val="none"/>
              </w:rPr>
              <w:t>分）：对项目总体有深刻认识，表述清晰。施工方案完整、严谨、合理，技术措施先进、具体、有效、成熟，施工段划分呼应总体表述，划分清晰、合理，符合规范要求。采用了己论证的新技术、新工艺、新材料、新设备。</w:t>
            </w:r>
          </w:p>
          <w:p>
            <w:pPr>
              <w:spacing w:line="360" w:lineRule="auto"/>
              <w:jc w:val="left"/>
              <w:rPr>
                <w:rFonts w:ascii="宋体" w:hAnsi="宋体"/>
                <w:b/>
                <w:bCs/>
                <w:color w:val="auto"/>
                <w:kern w:val="0"/>
                <w:szCs w:val="21"/>
                <w:highlight w:val="none"/>
              </w:rPr>
            </w:pPr>
            <w:r>
              <w:rPr>
                <w:rFonts w:hint="eastAsia" w:ascii="宋体" w:hAnsi="宋体"/>
                <w:b/>
                <w:bCs/>
                <w:color w:val="auto"/>
                <w:kern w:val="0"/>
                <w:szCs w:val="21"/>
                <w:highlight w:val="none"/>
              </w:rPr>
              <w:t>（2）拟投入的主要物资计划（满分6分）</w:t>
            </w:r>
          </w:p>
          <w:p>
            <w:pPr>
              <w:pStyle w:val="16"/>
              <w:spacing w:line="360" w:lineRule="auto"/>
              <w:ind w:firstLine="440" w:firstLineChars="200"/>
              <w:rPr>
                <w:rFonts w:hAnsi="宋体"/>
                <w:bCs/>
                <w:color w:val="auto"/>
                <w:highlight w:val="none"/>
              </w:rPr>
            </w:pPr>
            <w:r>
              <w:rPr>
                <w:rFonts w:hint="eastAsia" w:hAnsi="宋体"/>
                <w:bCs/>
                <w:color w:val="auto"/>
                <w:highlight w:val="none"/>
              </w:rPr>
              <w:t>一档（2分）：资源配备不合理，不满足施工需要。</w:t>
            </w:r>
          </w:p>
          <w:p>
            <w:pPr>
              <w:spacing w:line="360" w:lineRule="auto"/>
              <w:ind w:firstLine="440" w:firstLineChars="200"/>
              <w:jc w:val="left"/>
              <w:rPr>
                <w:rFonts w:ascii="宋体" w:hAnsi="宋体"/>
                <w:bCs/>
                <w:color w:val="auto"/>
                <w:szCs w:val="21"/>
                <w:highlight w:val="none"/>
              </w:rPr>
            </w:pPr>
            <w:r>
              <w:rPr>
                <w:rFonts w:hint="eastAsia" w:ascii="宋体" w:hAnsi="宋体"/>
                <w:bCs/>
                <w:color w:val="auto"/>
                <w:szCs w:val="21"/>
                <w:highlight w:val="none"/>
              </w:rPr>
              <w:t>二档（4分）：资源配备基本合理，基本满足施工需要，调配投入计划基本可行。</w:t>
            </w:r>
          </w:p>
          <w:p>
            <w:pPr>
              <w:spacing w:line="360" w:lineRule="auto"/>
              <w:ind w:firstLine="440" w:firstLineChars="200"/>
              <w:jc w:val="left"/>
              <w:rPr>
                <w:rFonts w:hint="eastAsia" w:ascii="宋体" w:hAnsi="宋体"/>
                <w:bCs/>
                <w:color w:val="auto"/>
                <w:szCs w:val="21"/>
                <w:highlight w:val="none"/>
              </w:rPr>
            </w:pPr>
            <w:r>
              <w:rPr>
                <w:rFonts w:hint="eastAsia" w:ascii="宋体" w:hAnsi="宋体"/>
                <w:bCs/>
                <w:color w:val="auto"/>
                <w:szCs w:val="21"/>
                <w:highlight w:val="none"/>
              </w:rPr>
              <w:t>三档（6分）：资源配备计划与工程进度计划呼应，较好满足施工需要，调配投入计划合理、准确。</w:t>
            </w:r>
          </w:p>
          <w:p>
            <w:pPr>
              <w:spacing w:line="360" w:lineRule="auto"/>
              <w:jc w:val="left"/>
              <w:rPr>
                <w:rFonts w:ascii="宋体" w:hAnsi="宋体"/>
                <w:b/>
                <w:bCs/>
                <w:color w:val="auto"/>
                <w:kern w:val="0"/>
                <w:szCs w:val="21"/>
                <w:highlight w:val="none"/>
              </w:rPr>
            </w:pPr>
            <w:r>
              <w:rPr>
                <w:rFonts w:hint="eastAsia" w:ascii="宋体" w:hAnsi="宋体"/>
                <w:b/>
                <w:bCs/>
                <w:color w:val="auto"/>
                <w:kern w:val="0"/>
                <w:szCs w:val="21"/>
                <w:highlight w:val="none"/>
              </w:rPr>
              <w:t>（3）劳动力安排计划（满分6分）</w:t>
            </w:r>
          </w:p>
          <w:p>
            <w:pPr>
              <w:pStyle w:val="16"/>
              <w:spacing w:line="360" w:lineRule="auto"/>
              <w:ind w:firstLine="440" w:firstLineChars="200"/>
              <w:rPr>
                <w:rFonts w:hint="eastAsia" w:hAnsi="宋体"/>
                <w:bCs/>
                <w:color w:val="auto"/>
                <w:highlight w:val="none"/>
              </w:rPr>
            </w:pPr>
            <w:r>
              <w:rPr>
                <w:rFonts w:hint="eastAsia" w:hAnsi="宋体"/>
                <w:bCs/>
                <w:color w:val="auto"/>
                <w:highlight w:val="none"/>
              </w:rPr>
              <w:t>一档（2分）：劳动力投入不合理，未满足施工需要，或未提供劳动力安排计划的。</w:t>
            </w:r>
          </w:p>
          <w:p>
            <w:pPr>
              <w:pStyle w:val="16"/>
              <w:spacing w:line="360" w:lineRule="auto"/>
              <w:ind w:firstLine="440" w:firstLineChars="200"/>
              <w:rPr>
                <w:rFonts w:hAnsi="宋体"/>
                <w:bCs/>
                <w:color w:val="auto"/>
                <w:highlight w:val="none"/>
              </w:rPr>
            </w:pPr>
            <w:r>
              <w:rPr>
                <w:rFonts w:hint="eastAsia" w:hAnsi="宋体"/>
                <w:bCs/>
                <w:color w:val="auto"/>
                <w:highlight w:val="none"/>
              </w:rPr>
              <w:t>二档（4分）：各主要施工工序应有较合理的劳动力安排计划，有各工种劳动力安排计划，满足施工需要。</w:t>
            </w:r>
          </w:p>
          <w:p>
            <w:pPr>
              <w:pStyle w:val="16"/>
              <w:spacing w:line="360" w:lineRule="auto"/>
              <w:ind w:firstLine="440" w:firstLineChars="200"/>
              <w:rPr>
                <w:rFonts w:hint="eastAsia" w:hAnsi="宋体"/>
                <w:bCs/>
                <w:color w:val="auto"/>
                <w:highlight w:val="none"/>
              </w:rPr>
            </w:pPr>
            <w:r>
              <w:rPr>
                <w:rFonts w:hint="eastAsia" w:hAnsi="宋体"/>
                <w:bCs/>
                <w:color w:val="auto"/>
                <w:highlight w:val="none"/>
              </w:rPr>
              <w:t>三档（6分）：各主要施工工序应有详细周密的劳动力安排计划，有各工种劳动力安排计划，劳动力投入合理，人员配备齐全的。</w:t>
            </w:r>
          </w:p>
          <w:p>
            <w:pPr>
              <w:spacing w:line="360" w:lineRule="auto"/>
              <w:jc w:val="left"/>
              <w:rPr>
                <w:rFonts w:ascii="宋体" w:hAnsi="宋体"/>
                <w:b/>
                <w:bCs/>
                <w:color w:val="auto"/>
                <w:kern w:val="0"/>
                <w:szCs w:val="21"/>
                <w:highlight w:val="none"/>
              </w:rPr>
            </w:pPr>
            <w:r>
              <w:rPr>
                <w:rFonts w:hint="eastAsia" w:ascii="宋体" w:hAnsi="宋体"/>
                <w:b/>
                <w:bCs/>
                <w:color w:val="auto"/>
                <w:kern w:val="0"/>
                <w:szCs w:val="21"/>
                <w:highlight w:val="none"/>
              </w:rPr>
              <w:t>（4）确保工程质量的技术组织措施（满分</w:t>
            </w:r>
            <w:r>
              <w:rPr>
                <w:rFonts w:hint="eastAsia"/>
                <w:b/>
                <w:bCs/>
                <w:color w:val="auto"/>
                <w:kern w:val="0"/>
                <w:szCs w:val="21"/>
                <w:highlight w:val="none"/>
                <w:lang w:val="en-US" w:eastAsia="zh-CN"/>
              </w:rPr>
              <w:t>8</w:t>
            </w:r>
            <w:r>
              <w:rPr>
                <w:rFonts w:hint="eastAsia" w:ascii="宋体" w:hAnsi="宋体"/>
                <w:b/>
                <w:bCs/>
                <w:color w:val="auto"/>
                <w:kern w:val="0"/>
                <w:szCs w:val="21"/>
                <w:highlight w:val="none"/>
              </w:rPr>
              <w:t>分）</w:t>
            </w:r>
          </w:p>
          <w:p>
            <w:pPr>
              <w:pStyle w:val="16"/>
              <w:spacing w:line="360" w:lineRule="auto"/>
              <w:ind w:firstLine="440" w:firstLineChars="200"/>
              <w:rPr>
                <w:rFonts w:hint="eastAsia" w:hAnsi="宋体"/>
                <w:bCs/>
                <w:color w:val="auto"/>
                <w:highlight w:val="none"/>
              </w:rPr>
            </w:pPr>
            <w:r>
              <w:rPr>
                <w:rFonts w:hint="eastAsia" w:hAnsi="宋体"/>
                <w:bCs/>
                <w:color w:val="auto"/>
                <w:highlight w:val="none"/>
              </w:rPr>
              <w:t>一档（</w:t>
            </w:r>
            <w:r>
              <w:rPr>
                <w:rFonts w:hint="eastAsia" w:hAnsi="宋体"/>
                <w:bCs/>
                <w:color w:val="auto"/>
                <w:highlight w:val="none"/>
                <w:lang w:val="en-US" w:eastAsia="zh-CN"/>
              </w:rPr>
              <w:t>3</w:t>
            </w:r>
            <w:r>
              <w:rPr>
                <w:rFonts w:hint="eastAsia" w:hAnsi="宋体"/>
                <w:bCs/>
                <w:color w:val="auto"/>
                <w:highlight w:val="none"/>
              </w:rPr>
              <w:t>分）：质量管理体系表述不清晰，对项目重点、难点没有可行的质量保证措施，质量管理措施不可行。</w:t>
            </w:r>
          </w:p>
          <w:p>
            <w:pPr>
              <w:pStyle w:val="22"/>
              <w:spacing w:line="360" w:lineRule="auto"/>
              <w:ind w:firstLine="420" w:firstLineChars="200"/>
              <w:rPr>
                <w:rFonts w:ascii="宋体" w:hAnsi="宋体"/>
                <w:bCs/>
                <w:color w:val="auto"/>
                <w:kern w:val="2"/>
                <w:sz w:val="21"/>
                <w:szCs w:val="21"/>
                <w:highlight w:val="none"/>
              </w:rPr>
            </w:pPr>
            <w:r>
              <w:rPr>
                <w:rFonts w:hint="eastAsia" w:ascii="宋体" w:hAnsi="宋体"/>
                <w:bCs/>
                <w:color w:val="auto"/>
                <w:kern w:val="2"/>
                <w:sz w:val="21"/>
                <w:szCs w:val="21"/>
                <w:highlight w:val="none"/>
              </w:rPr>
              <w:t>二档（</w:t>
            </w:r>
            <w:r>
              <w:rPr>
                <w:rFonts w:hint="eastAsia"/>
                <w:bCs/>
                <w:color w:val="auto"/>
                <w:kern w:val="2"/>
                <w:sz w:val="21"/>
                <w:szCs w:val="21"/>
                <w:highlight w:val="none"/>
                <w:lang w:val="en-US" w:eastAsia="zh-CN"/>
              </w:rPr>
              <w:t>5</w:t>
            </w:r>
            <w:r>
              <w:rPr>
                <w:rFonts w:hint="eastAsia" w:ascii="宋体" w:hAnsi="宋体"/>
                <w:bCs/>
                <w:color w:val="auto"/>
                <w:kern w:val="2"/>
                <w:sz w:val="21"/>
                <w:szCs w:val="21"/>
                <w:highlight w:val="none"/>
              </w:rPr>
              <w:t>分）：质量管理体系基本完善并基本符合项目特点、可行，对项目的质量管理（特别是关键部位技术、工艺）有一定的表述级有一般可行、粗咯的质量保证措施，针对项目重点、难点有较合理的质量保证措施，质量管理措施基本可行。</w:t>
            </w:r>
          </w:p>
          <w:p>
            <w:pPr>
              <w:pStyle w:val="16"/>
              <w:spacing w:line="360" w:lineRule="auto"/>
              <w:ind w:firstLine="440" w:firstLineChars="200"/>
              <w:rPr>
                <w:rFonts w:hAnsi="宋体"/>
                <w:bCs/>
                <w:color w:val="auto"/>
                <w:highlight w:val="none"/>
              </w:rPr>
            </w:pPr>
            <w:r>
              <w:rPr>
                <w:rFonts w:hint="eastAsia" w:hAnsi="宋体"/>
                <w:bCs/>
                <w:color w:val="auto"/>
                <w:highlight w:val="none"/>
              </w:rPr>
              <w:t>三档（</w:t>
            </w:r>
            <w:r>
              <w:rPr>
                <w:rFonts w:hint="eastAsia" w:hAnsi="宋体"/>
                <w:bCs/>
                <w:color w:val="auto"/>
                <w:highlight w:val="none"/>
                <w:lang w:val="en-US" w:eastAsia="zh-CN"/>
              </w:rPr>
              <w:t>8</w:t>
            </w:r>
            <w:r>
              <w:rPr>
                <w:rFonts w:hint="eastAsia" w:hAnsi="宋体"/>
                <w:bCs/>
                <w:color w:val="auto"/>
                <w:highlight w:val="none"/>
              </w:rPr>
              <w:t>分）：质量管理体系完善并具备符合性、有效性及可行性。对项目的质量管理（特别是关键部位技术、工艺）有深入的表述及有效的先进的、可行的、具体的质量保证措施，针对项目重点、难点有可行的质量保证措施，质量管理措施完整、安全、切实、可行、得力。</w:t>
            </w:r>
          </w:p>
          <w:p>
            <w:pPr>
              <w:spacing w:line="360" w:lineRule="auto"/>
              <w:jc w:val="left"/>
              <w:rPr>
                <w:rFonts w:ascii="宋体" w:hAnsi="宋体"/>
                <w:b/>
                <w:bCs/>
                <w:color w:val="auto"/>
                <w:kern w:val="0"/>
                <w:szCs w:val="21"/>
                <w:highlight w:val="none"/>
              </w:rPr>
            </w:pPr>
            <w:r>
              <w:rPr>
                <w:rFonts w:hint="eastAsia" w:ascii="宋体" w:hAnsi="宋体"/>
                <w:b/>
                <w:bCs/>
                <w:color w:val="auto"/>
                <w:kern w:val="0"/>
                <w:szCs w:val="21"/>
                <w:highlight w:val="none"/>
              </w:rPr>
              <w:t>（5）确保安全生产的技术组织措施（满分</w:t>
            </w:r>
            <w:r>
              <w:rPr>
                <w:rFonts w:hint="eastAsia"/>
                <w:b/>
                <w:bCs/>
                <w:color w:val="auto"/>
                <w:kern w:val="0"/>
                <w:szCs w:val="21"/>
                <w:highlight w:val="none"/>
                <w:lang w:val="en-US" w:eastAsia="zh-CN"/>
              </w:rPr>
              <w:t>8</w:t>
            </w:r>
            <w:r>
              <w:rPr>
                <w:rFonts w:hint="eastAsia" w:ascii="宋体" w:hAnsi="宋体"/>
                <w:b/>
                <w:bCs/>
                <w:color w:val="auto"/>
                <w:kern w:val="0"/>
                <w:szCs w:val="21"/>
                <w:highlight w:val="none"/>
              </w:rPr>
              <w:t>分）</w:t>
            </w:r>
          </w:p>
          <w:p>
            <w:pPr>
              <w:spacing w:line="360" w:lineRule="auto"/>
              <w:ind w:firstLine="330" w:firstLineChars="150"/>
              <w:jc w:val="left"/>
              <w:rPr>
                <w:rFonts w:hint="eastAsia" w:ascii="宋体" w:hAnsi="宋体"/>
                <w:bCs/>
                <w:color w:val="auto"/>
                <w:szCs w:val="21"/>
                <w:highlight w:val="none"/>
              </w:rPr>
            </w:pPr>
            <w:r>
              <w:rPr>
                <w:rFonts w:hint="eastAsia" w:ascii="宋体" w:hAnsi="宋体"/>
                <w:bCs/>
                <w:color w:val="auto"/>
                <w:szCs w:val="21"/>
                <w:highlight w:val="none"/>
              </w:rPr>
              <w:t>一档（</w:t>
            </w:r>
            <w:r>
              <w:rPr>
                <w:rFonts w:hint="eastAsia"/>
                <w:bCs/>
                <w:color w:val="auto"/>
                <w:szCs w:val="21"/>
                <w:highlight w:val="none"/>
                <w:lang w:val="en-US" w:eastAsia="zh-CN"/>
              </w:rPr>
              <w:t>3</w:t>
            </w:r>
            <w:r>
              <w:rPr>
                <w:rFonts w:hint="eastAsia" w:ascii="宋体" w:hAnsi="宋体"/>
                <w:bCs/>
                <w:color w:val="auto"/>
                <w:szCs w:val="21"/>
                <w:highlight w:val="none"/>
              </w:rPr>
              <w:t>分）：安全技术组织措施不完善，对项目的安全管理（特别是关键部位技术、工艺）保证措施不可行，采用规范不正确。</w:t>
            </w:r>
          </w:p>
          <w:p>
            <w:pPr>
              <w:pStyle w:val="22"/>
              <w:spacing w:line="360" w:lineRule="auto"/>
              <w:ind w:firstLine="315" w:firstLineChars="150"/>
              <w:rPr>
                <w:rFonts w:ascii="宋体" w:hAnsi="宋体"/>
                <w:bCs/>
                <w:color w:val="auto"/>
                <w:kern w:val="2"/>
                <w:sz w:val="21"/>
                <w:szCs w:val="21"/>
                <w:highlight w:val="none"/>
              </w:rPr>
            </w:pPr>
            <w:r>
              <w:rPr>
                <w:rFonts w:hint="eastAsia" w:ascii="宋体" w:hAnsi="宋体"/>
                <w:bCs/>
                <w:color w:val="auto"/>
                <w:kern w:val="2"/>
                <w:sz w:val="21"/>
                <w:szCs w:val="21"/>
                <w:highlight w:val="none"/>
              </w:rPr>
              <w:t>二档（</w:t>
            </w:r>
            <w:r>
              <w:rPr>
                <w:rFonts w:hint="eastAsia"/>
                <w:bCs/>
                <w:color w:val="auto"/>
                <w:kern w:val="2"/>
                <w:sz w:val="21"/>
                <w:szCs w:val="21"/>
                <w:highlight w:val="none"/>
                <w:lang w:val="en-US" w:eastAsia="zh-CN"/>
              </w:rPr>
              <w:t>5</w:t>
            </w:r>
            <w:r>
              <w:rPr>
                <w:rFonts w:hint="eastAsia" w:ascii="宋体" w:hAnsi="宋体"/>
                <w:bCs/>
                <w:color w:val="auto"/>
                <w:kern w:val="2"/>
                <w:sz w:val="21"/>
                <w:szCs w:val="21"/>
                <w:highlight w:val="none"/>
              </w:rPr>
              <w:t>分）：安全技术组织措施基本完善、可行。对项目的安全管理（特别是关键部位技术、工艺）保证措施基本可行。采用规范基本正确。</w:t>
            </w:r>
          </w:p>
          <w:p>
            <w:pPr>
              <w:pStyle w:val="22"/>
              <w:spacing w:line="360" w:lineRule="auto"/>
              <w:ind w:firstLine="420" w:firstLineChars="200"/>
              <w:rPr>
                <w:rFonts w:ascii="宋体" w:hAnsi="宋体"/>
                <w:bCs/>
                <w:color w:val="auto"/>
                <w:kern w:val="2"/>
                <w:sz w:val="21"/>
                <w:szCs w:val="21"/>
                <w:highlight w:val="none"/>
              </w:rPr>
            </w:pPr>
            <w:r>
              <w:rPr>
                <w:rFonts w:hint="eastAsia" w:ascii="宋体" w:hAnsi="宋体"/>
                <w:bCs/>
                <w:color w:val="auto"/>
                <w:kern w:val="2"/>
                <w:sz w:val="21"/>
                <w:szCs w:val="21"/>
                <w:highlight w:val="none"/>
              </w:rPr>
              <w:t>三档（</w:t>
            </w:r>
            <w:r>
              <w:rPr>
                <w:rFonts w:hint="eastAsia"/>
                <w:bCs/>
                <w:color w:val="auto"/>
                <w:kern w:val="2"/>
                <w:sz w:val="21"/>
                <w:szCs w:val="21"/>
                <w:highlight w:val="none"/>
                <w:lang w:val="en-US" w:eastAsia="zh-CN"/>
              </w:rPr>
              <w:t>8</w:t>
            </w:r>
            <w:r>
              <w:rPr>
                <w:rFonts w:hint="eastAsia" w:ascii="宋体" w:hAnsi="宋体"/>
                <w:bCs/>
                <w:color w:val="auto"/>
                <w:kern w:val="2"/>
                <w:sz w:val="21"/>
                <w:szCs w:val="21"/>
                <w:highlight w:val="none"/>
              </w:rPr>
              <w:t>分）：安全技术组织措施完善并具备符合性、有效性及可行性。对项目的安全管理（特别是关键部位技术、工艺）有深入的表述及有具体、完整、可行的安全保证实施措施，采用规范正确、清晰。</w:t>
            </w:r>
          </w:p>
          <w:p>
            <w:pPr>
              <w:spacing w:line="360" w:lineRule="auto"/>
              <w:jc w:val="left"/>
              <w:rPr>
                <w:rFonts w:ascii="宋体" w:hAnsi="宋体"/>
                <w:b/>
                <w:bCs/>
                <w:color w:val="auto"/>
                <w:kern w:val="0"/>
                <w:szCs w:val="21"/>
                <w:highlight w:val="none"/>
              </w:rPr>
            </w:pPr>
            <w:r>
              <w:rPr>
                <w:rFonts w:hint="eastAsia" w:ascii="宋体" w:hAnsi="宋体"/>
                <w:b/>
                <w:bCs/>
                <w:color w:val="auto"/>
                <w:kern w:val="0"/>
                <w:szCs w:val="21"/>
                <w:highlight w:val="none"/>
              </w:rPr>
              <w:t>（6）确保工期的技术组织措施（满分6分）</w:t>
            </w:r>
          </w:p>
          <w:p>
            <w:pPr>
              <w:spacing w:line="360" w:lineRule="auto"/>
              <w:ind w:firstLine="440" w:firstLineChars="200"/>
              <w:jc w:val="left"/>
              <w:rPr>
                <w:rFonts w:hint="eastAsia" w:ascii="宋体" w:hAnsi="宋体"/>
                <w:bCs/>
                <w:color w:val="auto"/>
                <w:szCs w:val="21"/>
                <w:highlight w:val="none"/>
              </w:rPr>
            </w:pPr>
            <w:r>
              <w:rPr>
                <w:rFonts w:hint="eastAsia" w:ascii="宋体" w:hAnsi="宋体"/>
                <w:bCs/>
                <w:color w:val="auto"/>
                <w:szCs w:val="21"/>
                <w:highlight w:val="none"/>
              </w:rPr>
              <w:t>一档（2分）：对工程进度安排表述不清晰，关键线路不清晰，计划编制不合理、不可行，无关键节点的控制措施、无进度违约责任。</w:t>
            </w:r>
          </w:p>
          <w:p>
            <w:pPr>
              <w:spacing w:line="360" w:lineRule="auto"/>
              <w:ind w:firstLine="440" w:firstLineChars="200"/>
              <w:jc w:val="left"/>
              <w:rPr>
                <w:rFonts w:ascii="宋体" w:hAnsi="宋体"/>
                <w:bCs/>
                <w:color w:val="auto"/>
                <w:szCs w:val="21"/>
                <w:highlight w:val="none"/>
              </w:rPr>
            </w:pPr>
            <w:r>
              <w:rPr>
                <w:rFonts w:hint="eastAsia" w:ascii="宋体" w:hAnsi="宋体"/>
                <w:bCs/>
                <w:color w:val="auto"/>
                <w:szCs w:val="21"/>
                <w:highlight w:val="none"/>
              </w:rPr>
              <w:t>二档（4分）：对工程进度总体安排表述基本清晰。关键线路基本清晰、计划编制合理、基本可行，关键节点的控制措施基本可行，进度违约责任承诺较组略。</w:t>
            </w:r>
          </w:p>
          <w:p>
            <w:pPr>
              <w:spacing w:line="360" w:lineRule="auto"/>
              <w:ind w:firstLine="440" w:firstLineChars="200"/>
              <w:jc w:val="left"/>
              <w:rPr>
                <w:rFonts w:ascii="宋体" w:hAnsi="宋体"/>
                <w:bCs/>
                <w:color w:val="auto"/>
                <w:szCs w:val="21"/>
                <w:highlight w:val="none"/>
              </w:rPr>
            </w:pPr>
            <w:r>
              <w:rPr>
                <w:rFonts w:hint="eastAsia" w:ascii="宋体" w:hAnsi="宋体"/>
                <w:bCs/>
                <w:color w:val="auto"/>
                <w:szCs w:val="21"/>
                <w:highlight w:val="none"/>
              </w:rPr>
              <w:t>三档（6分）：对工程进度总体安排表述清晰。关键线路清晰。准确、完整，计划编制合理、可行，关键节点的控制措施有力、合理、可行，进度违约责任承诺具体。</w:t>
            </w:r>
          </w:p>
          <w:p>
            <w:pPr>
              <w:spacing w:line="360" w:lineRule="auto"/>
              <w:jc w:val="left"/>
              <w:rPr>
                <w:rFonts w:ascii="宋体" w:hAnsi="宋体"/>
                <w:b/>
                <w:bCs/>
                <w:color w:val="auto"/>
                <w:kern w:val="0"/>
                <w:szCs w:val="21"/>
                <w:highlight w:val="none"/>
              </w:rPr>
            </w:pPr>
            <w:r>
              <w:rPr>
                <w:rFonts w:hint="eastAsia" w:ascii="宋体" w:hAnsi="宋体"/>
                <w:b/>
                <w:bCs/>
                <w:color w:val="auto"/>
                <w:kern w:val="0"/>
                <w:szCs w:val="21"/>
                <w:highlight w:val="none"/>
              </w:rPr>
              <w:t>（7）确保文明施工的技术组织措施（满分6分）</w:t>
            </w:r>
          </w:p>
          <w:p>
            <w:pPr>
              <w:pStyle w:val="16"/>
              <w:spacing w:line="360" w:lineRule="auto"/>
              <w:ind w:firstLine="440" w:firstLineChars="200"/>
              <w:rPr>
                <w:rFonts w:hint="eastAsia" w:hAnsi="宋体"/>
                <w:bCs/>
                <w:color w:val="auto"/>
                <w:highlight w:val="none"/>
              </w:rPr>
            </w:pPr>
            <w:r>
              <w:rPr>
                <w:rFonts w:hint="eastAsia" w:hAnsi="宋体"/>
                <w:bCs/>
                <w:color w:val="auto"/>
                <w:highlight w:val="none"/>
              </w:rPr>
              <w:t>一档（2分）：</w:t>
            </w:r>
            <w:r>
              <w:rPr>
                <w:rFonts w:hAnsi="宋体"/>
                <w:bCs/>
                <w:color w:val="auto"/>
                <w:highlight w:val="none"/>
              </w:rPr>
              <w:t>现场文明施工、环境保护措施和内容与《建筑施工安全生产检查标准》、《广西壮族自治区建筑专业工程文明施工导则》的要求偏差大，</w:t>
            </w:r>
            <w:r>
              <w:rPr>
                <w:rFonts w:hint="eastAsia" w:hAnsi="宋体"/>
                <w:bCs/>
                <w:color w:val="auto"/>
                <w:highlight w:val="none"/>
              </w:rPr>
              <w:t>无现场文明施工目标的承诺。</w:t>
            </w:r>
          </w:p>
          <w:p>
            <w:pPr>
              <w:spacing w:line="360" w:lineRule="auto"/>
              <w:ind w:firstLine="440" w:firstLineChars="200"/>
              <w:jc w:val="left"/>
              <w:rPr>
                <w:rFonts w:ascii="宋体" w:hAnsi="宋体"/>
                <w:bCs/>
                <w:color w:val="auto"/>
                <w:szCs w:val="21"/>
                <w:highlight w:val="none"/>
              </w:rPr>
            </w:pPr>
            <w:r>
              <w:rPr>
                <w:rFonts w:hint="eastAsia" w:ascii="宋体" w:hAnsi="宋体"/>
                <w:bCs/>
                <w:color w:val="auto"/>
                <w:szCs w:val="21"/>
                <w:highlight w:val="none"/>
              </w:rPr>
              <w:t>二档（4分）：有具体实现现场文明施工目标的承诺，而且各项措施周全、具体、有效的。</w:t>
            </w:r>
          </w:p>
          <w:p>
            <w:pPr>
              <w:spacing w:line="360" w:lineRule="auto"/>
              <w:ind w:firstLine="440" w:firstLineChars="200"/>
              <w:jc w:val="left"/>
              <w:rPr>
                <w:rFonts w:ascii="宋体" w:hAnsi="宋体"/>
                <w:bCs/>
                <w:color w:val="auto"/>
                <w:szCs w:val="21"/>
                <w:highlight w:val="none"/>
              </w:rPr>
            </w:pPr>
            <w:r>
              <w:rPr>
                <w:rFonts w:hint="eastAsia" w:ascii="宋体" w:hAnsi="宋体"/>
                <w:bCs/>
                <w:color w:val="auto"/>
                <w:szCs w:val="21"/>
                <w:highlight w:val="none"/>
              </w:rPr>
              <w:t>三档（6分）：有具体实现现场文明施工目标的承诺，而且各项措施科学、具体、得力的。</w:t>
            </w:r>
          </w:p>
          <w:p>
            <w:pPr>
              <w:spacing w:line="360" w:lineRule="auto"/>
              <w:jc w:val="left"/>
              <w:rPr>
                <w:rFonts w:ascii="宋体" w:hAnsi="宋体"/>
                <w:b/>
                <w:bCs/>
                <w:color w:val="auto"/>
                <w:kern w:val="0"/>
                <w:szCs w:val="21"/>
                <w:highlight w:val="none"/>
              </w:rPr>
            </w:pPr>
            <w:r>
              <w:rPr>
                <w:rFonts w:hint="eastAsia" w:ascii="宋体" w:hAnsi="宋体"/>
                <w:b/>
                <w:bCs/>
                <w:color w:val="auto"/>
                <w:kern w:val="0"/>
                <w:szCs w:val="21"/>
                <w:highlight w:val="none"/>
              </w:rPr>
              <w:t>（8）工程施工的重点和难点及保证措施（满分6分）</w:t>
            </w:r>
          </w:p>
          <w:p>
            <w:pPr>
              <w:pStyle w:val="16"/>
              <w:spacing w:line="360" w:lineRule="auto"/>
              <w:ind w:firstLine="440" w:firstLineChars="200"/>
              <w:rPr>
                <w:rFonts w:hint="eastAsia" w:hAnsi="宋体"/>
                <w:bCs/>
                <w:color w:val="auto"/>
                <w:highlight w:val="none"/>
              </w:rPr>
            </w:pPr>
            <w:r>
              <w:rPr>
                <w:rFonts w:hint="eastAsia" w:hAnsi="宋体"/>
                <w:bCs/>
                <w:color w:val="auto"/>
                <w:highlight w:val="none"/>
              </w:rPr>
              <w:t>一档（2分）：对项目关键技术有表述，对重点、难点有建议，解决方案不可行。</w:t>
            </w:r>
          </w:p>
          <w:p>
            <w:pPr>
              <w:spacing w:line="360" w:lineRule="auto"/>
              <w:ind w:firstLine="440" w:firstLineChars="200"/>
              <w:jc w:val="left"/>
              <w:rPr>
                <w:rFonts w:ascii="宋体" w:hAnsi="宋体"/>
                <w:bCs/>
                <w:color w:val="auto"/>
                <w:szCs w:val="21"/>
                <w:highlight w:val="none"/>
              </w:rPr>
            </w:pPr>
            <w:r>
              <w:rPr>
                <w:rFonts w:hint="eastAsia" w:ascii="宋体" w:hAnsi="宋体"/>
                <w:bCs/>
                <w:color w:val="auto"/>
                <w:szCs w:val="21"/>
                <w:highlight w:val="none"/>
              </w:rPr>
              <w:t>二档（4分）：对项目关键技术、工艺有深入的表述，对重点、难点有合理的建议，解决方案经济、安全、基本可行。</w:t>
            </w:r>
          </w:p>
          <w:p>
            <w:pPr>
              <w:pStyle w:val="36"/>
              <w:keepNext w:val="0"/>
              <w:keepLines w:val="0"/>
              <w:pageBreakBefore w:val="0"/>
              <w:widowControl w:val="0"/>
              <w:kinsoku/>
              <w:wordWrap/>
              <w:overflowPunct/>
              <w:topLinePunct w:val="0"/>
              <w:autoSpaceDE w:val="0"/>
              <w:autoSpaceDN w:val="0"/>
              <w:bidi w:val="0"/>
              <w:adjustRightInd/>
              <w:snapToGrid/>
              <w:spacing w:line="384" w:lineRule="auto"/>
              <w:jc w:val="both"/>
              <w:textAlignment w:val="auto"/>
              <w:rPr>
                <w:rFonts w:hint="eastAsia"/>
                <w:color w:val="auto"/>
                <w:spacing w:val="-5"/>
                <w:highlight w:val="none"/>
              </w:rPr>
            </w:pPr>
            <w:r>
              <w:rPr>
                <w:rFonts w:hint="eastAsia" w:ascii="宋体" w:hAnsi="宋体"/>
                <w:bCs/>
                <w:color w:val="auto"/>
                <w:szCs w:val="21"/>
                <w:highlight w:val="none"/>
              </w:rPr>
              <w:t>三档（6分）：对项目关键技术、工艺有深入的表述。对重点、难点有先进合理的施工措施并有可行的安全措施，解决方案完整、经济、安全、切实可行，措施得力。</w:t>
            </w:r>
          </w:p>
        </w:tc>
        <w:tc>
          <w:tcPr>
            <w:tcW w:w="688" w:type="dxa"/>
            <w:vAlign w:val="center"/>
          </w:tcPr>
          <w:p>
            <w:pPr>
              <w:pStyle w:val="36"/>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lang w:val="en-US"/>
              </w:rPr>
            </w:pPr>
            <w:r>
              <w:rPr>
                <w:rFonts w:hint="eastAsia"/>
                <w:color w:val="auto"/>
                <w:highlight w:val="none"/>
                <w:lang w:val="en-US" w:eastAsia="zh-CN"/>
              </w:rPr>
              <w:t>56</w:t>
            </w:r>
            <w:r>
              <w:rPr>
                <w:rFonts w:hint="eastAsia"/>
                <w:color w:val="auto"/>
                <w:highlight w:val="none"/>
                <w:lang w:val="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438" w:type="dxa"/>
            <w:vAlign w:val="center"/>
          </w:tcPr>
          <w:p>
            <w:pPr>
              <w:pStyle w:val="36"/>
              <w:keepNext w:val="0"/>
              <w:keepLines w:val="0"/>
              <w:pageBreakBefore w:val="0"/>
              <w:widowControl w:val="0"/>
              <w:kinsoku/>
              <w:wordWrap/>
              <w:overflowPunct/>
              <w:topLinePunct w:val="0"/>
              <w:autoSpaceDE w:val="0"/>
              <w:autoSpaceDN w:val="0"/>
              <w:bidi w:val="0"/>
              <w:adjustRightInd/>
              <w:snapToGrid/>
              <w:spacing w:line="384" w:lineRule="auto"/>
              <w:jc w:val="both"/>
              <w:textAlignment w:val="auto"/>
              <w:rPr>
                <w:rFonts w:hint="eastAsia" w:eastAsia="宋体"/>
                <w:color w:val="auto"/>
                <w:highlight w:val="none"/>
                <w:lang w:val="en-US" w:eastAsia="zh-CN"/>
              </w:rPr>
            </w:pPr>
            <w:r>
              <w:rPr>
                <w:rFonts w:hint="eastAsia"/>
                <w:color w:val="auto"/>
                <w:highlight w:val="none"/>
              </w:rPr>
              <w:t>2.</w:t>
            </w:r>
            <w:r>
              <w:rPr>
                <w:rFonts w:hint="eastAsia"/>
                <w:color w:val="auto"/>
                <w:highlight w:val="none"/>
                <w:lang w:val="en-US" w:eastAsia="zh-CN"/>
              </w:rPr>
              <w:t>2</w:t>
            </w:r>
          </w:p>
        </w:tc>
        <w:tc>
          <w:tcPr>
            <w:tcW w:w="920" w:type="dxa"/>
            <w:vAlign w:val="center"/>
          </w:tcPr>
          <w:p>
            <w:pPr>
              <w:pStyle w:val="36"/>
              <w:keepNext w:val="0"/>
              <w:keepLines w:val="0"/>
              <w:pageBreakBefore w:val="0"/>
              <w:widowControl w:val="0"/>
              <w:kinsoku/>
              <w:wordWrap/>
              <w:overflowPunct/>
              <w:topLinePunct w:val="0"/>
              <w:autoSpaceDE w:val="0"/>
              <w:autoSpaceDN w:val="0"/>
              <w:bidi w:val="0"/>
              <w:adjustRightInd/>
              <w:snapToGrid/>
              <w:spacing w:line="384" w:lineRule="auto"/>
              <w:ind w:left="108" w:right="52"/>
              <w:jc w:val="center"/>
              <w:textAlignment w:val="auto"/>
              <w:rPr>
                <w:rStyle w:val="43"/>
                <w:rFonts w:hint="eastAsia"/>
                <w:b/>
                <w:bCs/>
                <w:color w:val="auto"/>
                <w:szCs w:val="21"/>
                <w:highlight w:val="none"/>
              </w:rPr>
            </w:pPr>
            <w:r>
              <w:rPr>
                <w:rStyle w:val="43"/>
                <w:rFonts w:hint="eastAsia"/>
                <w:b/>
                <w:bCs/>
                <w:color w:val="auto"/>
                <w:szCs w:val="21"/>
                <w:highlight w:val="none"/>
              </w:rPr>
              <w:t>项目管理机构配备分</w:t>
            </w:r>
          </w:p>
          <w:p>
            <w:pPr>
              <w:pStyle w:val="36"/>
              <w:keepNext w:val="0"/>
              <w:keepLines w:val="0"/>
              <w:pageBreakBefore w:val="0"/>
              <w:widowControl w:val="0"/>
              <w:kinsoku/>
              <w:wordWrap/>
              <w:overflowPunct/>
              <w:topLinePunct w:val="0"/>
              <w:autoSpaceDE w:val="0"/>
              <w:autoSpaceDN w:val="0"/>
              <w:bidi w:val="0"/>
              <w:adjustRightInd/>
              <w:snapToGrid/>
              <w:spacing w:line="384" w:lineRule="auto"/>
              <w:ind w:left="108" w:right="52"/>
              <w:jc w:val="center"/>
              <w:textAlignment w:val="auto"/>
              <w:rPr>
                <w:rFonts w:hint="default" w:eastAsia="宋体"/>
                <w:color w:val="auto"/>
                <w:spacing w:val="-5"/>
                <w:highlight w:val="none"/>
                <w:lang w:val="en-US" w:eastAsia="zh-CN"/>
              </w:rPr>
            </w:pPr>
            <w:r>
              <w:rPr>
                <w:rStyle w:val="43"/>
                <w:rFonts w:hint="eastAsia"/>
                <w:b/>
                <w:bCs/>
                <w:color w:val="auto"/>
                <w:szCs w:val="21"/>
                <w:highlight w:val="none"/>
              </w:rPr>
              <w:t>（满分</w:t>
            </w:r>
            <w:r>
              <w:rPr>
                <w:rStyle w:val="43"/>
                <w:rFonts w:hint="eastAsia"/>
                <w:b/>
                <w:bCs/>
                <w:color w:val="auto"/>
                <w:szCs w:val="21"/>
                <w:highlight w:val="none"/>
                <w:lang w:val="en-US" w:eastAsia="zh-CN"/>
              </w:rPr>
              <w:t>6</w:t>
            </w:r>
            <w:r>
              <w:rPr>
                <w:rStyle w:val="43"/>
                <w:rFonts w:hint="eastAsia"/>
                <w:b/>
                <w:bCs/>
                <w:color w:val="auto"/>
                <w:szCs w:val="21"/>
                <w:highlight w:val="none"/>
              </w:rPr>
              <w:t>分）</w:t>
            </w:r>
          </w:p>
        </w:tc>
        <w:tc>
          <w:tcPr>
            <w:tcW w:w="6891" w:type="dxa"/>
            <w:vAlign w:val="center"/>
          </w:tcPr>
          <w:p>
            <w:pPr>
              <w:keepNext w:val="0"/>
              <w:keepLines w:val="0"/>
              <w:widowControl/>
              <w:suppressLineNumbers w:val="0"/>
              <w:spacing w:line="360" w:lineRule="auto"/>
              <w:jc w:val="both"/>
              <w:rPr>
                <w:rFonts w:hint="eastAsia" w:ascii="宋体" w:hAnsi="宋体" w:eastAsia="宋体" w:cs="宋体"/>
                <w:bCs/>
                <w:color w:val="auto"/>
                <w:sz w:val="22"/>
                <w:szCs w:val="21"/>
                <w:highlight w:val="none"/>
                <w:lang w:val="en-US" w:eastAsia="zh-CN" w:bidi="zh-CN"/>
              </w:rPr>
            </w:pPr>
            <w:r>
              <w:rPr>
                <w:rFonts w:hint="eastAsia" w:cs="宋体"/>
                <w:bCs/>
                <w:color w:val="auto"/>
                <w:sz w:val="22"/>
                <w:szCs w:val="21"/>
                <w:highlight w:val="none"/>
                <w:lang w:val="en-US" w:eastAsia="zh-CN" w:bidi="zh-CN"/>
              </w:rPr>
              <w:t>（1）</w:t>
            </w:r>
            <w:r>
              <w:rPr>
                <w:rFonts w:hint="eastAsia" w:ascii="宋体" w:hAnsi="宋体" w:eastAsia="宋体" w:cs="宋体"/>
                <w:bCs/>
                <w:color w:val="auto"/>
                <w:sz w:val="22"/>
                <w:szCs w:val="21"/>
                <w:highlight w:val="none"/>
                <w:lang w:val="en-US" w:eastAsia="zh-CN" w:bidi="zh-CN"/>
              </w:rPr>
              <w:t>项目经理职称：具有中级及以上职称得</w:t>
            </w:r>
            <w:r>
              <w:rPr>
                <w:rFonts w:hint="eastAsia" w:cs="宋体"/>
                <w:bCs/>
                <w:color w:val="auto"/>
                <w:sz w:val="22"/>
                <w:szCs w:val="21"/>
                <w:highlight w:val="none"/>
                <w:lang w:val="en-US" w:eastAsia="zh-CN" w:bidi="zh-CN"/>
              </w:rPr>
              <w:t>3</w:t>
            </w:r>
            <w:r>
              <w:rPr>
                <w:rFonts w:hint="eastAsia" w:ascii="宋体" w:hAnsi="宋体" w:eastAsia="宋体" w:cs="宋体"/>
                <w:bCs/>
                <w:color w:val="auto"/>
                <w:sz w:val="22"/>
                <w:szCs w:val="21"/>
                <w:highlight w:val="none"/>
                <w:lang w:val="en-US" w:eastAsia="zh-CN" w:bidi="zh-CN"/>
              </w:rPr>
              <w:t xml:space="preserve">分，此项满分 </w:t>
            </w:r>
            <w:r>
              <w:rPr>
                <w:rFonts w:hint="eastAsia" w:cs="宋体"/>
                <w:bCs/>
                <w:color w:val="auto"/>
                <w:sz w:val="22"/>
                <w:szCs w:val="21"/>
                <w:highlight w:val="none"/>
                <w:lang w:val="en-US" w:eastAsia="zh-CN" w:bidi="zh-CN"/>
              </w:rPr>
              <w:t>3</w:t>
            </w:r>
            <w:r>
              <w:rPr>
                <w:rFonts w:hint="eastAsia" w:ascii="宋体" w:hAnsi="宋体" w:eastAsia="宋体" w:cs="宋体"/>
                <w:bCs/>
                <w:color w:val="auto"/>
                <w:sz w:val="22"/>
                <w:szCs w:val="21"/>
                <w:highlight w:val="none"/>
                <w:lang w:val="en-US" w:eastAsia="zh-CN" w:bidi="zh-CN"/>
              </w:rPr>
              <w:t>分。</w:t>
            </w:r>
          </w:p>
          <w:p>
            <w:pPr>
              <w:keepNext w:val="0"/>
              <w:keepLines w:val="0"/>
              <w:widowControl/>
              <w:suppressLineNumbers w:val="0"/>
              <w:spacing w:line="360" w:lineRule="auto"/>
              <w:jc w:val="both"/>
              <w:rPr>
                <w:rFonts w:ascii="仿宋" w:hAnsi="仿宋" w:eastAsia="仿宋" w:cs="仿宋"/>
                <w:color w:val="auto"/>
                <w:kern w:val="0"/>
                <w:sz w:val="20"/>
                <w:szCs w:val="20"/>
                <w:highlight w:val="none"/>
                <w:lang w:val="en-US" w:eastAsia="zh-CN" w:bidi="ar"/>
              </w:rPr>
            </w:pPr>
            <w:r>
              <w:rPr>
                <w:rFonts w:hint="eastAsia" w:ascii="宋体" w:hAnsi="宋体" w:eastAsia="宋体" w:cs="宋体"/>
                <w:bCs/>
                <w:color w:val="auto"/>
                <w:sz w:val="22"/>
                <w:szCs w:val="21"/>
                <w:highlight w:val="none"/>
                <w:lang w:val="en-US" w:eastAsia="zh-CN" w:bidi="zh-CN"/>
              </w:rPr>
              <w:t>（2）拟派驻本项目的技术负责人具有中级及以上职称证件，大专或以上学历得</w:t>
            </w:r>
            <w:r>
              <w:rPr>
                <w:rFonts w:hint="eastAsia" w:cs="宋体"/>
                <w:bCs/>
                <w:color w:val="auto"/>
                <w:sz w:val="22"/>
                <w:szCs w:val="21"/>
                <w:highlight w:val="none"/>
                <w:lang w:val="en-US" w:eastAsia="zh-CN" w:bidi="zh-CN"/>
              </w:rPr>
              <w:t>3</w:t>
            </w:r>
            <w:r>
              <w:rPr>
                <w:rFonts w:hint="eastAsia" w:ascii="宋体" w:hAnsi="宋体" w:eastAsia="宋体" w:cs="宋体"/>
                <w:bCs/>
                <w:color w:val="auto"/>
                <w:sz w:val="22"/>
                <w:szCs w:val="21"/>
                <w:highlight w:val="none"/>
                <w:lang w:val="en-US" w:eastAsia="zh-CN" w:bidi="zh-CN"/>
              </w:rPr>
              <w:t>分。</w:t>
            </w:r>
            <w:r>
              <w:rPr>
                <w:rFonts w:ascii="仿宋" w:hAnsi="仿宋" w:eastAsia="仿宋" w:cs="仿宋"/>
                <w:color w:val="auto"/>
                <w:kern w:val="0"/>
                <w:sz w:val="20"/>
                <w:szCs w:val="20"/>
                <w:highlight w:val="none"/>
                <w:lang w:val="en-US" w:eastAsia="zh-CN" w:bidi="ar"/>
              </w:rPr>
              <w:t xml:space="preserve"> </w:t>
            </w:r>
          </w:p>
          <w:p>
            <w:pPr>
              <w:keepNext w:val="0"/>
              <w:keepLines w:val="0"/>
              <w:widowControl/>
              <w:suppressLineNumbers w:val="0"/>
              <w:spacing w:line="360" w:lineRule="auto"/>
              <w:jc w:val="both"/>
              <w:rPr>
                <w:rFonts w:hint="eastAsia" w:ascii="宋体" w:hAnsi="宋体" w:eastAsia="宋体" w:cs="宋体"/>
                <w:color w:val="auto"/>
                <w:spacing w:val="-5"/>
                <w:highlight w:val="none"/>
                <w:lang w:eastAsia="zh-CN"/>
              </w:rPr>
            </w:pPr>
            <w:r>
              <w:rPr>
                <w:rFonts w:hint="eastAsia" w:cs="宋体"/>
                <w:bCs/>
                <w:color w:val="auto"/>
                <w:sz w:val="22"/>
                <w:szCs w:val="21"/>
                <w:highlight w:val="none"/>
                <w:lang w:val="en-US" w:eastAsia="zh-CN" w:bidi="zh-CN"/>
              </w:rPr>
              <w:t>项目管理机构应配备</w:t>
            </w:r>
            <w:r>
              <w:rPr>
                <w:rFonts w:hint="eastAsia" w:ascii="宋体" w:hAnsi="宋体" w:eastAsia="宋体" w:cs="宋体"/>
                <w:bCs/>
                <w:color w:val="auto"/>
                <w:sz w:val="22"/>
                <w:szCs w:val="21"/>
                <w:highlight w:val="none"/>
                <w:lang w:val="en-US" w:eastAsia="zh-CN" w:bidi="zh-CN"/>
              </w:rPr>
              <w:t>安全员、施工员、质检员、材料员</w:t>
            </w:r>
            <w:r>
              <w:rPr>
                <w:rFonts w:hint="eastAsia" w:cs="宋体"/>
                <w:bCs/>
                <w:color w:val="auto"/>
                <w:sz w:val="22"/>
                <w:szCs w:val="21"/>
                <w:highlight w:val="none"/>
                <w:lang w:val="en-US" w:eastAsia="zh-CN" w:bidi="zh-CN"/>
              </w:rPr>
              <w:t>，且</w:t>
            </w:r>
            <w:r>
              <w:rPr>
                <w:rFonts w:hint="eastAsia" w:ascii="宋体" w:hAnsi="宋体" w:eastAsia="宋体" w:cs="宋体"/>
                <w:bCs/>
                <w:color w:val="auto"/>
                <w:sz w:val="22"/>
                <w:szCs w:val="21"/>
                <w:highlight w:val="none"/>
                <w:lang w:val="en-US" w:eastAsia="zh-CN" w:bidi="zh-CN"/>
              </w:rPr>
              <w:t>应具有相应岗位资格证书</w:t>
            </w:r>
            <w:r>
              <w:rPr>
                <w:rFonts w:hint="eastAsia" w:cs="宋体"/>
                <w:bCs/>
                <w:color w:val="auto"/>
                <w:sz w:val="22"/>
                <w:szCs w:val="21"/>
                <w:highlight w:val="none"/>
                <w:lang w:val="en-US" w:eastAsia="zh-CN" w:bidi="zh-CN"/>
              </w:rPr>
              <w:t>。</w:t>
            </w:r>
          </w:p>
        </w:tc>
        <w:tc>
          <w:tcPr>
            <w:tcW w:w="688" w:type="dxa"/>
            <w:vAlign w:val="center"/>
          </w:tcPr>
          <w:p>
            <w:pPr>
              <w:pStyle w:val="36"/>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lang w:val="en-US"/>
              </w:rPr>
            </w:pPr>
            <w:r>
              <w:rPr>
                <w:rFonts w:hint="eastAsia"/>
                <w:color w:val="auto"/>
                <w:highlight w:val="none"/>
                <w:lang w:val="en-US" w:eastAsia="zh-CN"/>
              </w:rPr>
              <w:t>6</w:t>
            </w:r>
            <w:r>
              <w:rPr>
                <w:rFonts w:hint="eastAsia"/>
                <w:color w:val="auto"/>
                <w:highlight w:val="none"/>
                <w:lang w:val="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438" w:type="dxa"/>
            <w:vAlign w:val="center"/>
          </w:tcPr>
          <w:p>
            <w:pPr>
              <w:pStyle w:val="36"/>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rPr>
            </w:pPr>
            <w:r>
              <w:rPr>
                <w:rFonts w:hint="eastAsia"/>
                <w:color w:val="auto"/>
                <w:highlight w:val="none"/>
              </w:rPr>
              <w:t>3</w:t>
            </w:r>
          </w:p>
        </w:tc>
        <w:tc>
          <w:tcPr>
            <w:tcW w:w="920" w:type="dxa"/>
            <w:vAlign w:val="center"/>
          </w:tcPr>
          <w:p>
            <w:pPr>
              <w:pStyle w:val="36"/>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rPr>
            </w:pPr>
            <w:r>
              <w:rPr>
                <w:rFonts w:hint="eastAsia"/>
                <w:color w:val="auto"/>
                <w:highlight w:val="none"/>
              </w:rPr>
              <w:t>商务分</w:t>
            </w:r>
          </w:p>
        </w:tc>
        <w:tc>
          <w:tcPr>
            <w:tcW w:w="6891" w:type="dxa"/>
            <w:vAlign w:val="center"/>
          </w:tcPr>
          <w:p>
            <w:pPr>
              <w:pStyle w:val="36"/>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rPr>
            </w:pPr>
            <w:r>
              <w:rPr>
                <w:rFonts w:hint="eastAsia"/>
                <w:color w:val="auto"/>
                <w:highlight w:val="none"/>
              </w:rPr>
              <w:t>评审因素</w:t>
            </w:r>
          </w:p>
        </w:tc>
        <w:tc>
          <w:tcPr>
            <w:tcW w:w="688" w:type="dxa"/>
            <w:vAlign w:val="center"/>
          </w:tcPr>
          <w:p>
            <w:pPr>
              <w:pStyle w:val="36"/>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lang w:val="en-US"/>
              </w:rPr>
            </w:pPr>
            <w:r>
              <w:rPr>
                <w:rFonts w:hint="eastAsia"/>
                <w:color w:val="auto"/>
                <w:highlight w:val="none"/>
                <w:lang w:val="en-US"/>
              </w:rPr>
              <w:t>满分</w:t>
            </w:r>
            <w:r>
              <w:rPr>
                <w:rFonts w:hint="eastAsia"/>
                <w:color w:val="auto"/>
                <w:highlight w:val="none"/>
                <w:lang w:val="en-US" w:eastAsia="zh-CN"/>
              </w:rPr>
              <w:t>8</w:t>
            </w:r>
            <w:r>
              <w:rPr>
                <w:rFonts w:hint="eastAsia"/>
                <w:color w:val="auto"/>
                <w:highlight w:val="none"/>
                <w:lang w:val="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438" w:type="dxa"/>
            <w:vAlign w:val="center"/>
          </w:tcPr>
          <w:p>
            <w:pPr>
              <w:pStyle w:val="36"/>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rPr>
            </w:pPr>
            <w:r>
              <w:rPr>
                <w:rFonts w:hint="eastAsia"/>
                <w:color w:val="auto"/>
                <w:highlight w:val="none"/>
              </w:rPr>
              <w:t>3.1</w:t>
            </w:r>
          </w:p>
        </w:tc>
        <w:tc>
          <w:tcPr>
            <w:tcW w:w="920" w:type="dxa"/>
            <w:vAlign w:val="center"/>
          </w:tcPr>
          <w:p>
            <w:pPr>
              <w:pStyle w:val="36"/>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rPr>
            </w:pPr>
            <w:r>
              <w:rPr>
                <w:rFonts w:hint="eastAsia"/>
                <w:color w:val="auto"/>
                <w:highlight w:val="none"/>
              </w:rPr>
              <w:t>业绩</w:t>
            </w:r>
          </w:p>
        </w:tc>
        <w:tc>
          <w:tcPr>
            <w:tcW w:w="6891" w:type="dxa"/>
            <w:vAlign w:val="center"/>
          </w:tcPr>
          <w:p>
            <w:pPr>
              <w:pStyle w:val="36"/>
              <w:keepNext w:val="0"/>
              <w:keepLines w:val="0"/>
              <w:pageBreakBefore w:val="0"/>
              <w:widowControl w:val="0"/>
              <w:kinsoku/>
              <w:wordWrap/>
              <w:overflowPunct/>
              <w:topLinePunct w:val="0"/>
              <w:autoSpaceDE w:val="0"/>
              <w:autoSpaceDN w:val="0"/>
              <w:bidi w:val="0"/>
              <w:adjustRightInd/>
              <w:snapToGrid/>
              <w:spacing w:line="384" w:lineRule="auto"/>
              <w:jc w:val="both"/>
              <w:textAlignment w:val="auto"/>
              <w:rPr>
                <w:rFonts w:hint="eastAsia" w:cs="宋体"/>
                <w:color w:val="auto"/>
                <w:spacing w:val="-5"/>
                <w:highlight w:val="none"/>
                <w:lang w:eastAsia="zh-CN"/>
              </w:rPr>
            </w:pPr>
            <w:r>
              <w:rPr>
                <w:rFonts w:hint="eastAsia" w:ascii="宋体" w:hAnsi="宋体" w:eastAsia="宋体" w:cs="宋体"/>
                <w:color w:val="auto"/>
                <w:spacing w:val="-5"/>
                <w:highlight w:val="none"/>
              </w:rPr>
              <w:t>2</w:t>
            </w:r>
            <w:bookmarkStart w:id="36" w:name="EB87475607617647a7acdb654bf7df92fa"/>
            <w:r>
              <w:rPr>
                <w:rFonts w:hint="eastAsia" w:ascii="宋体" w:hAnsi="宋体" w:eastAsia="宋体" w:cs="宋体"/>
                <w:color w:val="auto"/>
                <w:spacing w:val="-5"/>
                <w:highlight w:val="none"/>
              </w:rPr>
              <w:t>02</w:t>
            </w:r>
            <w:r>
              <w:rPr>
                <w:rFonts w:hint="eastAsia" w:ascii="宋体" w:hAnsi="宋体" w:eastAsia="宋体" w:cs="宋体"/>
                <w:color w:val="auto"/>
                <w:spacing w:val="-5"/>
                <w:highlight w:val="none"/>
                <w:lang w:val="en-US" w:eastAsia="zh-CN"/>
              </w:rPr>
              <w:t>1</w:t>
            </w:r>
            <w:r>
              <w:rPr>
                <w:rFonts w:hint="eastAsia" w:ascii="宋体" w:hAnsi="宋体" w:eastAsia="宋体" w:cs="宋体"/>
                <w:color w:val="auto"/>
                <w:spacing w:val="-5"/>
                <w:highlight w:val="none"/>
              </w:rPr>
              <w:t>年1月1日至磋商截止时间前，企业承建或完成类似工程，每提供一项得2分（满分</w:t>
            </w:r>
            <w:r>
              <w:rPr>
                <w:rFonts w:hint="eastAsia" w:ascii="宋体" w:hAnsi="宋体" w:eastAsia="宋体" w:cs="宋体"/>
                <w:color w:val="auto"/>
                <w:spacing w:val="-5"/>
                <w:highlight w:val="none"/>
                <w:lang w:val="en-US" w:eastAsia="zh-CN"/>
              </w:rPr>
              <w:t>8</w:t>
            </w:r>
            <w:r>
              <w:rPr>
                <w:rFonts w:hint="eastAsia" w:ascii="宋体" w:hAnsi="宋体" w:eastAsia="宋体" w:cs="宋体"/>
                <w:color w:val="auto"/>
                <w:spacing w:val="-5"/>
                <w:highlight w:val="none"/>
              </w:rPr>
              <w:t>分）。</w:t>
            </w:r>
            <w:bookmarkEnd w:id="36"/>
            <w:r>
              <w:rPr>
                <w:rFonts w:hint="eastAsia" w:cs="宋体"/>
                <w:color w:val="auto"/>
                <w:spacing w:val="-5"/>
                <w:highlight w:val="none"/>
                <w:lang w:val="en-US" w:eastAsia="zh-CN"/>
              </w:rPr>
              <w:t>(</w:t>
            </w:r>
            <w:r>
              <w:rPr>
                <w:rFonts w:hint="eastAsia" w:ascii="宋体" w:hAnsi="宋体" w:eastAsia="宋体" w:cs="宋体"/>
                <w:color w:val="auto"/>
                <w:spacing w:val="-5"/>
                <w:highlight w:val="none"/>
                <w:lang w:eastAsia="zh-CN"/>
              </w:rPr>
              <w:t>业绩以竣工验收证明或中标通知书或施工合同复印件为准</w:t>
            </w:r>
            <w:r>
              <w:rPr>
                <w:rFonts w:hint="eastAsia" w:cs="宋体"/>
                <w:color w:val="auto"/>
                <w:spacing w:val="-5"/>
                <w:highlight w:val="none"/>
                <w:lang w:eastAsia="zh-CN"/>
              </w:rPr>
              <w:t>）</w:t>
            </w:r>
          </w:p>
        </w:tc>
        <w:tc>
          <w:tcPr>
            <w:tcW w:w="688" w:type="dxa"/>
            <w:vAlign w:val="center"/>
          </w:tcPr>
          <w:p>
            <w:pPr>
              <w:pStyle w:val="36"/>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rFonts w:hint="eastAsia"/>
                <w:color w:val="auto"/>
                <w:highlight w:val="none"/>
                <w:lang w:val="en-US"/>
              </w:rPr>
            </w:pPr>
            <w:r>
              <w:rPr>
                <w:rFonts w:hint="eastAsia"/>
                <w:color w:val="auto"/>
                <w:highlight w:val="none"/>
                <w:lang w:val="en-US" w:eastAsia="zh-CN"/>
              </w:rPr>
              <w:t>8</w:t>
            </w:r>
            <w:r>
              <w:rPr>
                <w:rFonts w:hint="eastAsia"/>
                <w:color w:val="auto"/>
                <w:highlight w:val="none"/>
                <w:lang w:val="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8937" w:type="dxa"/>
            <w:gridSpan w:val="4"/>
            <w:vAlign w:val="center"/>
          </w:tcPr>
          <w:p>
            <w:pPr>
              <w:pStyle w:val="36"/>
              <w:keepNext w:val="0"/>
              <w:keepLines w:val="0"/>
              <w:pageBreakBefore w:val="0"/>
              <w:widowControl w:val="0"/>
              <w:kinsoku/>
              <w:wordWrap/>
              <w:overflowPunct/>
              <w:topLinePunct w:val="0"/>
              <w:autoSpaceDE w:val="0"/>
              <w:autoSpaceDN w:val="0"/>
              <w:bidi w:val="0"/>
              <w:adjustRightInd/>
              <w:snapToGrid/>
              <w:spacing w:line="384" w:lineRule="auto"/>
              <w:jc w:val="center"/>
              <w:textAlignment w:val="auto"/>
              <w:rPr>
                <w:color w:val="auto"/>
                <w:highlight w:val="none"/>
                <w:lang w:val="en-US"/>
              </w:rPr>
            </w:pPr>
            <w:r>
              <w:rPr>
                <w:rFonts w:hint="eastAsia"/>
                <w:color w:val="auto"/>
                <w:highlight w:val="none"/>
                <w:lang w:val="en-US"/>
              </w:rPr>
              <w:t>总得分＝1＋2+3</w:t>
            </w:r>
          </w:p>
        </w:tc>
      </w:tr>
    </w:tbl>
    <w:p>
      <w:pPr>
        <w:tabs>
          <w:tab w:val="left" w:pos="532"/>
        </w:tabs>
        <w:spacing w:line="360" w:lineRule="auto"/>
        <w:ind w:firstLine="422" w:firstLineChars="200"/>
        <w:rPr>
          <w:b/>
          <w:color w:val="auto"/>
          <w:sz w:val="19"/>
        </w:rPr>
      </w:pPr>
      <w:r>
        <w:rPr>
          <w:rFonts w:hint="eastAsia"/>
          <w:b/>
          <w:color w:val="auto"/>
          <w:sz w:val="21"/>
        </w:rPr>
        <w:t>三、</w:t>
      </w:r>
      <w:r>
        <w:rPr>
          <w:b/>
          <w:color w:val="auto"/>
          <w:sz w:val="21"/>
        </w:rPr>
        <w:t>成交候选人推荐原则：</w:t>
      </w:r>
    </w:p>
    <w:p>
      <w:pPr>
        <w:pStyle w:val="14"/>
        <w:spacing w:before="12"/>
        <w:rPr>
          <w:b/>
          <w:color w:val="auto"/>
          <w:sz w:val="14"/>
        </w:rPr>
      </w:pPr>
    </w:p>
    <w:p>
      <w:pPr>
        <w:pStyle w:val="14"/>
        <w:keepNext w:val="0"/>
        <w:keepLines w:val="0"/>
        <w:pageBreakBefore w:val="0"/>
        <w:widowControl w:val="0"/>
        <w:kinsoku/>
        <w:wordWrap/>
        <w:overflowPunct/>
        <w:topLinePunct w:val="0"/>
        <w:autoSpaceDE w:val="0"/>
        <w:autoSpaceDN w:val="0"/>
        <w:bidi w:val="0"/>
        <w:adjustRightInd/>
        <w:snapToGrid/>
        <w:spacing w:after="0" w:afterLines="50" w:line="360" w:lineRule="auto"/>
        <w:ind w:firstLine="440" w:firstLineChars="200"/>
        <w:textAlignment w:val="auto"/>
        <w:rPr>
          <w:color w:val="auto"/>
          <w:sz w:val="22"/>
          <w:szCs w:val="22"/>
        </w:rPr>
      </w:pPr>
      <w:r>
        <w:rPr>
          <w:color w:val="auto"/>
          <w:sz w:val="22"/>
          <w:szCs w:val="22"/>
        </w:rPr>
        <w:t>由磋商小组按照评审得分由高到低顺序推荐 3 名以上成交候选供应商，并编写评审</w:t>
      </w:r>
      <w:r>
        <w:rPr>
          <w:rFonts w:hint="eastAsia"/>
          <w:color w:val="auto"/>
          <w:sz w:val="22"/>
          <w:szCs w:val="22"/>
          <w:lang w:eastAsia="zh-CN"/>
        </w:rPr>
        <w:t>结果</w:t>
      </w:r>
      <w:r>
        <w:rPr>
          <w:color w:val="auto"/>
          <w:sz w:val="22"/>
          <w:szCs w:val="22"/>
        </w:rPr>
        <w:t>。符合本章第 2.7、3.7、4.3 条情形的，可以推荐 2 家成交候选供应商。评审得分相同的，按照最后报价（不计算价格折扣）由低到高的顺序推荐。评审得分且最后报价（不计算价格折扣）相同的，按照技术指标优劣顺序推荐（按综合评分中服务方案得分高低依次确定）。</w:t>
      </w:r>
    </w:p>
    <w:p>
      <w:pPr>
        <w:pStyle w:val="14"/>
        <w:spacing w:line="360" w:lineRule="auto"/>
        <w:ind w:firstLine="440" w:firstLineChars="200"/>
        <w:rPr>
          <w:color w:val="auto"/>
          <w:sz w:val="22"/>
          <w:szCs w:val="22"/>
        </w:rPr>
        <w:sectPr>
          <w:pgSz w:w="11910" w:h="16840"/>
          <w:pgMar w:top="1417" w:right="1417" w:bottom="1417" w:left="1417" w:header="0" w:footer="1202" w:gutter="0"/>
          <w:cols w:space="0" w:num="1"/>
        </w:sectPr>
      </w:pPr>
    </w:p>
    <w:p>
      <w:pPr>
        <w:pStyle w:val="4"/>
        <w:spacing w:before="0" w:line="360" w:lineRule="auto"/>
        <w:ind w:right="0"/>
        <w:rPr>
          <w:color w:val="auto"/>
          <w:sz w:val="32"/>
          <w:szCs w:val="32"/>
        </w:rPr>
      </w:pPr>
      <w:bookmarkStart w:id="37" w:name="_bookmark4"/>
      <w:bookmarkEnd w:id="37"/>
      <w:bookmarkStart w:id="38" w:name="第五章_响应文件格式"/>
      <w:bookmarkEnd w:id="38"/>
      <w:bookmarkStart w:id="39" w:name="_Toc51"/>
      <w:r>
        <w:rPr>
          <w:color w:val="auto"/>
          <w:sz w:val="32"/>
          <w:szCs w:val="32"/>
        </w:rPr>
        <w:t>第五章 响应文件格式</w:t>
      </w:r>
      <w:bookmarkEnd w:id="39"/>
    </w:p>
    <w:p>
      <w:pPr>
        <w:tabs>
          <w:tab w:val="left" w:pos="786"/>
        </w:tabs>
        <w:spacing w:line="360" w:lineRule="auto"/>
        <w:ind w:left="440" w:leftChars="200"/>
        <w:rPr>
          <w:b/>
          <w:bCs/>
          <w:color w:val="auto"/>
          <w:sz w:val="28"/>
          <w:szCs w:val="28"/>
        </w:rPr>
      </w:pPr>
      <w:r>
        <w:rPr>
          <w:rFonts w:hint="eastAsia"/>
          <w:b/>
          <w:bCs/>
          <w:color w:val="auto"/>
          <w:sz w:val="28"/>
          <w:szCs w:val="28"/>
          <w:lang w:val="en-US"/>
        </w:rPr>
        <w:t>1.</w:t>
      </w:r>
      <w:r>
        <w:rPr>
          <w:b/>
          <w:bCs/>
          <w:color w:val="auto"/>
          <w:sz w:val="28"/>
          <w:szCs w:val="28"/>
        </w:rPr>
        <w:t>资格证明文件目录</w:t>
      </w:r>
    </w:p>
    <w:p>
      <w:pPr>
        <w:pStyle w:val="14"/>
        <w:spacing w:line="360" w:lineRule="auto"/>
        <w:ind w:firstLine="562" w:firstLineChars="200"/>
        <w:rPr>
          <w:b/>
          <w:color w:val="auto"/>
          <w:sz w:val="28"/>
          <w:szCs w:val="28"/>
        </w:rPr>
      </w:pPr>
    </w:p>
    <w:p>
      <w:pPr>
        <w:spacing w:line="360" w:lineRule="auto"/>
        <w:ind w:firstLine="540" w:firstLineChars="200"/>
        <w:rPr>
          <w:color w:val="auto"/>
          <w:sz w:val="28"/>
          <w:szCs w:val="28"/>
        </w:rPr>
      </w:pPr>
      <w:r>
        <w:rPr>
          <w:color w:val="auto"/>
          <w:spacing w:val="-5"/>
          <w:sz w:val="28"/>
          <w:szCs w:val="28"/>
        </w:rPr>
        <w:t>根据磋商文件规定及供应商提供的材料自行编写目录</w:t>
      </w:r>
      <w:r>
        <w:rPr>
          <w:color w:val="auto"/>
          <w:sz w:val="28"/>
          <w:szCs w:val="28"/>
        </w:rPr>
        <w:t>（部分格式后附</w:t>
      </w:r>
      <w:r>
        <w:rPr>
          <w:color w:val="auto"/>
          <w:spacing w:val="-139"/>
          <w:sz w:val="28"/>
          <w:szCs w:val="28"/>
        </w:rPr>
        <w:t>）</w:t>
      </w:r>
      <w:r>
        <w:rPr>
          <w:color w:val="auto"/>
          <w:sz w:val="28"/>
          <w:szCs w:val="28"/>
        </w:rPr>
        <w:t>。</w:t>
      </w:r>
    </w:p>
    <w:p>
      <w:pPr>
        <w:spacing w:line="360" w:lineRule="auto"/>
        <w:ind w:firstLine="560" w:firstLineChars="200"/>
        <w:rPr>
          <w:color w:val="auto"/>
          <w:sz w:val="28"/>
          <w:szCs w:val="28"/>
        </w:rPr>
        <w:sectPr>
          <w:pgSz w:w="11910" w:h="16840"/>
          <w:pgMar w:top="1417" w:right="1417" w:bottom="1417" w:left="1417" w:header="0" w:footer="1202" w:gutter="0"/>
          <w:cols w:space="0" w:num="1"/>
        </w:sectPr>
      </w:pPr>
    </w:p>
    <w:p>
      <w:pPr>
        <w:spacing w:line="360" w:lineRule="auto"/>
        <w:jc w:val="center"/>
        <w:rPr>
          <w:color w:val="auto"/>
          <w:sz w:val="28"/>
          <w:szCs w:val="28"/>
        </w:rPr>
      </w:pPr>
      <w:r>
        <w:rPr>
          <w:b/>
          <w:bCs/>
          <w:color w:val="auto"/>
          <w:w w:val="95"/>
          <w:sz w:val="28"/>
          <w:szCs w:val="28"/>
        </w:rPr>
        <w:t>供应商直接控股</w:t>
      </w:r>
      <w:r>
        <w:rPr>
          <w:b/>
          <w:bCs/>
          <w:color w:val="auto"/>
          <w:sz w:val="28"/>
          <w:szCs w:val="28"/>
        </w:rPr>
        <w:t>股东信息表</w:t>
      </w:r>
    </w:p>
    <w:p>
      <w:pPr>
        <w:pStyle w:val="14"/>
        <w:spacing w:before="2"/>
        <w:rPr>
          <w:b/>
          <w:color w:val="auto"/>
          <w:sz w:val="5"/>
        </w:rPr>
      </w:pPr>
    </w:p>
    <w:tbl>
      <w:tblPr>
        <w:tblStyle w:val="29"/>
        <w:tblW w:w="86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7"/>
        <w:gridCol w:w="2255"/>
        <w:gridCol w:w="1236"/>
        <w:gridCol w:w="3641"/>
        <w:gridCol w:w="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747" w:type="dxa"/>
            <w:vAlign w:val="center"/>
          </w:tcPr>
          <w:p>
            <w:pPr>
              <w:pStyle w:val="36"/>
              <w:spacing w:line="360" w:lineRule="auto"/>
              <w:jc w:val="center"/>
              <w:rPr>
                <w:b/>
                <w:color w:val="auto"/>
                <w:sz w:val="24"/>
              </w:rPr>
            </w:pPr>
            <w:r>
              <w:rPr>
                <w:b/>
                <w:color w:val="auto"/>
                <w:sz w:val="24"/>
              </w:rPr>
              <w:t>序号</w:t>
            </w:r>
          </w:p>
        </w:tc>
        <w:tc>
          <w:tcPr>
            <w:tcW w:w="2255" w:type="dxa"/>
            <w:vAlign w:val="center"/>
          </w:tcPr>
          <w:p>
            <w:pPr>
              <w:pStyle w:val="36"/>
              <w:spacing w:line="360" w:lineRule="auto"/>
              <w:jc w:val="center"/>
              <w:rPr>
                <w:b/>
                <w:color w:val="auto"/>
                <w:sz w:val="24"/>
              </w:rPr>
            </w:pPr>
            <w:r>
              <w:rPr>
                <w:b/>
                <w:color w:val="auto"/>
                <w:sz w:val="24"/>
              </w:rPr>
              <w:t>直接控股股东名称</w:t>
            </w:r>
          </w:p>
        </w:tc>
        <w:tc>
          <w:tcPr>
            <w:tcW w:w="1236" w:type="dxa"/>
            <w:vAlign w:val="center"/>
          </w:tcPr>
          <w:p>
            <w:pPr>
              <w:pStyle w:val="36"/>
              <w:spacing w:line="360" w:lineRule="auto"/>
              <w:jc w:val="center"/>
              <w:rPr>
                <w:b/>
                <w:color w:val="auto"/>
                <w:sz w:val="24"/>
              </w:rPr>
            </w:pPr>
            <w:r>
              <w:rPr>
                <w:b/>
                <w:color w:val="auto"/>
                <w:sz w:val="24"/>
              </w:rPr>
              <w:t>出资比例</w:t>
            </w:r>
          </w:p>
        </w:tc>
        <w:tc>
          <w:tcPr>
            <w:tcW w:w="3641" w:type="dxa"/>
            <w:vAlign w:val="center"/>
          </w:tcPr>
          <w:p>
            <w:pPr>
              <w:pStyle w:val="36"/>
              <w:spacing w:line="360" w:lineRule="auto"/>
              <w:jc w:val="center"/>
              <w:rPr>
                <w:b/>
                <w:color w:val="auto"/>
                <w:sz w:val="24"/>
              </w:rPr>
            </w:pPr>
            <w:r>
              <w:rPr>
                <w:b/>
                <w:color w:val="auto"/>
                <w:sz w:val="24"/>
              </w:rPr>
              <w:t>身份证号码或者统一社会信用代码</w:t>
            </w:r>
          </w:p>
        </w:tc>
        <w:tc>
          <w:tcPr>
            <w:tcW w:w="739" w:type="dxa"/>
            <w:vAlign w:val="center"/>
          </w:tcPr>
          <w:p>
            <w:pPr>
              <w:pStyle w:val="36"/>
              <w:spacing w:line="360" w:lineRule="auto"/>
              <w:jc w:val="center"/>
              <w:rPr>
                <w:b/>
                <w:color w:val="auto"/>
                <w:sz w:val="24"/>
              </w:rPr>
            </w:pPr>
            <w:r>
              <w:rPr>
                <w:b/>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747" w:type="dxa"/>
            <w:vAlign w:val="center"/>
          </w:tcPr>
          <w:p>
            <w:pPr>
              <w:pStyle w:val="36"/>
              <w:spacing w:line="360" w:lineRule="auto"/>
              <w:jc w:val="center"/>
              <w:rPr>
                <w:color w:val="auto"/>
                <w:sz w:val="24"/>
              </w:rPr>
            </w:pPr>
            <w:r>
              <w:rPr>
                <w:color w:val="auto"/>
                <w:sz w:val="24"/>
              </w:rPr>
              <w:t>1</w:t>
            </w:r>
          </w:p>
        </w:tc>
        <w:tc>
          <w:tcPr>
            <w:tcW w:w="2255" w:type="dxa"/>
            <w:vAlign w:val="center"/>
          </w:tcPr>
          <w:p>
            <w:pPr>
              <w:pStyle w:val="36"/>
              <w:spacing w:line="360" w:lineRule="auto"/>
              <w:jc w:val="center"/>
              <w:rPr>
                <w:rFonts w:ascii="Times New Roman"/>
                <w:color w:val="auto"/>
                <w:sz w:val="24"/>
              </w:rPr>
            </w:pPr>
          </w:p>
        </w:tc>
        <w:tc>
          <w:tcPr>
            <w:tcW w:w="1236" w:type="dxa"/>
            <w:vAlign w:val="center"/>
          </w:tcPr>
          <w:p>
            <w:pPr>
              <w:pStyle w:val="36"/>
              <w:spacing w:line="360" w:lineRule="auto"/>
              <w:jc w:val="center"/>
              <w:rPr>
                <w:rFonts w:ascii="Times New Roman"/>
                <w:color w:val="auto"/>
                <w:sz w:val="24"/>
              </w:rPr>
            </w:pPr>
          </w:p>
        </w:tc>
        <w:tc>
          <w:tcPr>
            <w:tcW w:w="3641" w:type="dxa"/>
            <w:vAlign w:val="center"/>
          </w:tcPr>
          <w:p>
            <w:pPr>
              <w:pStyle w:val="36"/>
              <w:spacing w:line="360" w:lineRule="auto"/>
              <w:jc w:val="center"/>
              <w:rPr>
                <w:rFonts w:ascii="Times New Roman"/>
                <w:color w:val="auto"/>
                <w:sz w:val="24"/>
              </w:rPr>
            </w:pPr>
          </w:p>
        </w:tc>
        <w:tc>
          <w:tcPr>
            <w:tcW w:w="739" w:type="dxa"/>
            <w:vAlign w:val="center"/>
          </w:tcPr>
          <w:p>
            <w:pPr>
              <w:pStyle w:val="36"/>
              <w:spacing w:line="360" w:lineRule="auto"/>
              <w:jc w:val="center"/>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747" w:type="dxa"/>
            <w:vAlign w:val="center"/>
          </w:tcPr>
          <w:p>
            <w:pPr>
              <w:pStyle w:val="36"/>
              <w:spacing w:line="360" w:lineRule="auto"/>
              <w:jc w:val="center"/>
              <w:rPr>
                <w:color w:val="auto"/>
                <w:sz w:val="24"/>
              </w:rPr>
            </w:pPr>
            <w:r>
              <w:rPr>
                <w:color w:val="auto"/>
                <w:sz w:val="24"/>
              </w:rPr>
              <w:t>2</w:t>
            </w:r>
          </w:p>
        </w:tc>
        <w:tc>
          <w:tcPr>
            <w:tcW w:w="2255" w:type="dxa"/>
            <w:vAlign w:val="center"/>
          </w:tcPr>
          <w:p>
            <w:pPr>
              <w:pStyle w:val="36"/>
              <w:spacing w:line="360" w:lineRule="auto"/>
              <w:jc w:val="center"/>
              <w:rPr>
                <w:rFonts w:ascii="Times New Roman"/>
                <w:color w:val="auto"/>
                <w:sz w:val="24"/>
              </w:rPr>
            </w:pPr>
          </w:p>
        </w:tc>
        <w:tc>
          <w:tcPr>
            <w:tcW w:w="1236" w:type="dxa"/>
            <w:vAlign w:val="center"/>
          </w:tcPr>
          <w:p>
            <w:pPr>
              <w:pStyle w:val="36"/>
              <w:spacing w:line="360" w:lineRule="auto"/>
              <w:jc w:val="center"/>
              <w:rPr>
                <w:rFonts w:ascii="Times New Roman"/>
                <w:color w:val="auto"/>
                <w:sz w:val="24"/>
              </w:rPr>
            </w:pPr>
          </w:p>
        </w:tc>
        <w:tc>
          <w:tcPr>
            <w:tcW w:w="3641" w:type="dxa"/>
            <w:vAlign w:val="center"/>
          </w:tcPr>
          <w:p>
            <w:pPr>
              <w:pStyle w:val="36"/>
              <w:spacing w:line="360" w:lineRule="auto"/>
              <w:jc w:val="center"/>
              <w:rPr>
                <w:rFonts w:ascii="Times New Roman"/>
                <w:color w:val="auto"/>
                <w:sz w:val="24"/>
              </w:rPr>
            </w:pPr>
          </w:p>
        </w:tc>
        <w:tc>
          <w:tcPr>
            <w:tcW w:w="739" w:type="dxa"/>
            <w:vAlign w:val="center"/>
          </w:tcPr>
          <w:p>
            <w:pPr>
              <w:pStyle w:val="36"/>
              <w:spacing w:line="360" w:lineRule="auto"/>
              <w:jc w:val="center"/>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747" w:type="dxa"/>
            <w:vAlign w:val="center"/>
          </w:tcPr>
          <w:p>
            <w:pPr>
              <w:pStyle w:val="36"/>
              <w:spacing w:line="360" w:lineRule="auto"/>
              <w:jc w:val="center"/>
              <w:rPr>
                <w:color w:val="auto"/>
                <w:sz w:val="24"/>
              </w:rPr>
            </w:pPr>
            <w:r>
              <w:rPr>
                <w:color w:val="auto"/>
                <w:sz w:val="24"/>
              </w:rPr>
              <w:t>3</w:t>
            </w:r>
          </w:p>
        </w:tc>
        <w:tc>
          <w:tcPr>
            <w:tcW w:w="2255" w:type="dxa"/>
            <w:vAlign w:val="center"/>
          </w:tcPr>
          <w:p>
            <w:pPr>
              <w:pStyle w:val="36"/>
              <w:spacing w:line="360" w:lineRule="auto"/>
              <w:jc w:val="center"/>
              <w:rPr>
                <w:rFonts w:ascii="Times New Roman"/>
                <w:color w:val="auto"/>
                <w:sz w:val="24"/>
              </w:rPr>
            </w:pPr>
          </w:p>
        </w:tc>
        <w:tc>
          <w:tcPr>
            <w:tcW w:w="1236" w:type="dxa"/>
            <w:vAlign w:val="center"/>
          </w:tcPr>
          <w:p>
            <w:pPr>
              <w:pStyle w:val="36"/>
              <w:spacing w:line="360" w:lineRule="auto"/>
              <w:jc w:val="center"/>
              <w:rPr>
                <w:rFonts w:ascii="Times New Roman"/>
                <w:color w:val="auto"/>
                <w:sz w:val="24"/>
              </w:rPr>
            </w:pPr>
          </w:p>
        </w:tc>
        <w:tc>
          <w:tcPr>
            <w:tcW w:w="3641" w:type="dxa"/>
            <w:vAlign w:val="center"/>
          </w:tcPr>
          <w:p>
            <w:pPr>
              <w:pStyle w:val="36"/>
              <w:spacing w:line="360" w:lineRule="auto"/>
              <w:jc w:val="center"/>
              <w:rPr>
                <w:rFonts w:ascii="Times New Roman"/>
                <w:color w:val="auto"/>
                <w:sz w:val="24"/>
              </w:rPr>
            </w:pPr>
          </w:p>
        </w:tc>
        <w:tc>
          <w:tcPr>
            <w:tcW w:w="739" w:type="dxa"/>
            <w:vAlign w:val="center"/>
          </w:tcPr>
          <w:p>
            <w:pPr>
              <w:pStyle w:val="36"/>
              <w:spacing w:line="360" w:lineRule="auto"/>
              <w:jc w:val="center"/>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747" w:type="dxa"/>
            <w:vAlign w:val="center"/>
          </w:tcPr>
          <w:p>
            <w:pPr>
              <w:pStyle w:val="36"/>
              <w:spacing w:line="360" w:lineRule="auto"/>
              <w:jc w:val="center"/>
              <w:rPr>
                <w:color w:val="auto"/>
                <w:sz w:val="24"/>
              </w:rPr>
            </w:pPr>
            <w:r>
              <w:rPr>
                <w:color w:val="auto"/>
                <w:sz w:val="24"/>
              </w:rPr>
              <w:t>……</w:t>
            </w:r>
          </w:p>
        </w:tc>
        <w:tc>
          <w:tcPr>
            <w:tcW w:w="2255" w:type="dxa"/>
            <w:vAlign w:val="center"/>
          </w:tcPr>
          <w:p>
            <w:pPr>
              <w:pStyle w:val="36"/>
              <w:spacing w:line="360" w:lineRule="auto"/>
              <w:jc w:val="center"/>
              <w:rPr>
                <w:rFonts w:ascii="Times New Roman"/>
                <w:color w:val="auto"/>
                <w:sz w:val="24"/>
              </w:rPr>
            </w:pPr>
          </w:p>
        </w:tc>
        <w:tc>
          <w:tcPr>
            <w:tcW w:w="1236" w:type="dxa"/>
            <w:vAlign w:val="center"/>
          </w:tcPr>
          <w:p>
            <w:pPr>
              <w:pStyle w:val="36"/>
              <w:spacing w:line="360" w:lineRule="auto"/>
              <w:jc w:val="center"/>
              <w:rPr>
                <w:rFonts w:ascii="Times New Roman"/>
                <w:color w:val="auto"/>
                <w:sz w:val="24"/>
              </w:rPr>
            </w:pPr>
          </w:p>
        </w:tc>
        <w:tc>
          <w:tcPr>
            <w:tcW w:w="3641" w:type="dxa"/>
            <w:vAlign w:val="center"/>
          </w:tcPr>
          <w:p>
            <w:pPr>
              <w:pStyle w:val="36"/>
              <w:spacing w:line="360" w:lineRule="auto"/>
              <w:jc w:val="center"/>
              <w:rPr>
                <w:rFonts w:ascii="Times New Roman"/>
                <w:color w:val="auto"/>
                <w:sz w:val="24"/>
              </w:rPr>
            </w:pPr>
          </w:p>
        </w:tc>
        <w:tc>
          <w:tcPr>
            <w:tcW w:w="739" w:type="dxa"/>
            <w:vAlign w:val="center"/>
          </w:tcPr>
          <w:p>
            <w:pPr>
              <w:pStyle w:val="36"/>
              <w:spacing w:line="360" w:lineRule="auto"/>
              <w:jc w:val="center"/>
              <w:rPr>
                <w:rFonts w:ascii="Times New Roman"/>
                <w:color w:val="auto"/>
                <w:sz w:val="24"/>
              </w:rPr>
            </w:pPr>
          </w:p>
        </w:tc>
      </w:tr>
    </w:tbl>
    <w:p>
      <w:pPr>
        <w:rPr>
          <w:color w:val="auto"/>
          <w:sz w:val="24"/>
        </w:rPr>
      </w:pPr>
      <w:r>
        <w:rPr>
          <w:color w:val="auto"/>
          <w:sz w:val="24"/>
        </w:rPr>
        <w:t>注：</w:t>
      </w:r>
    </w:p>
    <w:p>
      <w:pPr>
        <w:tabs>
          <w:tab w:val="left" w:pos="1041"/>
        </w:tabs>
        <w:spacing w:line="360" w:lineRule="auto"/>
        <w:ind w:right="319" w:firstLine="436" w:firstLineChars="200"/>
        <w:jc w:val="both"/>
        <w:rPr>
          <w:color w:val="auto"/>
          <w:sz w:val="24"/>
        </w:rPr>
      </w:pPr>
      <w:r>
        <w:rPr>
          <w:rFonts w:hint="eastAsia"/>
          <w:color w:val="auto"/>
          <w:spacing w:val="-11"/>
          <w:sz w:val="24"/>
          <w:lang w:val="en-US"/>
        </w:rPr>
        <w:t>1、</w:t>
      </w:r>
      <w:r>
        <w:rPr>
          <w:color w:val="auto"/>
          <w:spacing w:val="-11"/>
          <w:sz w:val="24"/>
        </w:rPr>
        <w:t>直接控股股东：是指其出资额占有限责任公司资本总额百分之五十以上或者其持有的股份占股</w:t>
      </w:r>
      <w:r>
        <w:rPr>
          <w:color w:val="auto"/>
          <w:spacing w:val="-6"/>
          <w:sz w:val="24"/>
        </w:rPr>
        <w:t>份有限公司股份总额百分之五十以上的股东；出资额或者持有股份的比例虽然不足百分之五十，但依</w:t>
      </w:r>
      <w:r>
        <w:rPr>
          <w:color w:val="auto"/>
          <w:sz w:val="24"/>
        </w:rPr>
        <w:t>其出资额或者持有的股份所享有的表决权已足以对股东会、股东大会的决议产生重大影响的股东。</w:t>
      </w:r>
    </w:p>
    <w:p>
      <w:pPr>
        <w:tabs>
          <w:tab w:val="left" w:pos="1041"/>
        </w:tabs>
        <w:spacing w:line="360" w:lineRule="auto"/>
        <w:ind w:right="319" w:firstLine="456" w:firstLineChars="200"/>
        <w:rPr>
          <w:color w:val="auto"/>
          <w:sz w:val="24"/>
        </w:rPr>
      </w:pPr>
      <w:r>
        <w:rPr>
          <w:rFonts w:hint="eastAsia"/>
          <w:color w:val="auto"/>
          <w:spacing w:val="-6"/>
          <w:sz w:val="24"/>
          <w:lang w:val="en-US"/>
        </w:rPr>
        <w:t>2、</w:t>
      </w:r>
      <w:r>
        <w:rPr>
          <w:color w:val="auto"/>
          <w:spacing w:val="-6"/>
          <w:sz w:val="24"/>
        </w:rPr>
        <w:t>本表所指的控股关系仅限于直接控股关系，不包括间接的控股关系。公司实际控制人与公司之</w:t>
      </w:r>
      <w:r>
        <w:rPr>
          <w:color w:val="auto"/>
          <w:sz w:val="24"/>
        </w:rPr>
        <w:t>间的关系不属于本表所指的直接控股关系。</w:t>
      </w:r>
    </w:p>
    <w:p>
      <w:pPr>
        <w:tabs>
          <w:tab w:val="left" w:pos="1041"/>
        </w:tabs>
        <w:spacing w:line="360" w:lineRule="auto"/>
        <w:ind w:firstLine="480" w:firstLineChars="200"/>
        <w:rPr>
          <w:color w:val="auto"/>
          <w:sz w:val="24"/>
        </w:rPr>
      </w:pPr>
      <w:r>
        <w:rPr>
          <w:rFonts w:hint="eastAsia"/>
          <w:color w:val="auto"/>
          <w:sz w:val="24"/>
          <w:lang w:val="en-US"/>
        </w:rPr>
        <w:t>3、</w:t>
      </w:r>
      <w:r>
        <w:rPr>
          <w:color w:val="auto"/>
          <w:sz w:val="24"/>
        </w:rPr>
        <w:t>供应商不存在直接控股股东的，则填“无”。</w:t>
      </w:r>
    </w:p>
    <w:p>
      <w:pPr>
        <w:pStyle w:val="14"/>
        <w:rPr>
          <w:color w:val="auto"/>
          <w:sz w:val="24"/>
        </w:rPr>
      </w:pPr>
    </w:p>
    <w:p>
      <w:pPr>
        <w:pStyle w:val="14"/>
        <w:rPr>
          <w:color w:val="auto"/>
          <w:sz w:val="24"/>
        </w:rPr>
      </w:pPr>
    </w:p>
    <w:p>
      <w:pPr>
        <w:pStyle w:val="14"/>
        <w:rPr>
          <w:color w:val="auto"/>
          <w:sz w:val="24"/>
        </w:rPr>
      </w:pPr>
    </w:p>
    <w:p>
      <w:pPr>
        <w:pStyle w:val="14"/>
        <w:rPr>
          <w:color w:val="auto"/>
          <w:sz w:val="24"/>
        </w:rPr>
      </w:pPr>
    </w:p>
    <w:p>
      <w:pPr>
        <w:pStyle w:val="14"/>
        <w:spacing w:before="3"/>
        <w:rPr>
          <w:color w:val="auto"/>
          <w:sz w:val="35"/>
        </w:rPr>
      </w:pPr>
    </w:p>
    <w:p>
      <w:pPr>
        <w:tabs>
          <w:tab w:val="left" w:pos="9379"/>
        </w:tabs>
        <w:spacing w:before="1"/>
        <w:ind w:left="3800"/>
        <w:rPr>
          <w:rFonts w:ascii="Times New Roman" w:eastAsia="Times New Roman"/>
          <w:color w:val="auto"/>
          <w:sz w:val="24"/>
        </w:rPr>
      </w:pPr>
      <w:r>
        <w:rPr>
          <w:color w:val="auto"/>
          <w:sz w:val="24"/>
        </w:rPr>
        <w:t>法定代表人或者委托代理人签字：</w:t>
      </w:r>
      <w:r>
        <w:rPr>
          <w:rFonts w:ascii="Times New Roman" w:eastAsia="Times New Roman"/>
          <w:color w:val="auto"/>
          <w:sz w:val="24"/>
          <w:u w:val="single"/>
        </w:rPr>
        <w:t xml:space="preserve"> </w:t>
      </w:r>
      <w:r>
        <w:rPr>
          <w:rFonts w:ascii="Times New Roman" w:eastAsia="Times New Roman"/>
          <w:color w:val="auto"/>
          <w:sz w:val="24"/>
          <w:u w:val="single"/>
        </w:rPr>
        <w:tab/>
      </w:r>
    </w:p>
    <w:p>
      <w:pPr>
        <w:pStyle w:val="14"/>
        <w:spacing w:before="8"/>
        <w:rPr>
          <w:rFonts w:ascii="Times New Roman"/>
          <w:color w:val="auto"/>
          <w:sz w:val="17"/>
        </w:rPr>
      </w:pPr>
    </w:p>
    <w:p>
      <w:pPr>
        <w:tabs>
          <w:tab w:val="left" w:pos="9619"/>
        </w:tabs>
        <w:spacing w:before="74"/>
        <w:ind w:left="3800"/>
        <w:rPr>
          <w:rFonts w:ascii="Times New Roman" w:eastAsia="Times New Roman"/>
          <w:color w:val="auto"/>
          <w:sz w:val="24"/>
        </w:rPr>
      </w:pPr>
      <w:r>
        <w:rPr>
          <w:color w:val="auto"/>
          <w:sz w:val="24"/>
        </w:rPr>
        <w:t>供应商（电子签章）：</w:t>
      </w:r>
      <w:r>
        <w:rPr>
          <w:rFonts w:ascii="Times New Roman" w:eastAsia="Times New Roman"/>
          <w:color w:val="auto"/>
          <w:sz w:val="24"/>
          <w:u w:val="single"/>
        </w:rPr>
        <w:t xml:space="preserve"> </w:t>
      </w:r>
      <w:r>
        <w:rPr>
          <w:rFonts w:ascii="Times New Roman" w:eastAsia="Times New Roman"/>
          <w:color w:val="auto"/>
          <w:sz w:val="24"/>
          <w:u w:val="single"/>
        </w:rPr>
        <w:tab/>
      </w:r>
    </w:p>
    <w:p>
      <w:pPr>
        <w:pStyle w:val="14"/>
        <w:spacing w:before="7"/>
        <w:rPr>
          <w:rFonts w:ascii="Times New Roman"/>
          <w:color w:val="auto"/>
          <w:sz w:val="18"/>
        </w:rPr>
      </w:pPr>
    </w:p>
    <w:p>
      <w:pPr>
        <w:tabs>
          <w:tab w:val="left" w:pos="2489"/>
          <w:tab w:val="left" w:pos="3209"/>
        </w:tabs>
        <w:spacing w:before="67"/>
        <w:ind w:left="1770"/>
        <w:jc w:val="center"/>
        <w:rPr>
          <w:color w:val="auto"/>
          <w:sz w:val="24"/>
        </w:rPr>
      </w:pPr>
      <w:r>
        <w:rPr>
          <w:color w:val="auto"/>
          <w:sz w:val="24"/>
        </w:rPr>
        <w:t>年</w:t>
      </w:r>
      <w:r>
        <w:rPr>
          <w:color w:val="auto"/>
          <w:sz w:val="24"/>
        </w:rPr>
        <w:tab/>
      </w:r>
      <w:r>
        <w:rPr>
          <w:color w:val="auto"/>
          <w:sz w:val="24"/>
        </w:rPr>
        <w:t>月</w:t>
      </w:r>
      <w:r>
        <w:rPr>
          <w:color w:val="auto"/>
          <w:sz w:val="24"/>
        </w:rPr>
        <w:tab/>
      </w:r>
      <w:r>
        <w:rPr>
          <w:color w:val="auto"/>
          <w:sz w:val="24"/>
        </w:rPr>
        <w:t>日</w:t>
      </w:r>
    </w:p>
    <w:p>
      <w:pPr>
        <w:jc w:val="center"/>
        <w:rPr>
          <w:color w:val="auto"/>
          <w:sz w:val="24"/>
        </w:rPr>
        <w:sectPr>
          <w:footerReference r:id="rId7" w:type="default"/>
          <w:pgSz w:w="11910" w:h="16840"/>
          <w:pgMar w:top="1417" w:right="1417" w:bottom="1417" w:left="1417" w:header="0" w:footer="1202" w:gutter="0"/>
          <w:cols w:space="0" w:num="1"/>
        </w:sectPr>
      </w:pPr>
    </w:p>
    <w:p>
      <w:pPr>
        <w:spacing w:line="360" w:lineRule="auto"/>
        <w:jc w:val="center"/>
        <w:rPr>
          <w:b/>
          <w:bCs/>
          <w:color w:val="auto"/>
          <w:w w:val="95"/>
          <w:sz w:val="28"/>
          <w:szCs w:val="28"/>
        </w:rPr>
      </w:pPr>
      <w:r>
        <w:rPr>
          <w:b/>
          <w:bCs/>
          <w:color w:val="auto"/>
          <w:w w:val="95"/>
          <w:sz w:val="28"/>
          <w:szCs w:val="28"/>
        </w:rPr>
        <w:t>供应商直接管理关系信息表</w:t>
      </w:r>
    </w:p>
    <w:p>
      <w:pPr>
        <w:pStyle w:val="14"/>
        <w:rPr>
          <w:b/>
          <w:color w:val="auto"/>
          <w:sz w:val="20"/>
        </w:rPr>
      </w:pPr>
    </w:p>
    <w:p>
      <w:pPr>
        <w:pStyle w:val="14"/>
        <w:spacing w:before="5"/>
        <w:rPr>
          <w:b/>
          <w:color w:val="auto"/>
          <w:sz w:val="14"/>
        </w:rPr>
      </w:pP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5"/>
        <w:gridCol w:w="3110"/>
        <w:gridCol w:w="3071"/>
        <w:gridCol w:w="1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175" w:type="dxa"/>
            <w:vAlign w:val="center"/>
          </w:tcPr>
          <w:p>
            <w:pPr>
              <w:pStyle w:val="36"/>
              <w:spacing w:line="360" w:lineRule="auto"/>
              <w:jc w:val="center"/>
              <w:rPr>
                <w:b/>
                <w:color w:val="auto"/>
                <w:sz w:val="24"/>
              </w:rPr>
            </w:pPr>
            <w:r>
              <w:rPr>
                <w:b/>
                <w:color w:val="auto"/>
                <w:sz w:val="24"/>
              </w:rPr>
              <w:t>序号</w:t>
            </w:r>
          </w:p>
        </w:tc>
        <w:tc>
          <w:tcPr>
            <w:tcW w:w="3110" w:type="dxa"/>
            <w:vAlign w:val="center"/>
          </w:tcPr>
          <w:p>
            <w:pPr>
              <w:pStyle w:val="36"/>
              <w:spacing w:line="360" w:lineRule="auto"/>
              <w:jc w:val="center"/>
              <w:rPr>
                <w:b/>
                <w:color w:val="auto"/>
                <w:sz w:val="24"/>
              </w:rPr>
            </w:pPr>
            <w:r>
              <w:rPr>
                <w:b/>
                <w:color w:val="auto"/>
                <w:sz w:val="24"/>
              </w:rPr>
              <w:t>直接管理关系单位名称</w:t>
            </w:r>
          </w:p>
        </w:tc>
        <w:tc>
          <w:tcPr>
            <w:tcW w:w="3071" w:type="dxa"/>
            <w:vAlign w:val="center"/>
          </w:tcPr>
          <w:p>
            <w:pPr>
              <w:pStyle w:val="36"/>
              <w:spacing w:line="360" w:lineRule="auto"/>
              <w:jc w:val="center"/>
              <w:rPr>
                <w:b/>
                <w:color w:val="auto"/>
                <w:sz w:val="24"/>
              </w:rPr>
            </w:pPr>
            <w:r>
              <w:rPr>
                <w:b/>
                <w:color w:val="auto"/>
                <w:sz w:val="24"/>
              </w:rPr>
              <w:t>统一社会信用代码</w:t>
            </w:r>
          </w:p>
        </w:tc>
        <w:tc>
          <w:tcPr>
            <w:tcW w:w="1459" w:type="dxa"/>
            <w:vAlign w:val="center"/>
          </w:tcPr>
          <w:p>
            <w:pPr>
              <w:pStyle w:val="36"/>
              <w:spacing w:line="360" w:lineRule="auto"/>
              <w:jc w:val="center"/>
              <w:rPr>
                <w:b/>
                <w:color w:val="auto"/>
                <w:sz w:val="24"/>
              </w:rPr>
            </w:pPr>
            <w:r>
              <w:rPr>
                <w:b/>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1175" w:type="dxa"/>
          </w:tcPr>
          <w:p>
            <w:pPr>
              <w:pStyle w:val="36"/>
              <w:spacing w:before="120"/>
              <w:ind w:left="10"/>
              <w:jc w:val="center"/>
              <w:rPr>
                <w:color w:val="auto"/>
                <w:sz w:val="24"/>
              </w:rPr>
            </w:pPr>
            <w:r>
              <w:rPr>
                <w:color w:val="auto"/>
                <w:sz w:val="24"/>
              </w:rPr>
              <w:t>1</w:t>
            </w:r>
          </w:p>
        </w:tc>
        <w:tc>
          <w:tcPr>
            <w:tcW w:w="3110" w:type="dxa"/>
          </w:tcPr>
          <w:p>
            <w:pPr>
              <w:pStyle w:val="36"/>
              <w:rPr>
                <w:rFonts w:ascii="Times New Roman"/>
                <w:color w:val="auto"/>
                <w:sz w:val="24"/>
              </w:rPr>
            </w:pPr>
          </w:p>
        </w:tc>
        <w:tc>
          <w:tcPr>
            <w:tcW w:w="3071" w:type="dxa"/>
          </w:tcPr>
          <w:p>
            <w:pPr>
              <w:pStyle w:val="36"/>
              <w:rPr>
                <w:rFonts w:ascii="Times New Roman"/>
                <w:color w:val="auto"/>
                <w:sz w:val="24"/>
              </w:rPr>
            </w:pPr>
          </w:p>
        </w:tc>
        <w:tc>
          <w:tcPr>
            <w:tcW w:w="1459" w:type="dxa"/>
          </w:tcPr>
          <w:p>
            <w:pPr>
              <w:pStyle w:val="36"/>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175" w:type="dxa"/>
          </w:tcPr>
          <w:p>
            <w:pPr>
              <w:pStyle w:val="36"/>
              <w:spacing w:before="121"/>
              <w:ind w:left="10"/>
              <w:jc w:val="center"/>
              <w:rPr>
                <w:color w:val="auto"/>
                <w:sz w:val="24"/>
              </w:rPr>
            </w:pPr>
            <w:r>
              <w:rPr>
                <w:color w:val="auto"/>
                <w:sz w:val="24"/>
              </w:rPr>
              <w:t>2</w:t>
            </w:r>
          </w:p>
        </w:tc>
        <w:tc>
          <w:tcPr>
            <w:tcW w:w="3110" w:type="dxa"/>
          </w:tcPr>
          <w:p>
            <w:pPr>
              <w:pStyle w:val="36"/>
              <w:rPr>
                <w:rFonts w:ascii="Times New Roman"/>
                <w:color w:val="auto"/>
                <w:sz w:val="24"/>
              </w:rPr>
            </w:pPr>
          </w:p>
        </w:tc>
        <w:tc>
          <w:tcPr>
            <w:tcW w:w="3071" w:type="dxa"/>
          </w:tcPr>
          <w:p>
            <w:pPr>
              <w:pStyle w:val="36"/>
              <w:rPr>
                <w:rFonts w:ascii="Times New Roman"/>
                <w:color w:val="auto"/>
                <w:sz w:val="24"/>
              </w:rPr>
            </w:pPr>
          </w:p>
        </w:tc>
        <w:tc>
          <w:tcPr>
            <w:tcW w:w="1459" w:type="dxa"/>
          </w:tcPr>
          <w:p>
            <w:pPr>
              <w:pStyle w:val="36"/>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175" w:type="dxa"/>
          </w:tcPr>
          <w:p>
            <w:pPr>
              <w:pStyle w:val="36"/>
              <w:spacing w:before="121"/>
              <w:ind w:left="10"/>
              <w:jc w:val="center"/>
              <w:rPr>
                <w:color w:val="auto"/>
                <w:sz w:val="24"/>
              </w:rPr>
            </w:pPr>
            <w:r>
              <w:rPr>
                <w:color w:val="auto"/>
                <w:sz w:val="24"/>
              </w:rPr>
              <w:t>3</w:t>
            </w:r>
          </w:p>
        </w:tc>
        <w:tc>
          <w:tcPr>
            <w:tcW w:w="3110" w:type="dxa"/>
          </w:tcPr>
          <w:p>
            <w:pPr>
              <w:pStyle w:val="36"/>
              <w:rPr>
                <w:rFonts w:ascii="Times New Roman"/>
                <w:color w:val="auto"/>
                <w:sz w:val="24"/>
              </w:rPr>
            </w:pPr>
          </w:p>
        </w:tc>
        <w:tc>
          <w:tcPr>
            <w:tcW w:w="3071" w:type="dxa"/>
          </w:tcPr>
          <w:p>
            <w:pPr>
              <w:pStyle w:val="36"/>
              <w:rPr>
                <w:rFonts w:ascii="Times New Roman"/>
                <w:color w:val="auto"/>
                <w:sz w:val="24"/>
              </w:rPr>
            </w:pPr>
          </w:p>
        </w:tc>
        <w:tc>
          <w:tcPr>
            <w:tcW w:w="1459" w:type="dxa"/>
          </w:tcPr>
          <w:p>
            <w:pPr>
              <w:pStyle w:val="36"/>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1175" w:type="dxa"/>
          </w:tcPr>
          <w:p>
            <w:pPr>
              <w:pStyle w:val="36"/>
              <w:spacing w:before="122"/>
              <w:ind w:left="140" w:right="130"/>
              <w:jc w:val="center"/>
              <w:rPr>
                <w:color w:val="auto"/>
                <w:sz w:val="24"/>
              </w:rPr>
            </w:pPr>
            <w:r>
              <w:rPr>
                <w:color w:val="auto"/>
                <w:sz w:val="24"/>
              </w:rPr>
              <w:t>……</w:t>
            </w:r>
          </w:p>
        </w:tc>
        <w:tc>
          <w:tcPr>
            <w:tcW w:w="3110" w:type="dxa"/>
          </w:tcPr>
          <w:p>
            <w:pPr>
              <w:pStyle w:val="36"/>
              <w:rPr>
                <w:rFonts w:ascii="Times New Roman"/>
                <w:color w:val="auto"/>
                <w:sz w:val="24"/>
              </w:rPr>
            </w:pPr>
          </w:p>
        </w:tc>
        <w:tc>
          <w:tcPr>
            <w:tcW w:w="3071" w:type="dxa"/>
          </w:tcPr>
          <w:p>
            <w:pPr>
              <w:pStyle w:val="36"/>
              <w:rPr>
                <w:rFonts w:ascii="Times New Roman"/>
                <w:color w:val="auto"/>
                <w:sz w:val="24"/>
              </w:rPr>
            </w:pPr>
          </w:p>
        </w:tc>
        <w:tc>
          <w:tcPr>
            <w:tcW w:w="1459" w:type="dxa"/>
          </w:tcPr>
          <w:p>
            <w:pPr>
              <w:pStyle w:val="36"/>
              <w:rPr>
                <w:rFonts w:ascii="Times New Roman"/>
                <w:color w:val="auto"/>
                <w:sz w:val="24"/>
              </w:rPr>
            </w:pPr>
          </w:p>
        </w:tc>
      </w:tr>
    </w:tbl>
    <w:p>
      <w:pPr>
        <w:rPr>
          <w:color w:val="auto"/>
          <w:sz w:val="24"/>
        </w:rPr>
      </w:pPr>
      <w:r>
        <w:rPr>
          <w:color w:val="auto"/>
          <w:sz w:val="24"/>
        </w:rPr>
        <w:t>注：</w:t>
      </w:r>
    </w:p>
    <w:p>
      <w:pPr>
        <w:tabs>
          <w:tab w:val="left" w:pos="1041"/>
        </w:tabs>
        <w:spacing w:line="360" w:lineRule="auto"/>
        <w:ind w:right="319" w:firstLine="480" w:firstLineChars="200"/>
        <w:rPr>
          <w:color w:val="auto"/>
          <w:sz w:val="24"/>
        </w:rPr>
      </w:pPr>
      <w:r>
        <w:rPr>
          <w:rFonts w:hint="eastAsia"/>
          <w:color w:val="auto"/>
          <w:sz w:val="24"/>
          <w:lang w:val="en-US"/>
        </w:rPr>
        <w:t>1、</w:t>
      </w:r>
      <w:r>
        <w:rPr>
          <w:color w:val="auto"/>
          <w:sz w:val="24"/>
        </w:rPr>
        <w:t>管理关系：是指不具有出资持股关系的其他单位之间存在的管理与被管理关系，如一些上下级关系的事业单位和团体组织。</w:t>
      </w:r>
    </w:p>
    <w:p>
      <w:pPr>
        <w:tabs>
          <w:tab w:val="left" w:pos="1041"/>
        </w:tabs>
        <w:spacing w:line="360" w:lineRule="auto"/>
        <w:ind w:right="319" w:firstLine="480" w:firstLineChars="200"/>
        <w:rPr>
          <w:color w:val="auto"/>
          <w:sz w:val="24"/>
        </w:rPr>
      </w:pPr>
      <w:r>
        <w:rPr>
          <w:rFonts w:hint="eastAsia"/>
          <w:color w:val="auto"/>
          <w:sz w:val="24"/>
          <w:lang w:val="en-US"/>
        </w:rPr>
        <w:t>2、</w:t>
      </w:r>
      <w:r>
        <w:rPr>
          <w:color w:val="auto"/>
          <w:sz w:val="24"/>
        </w:rPr>
        <w:t>本表所指的管理关系仅限于直接管理关系，不包括间接的管理关系。</w:t>
      </w:r>
    </w:p>
    <w:p>
      <w:pPr>
        <w:tabs>
          <w:tab w:val="left" w:pos="1041"/>
        </w:tabs>
        <w:spacing w:line="360" w:lineRule="auto"/>
        <w:ind w:right="319" w:firstLine="480" w:firstLineChars="200"/>
        <w:rPr>
          <w:color w:val="auto"/>
          <w:sz w:val="24"/>
        </w:rPr>
      </w:pPr>
      <w:r>
        <w:rPr>
          <w:rFonts w:hint="eastAsia"/>
          <w:color w:val="auto"/>
          <w:sz w:val="24"/>
          <w:lang w:val="en-US"/>
        </w:rPr>
        <w:t>3、</w:t>
      </w:r>
      <w:r>
        <w:rPr>
          <w:color w:val="auto"/>
          <w:sz w:val="24"/>
        </w:rPr>
        <w:t>供应商不存在直接管理关系的，则填“无”。</w:t>
      </w:r>
    </w:p>
    <w:p>
      <w:pPr>
        <w:pStyle w:val="14"/>
        <w:rPr>
          <w:color w:val="auto"/>
          <w:sz w:val="24"/>
        </w:rPr>
      </w:pPr>
    </w:p>
    <w:p>
      <w:pPr>
        <w:pStyle w:val="14"/>
        <w:rPr>
          <w:color w:val="auto"/>
          <w:sz w:val="24"/>
        </w:rPr>
      </w:pPr>
    </w:p>
    <w:p>
      <w:pPr>
        <w:pStyle w:val="14"/>
        <w:rPr>
          <w:color w:val="auto"/>
          <w:sz w:val="24"/>
        </w:rPr>
      </w:pPr>
    </w:p>
    <w:p>
      <w:pPr>
        <w:pStyle w:val="14"/>
        <w:rPr>
          <w:color w:val="auto"/>
          <w:sz w:val="24"/>
        </w:rPr>
      </w:pPr>
    </w:p>
    <w:p>
      <w:pPr>
        <w:pStyle w:val="14"/>
        <w:rPr>
          <w:color w:val="auto"/>
          <w:sz w:val="24"/>
        </w:rPr>
      </w:pPr>
    </w:p>
    <w:p>
      <w:pPr>
        <w:pStyle w:val="14"/>
        <w:rPr>
          <w:color w:val="auto"/>
          <w:sz w:val="24"/>
        </w:rPr>
      </w:pPr>
    </w:p>
    <w:p>
      <w:pPr>
        <w:pStyle w:val="14"/>
        <w:rPr>
          <w:color w:val="auto"/>
          <w:sz w:val="24"/>
        </w:rPr>
      </w:pPr>
    </w:p>
    <w:p>
      <w:pPr>
        <w:pStyle w:val="14"/>
        <w:rPr>
          <w:color w:val="auto"/>
          <w:sz w:val="24"/>
        </w:rPr>
      </w:pPr>
    </w:p>
    <w:p>
      <w:pPr>
        <w:pStyle w:val="14"/>
        <w:spacing w:before="9"/>
        <w:rPr>
          <w:color w:val="auto"/>
          <w:sz w:val="26"/>
        </w:rPr>
      </w:pPr>
    </w:p>
    <w:p>
      <w:pPr>
        <w:tabs>
          <w:tab w:val="left" w:pos="9379"/>
        </w:tabs>
        <w:spacing w:before="1"/>
        <w:ind w:left="3800"/>
        <w:rPr>
          <w:rFonts w:ascii="Times New Roman" w:eastAsia="Times New Roman"/>
          <w:color w:val="auto"/>
          <w:sz w:val="24"/>
        </w:rPr>
      </w:pPr>
      <w:r>
        <w:rPr>
          <w:color w:val="auto"/>
          <w:sz w:val="24"/>
        </w:rPr>
        <w:t>法定代表人或者委托代理人签字：</w:t>
      </w:r>
      <w:r>
        <w:rPr>
          <w:rFonts w:ascii="Times New Roman" w:eastAsia="Times New Roman"/>
          <w:color w:val="auto"/>
          <w:sz w:val="24"/>
          <w:u w:val="single"/>
        </w:rPr>
        <w:t xml:space="preserve"> </w:t>
      </w:r>
      <w:r>
        <w:rPr>
          <w:rFonts w:ascii="Times New Roman" w:eastAsia="Times New Roman"/>
          <w:color w:val="auto"/>
          <w:sz w:val="24"/>
          <w:u w:val="single"/>
        </w:rPr>
        <w:tab/>
      </w:r>
    </w:p>
    <w:p>
      <w:pPr>
        <w:pStyle w:val="14"/>
        <w:spacing w:before="8"/>
        <w:rPr>
          <w:rFonts w:ascii="Times New Roman"/>
          <w:color w:val="auto"/>
          <w:sz w:val="17"/>
        </w:rPr>
      </w:pPr>
    </w:p>
    <w:p>
      <w:pPr>
        <w:tabs>
          <w:tab w:val="left" w:pos="9619"/>
        </w:tabs>
        <w:spacing w:before="74"/>
        <w:ind w:left="3800"/>
        <w:rPr>
          <w:rFonts w:ascii="Times New Roman" w:eastAsia="Times New Roman"/>
          <w:color w:val="auto"/>
          <w:sz w:val="24"/>
        </w:rPr>
      </w:pPr>
      <w:r>
        <w:rPr>
          <w:color w:val="auto"/>
          <w:sz w:val="24"/>
        </w:rPr>
        <w:t>供应商（电子签章）：</w:t>
      </w:r>
      <w:r>
        <w:rPr>
          <w:rFonts w:ascii="Times New Roman" w:eastAsia="Times New Roman"/>
          <w:color w:val="auto"/>
          <w:sz w:val="24"/>
          <w:u w:val="single"/>
        </w:rPr>
        <w:t xml:space="preserve"> </w:t>
      </w:r>
      <w:r>
        <w:rPr>
          <w:rFonts w:ascii="Times New Roman" w:eastAsia="Times New Roman"/>
          <w:color w:val="auto"/>
          <w:sz w:val="24"/>
          <w:u w:val="single"/>
        </w:rPr>
        <w:tab/>
      </w:r>
    </w:p>
    <w:p>
      <w:pPr>
        <w:pStyle w:val="14"/>
        <w:spacing w:before="7"/>
        <w:rPr>
          <w:rFonts w:ascii="Times New Roman"/>
          <w:color w:val="auto"/>
          <w:sz w:val="18"/>
        </w:rPr>
      </w:pPr>
    </w:p>
    <w:p>
      <w:pPr>
        <w:tabs>
          <w:tab w:val="left" w:pos="2489"/>
          <w:tab w:val="left" w:pos="3209"/>
        </w:tabs>
        <w:spacing w:before="67"/>
        <w:ind w:left="1770"/>
        <w:jc w:val="center"/>
        <w:rPr>
          <w:color w:val="auto"/>
          <w:sz w:val="24"/>
        </w:rPr>
      </w:pPr>
      <w:r>
        <w:rPr>
          <w:color w:val="auto"/>
          <w:sz w:val="24"/>
        </w:rPr>
        <w:t>年</w:t>
      </w:r>
      <w:r>
        <w:rPr>
          <w:color w:val="auto"/>
          <w:sz w:val="24"/>
        </w:rPr>
        <w:tab/>
      </w:r>
      <w:r>
        <w:rPr>
          <w:color w:val="auto"/>
          <w:sz w:val="24"/>
        </w:rPr>
        <w:t>月</w:t>
      </w:r>
      <w:r>
        <w:rPr>
          <w:color w:val="auto"/>
          <w:sz w:val="24"/>
        </w:rPr>
        <w:tab/>
      </w:r>
      <w:r>
        <w:rPr>
          <w:color w:val="auto"/>
          <w:sz w:val="24"/>
        </w:rPr>
        <w:t>日</w:t>
      </w:r>
    </w:p>
    <w:p>
      <w:pPr>
        <w:jc w:val="center"/>
        <w:rPr>
          <w:color w:val="auto"/>
          <w:sz w:val="24"/>
        </w:rPr>
        <w:sectPr>
          <w:footerReference r:id="rId8" w:type="default"/>
          <w:pgSz w:w="11910" w:h="16840"/>
          <w:pgMar w:top="1417" w:right="1417" w:bottom="1417" w:left="1417" w:header="0" w:footer="1202" w:gutter="0"/>
          <w:cols w:space="0" w:num="1"/>
        </w:sectPr>
      </w:pPr>
    </w:p>
    <w:p>
      <w:pPr>
        <w:spacing w:before="24" w:line="360" w:lineRule="auto"/>
        <w:ind w:left="1769" w:right="1769"/>
        <w:jc w:val="center"/>
        <w:rPr>
          <w:b/>
          <w:bCs/>
          <w:color w:val="auto"/>
          <w:sz w:val="30"/>
          <w:szCs w:val="30"/>
        </w:rPr>
      </w:pPr>
      <w:r>
        <w:rPr>
          <w:b/>
          <w:bCs/>
          <w:color w:val="auto"/>
          <w:sz w:val="30"/>
          <w:szCs w:val="30"/>
        </w:rPr>
        <w:t>竞标声明</w:t>
      </w:r>
    </w:p>
    <w:p>
      <w:pPr>
        <w:spacing w:line="360" w:lineRule="auto"/>
        <w:rPr>
          <w:color w:val="auto"/>
          <w:sz w:val="24"/>
        </w:rPr>
      </w:pPr>
      <w:r>
        <w:rPr>
          <w:color w:val="auto"/>
          <w:sz w:val="24"/>
        </w:rPr>
        <w:t>致：</w:t>
      </w:r>
      <w:r>
        <w:rPr>
          <w:color w:val="auto"/>
          <w:sz w:val="24"/>
          <w:u w:val="single"/>
        </w:rPr>
        <w:t>（采购人名称）</w:t>
      </w:r>
      <w:r>
        <w:rPr>
          <w:color w:val="auto"/>
          <w:sz w:val="24"/>
        </w:rPr>
        <w:t>：</w:t>
      </w:r>
    </w:p>
    <w:p>
      <w:pPr>
        <w:tabs>
          <w:tab w:val="left" w:pos="10399"/>
        </w:tabs>
        <w:spacing w:line="360" w:lineRule="auto"/>
        <w:ind w:firstLine="480" w:firstLineChars="200"/>
        <w:rPr>
          <w:color w:val="auto"/>
          <w:sz w:val="24"/>
        </w:rPr>
      </w:pPr>
      <w:r>
        <w:rPr>
          <w:color w:val="auto"/>
          <w:sz w:val="24"/>
          <w:u w:val="single"/>
        </w:rPr>
        <w:t>（供应商名称）</w:t>
      </w:r>
      <w:r>
        <w:rPr>
          <w:color w:val="auto"/>
          <w:sz w:val="24"/>
        </w:rPr>
        <w:t>系中华人民共和国合法供应商，经营地址</w:t>
      </w:r>
      <w:r>
        <w:rPr>
          <w:color w:val="auto"/>
          <w:sz w:val="24"/>
          <w:u w:val="single"/>
        </w:rPr>
        <w:t xml:space="preserve"> </w:t>
      </w:r>
      <w:r>
        <w:rPr>
          <w:rFonts w:hint="eastAsia"/>
          <w:color w:val="auto"/>
          <w:sz w:val="24"/>
          <w:u w:val="single"/>
          <w:lang w:val="en-US"/>
        </w:rPr>
        <w:t xml:space="preserve">         </w:t>
      </w:r>
      <w:r>
        <w:rPr>
          <w:color w:val="auto"/>
          <w:sz w:val="24"/>
        </w:rPr>
        <w:t>。我方愿意参加贵方组织</w:t>
      </w:r>
      <w:r>
        <w:rPr>
          <w:color w:val="auto"/>
          <w:spacing w:val="-22"/>
          <w:sz w:val="24"/>
        </w:rPr>
        <w:t>的</w:t>
      </w:r>
      <w:r>
        <w:rPr>
          <w:color w:val="auto"/>
          <w:spacing w:val="-3"/>
          <w:sz w:val="24"/>
          <w:u w:val="single"/>
        </w:rPr>
        <w:t>（</w:t>
      </w:r>
      <w:r>
        <w:rPr>
          <w:color w:val="auto"/>
          <w:sz w:val="24"/>
          <w:u w:val="single"/>
        </w:rPr>
        <w:t>项目名称</w:t>
      </w:r>
      <w:r>
        <w:rPr>
          <w:color w:val="auto"/>
          <w:spacing w:val="-22"/>
          <w:sz w:val="24"/>
          <w:u w:val="single"/>
        </w:rPr>
        <w:t>）</w:t>
      </w:r>
      <w:r>
        <w:rPr>
          <w:color w:val="auto"/>
          <w:sz w:val="24"/>
        </w:rPr>
        <w:t>项目的竞标</w:t>
      </w:r>
      <w:r>
        <w:rPr>
          <w:color w:val="auto"/>
          <w:spacing w:val="-22"/>
          <w:sz w:val="24"/>
        </w:rPr>
        <w:t>，</w:t>
      </w:r>
      <w:r>
        <w:rPr>
          <w:color w:val="auto"/>
          <w:sz w:val="24"/>
        </w:rPr>
        <w:t>为便于贵方公正</w:t>
      </w:r>
      <w:r>
        <w:rPr>
          <w:color w:val="auto"/>
          <w:spacing w:val="-24"/>
          <w:sz w:val="24"/>
        </w:rPr>
        <w:t>、</w:t>
      </w:r>
      <w:r>
        <w:rPr>
          <w:color w:val="auto"/>
          <w:sz w:val="24"/>
        </w:rPr>
        <w:t>择优地确定成交供应商</w:t>
      </w:r>
      <w:r>
        <w:rPr>
          <w:color w:val="auto"/>
          <w:spacing w:val="-16"/>
          <w:sz w:val="24"/>
        </w:rPr>
        <w:t>及</w:t>
      </w:r>
    </w:p>
    <w:p>
      <w:pPr>
        <w:spacing w:line="360" w:lineRule="auto"/>
        <w:ind w:firstLine="480" w:firstLineChars="200"/>
        <w:rPr>
          <w:color w:val="auto"/>
          <w:sz w:val="24"/>
        </w:rPr>
      </w:pPr>
      <w:r>
        <w:rPr>
          <w:color w:val="auto"/>
          <w:sz w:val="24"/>
        </w:rPr>
        <w:t>其竞标产品和服务，我方就本次竞标有关事项郑重声明如下：</w:t>
      </w:r>
    </w:p>
    <w:p>
      <w:pPr>
        <w:numPr>
          <w:ilvl w:val="0"/>
          <w:numId w:val="21"/>
        </w:numPr>
        <w:tabs>
          <w:tab w:val="left" w:pos="1041"/>
        </w:tabs>
        <w:spacing w:line="360" w:lineRule="auto"/>
        <w:ind w:left="0" w:firstLine="480" w:firstLineChars="200"/>
        <w:rPr>
          <w:color w:val="auto"/>
          <w:sz w:val="24"/>
        </w:rPr>
      </w:pPr>
      <w:r>
        <w:rPr>
          <w:color w:val="auto"/>
          <w:sz w:val="24"/>
        </w:rPr>
        <w:t>我方向贵方提交的所有响应文件、资料都是准确的和真实的。</w:t>
      </w:r>
    </w:p>
    <w:p>
      <w:pPr>
        <w:numPr>
          <w:ilvl w:val="0"/>
          <w:numId w:val="21"/>
        </w:numPr>
        <w:tabs>
          <w:tab w:val="left" w:pos="1041"/>
        </w:tabs>
        <w:spacing w:line="360" w:lineRule="auto"/>
        <w:ind w:left="0" w:firstLine="440" w:firstLineChars="200"/>
        <w:rPr>
          <w:color w:val="auto"/>
          <w:sz w:val="24"/>
        </w:rPr>
      </w:pPr>
      <w:r>
        <w:rPr>
          <w:color w:val="auto"/>
          <w:spacing w:val="-10"/>
          <w:sz w:val="24"/>
        </w:rPr>
        <w:t>我方不是为本次采购项目提供整体设计、规范编制或者项目管理、监理、检测等服务的供应商。</w:t>
      </w:r>
    </w:p>
    <w:p>
      <w:pPr>
        <w:numPr>
          <w:ilvl w:val="0"/>
          <w:numId w:val="21"/>
        </w:numPr>
        <w:tabs>
          <w:tab w:val="left" w:pos="1041"/>
        </w:tabs>
        <w:spacing w:line="360" w:lineRule="auto"/>
        <w:ind w:left="0" w:firstLine="480" w:firstLineChars="200"/>
        <w:rPr>
          <w:color w:val="auto"/>
          <w:sz w:val="24"/>
        </w:rPr>
      </w:pPr>
      <w:r>
        <w:rPr>
          <w:color w:val="auto"/>
          <w:sz w:val="24"/>
        </w:rPr>
        <w:t>在此，我方宣布同意如下：</w:t>
      </w:r>
    </w:p>
    <w:p>
      <w:pPr>
        <w:numPr>
          <w:ilvl w:val="0"/>
          <w:numId w:val="22"/>
        </w:numPr>
        <w:tabs>
          <w:tab w:val="left" w:pos="1401"/>
        </w:tabs>
        <w:spacing w:line="360" w:lineRule="auto"/>
        <w:ind w:left="0" w:firstLine="480" w:firstLineChars="200"/>
        <w:rPr>
          <w:color w:val="auto"/>
          <w:sz w:val="24"/>
        </w:rPr>
      </w:pPr>
      <w:r>
        <w:rPr>
          <w:color w:val="auto"/>
          <w:sz w:val="24"/>
        </w:rPr>
        <w:t>将按磋商文件的约定履行合同责任和义务；</w:t>
      </w:r>
    </w:p>
    <w:p>
      <w:pPr>
        <w:numPr>
          <w:ilvl w:val="0"/>
          <w:numId w:val="22"/>
        </w:numPr>
        <w:tabs>
          <w:tab w:val="left" w:pos="1401"/>
        </w:tabs>
        <w:spacing w:line="360" w:lineRule="auto"/>
        <w:ind w:left="0" w:firstLine="480" w:firstLineChars="200"/>
        <w:rPr>
          <w:color w:val="auto"/>
          <w:sz w:val="24"/>
        </w:rPr>
      </w:pPr>
      <w:r>
        <w:rPr>
          <w:color w:val="auto"/>
          <w:sz w:val="24"/>
        </w:rPr>
        <w:t>已详细审查全部磋商文件，包括澄清或者更正公告（如有）；</w:t>
      </w:r>
    </w:p>
    <w:p>
      <w:pPr>
        <w:numPr>
          <w:ilvl w:val="0"/>
          <w:numId w:val="22"/>
        </w:numPr>
        <w:tabs>
          <w:tab w:val="left" w:pos="1401"/>
        </w:tabs>
        <w:spacing w:line="360" w:lineRule="auto"/>
        <w:ind w:left="0" w:firstLine="480" w:firstLineChars="200"/>
        <w:rPr>
          <w:color w:val="auto"/>
          <w:sz w:val="24"/>
        </w:rPr>
      </w:pPr>
      <w:r>
        <w:rPr>
          <w:color w:val="auto"/>
          <w:sz w:val="24"/>
        </w:rPr>
        <w:t>同意提供按照贵方可能要求的与磋商有关的一切数据或者资料；</w:t>
      </w:r>
    </w:p>
    <w:p>
      <w:pPr>
        <w:numPr>
          <w:ilvl w:val="0"/>
          <w:numId w:val="22"/>
        </w:numPr>
        <w:tabs>
          <w:tab w:val="left" w:pos="1401"/>
        </w:tabs>
        <w:spacing w:line="360" w:lineRule="auto"/>
        <w:ind w:left="0" w:firstLine="480" w:firstLineChars="200"/>
        <w:rPr>
          <w:color w:val="auto"/>
          <w:sz w:val="24"/>
        </w:rPr>
      </w:pPr>
      <w:r>
        <w:rPr>
          <w:color w:val="auto"/>
          <w:sz w:val="24"/>
        </w:rPr>
        <w:t>响应磋商文件规定的竞标有效期。</w:t>
      </w:r>
    </w:p>
    <w:p>
      <w:pPr>
        <w:numPr>
          <w:ilvl w:val="0"/>
          <w:numId w:val="21"/>
        </w:numPr>
        <w:tabs>
          <w:tab w:val="left" w:pos="1041"/>
        </w:tabs>
        <w:spacing w:line="360" w:lineRule="auto"/>
        <w:ind w:left="0" w:firstLine="480" w:firstLineChars="200"/>
        <w:rPr>
          <w:color w:val="auto"/>
          <w:sz w:val="24"/>
        </w:rPr>
      </w:pPr>
      <w:r>
        <w:rPr>
          <w:color w:val="auto"/>
          <w:sz w:val="24"/>
        </w:rPr>
        <w:t>我方承诺符合《中华人民共和国政府采购法》第二十二条规定：</w:t>
      </w:r>
    </w:p>
    <w:p>
      <w:pPr>
        <w:numPr>
          <w:ilvl w:val="0"/>
          <w:numId w:val="23"/>
        </w:numPr>
        <w:tabs>
          <w:tab w:val="left" w:pos="1401"/>
        </w:tabs>
        <w:spacing w:line="360" w:lineRule="auto"/>
        <w:ind w:left="0" w:firstLine="480" w:firstLineChars="200"/>
        <w:rPr>
          <w:color w:val="auto"/>
          <w:sz w:val="24"/>
        </w:rPr>
      </w:pPr>
      <w:r>
        <w:rPr>
          <w:color w:val="auto"/>
          <w:sz w:val="24"/>
        </w:rPr>
        <w:t>具有独立承担民事责任的能力；</w:t>
      </w:r>
    </w:p>
    <w:p>
      <w:pPr>
        <w:numPr>
          <w:ilvl w:val="0"/>
          <w:numId w:val="23"/>
        </w:numPr>
        <w:tabs>
          <w:tab w:val="left" w:pos="1401"/>
        </w:tabs>
        <w:spacing w:line="360" w:lineRule="auto"/>
        <w:ind w:left="0" w:firstLine="480" w:firstLineChars="200"/>
        <w:rPr>
          <w:color w:val="auto"/>
          <w:sz w:val="24"/>
        </w:rPr>
      </w:pPr>
      <w:r>
        <w:rPr>
          <w:color w:val="auto"/>
          <w:sz w:val="24"/>
        </w:rPr>
        <w:t>具有良好的商业信誉和健全的财务会计制度；</w:t>
      </w:r>
    </w:p>
    <w:p>
      <w:pPr>
        <w:numPr>
          <w:ilvl w:val="0"/>
          <w:numId w:val="23"/>
        </w:numPr>
        <w:tabs>
          <w:tab w:val="left" w:pos="1401"/>
        </w:tabs>
        <w:spacing w:line="360" w:lineRule="auto"/>
        <w:ind w:left="0" w:firstLine="480" w:firstLineChars="200"/>
        <w:rPr>
          <w:color w:val="auto"/>
          <w:sz w:val="24"/>
        </w:rPr>
      </w:pPr>
      <w:r>
        <w:rPr>
          <w:color w:val="auto"/>
          <w:sz w:val="24"/>
        </w:rPr>
        <w:t>具有履行合同所必需的设备和专业技术能力；</w:t>
      </w:r>
    </w:p>
    <w:p>
      <w:pPr>
        <w:numPr>
          <w:ilvl w:val="0"/>
          <w:numId w:val="23"/>
        </w:numPr>
        <w:tabs>
          <w:tab w:val="left" w:pos="1401"/>
        </w:tabs>
        <w:spacing w:line="360" w:lineRule="auto"/>
        <w:ind w:left="0" w:firstLine="480" w:firstLineChars="200"/>
        <w:rPr>
          <w:color w:val="auto"/>
          <w:sz w:val="24"/>
        </w:rPr>
      </w:pPr>
      <w:r>
        <w:rPr>
          <w:color w:val="auto"/>
          <w:sz w:val="24"/>
        </w:rPr>
        <w:t>有依法缴纳税收和社会保障资金的良好记录；</w:t>
      </w:r>
    </w:p>
    <w:p>
      <w:pPr>
        <w:numPr>
          <w:ilvl w:val="0"/>
          <w:numId w:val="23"/>
        </w:numPr>
        <w:tabs>
          <w:tab w:val="left" w:pos="1401"/>
        </w:tabs>
        <w:spacing w:line="360" w:lineRule="auto"/>
        <w:ind w:left="0" w:firstLine="480" w:firstLineChars="200"/>
        <w:rPr>
          <w:color w:val="auto"/>
          <w:sz w:val="24"/>
        </w:rPr>
      </w:pPr>
      <w:r>
        <w:rPr>
          <w:color w:val="auto"/>
          <w:sz w:val="24"/>
        </w:rPr>
        <w:t>参加政府采购活动前三年内，在经营活动中没有重大违法记录；</w:t>
      </w:r>
    </w:p>
    <w:p>
      <w:pPr>
        <w:numPr>
          <w:ilvl w:val="0"/>
          <w:numId w:val="23"/>
        </w:numPr>
        <w:tabs>
          <w:tab w:val="left" w:pos="1401"/>
        </w:tabs>
        <w:spacing w:line="360" w:lineRule="auto"/>
        <w:ind w:left="0" w:firstLine="480" w:firstLineChars="200"/>
        <w:rPr>
          <w:color w:val="auto"/>
          <w:sz w:val="24"/>
        </w:rPr>
      </w:pPr>
      <w:r>
        <w:rPr>
          <w:color w:val="auto"/>
          <w:sz w:val="24"/>
        </w:rPr>
        <w:t>法律、行政法规规定的其他条件。</w:t>
      </w:r>
    </w:p>
    <w:p>
      <w:pPr>
        <w:numPr>
          <w:ilvl w:val="0"/>
          <w:numId w:val="21"/>
        </w:numPr>
        <w:tabs>
          <w:tab w:val="left" w:pos="1041"/>
        </w:tabs>
        <w:spacing w:line="360" w:lineRule="auto"/>
        <w:ind w:left="0" w:firstLine="444" w:firstLineChars="200"/>
        <w:rPr>
          <w:color w:val="auto"/>
          <w:sz w:val="24"/>
        </w:rPr>
      </w:pPr>
      <w:r>
        <w:rPr>
          <w:color w:val="auto"/>
          <w:spacing w:val="-9"/>
          <w:sz w:val="24"/>
        </w:rPr>
        <w:t>我方在此声明，我方在参加本项目的政府采购活动前三年内，在经营活动中没有重大违法记录</w:t>
      </w:r>
      <w:r>
        <w:rPr>
          <w:color w:val="auto"/>
          <w:sz w:val="24"/>
        </w:rPr>
        <w:t>（</w:t>
      </w:r>
      <w:r>
        <w:rPr>
          <w:color w:val="auto"/>
          <w:spacing w:val="-5"/>
          <w:sz w:val="24"/>
        </w:rPr>
        <w:t>重大违法记录是指供应商因违法经营受到刑事处罚或者责令停产停业、吊销许可证或者执照、较大</w:t>
      </w:r>
      <w:r>
        <w:rPr>
          <w:color w:val="auto"/>
          <w:sz w:val="24"/>
        </w:rPr>
        <w:t>数额罚款等行政处罚</w:t>
      </w:r>
      <w:r>
        <w:rPr>
          <w:color w:val="auto"/>
          <w:spacing w:val="-23"/>
          <w:sz w:val="24"/>
        </w:rPr>
        <w:t>）</w:t>
      </w:r>
      <w:r>
        <w:rPr>
          <w:color w:val="auto"/>
          <w:spacing w:val="-9"/>
          <w:sz w:val="24"/>
        </w:rPr>
        <w:t>，未被列入失信被执行人、重大税收违法案件当事人名单、政府采购严重违法</w:t>
      </w:r>
      <w:r>
        <w:rPr>
          <w:color w:val="auto"/>
          <w:spacing w:val="-8"/>
          <w:sz w:val="24"/>
        </w:rPr>
        <w:t>失信行为记录名单，完全符合《中华人民共和国政府采购法》第二十二条规定的供应商资格条件，我</w:t>
      </w:r>
      <w:r>
        <w:rPr>
          <w:color w:val="auto"/>
          <w:sz w:val="24"/>
        </w:rPr>
        <w:t>方对此声明负全部法律责任。</w:t>
      </w:r>
    </w:p>
    <w:p>
      <w:pPr>
        <w:numPr>
          <w:ilvl w:val="0"/>
          <w:numId w:val="21"/>
        </w:numPr>
        <w:tabs>
          <w:tab w:val="left" w:pos="1041"/>
        </w:tabs>
        <w:spacing w:line="360" w:lineRule="auto"/>
        <w:ind w:left="0" w:firstLine="440" w:firstLineChars="200"/>
        <w:jc w:val="both"/>
        <w:rPr>
          <w:color w:val="auto"/>
          <w:sz w:val="24"/>
        </w:rPr>
      </w:pPr>
      <w:r>
        <w:rPr>
          <w:color w:val="auto"/>
          <w:spacing w:val="-10"/>
          <w:sz w:val="24"/>
        </w:rPr>
        <w:t>根据《中华人民共和国政府采购法实施条例》第五十条要求对政府采购合同进行公告，但政府</w:t>
      </w:r>
      <w:r>
        <w:rPr>
          <w:color w:val="auto"/>
          <w:spacing w:val="-4"/>
          <w:sz w:val="24"/>
        </w:rPr>
        <w:t>采购合同中涉及国家秘密、商业秘密的内容除外。我方就对本次响应文件进行注明如下：</w:t>
      </w:r>
      <w:r>
        <w:rPr>
          <w:color w:val="auto"/>
          <w:spacing w:val="-23"/>
          <w:sz w:val="24"/>
        </w:rPr>
        <w:t>（</w:t>
      </w:r>
      <w:r>
        <w:rPr>
          <w:color w:val="auto"/>
          <w:spacing w:val="-5"/>
          <w:sz w:val="24"/>
        </w:rPr>
        <w:t>两项内容</w:t>
      </w:r>
      <w:r>
        <w:rPr>
          <w:color w:val="auto"/>
          <w:sz w:val="24"/>
        </w:rPr>
        <w:t>中必须选择一项）</w:t>
      </w:r>
    </w:p>
    <w:p>
      <w:pPr>
        <w:spacing w:line="360" w:lineRule="auto"/>
        <w:ind w:firstLine="480" w:firstLineChars="200"/>
        <w:rPr>
          <w:color w:val="auto"/>
          <w:sz w:val="24"/>
        </w:rPr>
      </w:pPr>
      <w:r>
        <w:rPr>
          <w:color w:val="auto"/>
          <w:sz w:val="24"/>
        </w:rPr>
        <w:t>□我方本次响应文件内容中未涉及商业秘密；</w:t>
      </w:r>
    </w:p>
    <w:p>
      <w:pPr>
        <w:tabs>
          <w:tab w:val="left" w:pos="8599"/>
        </w:tabs>
        <w:spacing w:line="360" w:lineRule="auto"/>
        <w:ind w:firstLine="480" w:firstLineChars="200"/>
        <w:rPr>
          <w:color w:val="auto"/>
          <w:sz w:val="24"/>
        </w:rPr>
      </w:pPr>
      <w:r>
        <w:rPr>
          <w:color w:val="auto"/>
          <w:sz w:val="24"/>
        </w:rPr>
        <w:t>□我方本次响应文件涉及商业秘密的内容有：</w:t>
      </w:r>
      <w:r>
        <w:rPr>
          <w:color w:val="auto"/>
          <w:sz w:val="24"/>
          <w:u w:val="single"/>
        </w:rPr>
        <w:t xml:space="preserve"> </w:t>
      </w:r>
      <w:r>
        <w:rPr>
          <w:color w:val="auto"/>
          <w:sz w:val="24"/>
          <w:u w:val="single"/>
        </w:rPr>
        <w:tab/>
      </w:r>
      <w:r>
        <w:rPr>
          <w:color w:val="auto"/>
          <w:sz w:val="24"/>
        </w:rPr>
        <w:t>；</w:t>
      </w:r>
    </w:p>
    <w:p>
      <w:pPr>
        <w:numPr>
          <w:ilvl w:val="0"/>
          <w:numId w:val="21"/>
        </w:numPr>
        <w:tabs>
          <w:tab w:val="left" w:pos="1041"/>
          <w:tab w:val="left" w:pos="5059"/>
          <w:tab w:val="left" w:pos="7519"/>
          <w:tab w:val="left" w:pos="9739"/>
        </w:tabs>
        <w:spacing w:line="360" w:lineRule="auto"/>
        <w:ind w:left="0" w:firstLine="480" w:firstLineChars="200"/>
        <w:rPr>
          <w:rFonts w:ascii="Times New Roman" w:eastAsia="Times New Roman"/>
          <w:color w:val="auto"/>
          <w:sz w:val="24"/>
        </w:rPr>
      </w:pPr>
      <w:r>
        <w:rPr>
          <w:color w:val="auto"/>
          <w:sz w:val="24"/>
        </w:rPr>
        <w:t>与本磋商有关的一切正式往来信函请寄：</w:t>
      </w:r>
      <w:r>
        <w:rPr>
          <w:color w:val="auto"/>
          <w:sz w:val="24"/>
          <w:u w:val="single"/>
        </w:rPr>
        <w:t xml:space="preserve"> </w:t>
      </w:r>
      <w:r>
        <w:rPr>
          <w:color w:val="auto"/>
          <w:sz w:val="24"/>
          <w:u w:val="single"/>
        </w:rPr>
        <w:tab/>
      </w:r>
    </w:p>
    <w:p>
      <w:pPr>
        <w:tabs>
          <w:tab w:val="left" w:pos="1041"/>
          <w:tab w:val="left" w:pos="5059"/>
          <w:tab w:val="left" w:pos="7519"/>
          <w:tab w:val="left" w:pos="9739"/>
        </w:tabs>
        <w:spacing w:line="360" w:lineRule="auto"/>
        <w:ind w:left="440" w:leftChars="200" w:firstLine="600" w:firstLineChars="250"/>
        <w:rPr>
          <w:rFonts w:ascii="Times New Roman" w:eastAsia="Times New Roman"/>
          <w:color w:val="auto"/>
          <w:sz w:val="24"/>
        </w:rPr>
      </w:pPr>
      <w:r>
        <w:rPr>
          <w:color w:val="auto"/>
          <w:sz w:val="24"/>
        </w:rPr>
        <w:t>邮政编号：</w:t>
      </w:r>
      <w:r>
        <w:rPr>
          <w:rFonts w:hint="eastAsia"/>
          <w:color w:val="auto"/>
          <w:sz w:val="24"/>
          <w:lang w:val="en-US"/>
        </w:rPr>
        <w:t xml:space="preserve"> </w:t>
      </w:r>
      <w:r>
        <w:rPr>
          <w:rFonts w:ascii="Times New Roman" w:eastAsia="Times New Roman"/>
          <w:color w:val="auto"/>
          <w:sz w:val="24"/>
          <w:u w:val="single"/>
        </w:rPr>
        <w:t xml:space="preserve"> </w:t>
      </w:r>
      <w:r>
        <w:rPr>
          <w:rFonts w:ascii="Times New Roman" w:eastAsia="Times New Roman"/>
          <w:color w:val="auto"/>
          <w:sz w:val="24"/>
          <w:u w:val="single"/>
        </w:rPr>
        <w:tab/>
      </w:r>
      <w:r>
        <w:rPr>
          <w:color w:val="auto"/>
          <w:sz w:val="24"/>
        </w:rPr>
        <w:t xml:space="preserve"> 电话/传真：</w:t>
      </w:r>
      <w:r>
        <w:rPr>
          <w:color w:val="auto"/>
          <w:sz w:val="24"/>
          <w:u w:val="single"/>
        </w:rPr>
        <w:t xml:space="preserve"> </w:t>
      </w:r>
      <w:r>
        <w:rPr>
          <w:color w:val="auto"/>
          <w:sz w:val="24"/>
          <w:u w:val="single"/>
        </w:rPr>
        <w:tab/>
      </w:r>
    </w:p>
    <w:p>
      <w:pPr>
        <w:tabs>
          <w:tab w:val="left" w:pos="1041"/>
          <w:tab w:val="left" w:pos="5059"/>
          <w:tab w:val="left" w:pos="7519"/>
          <w:tab w:val="left" w:pos="9739"/>
        </w:tabs>
        <w:spacing w:line="360" w:lineRule="auto"/>
        <w:ind w:left="440" w:leftChars="200" w:firstLine="600" w:firstLineChars="250"/>
        <w:rPr>
          <w:rFonts w:ascii="Times New Roman" w:eastAsia="Times New Roman"/>
          <w:color w:val="auto"/>
          <w:sz w:val="24"/>
        </w:rPr>
      </w:pPr>
      <w:r>
        <w:rPr>
          <w:color w:val="auto"/>
          <w:sz w:val="24"/>
        </w:rPr>
        <w:t>电子函件：</w:t>
      </w:r>
      <w:r>
        <w:rPr>
          <w:rFonts w:ascii="Times New Roman" w:eastAsia="Times New Roman"/>
          <w:color w:val="auto"/>
          <w:sz w:val="24"/>
          <w:u w:val="single"/>
        </w:rPr>
        <w:t xml:space="preserve"> </w:t>
      </w:r>
      <w:r>
        <w:rPr>
          <w:rFonts w:ascii="Times New Roman" w:eastAsia="Times New Roman"/>
          <w:color w:val="auto"/>
          <w:sz w:val="24"/>
          <w:u w:val="single"/>
        </w:rPr>
        <w:tab/>
      </w:r>
      <w:r>
        <w:rPr>
          <w:rFonts w:ascii="Times New Roman" w:eastAsia="Times New Roman"/>
          <w:color w:val="auto"/>
          <w:sz w:val="24"/>
          <w:u w:val="single"/>
        </w:rPr>
        <w:tab/>
      </w:r>
    </w:p>
    <w:p>
      <w:pPr>
        <w:tabs>
          <w:tab w:val="left" w:pos="5080"/>
          <w:tab w:val="left" w:pos="9760"/>
        </w:tabs>
        <w:spacing w:before="49"/>
        <w:ind w:left="821" w:firstLine="240" w:firstLineChars="100"/>
        <w:rPr>
          <w:rFonts w:ascii="Times New Roman"/>
          <w:color w:val="auto"/>
          <w:sz w:val="24"/>
          <w:lang w:val="en-US"/>
        </w:rPr>
      </w:pPr>
      <w:r>
        <w:rPr>
          <w:color w:val="auto"/>
          <w:sz w:val="24"/>
        </w:rPr>
        <w:t>开户银行：</w:t>
      </w:r>
      <w:r>
        <w:rPr>
          <w:rFonts w:hint="eastAsia"/>
          <w:color w:val="auto"/>
          <w:sz w:val="24"/>
          <w:lang w:val="en-US"/>
        </w:rPr>
        <w:t xml:space="preserve"> </w:t>
      </w:r>
      <w:r>
        <w:rPr>
          <w:color w:val="auto"/>
          <w:sz w:val="24"/>
          <w:u w:val="single"/>
        </w:rPr>
        <w:t xml:space="preserve"> </w:t>
      </w:r>
      <w:r>
        <w:rPr>
          <w:color w:val="auto"/>
          <w:sz w:val="24"/>
          <w:u w:val="single"/>
        </w:rPr>
        <w:tab/>
      </w:r>
      <w:r>
        <w:rPr>
          <w:color w:val="auto"/>
          <w:spacing w:val="-1"/>
          <w:sz w:val="24"/>
        </w:rPr>
        <w:t>帐</w:t>
      </w:r>
      <w:r>
        <w:rPr>
          <w:color w:val="auto"/>
          <w:sz w:val="24"/>
        </w:rPr>
        <w:t>号：</w:t>
      </w:r>
      <w:r>
        <w:rPr>
          <w:rFonts w:ascii="Times New Roman" w:eastAsia="Times New Roman"/>
          <w:color w:val="auto"/>
          <w:sz w:val="24"/>
          <w:u w:val="single"/>
        </w:rPr>
        <w:t xml:space="preserve"> </w:t>
      </w:r>
      <w:r>
        <w:rPr>
          <w:rFonts w:hint="eastAsia" w:ascii="Times New Roman"/>
          <w:color w:val="auto"/>
          <w:sz w:val="24"/>
          <w:u w:val="single"/>
          <w:lang w:val="en-US"/>
        </w:rPr>
        <w:t xml:space="preserve">                            </w:t>
      </w:r>
    </w:p>
    <w:p>
      <w:pPr>
        <w:numPr>
          <w:ilvl w:val="0"/>
          <w:numId w:val="21"/>
        </w:numPr>
        <w:tabs>
          <w:tab w:val="left" w:pos="1041"/>
          <w:tab w:val="left" w:pos="5059"/>
          <w:tab w:val="left" w:pos="7519"/>
          <w:tab w:val="left" w:pos="9739"/>
        </w:tabs>
        <w:spacing w:line="360" w:lineRule="auto"/>
        <w:ind w:left="0" w:firstLine="452" w:firstLineChars="200"/>
        <w:rPr>
          <w:color w:val="auto"/>
          <w:sz w:val="24"/>
        </w:rPr>
      </w:pPr>
      <w:r>
        <w:rPr>
          <w:color w:val="auto"/>
          <w:spacing w:val="-7"/>
          <w:sz w:val="24"/>
        </w:rPr>
        <w:t>以上事项如有虚假或者隐瞒，我方愿意承担一切后果，并不再寻求任何旨在减轻或者免除法律</w:t>
      </w:r>
      <w:r>
        <w:rPr>
          <w:color w:val="auto"/>
          <w:sz w:val="24"/>
        </w:rPr>
        <w:t>责任的辩解。</w:t>
      </w:r>
    </w:p>
    <w:p>
      <w:pPr>
        <w:spacing w:line="360" w:lineRule="auto"/>
        <w:ind w:firstLine="480" w:firstLineChars="200"/>
        <w:rPr>
          <w:color w:val="auto"/>
          <w:sz w:val="24"/>
        </w:rPr>
      </w:pPr>
      <w:r>
        <w:rPr>
          <w:color w:val="auto"/>
          <w:sz w:val="24"/>
        </w:rPr>
        <w:t>特此承诺。</w:t>
      </w:r>
    </w:p>
    <w:p>
      <w:pPr>
        <w:pStyle w:val="14"/>
        <w:rPr>
          <w:b/>
          <w:color w:val="auto"/>
          <w:sz w:val="24"/>
        </w:rPr>
      </w:pPr>
    </w:p>
    <w:p>
      <w:pPr>
        <w:tabs>
          <w:tab w:val="left" w:pos="9379"/>
        </w:tabs>
        <w:spacing w:before="1"/>
        <w:ind w:left="3800"/>
        <w:rPr>
          <w:rFonts w:ascii="Times New Roman" w:eastAsia="Times New Roman"/>
          <w:color w:val="auto"/>
          <w:sz w:val="24"/>
        </w:rPr>
      </w:pPr>
      <w:r>
        <w:rPr>
          <w:color w:val="auto"/>
          <w:sz w:val="24"/>
        </w:rPr>
        <w:t>法定代表人签字</w:t>
      </w:r>
      <w:r>
        <w:rPr>
          <w:rFonts w:hint="eastAsia"/>
          <w:color w:val="auto"/>
          <w:sz w:val="24"/>
        </w:rPr>
        <w:t>或盖章</w:t>
      </w:r>
      <w:r>
        <w:rPr>
          <w:color w:val="auto"/>
          <w:sz w:val="24"/>
        </w:rPr>
        <w:t>：</w:t>
      </w:r>
      <w:r>
        <w:rPr>
          <w:rFonts w:ascii="Times New Roman" w:eastAsia="Times New Roman"/>
          <w:color w:val="auto"/>
          <w:sz w:val="24"/>
          <w:u w:val="single"/>
        </w:rPr>
        <w:t xml:space="preserve"> </w:t>
      </w:r>
      <w:r>
        <w:rPr>
          <w:rFonts w:ascii="Times New Roman" w:eastAsia="Times New Roman"/>
          <w:color w:val="auto"/>
          <w:sz w:val="24"/>
          <w:u w:val="single"/>
        </w:rPr>
        <w:tab/>
      </w:r>
    </w:p>
    <w:p>
      <w:pPr>
        <w:pStyle w:val="14"/>
        <w:spacing w:before="8"/>
        <w:rPr>
          <w:rFonts w:ascii="Times New Roman"/>
          <w:color w:val="auto"/>
          <w:sz w:val="17"/>
        </w:rPr>
      </w:pPr>
    </w:p>
    <w:p>
      <w:pPr>
        <w:tabs>
          <w:tab w:val="left" w:pos="9619"/>
        </w:tabs>
        <w:spacing w:before="74"/>
        <w:ind w:left="3800"/>
        <w:rPr>
          <w:rFonts w:ascii="Times New Roman" w:eastAsia="Times New Roman"/>
          <w:color w:val="auto"/>
          <w:sz w:val="24"/>
        </w:rPr>
      </w:pPr>
      <w:r>
        <w:rPr>
          <w:color w:val="auto"/>
          <w:sz w:val="24"/>
        </w:rPr>
        <w:t>供应商（电子签章）：</w:t>
      </w:r>
      <w:r>
        <w:rPr>
          <w:rFonts w:ascii="Times New Roman" w:eastAsia="Times New Roman"/>
          <w:color w:val="auto"/>
          <w:sz w:val="24"/>
          <w:u w:val="single"/>
        </w:rPr>
        <w:t xml:space="preserve"> </w:t>
      </w:r>
      <w:r>
        <w:rPr>
          <w:rFonts w:ascii="Times New Roman" w:eastAsia="Times New Roman"/>
          <w:color w:val="auto"/>
          <w:sz w:val="24"/>
          <w:u w:val="single"/>
        </w:rPr>
        <w:tab/>
      </w:r>
    </w:p>
    <w:p>
      <w:pPr>
        <w:pStyle w:val="14"/>
        <w:spacing w:before="7"/>
        <w:rPr>
          <w:rFonts w:ascii="Times New Roman"/>
          <w:color w:val="auto"/>
          <w:sz w:val="18"/>
        </w:rPr>
      </w:pPr>
    </w:p>
    <w:p>
      <w:pPr>
        <w:tabs>
          <w:tab w:val="left" w:pos="2489"/>
          <w:tab w:val="left" w:pos="3209"/>
        </w:tabs>
        <w:spacing w:before="67"/>
        <w:ind w:left="1770"/>
        <w:jc w:val="center"/>
        <w:rPr>
          <w:color w:val="auto"/>
          <w:sz w:val="24"/>
        </w:rPr>
      </w:pPr>
      <w:r>
        <w:rPr>
          <w:color w:val="auto"/>
          <w:sz w:val="24"/>
        </w:rPr>
        <w:t>年</w:t>
      </w:r>
      <w:r>
        <w:rPr>
          <w:color w:val="auto"/>
          <w:sz w:val="24"/>
        </w:rPr>
        <w:tab/>
      </w:r>
      <w:r>
        <w:rPr>
          <w:color w:val="auto"/>
          <w:sz w:val="24"/>
        </w:rPr>
        <w:t>月</w:t>
      </w:r>
      <w:r>
        <w:rPr>
          <w:color w:val="auto"/>
          <w:sz w:val="24"/>
        </w:rPr>
        <w:tab/>
      </w:r>
      <w:r>
        <w:rPr>
          <w:color w:val="auto"/>
          <w:sz w:val="24"/>
        </w:rPr>
        <w:t>日</w:t>
      </w:r>
    </w:p>
    <w:p>
      <w:pPr>
        <w:jc w:val="center"/>
        <w:rPr>
          <w:color w:val="auto"/>
          <w:sz w:val="24"/>
        </w:rPr>
        <w:sectPr>
          <w:footerReference r:id="rId9" w:type="default"/>
          <w:pgSz w:w="11910" w:h="16840"/>
          <w:pgMar w:top="1417" w:right="1417" w:bottom="1417" w:left="1417" w:header="0" w:footer="1202" w:gutter="0"/>
          <w:cols w:space="0" w:num="1"/>
        </w:sectPr>
      </w:pPr>
    </w:p>
    <w:p>
      <w:pPr>
        <w:tabs>
          <w:tab w:val="left" w:pos="786"/>
        </w:tabs>
        <w:spacing w:line="360" w:lineRule="auto"/>
        <w:ind w:left="440" w:leftChars="200"/>
        <w:rPr>
          <w:b/>
          <w:bCs/>
          <w:color w:val="auto"/>
          <w:sz w:val="28"/>
          <w:szCs w:val="28"/>
        </w:rPr>
      </w:pPr>
      <w:r>
        <w:rPr>
          <w:rFonts w:hint="eastAsia"/>
          <w:b/>
          <w:bCs/>
          <w:color w:val="auto"/>
          <w:sz w:val="28"/>
          <w:szCs w:val="28"/>
          <w:lang w:val="en-US"/>
        </w:rPr>
        <w:t>2.</w:t>
      </w:r>
      <w:r>
        <w:rPr>
          <w:b/>
          <w:bCs/>
          <w:color w:val="auto"/>
          <w:sz w:val="28"/>
          <w:szCs w:val="28"/>
        </w:rPr>
        <w:t>商务技术文件目录</w:t>
      </w:r>
    </w:p>
    <w:p>
      <w:pPr>
        <w:tabs>
          <w:tab w:val="left" w:pos="786"/>
        </w:tabs>
        <w:spacing w:line="360" w:lineRule="auto"/>
        <w:ind w:left="440" w:leftChars="200"/>
        <w:rPr>
          <w:b/>
          <w:bCs/>
          <w:color w:val="auto"/>
          <w:sz w:val="28"/>
          <w:szCs w:val="28"/>
        </w:rPr>
      </w:pPr>
    </w:p>
    <w:p>
      <w:pPr>
        <w:spacing w:line="360" w:lineRule="auto"/>
        <w:ind w:firstLine="480" w:firstLineChars="200"/>
        <w:rPr>
          <w:color w:val="auto"/>
          <w:sz w:val="24"/>
        </w:rPr>
      </w:pPr>
      <w:r>
        <w:rPr>
          <w:color w:val="auto"/>
          <w:sz w:val="24"/>
        </w:rPr>
        <w:t>根据磋商文件规定及供应商提供的材料自行编写目录（部分格式后附）。</w:t>
      </w:r>
    </w:p>
    <w:p>
      <w:pPr>
        <w:spacing w:line="360" w:lineRule="auto"/>
        <w:ind w:firstLine="480" w:firstLineChars="200"/>
        <w:rPr>
          <w:color w:val="auto"/>
          <w:sz w:val="24"/>
        </w:rPr>
        <w:sectPr>
          <w:pgSz w:w="11910" w:h="16840"/>
          <w:pgMar w:top="1417" w:right="1417" w:bottom="1417" w:left="1417" w:header="0" w:footer="1202" w:gutter="0"/>
          <w:cols w:space="0" w:num="1"/>
        </w:sectPr>
      </w:pPr>
    </w:p>
    <w:p>
      <w:pPr>
        <w:spacing w:before="24" w:line="360" w:lineRule="auto"/>
        <w:ind w:left="1769" w:right="1769"/>
        <w:jc w:val="center"/>
        <w:rPr>
          <w:b/>
          <w:bCs/>
          <w:color w:val="auto"/>
          <w:sz w:val="30"/>
          <w:szCs w:val="30"/>
        </w:rPr>
      </w:pPr>
      <w:r>
        <w:rPr>
          <w:b/>
          <w:bCs/>
          <w:color w:val="auto"/>
          <w:sz w:val="30"/>
          <w:szCs w:val="30"/>
        </w:rPr>
        <w:t>无串通竞标行为的承诺函</w:t>
      </w:r>
    </w:p>
    <w:p>
      <w:pPr>
        <w:pStyle w:val="12"/>
        <w:spacing w:line="360" w:lineRule="auto"/>
        <w:ind w:left="0" w:firstLine="482" w:firstLineChars="200"/>
        <w:rPr>
          <w:rFonts w:ascii="宋体" w:eastAsia="宋体"/>
          <w:color w:val="auto"/>
        </w:rPr>
      </w:pPr>
      <w:r>
        <w:rPr>
          <w:rFonts w:hint="eastAsia" w:ascii="宋体" w:eastAsia="宋体"/>
          <w:color w:val="auto"/>
        </w:rPr>
        <w:t>一、我方承诺无下列相互串通竞标的情形：</w:t>
      </w:r>
    </w:p>
    <w:p>
      <w:pPr>
        <w:numPr>
          <w:ilvl w:val="1"/>
          <w:numId w:val="24"/>
        </w:numPr>
        <w:tabs>
          <w:tab w:val="left" w:pos="1041"/>
        </w:tabs>
        <w:spacing w:line="360" w:lineRule="auto"/>
        <w:ind w:left="0" w:firstLine="480" w:firstLineChars="200"/>
        <w:rPr>
          <w:color w:val="auto"/>
          <w:sz w:val="24"/>
        </w:rPr>
      </w:pPr>
      <w:r>
        <w:rPr>
          <w:color w:val="auto"/>
          <w:sz w:val="24"/>
        </w:rPr>
        <w:t>不同供应商的响应文件由同一单位或者个人编制；</w:t>
      </w:r>
    </w:p>
    <w:p>
      <w:pPr>
        <w:numPr>
          <w:ilvl w:val="1"/>
          <w:numId w:val="24"/>
        </w:numPr>
        <w:tabs>
          <w:tab w:val="left" w:pos="1041"/>
        </w:tabs>
        <w:spacing w:line="360" w:lineRule="auto"/>
        <w:ind w:left="0" w:firstLine="480" w:firstLineChars="200"/>
        <w:rPr>
          <w:color w:val="auto"/>
          <w:sz w:val="24"/>
        </w:rPr>
      </w:pPr>
      <w:r>
        <w:rPr>
          <w:color w:val="auto"/>
          <w:sz w:val="24"/>
        </w:rPr>
        <w:t>不同供应商委托同一单位或者个人办理竞标事宜；</w:t>
      </w:r>
    </w:p>
    <w:p>
      <w:pPr>
        <w:numPr>
          <w:ilvl w:val="1"/>
          <w:numId w:val="24"/>
        </w:numPr>
        <w:tabs>
          <w:tab w:val="left" w:pos="1041"/>
        </w:tabs>
        <w:spacing w:line="360" w:lineRule="auto"/>
        <w:ind w:left="0" w:firstLine="480" w:firstLineChars="200"/>
        <w:rPr>
          <w:color w:val="auto"/>
          <w:sz w:val="24"/>
        </w:rPr>
      </w:pPr>
      <w:r>
        <w:rPr>
          <w:color w:val="auto"/>
          <w:sz w:val="24"/>
        </w:rPr>
        <w:t>不同供应商的响应文件载明的项目管理员为同一个人；</w:t>
      </w:r>
    </w:p>
    <w:p>
      <w:pPr>
        <w:numPr>
          <w:ilvl w:val="1"/>
          <w:numId w:val="24"/>
        </w:numPr>
        <w:tabs>
          <w:tab w:val="left" w:pos="1041"/>
        </w:tabs>
        <w:spacing w:line="360" w:lineRule="auto"/>
        <w:ind w:left="0" w:firstLine="432" w:firstLineChars="200"/>
        <w:rPr>
          <w:color w:val="auto"/>
          <w:sz w:val="24"/>
        </w:rPr>
      </w:pPr>
      <w:r>
        <w:rPr>
          <w:color w:val="auto"/>
          <w:spacing w:val="-12"/>
          <w:sz w:val="24"/>
        </w:rPr>
        <w:t>不同供应商的响应文件异常一致或者竞标报价呈规律性差异；</w:t>
      </w:r>
    </w:p>
    <w:p>
      <w:pPr>
        <w:numPr>
          <w:ilvl w:val="1"/>
          <w:numId w:val="24"/>
        </w:numPr>
        <w:tabs>
          <w:tab w:val="left" w:pos="1041"/>
        </w:tabs>
        <w:spacing w:line="360" w:lineRule="auto"/>
        <w:ind w:left="0" w:firstLine="480" w:firstLineChars="200"/>
        <w:rPr>
          <w:color w:val="auto"/>
          <w:sz w:val="24"/>
        </w:rPr>
      </w:pPr>
      <w:r>
        <w:rPr>
          <w:color w:val="auto"/>
          <w:sz w:val="24"/>
        </w:rPr>
        <w:t>不同供应商的响应文件相互混装；</w:t>
      </w:r>
    </w:p>
    <w:p>
      <w:pPr>
        <w:pStyle w:val="35"/>
        <w:numPr>
          <w:ilvl w:val="1"/>
          <w:numId w:val="24"/>
        </w:numPr>
        <w:tabs>
          <w:tab w:val="left" w:pos="1041"/>
        </w:tabs>
        <w:spacing w:line="360" w:lineRule="auto"/>
        <w:ind w:left="0" w:firstLine="476" w:firstLineChars="200"/>
        <w:rPr>
          <w:b/>
          <w:color w:val="auto"/>
          <w:sz w:val="24"/>
        </w:rPr>
      </w:pPr>
      <w:r>
        <w:rPr>
          <w:color w:val="auto"/>
          <w:spacing w:val="-1"/>
          <w:sz w:val="24"/>
        </w:rPr>
        <w:t>不同供应商的磋商保证金从同一单位或者个人账户转出。</w:t>
      </w:r>
    </w:p>
    <w:p>
      <w:pPr>
        <w:pStyle w:val="35"/>
        <w:tabs>
          <w:tab w:val="left" w:pos="1041"/>
        </w:tabs>
        <w:spacing w:line="360" w:lineRule="auto"/>
        <w:ind w:left="440" w:leftChars="200" w:firstLine="0"/>
        <w:rPr>
          <w:b/>
          <w:color w:val="auto"/>
          <w:sz w:val="24"/>
        </w:rPr>
      </w:pPr>
      <w:r>
        <w:rPr>
          <w:b/>
          <w:color w:val="auto"/>
          <w:sz w:val="24"/>
        </w:rPr>
        <w:t>二、我方承诺无下列恶意串通的情形：</w:t>
      </w:r>
    </w:p>
    <w:p>
      <w:pPr>
        <w:numPr>
          <w:ilvl w:val="0"/>
          <w:numId w:val="25"/>
        </w:numPr>
        <w:tabs>
          <w:tab w:val="left" w:pos="1043"/>
        </w:tabs>
        <w:spacing w:line="360" w:lineRule="auto"/>
        <w:ind w:left="0" w:firstLine="480" w:firstLineChars="200"/>
        <w:rPr>
          <w:color w:val="auto"/>
          <w:sz w:val="24"/>
        </w:rPr>
      </w:pPr>
      <w:r>
        <w:rPr>
          <w:color w:val="auto"/>
          <w:sz w:val="24"/>
        </w:rPr>
        <w:t>供应商直接或者间接从采购人或者采购代理机构处获得其他供应商的相关信息并修改其响应文件；</w:t>
      </w:r>
    </w:p>
    <w:p>
      <w:pPr>
        <w:numPr>
          <w:ilvl w:val="0"/>
          <w:numId w:val="25"/>
        </w:numPr>
        <w:tabs>
          <w:tab w:val="left" w:pos="1041"/>
        </w:tabs>
        <w:spacing w:line="360" w:lineRule="auto"/>
        <w:ind w:left="0" w:firstLine="480" w:firstLineChars="200"/>
        <w:rPr>
          <w:color w:val="auto"/>
          <w:sz w:val="24"/>
        </w:rPr>
      </w:pPr>
      <w:r>
        <w:rPr>
          <w:color w:val="auto"/>
          <w:sz w:val="24"/>
        </w:rPr>
        <w:t>供应商按照采购人或者采购代理机构的授意撤换、修改响应文件；</w:t>
      </w:r>
    </w:p>
    <w:p>
      <w:pPr>
        <w:numPr>
          <w:ilvl w:val="0"/>
          <w:numId w:val="25"/>
        </w:numPr>
        <w:tabs>
          <w:tab w:val="left" w:pos="1041"/>
        </w:tabs>
        <w:spacing w:line="360" w:lineRule="auto"/>
        <w:ind w:left="0" w:firstLine="432" w:firstLineChars="200"/>
        <w:rPr>
          <w:color w:val="auto"/>
          <w:sz w:val="24"/>
        </w:rPr>
      </w:pPr>
      <w:r>
        <w:rPr>
          <w:color w:val="auto"/>
          <w:spacing w:val="-12"/>
          <w:sz w:val="24"/>
        </w:rPr>
        <w:t>供应商之间协商报价、技术方案等响应文件的实质性内容；</w:t>
      </w:r>
    </w:p>
    <w:p>
      <w:pPr>
        <w:numPr>
          <w:ilvl w:val="0"/>
          <w:numId w:val="25"/>
        </w:numPr>
        <w:tabs>
          <w:tab w:val="left" w:pos="1041"/>
        </w:tabs>
        <w:spacing w:line="360" w:lineRule="auto"/>
        <w:ind w:left="0" w:firstLine="480" w:firstLineChars="200"/>
        <w:rPr>
          <w:color w:val="auto"/>
          <w:sz w:val="24"/>
        </w:rPr>
      </w:pPr>
      <w:r>
        <w:rPr>
          <w:color w:val="auto"/>
          <w:sz w:val="24"/>
        </w:rPr>
        <w:t>属于同一集团、协会、商会等组织成员的供应商按照该组织要求协同参加政府采购活动；</w:t>
      </w:r>
    </w:p>
    <w:p>
      <w:pPr>
        <w:numPr>
          <w:ilvl w:val="0"/>
          <w:numId w:val="25"/>
        </w:numPr>
        <w:tabs>
          <w:tab w:val="left" w:pos="1041"/>
        </w:tabs>
        <w:spacing w:line="360" w:lineRule="auto"/>
        <w:ind w:left="0" w:firstLine="456" w:firstLineChars="200"/>
        <w:rPr>
          <w:color w:val="auto"/>
          <w:sz w:val="24"/>
        </w:rPr>
      </w:pPr>
      <w:r>
        <w:rPr>
          <w:color w:val="auto"/>
          <w:spacing w:val="-6"/>
          <w:sz w:val="24"/>
        </w:rPr>
        <w:t>供应商之间事先约定一致抬高或者压低竞标报价，或者在竞争性磋商项目中事先约定轮流以高</w:t>
      </w:r>
      <w:r>
        <w:rPr>
          <w:color w:val="auto"/>
          <w:sz w:val="24"/>
        </w:rPr>
        <w:t>价位或者低价位成交，或者事先约定由某一特定供应商成交，然后再参加竞标；</w:t>
      </w:r>
    </w:p>
    <w:p>
      <w:pPr>
        <w:numPr>
          <w:ilvl w:val="0"/>
          <w:numId w:val="25"/>
        </w:numPr>
        <w:tabs>
          <w:tab w:val="left" w:pos="1041"/>
        </w:tabs>
        <w:spacing w:line="360" w:lineRule="auto"/>
        <w:ind w:left="0" w:firstLine="480" w:firstLineChars="200"/>
        <w:rPr>
          <w:color w:val="auto"/>
          <w:sz w:val="24"/>
        </w:rPr>
      </w:pPr>
      <w:r>
        <w:rPr>
          <w:color w:val="auto"/>
          <w:sz w:val="24"/>
        </w:rPr>
        <w:t>供应商之间商定部分供应商放弃参加政府采购活动或者放弃成交；</w:t>
      </w:r>
    </w:p>
    <w:p>
      <w:pPr>
        <w:numPr>
          <w:ilvl w:val="0"/>
          <w:numId w:val="25"/>
        </w:numPr>
        <w:tabs>
          <w:tab w:val="left" w:pos="1041"/>
        </w:tabs>
        <w:spacing w:line="360" w:lineRule="auto"/>
        <w:ind w:left="0" w:firstLine="436" w:firstLineChars="200"/>
        <w:rPr>
          <w:color w:val="auto"/>
          <w:sz w:val="24"/>
        </w:rPr>
      </w:pPr>
      <w:r>
        <w:rPr>
          <w:color w:val="auto"/>
          <w:spacing w:val="-11"/>
          <w:sz w:val="24"/>
        </w:rPr>
        <w:t>供应商与采购人或者采购代理机构之间、供应商相互之间，为谋求特定供应商成交或者排斥其他供应商的其他串通行为。</w:t>
      </w:r>
    </w:p>
    <w:p>
      <w:pPr>
        <w:pStyle w:val="12"/>
        <w:spacing w:line="360" w:lineRule="auto"/>
        <w:ind w:left="0" w:firstLine="482" w:firstLineChars="200"/>
        <w:rPr>
          <w:rFonts w:ascii="宋体" w:eastAsia="宋体"/>
          <w:color w:val="auto"/>
        </w:rPr>
      </w:pPr>
      <w:r>
        <w:rPr>
          <w:rFonts w:hint="eastAsia" w:ascii="宋体" w:eastAsia="宋体"/>
          <w:color w:val="auto"/>
        </w:rPr>
        <w:t>以上情形一经核查属实，我方愿意承担一切后果，并不再寻求任何旨在减轻或者免除法律责任的辩解。</w:t>
      </w:r>
    </w:p>
    <w:p>
      <w:pPr>
        <w:pStyle w:val="14"/>
        <w:rPr>
          <w:b/>
          <w:color w:val="auto"/>
          <w:sz w:val="20"/>
        </w:rPr>
      </w:pPr>
    </w:p>
    <w:p>
      <w:pPr>
        <w:spacing w:line="360" w:lineRule="auto"/>
        <w:jc w:val="center"/>
        <w:rPr>
          <w:color w:val="auto"/>
          <w:sz w:val="24"/>
        </w:rPr>
      </w:pPr>
      <w:r>
        <w:rPr>
          <w:rFonts w:hint="eastAsia"/>
          <w:color w:val="auto"/>
          <w:sz w:val="24"/>
          <w:lang w:val="en-US"/>
        </w:rPr>
        <w:t xml:space="preserve">                                  </w:t>
      </w:r>
      <w:r>
        <w:rPr>
          <w:color w:val="auto"/>
          <w:sz w:val="24"/>
        </w:rPr>
        <w:t>供应商（电子签章 ）：</w:t>
      </w:r>
    </w:p>
    <w:p>
      <w:pPr>
        <w:tabs>
          <w:tab w:val="left" w:pos="7534"/>
          <w:tab w:val="left" w:pos="8134"/>
        </w:tabs>
        <w:spacing w:before="161"/>
        <w:ind w:left="6934"/>
        <w:rPr>
          <w:color w:val="auto"/>
          <w:sz w:val="24"/>
        </w:rPr>
      </w:pPr>
      <w:r>
        <w:rPr>
          <w:color w:val="auto"/>
          <w:sz w:val="24"/>
        </w:rPr>
        <w:t>年</w:t>
      </w:r>
      <w:r>
        <w:rPr>
          <w:color w:val="auto"/>
          <w:sz w:val="24"/>
        </w:rPr>
        <w:tab/>
      </w:r>
      <w:r>
        <w:rPr>
          <w:color w:val="auto"/>
          <w:sz w:val="24"/>
        </w:rPr>
        <w:t>月</w:t>
      </w:r>
      <w:r>
        <w:rPr>
          <w:color w:val="auto"/>
          <w:sz w:val="24"/>
        </w:rPr>
        <w:tab/>
      </w:r>
      <w:r>
        <w:rPr>
          <w:color w:val="auto"/>
          <w:sz w:val="24"/>
        </w:rPr>
        <w:t>日</w:t>
      </w:r>
    </w:p>
    <w:p>
      <w:pPr>
        <w:rPr>
          <w:color w:val="auto"/>
          <w:sz w:val="24"/>
        </w:rPr>
        <w:sectPr>
          <w:pgSz w:w="11910" w:h="16840"/>
          <w:pgMar w:top="1417" w:right="1417" w:bottom="1417" w:left="1417" w:header="0" w:footer="1202" w:gutter="0"/>
          <w:cols w:space="0" w:num="1"/>
        </w:sectPr>
      </w:pPr>
    </w:p>
    <w:p>
      <w:pPr>
        <w:spacing w:before="24" w:line="360" w:lineRule="auto"/>
        <w:ind w:left="1769" w:right="1769"/>
        <w:jc w:val="center"/>
        <w:rPr>
          <w:b/>
          <w:bCs/>
          <w:color w:val="auto"/>
          <w:sz w:val="30"/>
          <w:szCs w:val="30"/>
        </w:rPr>
      </w:pPr>
      <w:r>
        <w:rPr>
          <w:b/>
          <w:bCs/>
          <w:color w:val="auto"/>
          <w:sz w:val="30"/>
          <w:szCs w:val="30"/>
        </w:rPr>
        <w:t>法定代表人身份证明</w:t>
      </w:r>
    </w:p>
    <w:p>
      <w:pPr>
        <w:tabs>
          <w:tab w:val="left" w:pos="1579"/>
          <w:tab w:val="left" w:pos="3979"/>
          <w:tab w:val="left" w:pos="4819"/>
          <w:tab w:val="left" w:pos="7279"/>
          <w:tab w:val="left" w:pos="8839"/>
          <w:tab w:val="left" w:pos="9079"/>
        </w:tabs>
        <w:spacing w:line="360" w:lineRule="auto"/>
        <w:ind w:firstLine="480" w:firstLineChars="200"/>
        <w:rPr>
          <w:color w:val="auto"/>
          <w:sz w:val="24"/>
        </w:rPr>
      </w:pPr>
    </w:p>
    <w:p>
      <w:pPr>
        <w:tabs>
          <w:tab w:val="left" w:pos="1579"/>
          <w:tab w:val="left" w:pos="3979"/>
          <w:tab w:val="left" w:pos="4819"/>
          <w:tab w:val="left" w:pos="7279"/>
          <w:tab w:val="left" w:pos="8839"/>
          <w:tab w:val="left" w:pos="9079"/>
        </w:tabs>
        <w:spacing w:line="360" w:lineRule="auto"/>
        <w:ind w:firstLine="480" w:firstLineChars="200"/>
        <w:rPr>
          <w:rFonts w:ascii="Times New Roman" w:eastAsia="Times New Roman"/>
          <w:color w:val="auto"/>
          <w:sz w:val="24"/>
          <w:u w:val="single"/>
        </w:rPr>
      </w:pPr>
      <w:r>
        <w:rPr>
          <w:color w:val="auto"/>
          <w:sz w:val="24"/>
        </w:rPr>
        <w:t>供应商名称：</w:t>
      </w:r>
      <w:r>
        <w:rPr>
          <w:rFonts w:ascii="Times New Roman" w:eastAsia="Times New Roman"/>
          <w:color w:val="auto"/>
          <w:sz w:val="24"/>
          <w:u w:val="single"/>
        </w:rPr>
        <w:t xml:space="preserve"> </w:t>
      </w:r>
      <w:r>
        <w:rPr>
          <w:rFonts w:ascii="Times New Roman" w:eastAsia="Times New Roman"/>
          <w:color w:val="auto"/>
          <w:sz w:val="24"/>
          <w:u w:val="single"/>
        </w:rPr>
        <w:tab/>
      </w:r>
      <w:r>
        <w:rPr>
          <w:rFonts w:ascii="Times New Roman" w:eastAsia="Times New Roman"/>
          <w:color w:val="auto"/>
          <w:sz w:val="24"/>
          <w:u w:val="single"/>
        </w:rPr>
        <w:tab/>
      </w:r>
    </w:p>
    <w:p>
      <w:pPr>
        <w:tabs>
          <w:tab w:val="left" w:pos="1579"/>
          <w:tab w:val="left" w:pos="3979"/>
          <w:tab w:val="left" w:pos="4819"/>
          <w:tab w:val="left" w:pos="7279"/>
          <w:tab w:val="left" w:pos="8839"/>
          <w:tab w:val="left" w:pos="9079"/>
        </w:tabs>
        <w:spacing w:line="360" w:lineRule="auto"/>
        <w:ind w:firstLine="480" w:firstLineChars="200"/>
        <w:rPr>
          <w:color w:val="auto"/>
          <w:sz w:val="24"/>
        </w:rPr>
      </w:pPr>
      <w:r>
        <w:rPr>
          <w:color w:val="auto"/>
          <w:sz w:val="24"/>
        </w:rPr>
        <w:t>地</w:t>
      </w:r>
      <w:r>
        <w:rPr>
          <w:color w:val="auto"/>
          <w:sz w:val="24"/>
        </w:rPr>
        <w:tab/>
      </w:r>
      <w:r>
        <w:rPr>
          <w:color w:val="auto"/>
          <w:sz w:val="24"/>
        </w:rPr>
        <w:t>址：</w:t>
      </w:r>
      <w:r>
        <w:rPr>
          <w:rFonts w:ascii="Times New Roman" w:eastAsia="Times New Roman"/>
          <w:color w:val="auto"/>
          <w:sz w:val="24"/>
          <w:u w:val="single"/>
        </w:rPr>
        <w:t xml:space="preserve"> </w:t>
      </w:r>
      <w:r>
        <w:rPr>
          <w:rFonts w:ascii="Times New Roman" w:eastAsia="Times New Roman"/>
          <w:color w:val="auto"/>
          <w:sz w:val="24"/>
          <w:u w:val="single"/>
        </w:rPr>
        <w:tab/>
      </w:r>
      <w:r>
        <w:rPr>
          <w:rFonts w:ascii="Times New Roman" w:eastAsia="Times New Roman"/>
          <w:color w:val="auto"/>
          <w:sz w:val="24"/>
          <w:u w:val="single"/>
        </w:rPr>
        <w:tab/>
      </w:r>
      <w:r>
        <w:rPr>
          <w:color w:val="auto"/>
          <w:sz w:val="24"/>
        </w:rPr>
        <w:t xml:space="preserve"> </w:t>
      </w:r>
    </w:p>
    <w:p>
      <w:pPr>
        <w:tabs>
          <w:tab w:val="left" w:pos="1579"/>
          <w:tab w:val="left" w:pos="3979"/>
          <w:tab w:val="left" w:pos="4819"/>
          <w:tab w:val="left" w:pos="7279"/>
          <w:tab w:val="left" w:pos="8839"/>
          <w:tab w:val="left" w:pos="9079"/>
        </w:tabs>
        <w:spacing w:line="360" w:lineRule="auto"/>
        <w:ind w:firstLine="480" w:firstLineChars="200"/>
        <w:rPr>
          <w:rFonts w:ascii="Times New Roman" w:eastAsia="Times New Roman"/>
          <w:color w:val="auto"/>
          <w:sz w:val="24"/>
        </w:rPr>
      </w:pPr>
      <w:r>
        <w:rPr>
          <w:color w:val="auto"/>
          <w:sz w:val="24"/>
        </w:rPr>
        <w:t>姓</w:t>
      </w:r>
      <w:r>
        <w:rPr>
          <w:color w:val="auto"/>
          <w:sz w:val="24"/>
        </w:rPr>
        <w:tab/>
      </w:r>
      <w:r>
        <w:rPr>
          <w:color w:val="auto"/>
          <w:sz w:val="24"/>
        </w:rPr>
        <w:t>名：</w:t>
      </w:r>
      <w:r>
        <w:rPr>
          <w:color w:val="auto"/>
          <w:sz w:val="24"/>
          <w:u w:val="single"/>
        </w:rPr>
        <w:t xml:space="preserve"> </w:t>
      </w:r>
      <w:r>
        <w:rPr>
          <w:color w:val="auto"/>
          <w:sz w:val="24"/>
          <w:u w:val="single"/>
        </w:rPr>
        <w:tab/>
      </w:r>
      <w:r>
        <w:rPr>
          <w:color w:val="auto"/>
          <w:sz w:val="24"/>
        </w:rPr>
        <w:t>性</w:t>
      </w:r>
      <w:r>
        <w:rPr>
          <w:color w:val="auto"/>
          <w:sz w:val="24"/>
        </w:rPr>
        <w:tab/>
      </w:r>
      <w:r>
        <w:rPr>
          <w:color w:val="auto"/>
          <w:sz w:val="24"/>
        </w:rPr>
        <w:t>别：</w:t>
      </w:r>
      <w:r>
        <w:rPr>
          <w:rFonts w:ascii="Times New Roman" w:eastAsia="Times New Roman"/>
          <w:color w:val="auto"/>
          <w:sz w:val="24"/>
          <w:u w:val="single"/>
        </w:rPr>
        <w:t xml:space="preserve"> </w:t>
      </w:r>
      <w:r>
        <w:rPr>
          <w:rFonts w:ascii="Times New Roman" w:eastAsia="Times New Roman"/>
          <w:color w:val="auto"/>
          <w:sz w:val="24"/>
          <w:u w:val="single"/>
        </w:rPr>
        <w:tab/>
      </w:r>
    </w:p>
    <w:p>
      <w:pPr>
        <w:tabs>
          <w:tab w:val="left" w:pos="1579"/>
          <w:tab w:val="left" w:pos="3979"/>
          <w:tab w:val="left" w:pos="4819"/>
          <w:tab w:val="left" w:pos="7099"/>
          <w:tab w:val="left" w:pos="7279"/>
        </w:tabs>
        <w:spacing w:line="360" w:lineRule="auto"/>
        <w:ind w:firstLine="480" w:firstLineChars="200"/>
        <w:rPr>
          <w:color w:val="auto"/>
          <w:sz w:val="24"/>
          <w:u w:val="single"/>
          <w:lang w:val="en-US"/>
        </w:rPr>
      </w:pPr>
      <w:r>
        <w:rPr>
          <w:color w:val="auto"/>
          <w:sz w:val="24"/>
        </w:rPr>
        <w:t>年</w:t>
      </w:r>
      <w:r>
        <w:rPr>
          <w:color w:val="auto"/>
          <w:sz w:val="24"/>
        </w:rPr>
        <w:tab/>
      </w:r>
      <w:r>
        <w:rPr>
          <w:color w:val="auto"/>
          <w:sz w:val="24"/>
        </w:rPr>
        <w:t>龄：</w:t>
      </w:r>
      <w:r>
        <w:rPr>
          <w:color w:val="auto"/>
          <w:sz w:val="24"/>
          <w:u w:val="single"/>
        </w:rPr>
        <w:t xml:space="preserve"> </w:t>
      </w:r>
      <w:r>
        <w:rPr>
          <w:color w:val="auto"/>
          <w:sz w:val="24"/>
          <w:u w:val="single"/>
        </w:rPr>
        <w:tab/>
      </w:r>
      <w:r>
        <w:rPr>
          <w:color w:val="auto"/>
          <w:sz w:val="24"/>
        </w:rPr>
        <w:t>职</w:t>
      </w:r>
      <w:r>
        <w:rPr>
          <w:color w:val="auto"/>
          <w:sz w:val="24"/>
        </w:rPr>
        <w:tab/>
      </w:r>
      <w:r>
        <w:rPr>
          <w:color w:val="auto"/>
          <w:sz w:val="24"/>
        </w:rPr>
        <w:t>务：</w:t>
      </w:r>
      <w:r>
        <w:rPr>
          <w:rFonts w:hint="eastAsia"/>
          <w:color w:val="auto"/>
          <w:sz w:val="24"/>
          <w:u w:val="single"/>
          <w:lang w:val="en-US"/>
        </w:rPr>
        <w:t xml:space="preserve">                 </w:t>
      </w:r>
    </w:p>
    <w:p>
      <w:pPr>
        <w:tabs>
          <w:tab w:val="left" w:pos="1579"/>
          <w:tab w:val="left" w:pos="3979"/>
          <w:tab w:val="left" w:pos="4819"/>
          <w:tab w:val="left" w:pos="7099"/>
          <w:tab w:val="left" w:pos="7279"/>
        </w:tabs>
        <w:spacing w:line="360" w:lineRule="auto"/>
        <w:ind w:firstLine="480" w:firstLineChars="200"/>
        <w:rPr>
          <w:rFonts w:ascii="Times New Roman" w:eastAsia="Times New Roman"/>
          <w:color w:val="auto"/>
          <w:sz w:val="24"/>
          <w:u w:val="single"/>
        </w:rPr>
      </w:pPr>
      <w:r>
        <w:rPr>
          <w:color w:val="auto"/>
          <w:sz w:val="24"/>
        </w:rPr>
        <w:t>身份证号码：</w:t>
      </w:r>
      <w:r>
        <w:rPr>
          <w:rFonts w:ascii="Times New Roman" w:eastAsia="Times New Roman"/>
          <w:color w:val="auto"/>
          <w:sz w:val="24"/>
          <w:u w:val="single"/>
        </w:rPr>
        <w:t xml:space="preserve"> </w:t>
      </w:r>
      <w:r>
        <w:rPr>
          <w:rFonts w:ascii="Times New Roman" w:eastAsia="Times New Roman"/>
          <w:color w:val="auto"/>
          <w:sz w:val="24"/>
          <w:u w:val="single"/>
        </w:rPr>
        <w:tab/>
      </w:r>
      <w:r>
        <w:rPr>
          <w:rFonts w:ascii="Times New Roman" w:eastAsia="Times New Roman"/>
          <w:color w:val="auto"/>
          <w:sz w:val="24"/>
          <w:u w:val="single"/>
        </w:rPr>
        <w:tab/>
      </w:r>
      <w:r>
        <w:rPr>
          <w:rFonts w:ascii="Times New Roman" w:eastAsia="Times New Roman"/>
          <w:color w:val="auto"/>
          <w:sz w:val="24"/>
          <w:u w:val="single"/>
        </w:rPr>
        <w:tab/>
      </w:r>
    </w:p>
    <w:p>
      <w:pPr>
        <w:tabs>
          <w:tab w:val="left" w:pos="1579"/>
          <w:tab w:val="left" w:pos="3979"/>
          <w:tab w:val="left" w:pos="4819"/>
          <w:tab w:val="left" w:pos="7099"/>
          <w:tab w:val="left" w:pos="7279"/>
        </w:tabs>
        <w:spacing w:line="360" w:lineRule="auto"/>
        <w:ind w:firstLine="480" w:firstLineChars="200"/>
        <w:rPr>
          <w:color w:val="auto"/>
          <w:sz w:val="24"/>
        </w:rPr>
      </w:pPr>
      <w:r>
        <w:rPr>
          <w:color w:val="auto"/>
          <w:sz w:val="24"/>
        </w:rPr>
        <w:t>系</w:t>
      </w:r>
      <w:r>
        <w:rPr>
          <w:rFonts w:hint="eastAsia"/>
          <w:color w:val="auto"/>
          <w:sz w:val="24"/>
          <w:u w:val="single"/>
          <w:lang w:val="en-US"/>
        </w:rPr>
        <w:t xml:space="preserve">                         </w:t>
      </w:r>
      <w:r>
        <w:rPr>
          <w:color w:val="auto"/>
          <w:sz w:val="24"/>
          <w:u w:val="single"/>
        </w:rPr>
        <w:t>（供应商名称）</w:t>
      </w:r>
      <w:r>
        <w:rPr>
          <w:color w:val="auto"/>
          <w:sz w:val="24"/>
        </w:rPr>
        <w:t>的法定代表人。</w:t>
      </w:r>
    </w:p>
    <w:p>
      <w:pPr>
        <w:spacing w:line="360" w:lineRule="auto"/>
        <w:ind w:firstLine="480" w:firstLineChars="200"/>
        <w:rPr>
          <w:color w:val="auto"/>
          <w:sz w:val="24"/>
        </w:rPr>
      </w:pPr>
      <w:r>
        <w:rPr>
          <w:color w:val="auto"/>
          <w:sz w:val="24"/>
        </w:rPr>
        <w:t>特此证明。</w:t>
      </w:r>
    </w:p>
    <w:p>
      <w:pPr>
        <w:pStyle w:val="14"/>
        <w:spacing w:line="360" w:lineRule="auto"/>
        <w:ind w:firstLine="480" w:firstLineChars="200"/>
        <w:rPr>
          <w:color w:val="auto"/>
          <w:sz w:val="24"/>
        </w:rPr>
      </w:pPr>
    </w:p>
    <w:p>
      <w:pPr>
        <w:pStyle w:val="14"/>
        <w:spacing w:line="360" w:lineRule="auto"/>
        <w:ind w:firstLine="480" w:firstLineChars="200"/>
        <w:rPr>
          <w:color w:val="auto"/>
          <w:sz w:val="24"/>
        </w:rPr>
      </w:pPr>
    </w:p>
    <w:p>
      <w:pPr>
        <w:pStyle w:val="14"/>
        <w:spacing w:line="360" w:lineRule="auto"/>
        <w:ind w:firstLine="480" w:firstLineChars="200"/>
        <w:rPr>
          <w:color w:val="auto"/>
          <w:sz w:val="24"/>
        </w:rPr>
      </w:pPr>
    </w:p>
    <w:p>
      <w:pPr>
        <w:pStyle w:val="14"/>
        <w:spacing w:line="360" w:lineRule="auto"/>
        <w:ind w:firstLine="480" w:firstLineChars="200"/>
        <w:rPr>
          <w:color w:val="auto"/>
          <w:sz w:val="24"/>
        </w:rPr>
      </w:pPr>
    </w:p>
    <w:p>
      <w:pPr>
        <w:pStyle w:val="14"/>
        <w:spacing w:line="360" w:lineRule="auto"/>
        <w:ind w:firstLine="500" w:firstLineChars="200"/>
        <w:rPr>
          <w:color w:val="auto"/>
          <w:sz w:val="25"/>
        </w:rPr>
      </w:pPr>
    </w:p>
    <w:p>
      <w:pPr>
        <w:spacing w:line="360" w:lineRule="auto"/>
        <w:ind w:firstLine="480" w:firstLineChars="200"/>
        <w:rPr>
          <w:color w:val="auto"/>
          <w:sz w:val="24"/>
        </w:rPr>
      </w:pPr>
      <w:r>
        <w:rPr>
          <w:color w:val="auto"/>
          <w:sz w:val="24"/>
        </w:rPr>
        <w:t>附件：法定代表人有效身份证正反面复印件</w:t>
      </w:r>
    </w:p>
    <w:p>
      <w:pPr>
        <w:pStyle w:val="14"/>
        <w:rPr>
          <w:color w:val="auto"/>
          <w:sz w:val="24"/>
        </w:rPr>
      </w:pPr>
    </w:p>
    <w:p>
      <w:pPr>
        <w:pStyle w:val="14"/>
        <w:spacing w:before="11"/>
        <w:rPr>
          <w:color w:val="auto"/>
          <w:sz w:val="24"/>
        </w:rPr>
      </w:pPr>
    </w:p>
    <w:p>
      <w:pPr>
        <w:tabs>
          <w:tab w:val="left" w:pos="8944"/>
        </w:tabs>
        <w:ind w:left="4565"/>
        <w:rPr>
          <w:rFonts w:ascii="Times New Roman" w:eastAsia="Times New Roman"/>
          <w:color w:val="auto"/>
          <w:sz w:val="24"/>
        </w:rPr>
      </w:pPr>
      <w:r>
        <w:rPr>
          <w:color w:val="auto"/>
          <w:sz w:val="24"/>
        </w:rPr>
        <w:t>供应商（电子签章</w:t>
      </w:r>
      <w:r>
        <w:rPr>
          <w:color w:val="auto"/>
          <w:spacing w:val="-1"/>
          <w:sz w:val="24"/>
        </w:rPr>
        <w:t xml:space="preserve"> </w:t>
      </w:r>
      <w:r>
        <w:rPr>
          <w:color w:val="auto"/>
          <w:sz w:val="24"/>
        </w:rPr>
        <w:t>）：</w:t>
      </w:r>
      <w:r>
        <w:rPr>
          <w:rFonts w:ascii="Times New Roman" w:eastAsia="Times New Roman"/>
          <w:color w:val="auto"/>
          <w:sz w:val="24"/>
          <w:u w:val="single"/>
        </w:rPr>
        <w:t xml:space="preserve"> </w:t>
      </w:r>
      <w:r>
        <w:rPr>
          <w:rFonts w:ascii="Times New Roman" w:eastAsia="Times New Roman"/>
          <w:color w:val="auto"/>
          <w:sz w:val="24"/>
          <w:u w:val="single"/>
        </w:rPr>
        <w:tab/>
      </w:r>
    </w:p>
    <w:p>
      <w:pPr>
        <w:tabs>
          <w:tab w:val="left" w:pos="809"/>
          <w:tab w:val="left" w:pos="1649"/>
          <w:tab w:val="left" w:pos="2489"/>
        </w:tabs>
        <w:spacing w:before="158"/>
        <w:ind w:left="210"/>
        <w:jc w:val="right"/>
        <w:rPr>
          <w:color w:val="auto"/>
          <w:sz w:val="24"/>
        </w:rPr>
      </w:pPr>
      <w:r>
        <w:rPr>
          <w:rFonts w:hint="eastAsia" w:ascii="Times New Roman"/>
          <w:color w:val="auto"/>
          <w:sz w:val="24"/>
          <w:u w:val="single"/>
          <w:lang w:val="en-US"/>
        </w:rPr>
        <w:t xml:space="preserve"> </w:t>
      </w:r>
      <w:r>
        <w:rPr>
          <w:rFonts w:ascii="Times New Roman" w:eastAsia="Times New Roman"/>
          <w:color w:val="auto"/>
          <w:sz w:val="24"/>
          <w:u w:val="single"/>
        </w:rPr>
        <w:t xml:space="preserve"> </w:t>
      </w:r>
      <w:r>
        <w:rPr>
          <w:rFonts w:ascii="Times New Roman" w:eastAsia="Times New Roman"/>
          <w:color w:val="auto"/>
          <w:sz w:val="24"/>
          <w:u w:val="single"/>
        </w:rPr>
        <w:tab/>
      </w:r>
      <w:r>
        <w:rPr>
          <w:color w:val="auto"/>
          <w:sz w:val="24"/>
        </w:rPr>
        <w:t>年</w:t>
      </w:r>
      <w:r>
        <w:rPr>
          <w:color w:val="auto"/>
          <w:sz w:val="24"/>
          <w:u w:val="single"/>
        </w:rPr>
        <w:t xml:space="preserve"> </w:t>
      </w:r>
      <w:r>
        <w:rPr>
          <w:color w:val="auto"/>
          <w:sz w:val="24"/>
          <w:u w:val="single"/>
        </w:rPr>
        <w:tab/>
      </w:r>
      <w:r>
        <w:rPr>
          <w:color w:val="auto"/>
          <w:sz w:val="24"/>
        </w:rPr>
        <w:t>月</w:t>
      </w:r>
      <w:r>
        <w:rPr>
          <w:color w:val="auto"/>
          <w:sz w:val="24"/>
          <w:u w:val="single"/>
        </w:rPr>
        <w:t xml:space="preserve"> </w:t>
      </w:r>
      <w:r>
        <w:rPr>
          <w:color w:val="auto"/>
          <w:sz w:val="24"/>
          <w:u w:val="single"/>
        </w:rPr>
        <w:tab/>
      </w:r>
      <w:r>
        <w:rPr>
          <w:color w:val="auto"/>
          <w:sz w:val="24"/>
        </w:rPr>
        <w:t>日</w:t>
      </w:r>
    </w:p>
    <w:p>
      <w:pPr>
        <w:pStyle w:val="14"/>
        <w:rPr>
          <w:color w:val="auto"/>
          <w:sz w:val="26"/>
        </w:rPr>
      </w:pPr>
    </w:p>
    <w:p>
      <w:pPr>
        <w:pStyle w:val="14"/>
        <w:rPr>
          <w:color w:val="auto"/>
          <w:sz w:val="26"/>
        </w:rPr>
      </w:pPr>
    </w:p>
    <w:p>
      <w:pPr>
        <w:pStyle w:val="14"/>
        <w:spacing w:before="5"/>
        <w:rPr>
          <w:color w:val="auto"/>
          <w:sz w:val="33"/>
        </w:rPr>
      </w:pPr>
    </w:p>
    <w:p>
      <w:pPr>
        <w:ind w:left="320"/>
        <w:rPr>
          <w:color w:val="auto"/>
          <w:sz w:val="24"/>
        </w:rPr>
      </w:pPr>
      <w:r>
        <w:rPr>
          <w:color w:val="auto"/>
          <w:sz w:val="24"/>
        </w:rPr>
        <w:t>注：自然人竞标的无需提供，联合体竞标的只需牵头人出具。</w:t>
      </w:r>
    </w:p>
    <w:p>
      <w:pPr>
        <w:rPr>
          <w:color w:val="auto"/>
          <w:sz w:val="24"/>
        </w:rPr>
        <w:sectPr>
          <w:pgSz w:w="11910" w:h="16840"/>
          <w:pgMar w:top="1417" w:right="1417" w:bottom="1417" w:left="1417" w:header="0" w:footer="1202" w:gutter="0"/>
          <w:cols w:space="0" w:num="1"/>
        </w:sectPr>
      </w:pPr>
    </w:p>
    <w:p>
      <w:pPr>
        <w:spacing w:before="24" w:line="360" w:lineRule="auto"/>
        <w:ind w:left="1769" w:right="1769"/>
        <w:jc w:val="center"/>
        <w:rPr>
          <w:b/>
          <w:bCs/>
          <w:color w:val="auto"/>
          <w:sz w:val="30"/>
          <w:szCs w:val="30"/>
        </w:rPr>
      </w:pPr>
      <w:r>
        <w:rPr>
          <w:b/>
          <w:bCs/>
          <w:color w:val="auto"/>
          <w:sz w:val="30"/>
          <w:szCs w:val="30"/>
        </w:rPr>
        <w:t>授权委托书</w:t>
      </w:r>
      <w:r>
        <w:rPr>
          <w:rFonts w:hint="eastAsia"/>
          <w:b/>
          <w:bCs/>
          <w:color w:val="auto"/>
          <w:sz w:val="30"/>
          <w:szCs w:val="30"/>
        </w:rPr>
        <w:t>（如有委托时）</w:t>
      </w:r>
    </w:p>
    <w:p>
      <w:pPr>
        <w:spacing w:line="360" w:lineRule="auto"/>
        <w:rPr>
          <w:color w:val="auto"/>
          <w:sz w:val="24"/>
        </w:rPr>
      </w:pPr>
      <w:r>
        <w:rPr>
          <w:color w:val="auto"/>
          <w:sz w:val="24"/>
        </w:rPr>
        <w:t>致：</w:t>
      </w:r>
      <w:r>
        <w:rPr>
          <w:color w:val="auto"/>
          <w:sz w:val="24"/>
          <w:u w:val="single"/>
        </w:rPr>
        <w:t>（采购人名称）</w:t>
      </w:r>
      <w:r>
        <w:rPr>
          <w:color w:val="auto"/>
          <w:sz w:val="24"/>
        </w:rPr>
        <w:t>：</w:t>
      </w:r>
    </w:p>
    <w:p>
      <w:pPr>
        <w:tabs>
          <w:tab w:val="left" w:pos="2455"/>
          <w:tab w:val="left" w:pos="3919"/>
          <w:tab w:val="left" w:pos="4833"/>
        </w:tabs>
        <w:spacing w:line="360" w:lineRule="auto"/>
        <w:ind w:firstLine="480" w:firstLineChars="200"/>
        <w:rPr>
          <w:color w:val="auto"/>
          <w:sz w:val="24"/>
        </w:rPr>
      </w:pPr>
      <w:r>
        <w:rPr>
          <w:color w:val="auto"/>
          <w:sz w:val="24"/>
        </w:rPr>
        <w:t>我</w:t>
      </w:r>
      <w:r>
        <w:rPr>
          <w:color w:val="auto"/>
          <w:spacing w:val="108"/>
          <w:sz w:val="24"/>
          <w:u w:val="single"/>
        </w:rPr>
        <w:t xml:space="preserve"> </w:t>
      </w:r>
      <w:r>
        <w:rPr>
          <w:color w:val="auto"/>
          <w:sz w:val="24"/>
          <w:u w:val="single"/>
        </w:rPr>
        <w:t>（姓名）</w:t>
      </w:r>
      <w:r>
        <w:rPr>
          <w:color w:val="auto"/>
          <w:sz w:val="24"/>
          <w:u w:val="single"/>
        </w:rPr>
        <w:tab/>
      </w:r>
      <w:r>
        <w:rPr>
          <w:color w:val="auto"/>
          <w:sz w:val="24"/>
        </w:rPr>
        <w:t>系</w:t>
      </w:r>
      <w:r>
        <w:rPr>
          <w:color w:val="auto"/>
          <w:spacing w:val="110"/>
          <w:sz w:val="24"/>
          <w:u w:val="single"/>
        </w:rPr>
        <w:t xml:space="preserve"> </w:t>
      </w:r>
      <w:r>
        <w:rPr>
          <w:color w:val="auto"/>
          <w:sz w:val="24"/>
          <w:u w:val="single"/>
        </w:rPr>
        <w:t>（供应商名称）</w:t>
      </w:r>
      <w:r>
        <w:rPr>
          <w:color w:val="auto"/>
          <w:sz w:val="24"/>
          <w:u w:val="single"/>
        </w:rPr>
        <w:tab/>
      </w:r>
      <w:r>
        <w:rPr>
          <w:color w:val="auto"/>
          <w:spacing w:val="-10"/>
          <w:sz w:val="24"/>
        </w:rPr>
        <w:t>的</w:t>
      </w:r>
      <w:r>
        <w:rPr>
          <w:color w:val="auto"/>
          <w:spacing w:val="-3"/>
          <w:sz w:val="24"/>
        </w:rPr>
        <w:t>（</w:t>
      </w:r>
      <w:r>
        <w:rPr>
          <w:color w:val="auto"/>
          <w:sz w:val="24"/>
          <w:u w:val="single"/>
        </w:rPr>
        <w:t>法定代表人/负责人/自然人本人</w:t>
      </w:r>
      <w:r>
        <w:rPr>
          <w:color w:val="auto"/>
          <w:spacing w:val="-11"/>
          <w:sz w:val="24"/>
        </w:rPr>
        <w:t>），</w:t>
      </w:r>
      <w:r>
        <w:rPr>
          <w:color w:val="auto"/>
          <w:sz w:val="24"/>
        </w:rPr>
        <w:t>现授权</w:t>
      </w:r>
      <w:r>
        <w:rPr>
          <w:color w:val="auto"/>
          <w:spacing w:val="-13"/>
          <w:sz w:val="24"/>
          <w:u w:val="single"/>
        </w:rPr>
        <w:t xml:space="preserve"> </w:t>
      </w:r>
      <w:r>
        <w:rPr>
          <w:color w:val="auto"/>
          <w:sz w:val="24"/>
          <w:u w:val="single"/>
        </w:rPr>
        <w:t>（姓名</w:t>
      </w:r>
      <w:r>
        <w:rPr>
          <w:color w:val="auto"/>
          <w:spacing w:val="-14"/>
          <w:sz w:val="24"/>
          <w:u w:val="single"/>
        </w:rPr>
        <w:t xml:space="preserve">） </w:t>
      </w:r>
      <w:r>
        <w:rPr>
          <w:color w:val="auto"/>
          <w:sz w:val="24"/>
        </w:rPr>
        <w:t>以我方的名义参加</w:t>
      </w:r>
      <w:r>
        <w:rPr>
          <w:color w:val="auto"/>
          <w:sz w:val="24"/>
          <w:u w:val="single"/>
        </w:rPr>
        <w:t xml:space="preserve"> </w:t>
      </w:r>
      <w:r>
        <w:rPr>
          <w:color w:val="auto"/>
          <w:sz w:val="24"/>
          <w:u w:val="single"/>
        </w:rPr>
        <w:tab/>
      </w:r>
      <w:r>
        <w:rPr>
          <w:color w:val="auto"/>
          <w:sz w:val="24"/>
          <w:u w:val="single"/>
        </w:rPr>
        <w:tab/>
      </w:r>
      <w:r>
        <w:rPr>
          <w:color w:val="auto"/>
          <w:sz w:val="24"/>
        </w:rPr>
        <w:t>项目的竞标活动</w:t>
      </w:r>
      <w:r>
        <w:rPr>
          <w:color w:val="auto"/>
          <w:spacing w:val="-92"/>
          <w:sz w:val="24"/>
        </w:rPr>
        <w:t>，</w:t>
      </w:r>
      <w:r>
        <w:rPr>
          <w:color w:val="auto"/>
          <w:sz w:val="24"/>
        </w:rPr>
        <w:t>并代表我方全权办理针对上述项目的所有采购程序和环节的具体事务和签署相关文件。</w:t>
      </w:r>
    </w:p>
    <w:p>
      <w:pPr>
        <w:spacing w:line="360" w:lineRule="auto"/>
        <w:ind w:firstLine="480" w:firstLineChars="200"/>
        <w:rPr>
          <w:color w:val="auto"/>
          <w:sz w:val="24"/>
        </w:rPr>
      </w:pPr>
      <w:r>
        <w:rPr>
          <w:color w:val="auto"/>
          <w:sz w:val="24"/>
        </w:rPr>
        <w:t>我方对委托代理人的签字事项负全部责任。</w:t>
      </w:r>
    </w:p>
    <w:p>
      <w:pPr>
        <w:spacing w:line="360" w:lineRule="auto"/>
        <w:ind w:firstLine="456" w:firstLineChars="200"/>
        <w:rPr>
          <w:color w:val="auto"/>
          <w:sz w:val="24"/>
        </w:rPr>
      </w:pPr>
      <w:r>
        <w:rPr>
          <w:color w:val="auto"/>
          <w:spacing w:val="-6"/>
          <w:sz w:val="24"/>
        </w:rPr>
        <w:t>本授权书自签署之日起生效，在撤销授权的书面通知以前，本授权书一直有效。委托代理人在授</w:t>
      </w:r>
      <w:r>
        <w:rPr>
          <w:color w:val="auto"/>
          <w:sz w:val="24"/>
        </w:rPr>
        <w:t>权书有效期内签署的所有文件不因授权的撤销而失效。</w:t>
      </w:r>
    </w:p>
    <w:p>
      <w:pPr>
        <w:spacing w:line="360" w:lineRule="auto"/>
        <w:ind w:firstLine="480" w:firstLineChars="200"/>
        <w:rPr>
          <w:color w:val="auto"/>
          <w:sz w:val="24"/>
        </w:rPr>
      </w:pPr>
      <w:r>
        <w:rPr>
          <w:color w:val="auto"/>
          <w:sz w:val="24"/>
        </w:rPr>
        <w:t>委托代理人无转委托权，特此委托。</w:t>
      </w:r>
    </w:p>
    <w:p>
      <w:pPr>
        <w:spacing w:line="360" w:lineRule="auto"/>
        <w:ind w:firstLine="480" w:firstLineChars="200"/>
        <w:rPr>
          <w:color w:val="auto"/>
          <w:sz w:val="24"/>
        </w:rPr>
      </w:pPr>
      <w:r>
        <w:rPr>
          <w:color w:val="auto"/>
          <w:sz w:val="24"/>
        </w:rPr>
        <w:t>附：法定代表人身份证明及委托代理人有效身份证正反面复印件</w:t>
      </w:r>
    </w:p>
    <w:p>
      <w:pPr>
        <w:pStyle w:val="14"/>
        <w:spacing w:line="360" w:lineRule="auto"/>
        <w:ind w:firstLine="480" w:firstLineChars="200"/>
        <w:rPr>
          <w:color w:val="auto"/>
          <w:sz w:val="24"/>
        </w:rPr>
      </w:pPr>
    </w:p>
    <w:p>
      <w:pPr>
        <w:pStyle w:val="14"/>
        <w:spacing w:line="360" w:lineRule="auto"/>
        <w:ind w:firstLine="480" w:firstLineChars="200"/>
        <w:rPr>
          <w:color w:val="auto"/>
          <w:sz w:val="24"/>
        </w:rPr>
      </w:pPr>
    </w:p>
    <w:p>
      <w:pPr>
        <w:tabs>
          <w:tab w:val="left" w:pos="3799"/>
        </w:tabs>
        <w:spacing w:line="360" w:lineRule="auto"/>
        <w:ind w:firstLine="480" w:firstLineChars="200"/>
        <w:rPr>
          <w:color w:val="auto"/>
          <w:sz w:val="24"/>
        </w:rPr>
      </w:pPr>
      <w:r>
        <w:rPr>
          <w:color w:val="auto"/>
          <w:sz w:val="24"/>
        </w:rPr>
        <w:t>委托代理人（签字）：</w:t>
      </w:r>
      <w:r>
        <w:rPr>
          <w:color w:val="auto"/>
          <w:sz w:val="24"/>
        </w:rPr>
        <w:tab/>
      </w:r>
    </w:p>
    <w:p>
      <w:pPr>
        <w:tabs>
          <w:tab w:val="left" w:pos="3799"/>
        </w:tabs>
        <w:spacing w:line="360" w:lineRule="auto"/>
        <w:ind w:firstLine="480" w:firstLineChars="200"/>
        <w:rPr>
          <w:color w:val="auto"/>
          <w:spacing w:val="-9"/>
          <w:sz w:val="24"/>
        </w:rPr>
      </w:pPr>
      <w:r>
        <w:rPr>
          <w:color w:val="auto"/>
          <w:sz w:val="24"/>
        </w:rPr>
        <w:t>法定代表人（签字或者盖章</w:t>
      </w:r>
      <w:r>
        <w:rPr>
          <w:color w:val="auto"/>
          <w:spacing w:val="-9"/>
          <w:sz w:val="24"/>
        </w:rPr>
        <w:t xml:space="preserve">）： </w:t>
      </w:r>
    </w:p>
    <w:p>
      <w:pPr>
        <w:tabs>
          <w:tab w:val="left" w:pos="3799"/>
        </w:tabs>
        <w:spacing w:line="360" w:lineRule="auto"/>
        <w:ind w:firstLine="480" w:firstLineChars="200"/>
        <w:rPr>
          <w:color w:val="auto"/>
          <w:sz w:val="24"/>
        </w:rPr>
      </w:pPr>
      <w:r>
        <w:rPr>
          <w:color w:val="auto"/>
          <w:sz w:val="24"/>
        </w:rPr>
        <w:t>委托代理人身份证号码：</w:t>
      </w:r>
    </w:p>
    <w:p>
      <w:pPr>
        <w:pStyle w:val="14"/>
        <w:spacing w:line="360" w:lineRule="auto"/>
        <w:ind w:firstLine="480" w:firstLineChars="200"/>
        <w:rPr>
          <w:color w:val="auto"/>
          <w:sz w:val="24"/>
        </w:rPr>
      </w:pPr>
    </w:p>
    <w:p>
      <w:pPr>
        <w:spacing w:line="360" w:lineRule="auto"/>
        <w:ind w:firstLine="480" w:firstLineChars="200"/>
        <w:jc w:val="center"/>
        <w:rPr>
          <w:color w:val="auto"/>
          <w:sz w:val="24"/>
        </w:rPr>
      </w:pPr>
      <w:r>
        <w:rPr>
          <w:color w:val="auto"/>
          <w:sz w:val="24"/>
        </w:rPr>
        <w:t>供应商（电子签章 ）：</w:t>
      </w:r>
    </w:p>
    <w:p>
      <w:pPr>
        <w:tabs>
          <w:tab w:val="left" w:pos="1769"/>
          <w:tab w:val="left" w:pos="2489"/>
        </w:tabs>
        <w:spacing w:line="360" w:lineRule="auto"/>
        <w:ind w:firstLine="480" w:firstLineChars="200"/>
        <w:jc w:val="center"/>
        <w:rPr>
          <w:color w:val="auto"/>
          <w:sz w:val="24"/>
        </w:rPr>
      </w:pPr>
      <w:r>
        <w:rPr>
          <w:color w:val="auto"/>
          <w:sz w:val="24"/>
        </w:rPr>
        <w:t>年</w:t>
      </w:r>
      <w:r>
        <w:rPr>
          <w:color w:val="auto"/>
          <w:sz w:val="24"/>
        </w:rPr>
        <w:tab/>
      </w:r>
      <w:r>
        <w:rPr>
          <w:color w:val="auto"/>
          <w:sz w:val="24"/>
        </w:rPr>
        <w:t>月</w:t>
      </w:r>
      <w:r>
        <w:rPr>
          <w:color w:val="auto"/>
          <w:sz w:val="24"/>
        </w:rPr>
        <w:tab/>
      </w:r>
      <w:r>
        <w:rPr>
          <w:color w:val="auto"/>
          <w:sz w:val="24"/>
        </w:rPr>
        <w:t>日</w:t>
      </w:r>
    </w:p>
    <w:p>
      <w:pPr>
        <w:pStyle w:val="14"/>
        <w:spacing w:line="360" w:lineRule="auto"/>
        <w:ind w:firstLine="480" w:firstLineChars="200"/>
        <w:rPr>
          <w:color w:val="auto"/>
          <w:sz w:val="24"/>
        </w:rPr>
      </w:pPr>
    </w:p>
    <w:p>
      <w:pPr>
        <w:pStyle w:val="14"/>
        <w:spacing w:line="360" w:lineRule="auto"/>
        <w:ind w:firstLine="480" w:firstLineChars="200"/>
        <w:rPr>
          <w:color w:val="auto"/>
          <w:sz w:val="24"/>
        </w:rPr>
      </w:pPr>
    </w:p>
    <w:p>
      <w:pPr>
        <w:tabs>
          <w:tab w:val="left" w:pos="3799"/>
        </w:tabs>
        <w:spacing w:line="360" w:lineRule="auto"/>
        <w:ind w:firstLine="480" w:firstLineChars="200"/>
        <w:rPr>
          <w:color w:val="auto"/>
          <w:sz w:val="24"/>
        </w:rPr>
      </w:pPr>
      <w:r>
        <w:rPr>
          <w:color w:val="auto"/>
          <w:sz w:val="24"/>
        </w:rPr>
        <w:t>注：1. 法定代表人必须在授权委托书上亲笔签字或者盖章，委托代理人必须在授权委托书上亲笔签字，</w:t>
      </w:r>
      <w:r>
        <w:rPr>
          <w:b/>
          <w:bCs/>
          <w:color w:val="auto"/>
          <w:sz w:val="24"/>
        </w:rPr>
        <w:t>否则其响应文件按无效响应处理</w:t>
      </w:r>
      <w:r>
        <w:rPr>
          <w:color w:val="auto"/>
          <w:sz w:val="24"/>
        </w:rPr>
        <w:t>。</w:t>
      </w:r>
    </w:p>
    <w:p>
      <w:pPr>
        <w:tabs>
          <w:tab w:val="left" w:pos="3799"/>
        </w:tabs>
        <w:spacing w:line="360" w:lineRule="auto"/>
        <w:ind w:firstLine="480" w:firstLineChars="200"/>
        <w:rPr>
          <w:color w:val="auto"/>
          <w:sz w:val="24"/>
        </w:rPr>
      </w:pPr>
      <w:r>
        <w:rPr>
          <w:color w:val="auto"/>
          <w:sz w:val="24"/>
        </w:rPr>
        <w:t>2.法人、其他组织竞标时“我方”是指“我单位”，自然人竞标时“我方”是指“本人”。</w:t>
      </w:r>
    </w:p>
    <w:p>
      <w:pPr>
        <w:tabs>
          <w:tab w:val="left" w:pos="3799"/>
        </w:tabs>
        <w:spacing w:line="360" w:lineRule="auto"/>
        <w:ind w:firstLine="480" w:firstLineChars="200"/>
        <w:rPr>
          <w:color w:val="auto"/>
          <w:sz w:val="24"/>
        </w:rPr>
        <w:sectPr>
          <w:pgSz w:w="11910" w:h="16840"/>
          <w:pgMar w:top="1417" w:right="1417" w:bottom="1417" w:left="1417" w:header="0" w:footer="1202" w:gutter="0"/>
          <w:cols w:space="0" w:num="1"/>
        </w:sectPr>
      </w:pPr>
    </w:p>
    <w:p>
      <w:pPr>
        <w:spacing w:before="24" w:line="360" w:lineRule="auto"/>
        <w:ind w:left="1769" w:right="1769"/>
        <w:jc w:val="center"/>
        <w:rPr>
          <w:b/>
          <w:bCs/>
          <w:color w:val="auto"/>
          <w:sz w:val="30"/>
          <w:szCs w:val="30"/>
        </w:rPr>
      </w:pPr>
      <w:r>
        <w:rPr>
          <w:b/>
          <w:bCs/>
          <w:color w:val="auto"/>
          <w:sz w:val="30"/>
          <w:szCs w:val="30"/>
        </w:rPr>
        <w:t>商务要求偏离表</w:t>
      </w:r>
    </w:p>
    <w:p>
      <w:pPr>
        <w:spacing w:before="24" w:line="360" w:lineRule="auto"/>
        <w:ind w:left="1769" w:right="1769"/>
        <w:jc w:val="center"/>
        <w:rPr>
          <w:b/>
          <w:bCs/>
          <w:color w:val="auto"/>
          <w:sz w:val="30"/>
          <w:szCs w:val="30"/>
        </w:rPr>
      </w:pPr>
      <w:r>
        <w:rPr>
          <w:rFonts w:hint="eastAsia"/>
          <w:b/>
          <w:bCs/>
          <w:color w:val="auto"/>
          <w:sz w:val="30"/>
          <w:szCs w:val="30"/>
        </w:rPr>
        <w:t>（注：按采购需求具体条款修改）</w:t>
      </w:r>
    </w:p>
    <w:p>
      <w:pPr>
        <w:pStyle w:val="14"/>
        <w:rPr>
          <w:rFonts w:ascii="黑体"/>
          <w:color w:val="auto"/>
          <w:sz w:val="20"/>
        </w:rPr>
      </w:pPr>
    </w:p>
    <w:p>
      <w:pPr>
        <w:pStyle w:val="14"/>
        <w:rPr>
          <w:rFonts w:ascii="黑体"/>
          <w:color w:val="auto"/>
          <w:sz w:val="20"/>
        </w:rPr>
      </w:pPr>
    </w:p>
    <w:p>
      <w:pPr>
        <w:pStyle w:val="14"/>
        <w:rPr>
          <w:rFonts w:ascii="黑体"/>
          <w:color w:val="auto"/>
          <w:sz w:val="20"/>
        </w:rPr>
      </w:pPr>
    </w:p>
    <w:p>
      <w:pPr>
        <w:pStyle w:val="14"/>
        <w:spacing w:before="12"/>
        <w:rPr>
          <w:rFonts w:ascii="黑体"/>
          <w:color w:val="auto"/>
          <w:sz w:val="12"/>
        </w:rPr>
      </w:pP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8"/>
        <w:gridCol w:w="2668"/>
        <w:gridCol w:w="2350"/>
        <w:gridCol w:w="2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2178" w:type="dxa"/>
          </w:tcPr>
          <w:p>
            <w:pPr>
              <w:pStyle w:val="36"/>
              <w:spacing w:before="89"/>
              <w:ind w:left="829" w:right="819"/>
              <w:jc w:val="center"/>
              <w:rPr>
                <w:color w:val="auto"/>
                <w:sz w:val="24"/>
              </w:rPr>
            </w:pPr>
            <w:r>
              <w:rPr>
                <w:color w:val="auto"/>
                <w:sz w:val="24"/>
              </w:rPr>
              <w:t>项目</w:t>
            </w:r>
          </w:p>
        </w:tc>
        <w:tc>
          <w:tcPr>
            <w:tcW w:w="2668" w:type="dxa"/>
          </w:tcPr>
          <w:p>
            <w:pPr>
              <w:pStyle w:val="36"/>
              <w:spacing w:before="89"/>
              <w:ind w:left="372"/>
              <w:rPr>
                <w:color w:val="auto"/>
                <w:sz w:val="24"/>
              </w:rPr>
            </w:pPr>
            <w:r>
              <w:rPr>
                <w:color w:val="auto"/>
                <w:sz w:val="24"/>
              </w:rPr>
              <w:t>磋商文件商务要求</w:t>
            </w:r>
          </w:p>
        </w:tc>
        <w:tc>
          <w:tcPr>
            <w:tcW w:w="2350" w:type="dxa"/>
          </w:tcPr>
          <w:p>
            <w:pPr>
              <w:pStyle w:val="36"/>
              <w:spacing w:before="89"/>
              <w:ind w:left="455"/>
              <w:rPr>
                <w:color w:val="auto"/>
                <w:sz w:val="24"/>
              </w:rPr>
            </w:pPr>
            <w:r>
              <w:rPr>
                <w:color w:val="auto"/>
                <w:sz w:val="24"/>
              </w:rPr>
              <w:t>供应商的响应</w:t>
            </w:r>
          </w:p>
        </w:tc>
        <w:tc>
          <w:tcPr>
            <w:tcW w:w="2112" w:type="dxa"/>
          </w:tcPr>
          <w:p>
            <w:pPr>
              <w:pStyle w:val="36"/>
              <w:spacing w:before="89"/>
              <w:ind w:left="574"/>
              <w:rPr>
                <w:color w:val="auto"/>
                <w:sz w:val="24"/>
              </w:rPr>
            </w:pPr>
            <w:r>
              <w:rPr>
                <w:color w:val="auto"/>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178" w:type="dxa"/>
          </w:tcPr>
          <w:p>
            <w:pPr>
              <w:pStyle w:val="36"/>
              <w:rPr>
                <w:rFonts w:ascii="Times New Roman"/>
                <w:color w:val="auto"/>
                <w:sz w:val="24"/>
              </w:rPr>
            </w:pPr>
          </w:p>
        </w:tc>
        <w:tc>
          <w:tcPr>
            <w:tcW w:w="2668" w:type="dxa"/>
          </w:tcPr>
          <w:p>
            <w:pPr>
              <w:pStyle w:val="36"/>
              <w:rPr>
                <w:rFonts w:ascii="Times New Roman"/>
                <w:color w:val="auto"/>
                <w:sz w:val="24"/>
              </w:rPr>
            </w:pPr>
          </w:p>
        </w:tc>
        <w:tc>
          <w:tcPr>
            <w:tcW w:w="2350" w:type="dxa"/>
          </w:tcPr>
          <w:p>
            <w:pPr>
              <w:pStyle w:val="36"/>
              <w:rPr>
                <w:rFonts w:ascii="Times New Roman"/>
                <w:color w:val="auto"/>
                <w:sz w:val="24"/>
              </w:rPr>
            </w:pPr>
          </w:p>
        </w:tc>
        <w:tc>
          <w:tcPr>
            <w:tcW w:w="2112" w:type="dxa"/>
          </w:tcPr>
          <w:p>
            <w:pPr>
              <w:pStyle w:val="36"/>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2178" w:type="dxa"/>
          </w:tcPr>
          <w:p>
            <w:pPr>
              <w:pStyle w:val="36"/>
              <w:rPr>
                <w:rFonts w:ascii="Times New Roman"/>
                <w:color w:val="auto"/>
                <w:sz w:val="24"/>
              </w:rPr>
            </w:pPr>
          </w:p>
        </w:tc>
        <w:tc>
          <w:tcPr>
            <w:tcW w:w="2668" w:type="dxa"/>
          </w:tcPr>
          <w:p>
            <w:pPr>
              <w:pStyle w:val="36"/>
              <w:rPr>
                <w:rFonts w:ascii="Times New Roman"/>
                <w:color w:val="auto"/>
                <w:sz w:val="24"/>
              </w:rPr>
            </w:pPr>
          </w:p>
        </w:tc>
        <w:tc>
          <w:tcPr>
            <w:tcW w:w="2350" w:type="dxa"/>
          </w:tcPr>
          <w:p>
            <w:pPr>
              <w:pStyle w:val="36"/>
              <w:rPr>
                <w:rFonts w:ascii="Times New Roman"/>
                <w:color w:val="auto"/>
                <w:sz w:val="24"/>
              </w:rPr>
            </w:pPr>
          </w:p>
        </w:tc>
        <w:tc>
          <w:tcPr>
            <w:tcW w:w="2112" w:type="dxa"/>
          </w:tcPr>
          <w:p>
            <w:pPr>
              <w:pStyle w:val="36"/>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178" w:type="dxa"/>
          </w:tcPr>
          <w:p>
            <w:pPr>
              <w:pStyle w:val="36"/>
              <w:spacing w:before="2"/>
              <w:ind w:left="10"/>
              <w:jc w:val="center"/>
              <w:rPr>
                <w:color w:val="auto"/>
                <w:sz w:val="24"/>
              </w:rPr>
            </w:pPr>
            <w:r>
              <w:rPr>
                <w:color w:val="auto"/>
                <w:sz w:val="24"/>
              </w:rPr>
              <w:t>…</w:t>
            </w:r>
          </w:p>
        </w:tc>
        <w:tc>
          <w:tcPr>
            <w:tcW w:w="2668" w:type="dxa"/>
          </w:tcPr>
          <w:p>
            <w:pPr>
              <w:pStyle w:val="36"/>
              <w:rPr>
                <w:rFonts w:ascii="Times New Roman"/>
                <w:color w:val="auto"/>
                <w:sz w:val="24"/>
              </w:rPr>
            </w:pPr>
          </w:p>
        </w:tc>
        <w:tc>
          <w:tcPr>
            <w:tcW w:w="2350" w:type="dxa"/>
          </w:tcPr>
          <w:p>
            <w:pPr>
              <w:pStyle w:val="36"/>
              <w:rPr>
                <w:rFonts w:ascii="Times New Roman"/>
                <w:color w:val="auto"/>
                <w:sz w:val="24"/>
              </w:rPr>
            </w:pPr>
          </w:p>
        </w:tc>
        <w:tc>
          <w:tcPr>
            <w:tcW w:w="2112" w:type="dxa"/>
          </w:tcPr>
          <w:p>
            <w:pPr>
              <w:pStyle w:val="36"/>
              <w:rPr>
                <w:rFonts w:ascii="Times New Roman"/>
                <w:color w:val="auto"/>
                <w:sz w:val="24"/>
              </w:rPr>
            </w:pPr>
          </w:p>
        </w:tc>
      </w:tr>
    </w:tbl>
    <w:p>
      <w:pPr>
        <w:tabs>
          <w:tab w:val="left" w:pos="3799"/>
        </w:tabs>
        <w:spacing w:line="360" w:lineRule="auto"/>
        <w:rPr>
          <w:color w:val="auto"/>
          <w:sz w:val="24"/>
        </w:rPr>
      </w:pPr>
      <w:r>
        <w:rPr>
          <w:color w:val="auto"/>
          <w:sz w:val="24"/>
        </w:rPr>
        <w:t>注：</w:t>
      </w:r>
    </w:p>
    <w:p>
      <w:pPr>
        <w:tabs>
          <w:tab w:val="left" w:pos="3799"/>
        </w:tabs>
        <w:spacing w:line="360" w:lineRule="auto"/>
        <w:ind w:firstLine="480" w:firstLineChars="200"/>
        <w:rPr>
          <w:color w:val="auto"/>
          <w:sz w:val="24"/>
        </w:rPr>
      </w:pPr>
      <w:r>
        <w:rPr>
          <w:color w:val="auto"/>
          <w:sz w:val="24"/>
        </w:rPr>
        <w:t>1. 说明：应对照磋商文件“第三章 采购需求”中的商务要求逐条作出明确响应，并作出偏离说明。</w:t>
      </w:r>
    </w:p>
    <w:p>
      <w:pPr>
        <w:tabs>
          <w:tab w:val="left" w:pos="3799"/>
        </w:tabs>
        <w:spacing w:line="360" w:lineRule="auto"/>
        <w:ind w:firstLine="480" w:firstLineChars="200"/>
        <w:jc w:val="both"/>
        <w:rPr>
          <w:color w:val="auto"/>
          <w:sz w:val="24"/>
        </w:rPr>
      </w:pPr>
      <w:r>
        <w:rPr>
          <w:color w:val="auto"/>
          <w:sz w:val="24"/>
        </w:rPr>
        <w:t>2.供应商应根据自身的承诺，对照磋商文件要求在“偏离说明”中注明“正偏离”、“负偏离”或者“无偏离”。既不属于“正偏离”也不属于“负偏离”即为“无偏离”。</w:t>
      </w:r>
    </w:p>
    <w:p>
      <w:pPr>
        <w:pStyle w:val="14"/>
        <w:rPr>
          <w:color w:val="auto"/>
          <w:sz w:val="24"/>
        </w:rPr>
      </w:pPr>
    </w:p>
    <w:p>
      <w:pPr>
        <w:spacing w:before="158"/>
        <w:ind w:left="1280"/>
        <w:jc w:val="center"/>
        <w:rPr>
          <w:color w:val="auto"/>
          <w:sz w:val="24"/>
        </w:rPr>
      </w:pPr>
      <w:r>
        <w:rPr>
          <w:color w:val="auto"/>
          <w:sz w:val="24"/>
        </w:rPr>
        <w:t>法定代表人或者委托代理人（签字）：</w:t>
      </w:r>
    </w:p>
    <w:p>
      <w:pPr>
        <w:spacing w:before="160"/>
        <w:ind w:left="2960"/>
        <w:jc w:val="center"/>
        <w:rPr>
          <w:color w:val="auto"/>
          <w:sz w:val="24"/>
        </w:rPr>
      </w:pPr>
      <w:r>
        <w:rPr>
          <w:color w:val="auto"/>
          <w:sz w:val="24"/>
        </w:rPr>
        <w:t>供应商（电子签章 ）：</w:t>
      </w:r>
    </w:p>
    <w:p>
      <w:pPr>
        <w:tabs>
          <w:tab w:val="left" w:pos="1289"/>
          <w:tab w:val="left" w:pos="1889"/>
          <w:tab w:val="left" w:pos="2489"/>
        </w:tabs>
        <w:spacing w:before="158"/>
        <w:ind w:left="210"/>
        <w:jc w:val="center"/>
        <w:rPr>
          <w:color w:val="auto"/>
          <w:sz w:val="24"/>
        </w:rPr>
      </w:pPr>
      <w:r>
        <w:rPr>
          <w:rFonts w:hint="eastAsia"/>
          <w:color w:val="auto"/>
          <w:sz w:val="24"/>
          <w:lang w:val="en-US"/>
        </w:rPr>
        <w:t xml:space="preserve">                         </w:t>
      </w:r>
      <w:r>
        <w:rPr>
          <w:color w:val="auto"/>
          <w:sz w:val="24"/>
        </w:rPr>
        <w:t>日期：</w:t>
      </w:r>
      <w:r>
        <w:rPr>
          <w:color w:val="auto"/>
          <w:sz w:val="24"/>
        </w:rPr>
        <w:tab/>
      </w:r>
      <w:r>
        <w:rPr>
          <w:color w:val="auto"/>
          <w:sz w:val="24"/>
        </w:rPr>
        <w:t>年</w:t>
      </w:r>
      <w:r>
        <w:rPr>
          <w:color w:val="auto"/>
          <w:sz w:val="24"/>
        </w:rPr>
        <w:tab/>
      </w:r>
      <w:r>
        <w:rPr>
          <w:color w:val="auto"/>
          <w:sz w:val="24"/>
        </w:rPr>
        <w:t>月</w:t>
      </w:r>
      <w:r>
        <w:rPr>
          <w:color w:val="auto"/>
          <w:sz w:val="24"/>
        </w:rPr>
        <w:tab/>
      </w:r>
      <w:r>
        <w:rPr>
          <w:color w:val="auto"/>
          <w:sz w:val="24"/>
        </w:rPr>
        <w:t>日</w:t>
      </w:r>
    </w:p>
    <w:p>
      <w:pPr>
        <w:jc w:val="center"/>
        <w:rPr>
          <w:color w:val="auto"/>
          <w:sz w:val="24"/>
        </w:rPr>
        <w:sectPr>
          <w:pgSz w:w="11910" w:h="16840"/>
          <w:pgMar w:top="1417" w:right="1417" w:bottom="1417" w:left="1417" w:header="0" w:footer="1202" w:gutter="0"/>
          <w:cols w:space="0" w:num="1"/>
        </w:sectPr>
      </w:pPr>
    </w:p>
    <w:p>
      <w:pPr>
        <w:spacing w:before="24" w:line="360" w:lineRule="auto"/>
        <w:ind w:left="1769" w:right="1769"/>
        <w:jc w:val="center"/>
        <w:rPr>
          <w:b/>
          <w:bCs/>
          <w:color w:val="auto"/>
          <w:sz w:val="30"/>
          <w:szCs w:val="30"/>
        </w:rPr>
      </w:pPr>
      <w:r>
        <w:rPr>
          <w:b/>
          <w:bCs/>
          <w:color w:val="auto"/>
          <w:sz w:val="30"/>
          <w:szCs w:val="30"/>
        </w:rPr>
        <w:t>技术</w:t>
      </w:r>
      <w:r>
        <w:rPr>
          <w:rFonts w:hint="eastAsia"/>
          <w:b/>
          <w:bCs/>
          <w:color w:val="auto"/>
          <w:sz w:val="30"/>
          <w:szCs w:val="30"/>
          <w:lang w:eastAsia="zh-CN"/>
        </w:rPr>
        <w:t>实施</w:t>
      </w:r>
      <w:r>
        <w:rPr>
          <w:b/>
          <w:bCs/>
          <w:color w:val="auto"/>
          <w:sz w:val="30"/>
          <w:szCs w:val="30"/>
        </w:rPr>
        <w:t>方案（格式自拟）；</w:t>
      </w:r>
    </w:p>
    <w:p>
      <w:pPr>
        <w:pStyle w:val="14"/>
        <w:rPr>
          <w:rFonts w:ascii="黑体"/>
          <w:color w:val="auto"/>
          <w:sz w:val="44"/>
        </w:rPr>
      </w:pPr>
    </w:p>
    <w:p>
      <w:pPr>
        <w:pStyle w:val="14"/>
        <w:rPr>
          <w:rFonts w:ascii="黑体"/>
          <w:color w:val="auto"/>
          <w:sz w:val="44"/>
        </w:rPr>
      </w:pPr>
    </w:p>
    <w:p>
      <w:pPr>
        <w:pStyle w:val="14"/>
        <w:rPr>
          <w:rFonts w:ascii="黑体"/>
          <w:color w:val="auto"/>
          <w:sz w:val="44"/>
        </w:rPr>
      </w:pPr>
    </w:p>
    <w:p>
      <w:pPr>
        <w:pStyle w:val="14"/>
        <w:rPr>
          <w:rFonts w:ascii="黑体"/>
          <w:color w:val="auto"/>
          <w:sz w:val="44"/>
        </w:rPr>
      </w:pPr>
    </w:p>
    <w:p>
      <w:pPr>
        <w:pStyle w:val="14"/>
        <w:rPr>
          <w:rFonts w:ascii="黑体"/>
          <w:color w:val="auto"/>
          <w:sz w:val="44"/>
        </w:rPr>
      </w:pPr>
    </w:p>
    <w:p>
      <w:pPr>
        <w:pStyle w:val="14"/>
        <w:rPr>
          <w:rFonts w:ascii="黑体"/>
          <w:color w:val="auto"/>
          <w:sz w:val="44"/>
        </w:rPr>
      </w:pPr>
    </w:p>
    <w:p>
      <w:pPr>
        <w:pStyle w:val="14"/>
        <w:rPr>
          <w:rFonts w:ascii="黑体"/>
          <w:color w:val="auto"/>
          <w:sz w:val="44"/>
        </w:rPr>
      </w:pPr>
    </w:p>
    <w:p>
      <w:pPr>
        <w:pStyle w:val="14"/>
        <w:rPr>
          <w:rFonts w:ascii="黑体"/>
          <w:color w:val="auto"/>
          <w:sz w:val="44"/>
        </w:rPr>
      </w:pPr>
    </w:p>
    <w:p>
      <w:pPr>
        <w:pStyle w:val="14"/>
        <w:rPr>
          <w:rFonts w:ascii="黑体"/>
          <w:color w:val="auto"/>
          <w:sz w:val="44"/>
        </w:rPr>
      </w:pPr>
    </w:p>
    <w:p>
      <w:pPr>
        <w:pStyle w:val="14"/>
        <w:spacing w:line="360" w:lineRule="auto"/>
        <w:rPr>
          <w:rFonts w:ascii="黑体"/>
          <w:color w:val="auto"/>
          <w:sz w:val="24"/>
          <w:szCs w:val="24"/>
        </w:rPr>
      </w:pPr>
    </w:p>
    <w:p>
      <w:pPr>
        <w:tabs>
          <w:tab w:val="left" w:pos="4279"/>
          <w:tab w:val="left" w:pos="4879"/>
          <w:tab w:val="left" w:pos="5479"/>
        </w:tabs>
        <w:spacing w:line="360" w:lineRule="auto"/>
        <w:jc w:val="center"/>
        <w:rPr>
          <w:color w:val="auto"/>
          <w:spacing w:val="-10"/>
          <w:sz w:val="24"/>
          <w:szCs w:val="24"/>
        </w:rPr>
      </w:pPr>
      <w:r>
        <w:rPr>
          <w:color w:val="auto"/>
          <w:sz w:val="24"/>
          <w:szCs w:val="24"/>
        </w:rPr>
        <w:t xml:space="preserve">供应商（电子签章 </w:t>
      </w:r>
      <w:r>
        <w:rPr>
          <w:color w:val="auto"/>
          <w:spacing w:val="-10"/>
          <w:sz w:val="24"/>
          <w:szCs w:val="24"/>
        </w:rPr>
        <w:t>）：</w:t>
      </w:r>
    </w:p>
    <w:p>
      <w:pPr>
        <w:tabs>
          <w:tab w:val="left" w:pos="4279"/>
          <w:tab w:val="left" w:pos="4879"/>
          <w:tab w:val="left" w:pos="5479"/>
        </w:tabs>
        <w:spacing w:line="360" w:lineRule="auto"/>
        <w:jc w:val="right"/>
        <w:rPr>
          <w:color w:val="auto"/>
          <w:sz w:val="24"/>
        </w:rPr>
      </w:pPr>
      <w:r>
        <w:rPr>
          <w:color w:val="auto"/>
          <w:sz w:val="24"/>
          <w:szCs w:val="24"/>
        </w:rPr>
        <w:t>日期：</w:t>
      </w:r>
      <w:r>
        <w:rPr>
          <w:rFonts w:hint="eastAsia"/>
          <w:color w:val="auto"/>
          <w:sz w:val="24"/>
          <w:szCs w:val="24"/>
          <w:lang w:val="en-US"/>
        </w:rPr>
        <w:t xml:space="preserve">   </w:t>
      </w:r>
      <w:r>
        <w:rPr>
          <w:color w:val="auto"/>
          <w:sz w:val="24"/>
        </w:rPr>
        <w:t>年</w:t>
      </w:r>
      <w:r>
        <w:rPr>
          <w:rFonts w:hint="eastAsia"/>
          <w:color w:val="auto"/>
          <w:sz w:val="24"/>
          <w:lang w:val="en-US"/>
        </w:rPr>
        <w:t xml:space="preserve">   </w:t>
      </w:r>
      <w:r>
        <w:rPr>
          <w:color w:val="auto"/>
          <w:sz w:val="24"/>
        </w:rPr>
        <w:t>月</w:t>
      </w:r>
      <w:r>
        <w:rPr>
          <w:rFonts w:hint="eastAsia"/>
          <w:color w:val="auto"/>
          <w:sz w:val="24"/>
          <w:lang w:val="en-US"/>
        </w:rPr>
        <w:t xml:space="preserve">   </w:t>
      </w:r>
      <w:r>
        <w:rPr>
          <w:color w:val="auto"/>
          <w:spacing w:val="-18"/>
          <w:sz w:val="24"/>
        </w:rPr>
        <w:t>日</w:t>
      </w:r>
    </w:p>
    <w:p>
      <w:pPr>
        <w:spacing w:line="362" w:lineRule="auto"/>
        <w:rPr>
          <w:color w:val="auto"/>
          <w:sz w:val="24"/>
        </w:rPr>
        <w:sectPr>
          <w:footerReference r:id="rId10" w:type="default"/>
          <w:pgSz w:w="11910" w:h="16840"/>
          <w:pgMar w:top="1417" w:right="1417" w:bottom="1417" w:left="1417" w:header="0" w:footer="1202" w:gutter="0"/>
          <w:cols w:space="0" w:num="1"/>
        </w:sectPr>
      </w:pPr>
    </w:p>
    <w:p>
      <w:pPr>
        <w:spacing w:before="24" w:line="360" w:lineRule="auto"/>
        <w:ind w:left="1769" w:right="1769"/>
        <w:jc w:val="center"/>
        <w:rPr>
          <w:b/>
          <w:bCs/>
          <w:color w:val="auto"/>
          <w:sz w:val="30"/>
          <w:szCs w:val="30"/>
        </w:rPr>
      </w:pPr>
      <w:r>
        <w:rPr>
          <w:b/>
          <w:bCs/>
          <w:color w:val="auto"/>
          <w:sz w:val="30"/>
          <w:szCs w:val="30"/>
        </w:rPr>
        <w:t>技术要求偏离表</w:t>
      </w:r>
    </w:p>
    <w:p>
      <w:pPr>
        <w:tabs>
          <w:tab w:val="left" w:pos="4099"/>
        </w:tabs>
        <w:spacing w:line="360" w:lineRule="auto"/>
        <w:jc w:val="both"/>
        <w:rPr>
          <w:rFonts w:ascii="Times New Roman" w:eastAsia="Times New Roman"/>
          <w:color w:val="auto"/>
          <w:sz w:val="24"/>
          <w:szCs w:val="24"/>
          <w:u w:val="single"/>
        </w:rPr>
      </w:pPr>
      <w:r>
        <w:rPr>
          <w:color w:val="auto"/>
          <w:sz w:val="24"/>
          <w:szCs w:val="24"/>
        </w:rPr>
        <w:t>采购项目编号：</w:t>
      </w:r>
      <w:r>
        <w:rPr>
          <w:rFonts w:ascii="Times New Roman" w:eastAsia="Times New Roman"/>
          <w:color w:val="auto"/>
          <w:sz w:val="24"/>
          <w:szCs w:val="24"/>
          <w:u w:val="single"/>
        </w:rPr>
        <w:t xml:space="preserve"> </w:t>
      </w:r>
      <w:r>
        <w:rPr>
          <w:rFonts w:ascii="Times New Roman" w:eastAsia="Times New Roman"/>
          <w:color w:val="auto"/>
          <w:sz w:val="24"/>
          <w:szCs w:val="24"/>
          <w:u w:val="single"/>
        </w:rPr>
        <w:tab/>
      </w:r>
      <w:r>
        <w:rPr>
          <w:rFonts w:ascii="Times New Roman" w:eastAsia="Times New Roman"/>
          <w:color w:val="auto"/>
          <w:sz w:val="24"/>
          <w:szCs w:val="24"/>
          <w:u w:val="single"/>
        </w:rPr>
        <w:t xml:space="preserve"> </w:t>
      </w:r>
    </w:p>
    <w:p>
      <w:pPr>
        <w:tabs>
          <w:tab w:val="left" w:pos="4099"/>
        </w:tabs>
        <w:spacing w:line="360" w:lineRule="auto"/>
        <w:jc w:val="both"/>
        <w:rPr>
          <w:rFonts w:ascii="Times New Roman" w:eastAsia="Times New Roman"/>
          <w:color w:val="auto"/>
          <w:sz w:val="24"/>
          <w:szCs w:val="24"/>
        </w:rPr>
      </w:pPr>
      <w:r>
        <w:rPr>
          <w:color w:val="auto"/>
          <w:sz w:val="24"/>
          <w:szCs w:val="24"/>
        </w:rPr>
        <w:t>采购项目名称：</w:t>
      </w:r>
      <w:r>
        <w:rPr>
          <w:rFonts w:ascii="Times New Roman" w:eastAsia="Times New Roman"/>
          <w:color w:val="auto"/>
          <w:sz w:val="24"/>
          <w:szCs w:val="24"/>
          <w:u w:val="single"/>
        </w:rPr>
        <w:t xml:space="preserve"> </w:t>
      </w:r>
      <w:r>
        <w:rPr>
          <w:rFonts w:ascii="Times New Roman" w:eastAsia="Times New Roman"/>
          <w:color w:val="auto"/>
          <w:sz w:val="24"/>
          <w:szCs w:val="24"/>
          <w:u w:val="single"/>
        </w:rPr>
        <w:tab/>
      </w:r>
    </w:p>
    <w:tbl>
      <w:tblPr>
        <w:tblStyle w:val="29"/>
        <w:tblW w:w="9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1"/>
        <w:gridCol w:w="931"/>
        <w:gridCol w:w="3094"/>
        <w:gridCol w:w="2784"/>
        <w:gridCol w:w="1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931" w:type="dxa"/>
            <w:tcBorders>
              <w:bottom w:val="single" w:color="000000" w:sz="6" w:space="0"/>
              <w:right w:val="single" w:color="000000" w:sz="6" w:space="0"/>
            </w:tcBorders>
            <w:vAlign w:val="center"/>
          </w:tcPr>
          <w:p>
            <w:pPr>
              <w:pStyle w:val="36"/>
              <w:spacing w:line="360" w:lineRule="auto"/>
              <w:jc w:val="center"/>
              <w:rPr>
                <w:color w:val="auto"/>
                <w:sz w:val="24"/>
                <w:szCs w:val="24"/>
              </w:rPr>
            </w:pPr>
            <w:r>
              <w:rPr>
                <w:color w:val="auto"/>
                <w:sz w:val="24"/>
                <w:szCs w:val="24"/>
              </w:rPr>
              <w:t>序号</w:t>
            </w:r>
          </w:p>
        </w:tc>
        <w:tc>
          <w:tcPr>
            <w:tcW w:w="931" w:type="dxa"/>
            <w:tcBorders>
              <w:left w:val="single" w:color="000000" w:sz="6" w:space="0"/>
              <w:bottom w:val="single" w:color="000000" w:sz="6" w:space="0"/>
            </w:tcBorders>
            <w:vAlign w:val="center"/>
          </w:tcPr>
          <w:p>
            <w:pPr>
              <w:pStyle w:val="36"/>
              <w:spacing w:line="360" w:lineRule="auto"/>
              <w:jc w:val="center"/>
              <w:rPr>
                <w:color w:val="auto"/>
                <w:sz w:val="24"/>
                <w:szCs w:val="24"/>
              </w:rPr>
            </w:pPr>
            <w:r>
              <w:rPr>
                <w:color w:val="auto"/>
                <w:sz w:val="24"/>
                <w:szCs w:val="24"/>
              </w:rPr>
              <w:t>名称</w:t>
            </w:r>
          </w:p>
        </w:tc>
        <w:tc>
          <w:tcPr>
            <w:tcW w:w="3094" w:type="dxa"/>
            <w:tcBorders>
              <w:bottom w:val="single" w:color="000000" w:sz="6" w:space="0"/>
              <w:right w:val="single" w:color="000000" w:sz="6" w:space="0"/>
            </w:tcBorders>
            <w:vAlign w:val="center"/>
          </w:tcPr>
          <w:p>
            <w:pPr>
              <w:pStyle w:val="36"/>
              <w:spacing w:line="360" w:lineRule="auto"/>
              <w:jc w:val="center"/>
              <w:rPr>
                <w:color w:val="auto"/>
                <w:sz w:val="24"/>
                <w:szCs w:val="24"/>
              </w:rPr>
            </w:pPr>
            <w:r>
              <w:rPr>
                <w:color w:val="auto"/>
                <w:sz w:val="24"/>
                <w:szCs w:val="24"/>
              </w:rPr>
              <w:t>磋商文件技术要求</w:t>
            </w:r>
          </w:p>
        </w:tc>
        <w:tc>
          <w:tcPr>
            <w:tcW w:w="2784" w:type="dxa"/>
            <w:tcBorders>
              <w:left w:val="single" w:color="000000" w:sz="6" w:space="0"/>
              <w:bottom w:val="single" w:color="000000" w:sz="6" w:space="0"/>
              <w:right w:val="single" w:color="000000" w:sz="6" w:space="0"/>
            </w:tcBorders>
            <w:vAlign w:val="center"/>
          </w:tcPr>
          <w:p>
            <w:pPr>
              <w:pStyle w:val="36"/>
              <w:spacing w:line="360" w:lineRule="auto"/>
              <w:jc w:val="center"/>
              <w:rPr>
                <w:color w:val="auto"/>
                <w:sz w:val="24"/>
                <w:szCs w:val="24"/>
              </w:rPr>
            </w:pPr>
            <w:r>
              <w:rPr>
                <w:color w:val="auto"/>
                <w:sz w:val="24"/>
                <w:szCs w:val="24"/>
              </w:rPr>
              <w:t>竞标响应</w:t>
            </w:r>
          </w:p>
        </w:tc>
        <w:tc>
          <w:tcPr>
            <w:tcW w:w="1518" w:type="dxa"/>
            <w:tcBorders>
              <w:left w:val="single" w:color="000000" w:sz="6" w:space="0"/>
              <w:bottom w:val="single" w:color="000000" w:sz="6" w:space="0"/>
            </w:tcBorders>
            <w:vAlign w:val="center"/>
          </w:tcPr>
          <w:p>
            <w:pPr>
              <w:pStyle w:val="36"/>
              <w:spacing w:line="360" w:lineRule="auto"/>
              <w:jc w:val="center"/>
              <w:rPr>
                <w:color w:val="auto"/>
                <w:sz w:val="24"/>
                <w:szCs w:val="24"/>
              </w:rPr>
            </w:pPr>
            <w:r>
              <w:rPr>
                <w:color w:val="auto"/>
                <w:sz w:val="24"/>
                <w:szCs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931" w:type="dxa"/>
            <w:tcBorders>
              <w:top w:val="single" w:color="000000" w:sz="6" w:space="0"/>
              <w:bottom w:val="single" w:color="000000" w:sz="6" w:space="0"/>
              <w:right w:val="single" w:color="000000" w:sz="6" w:space="0"/>
            </w:tcBorders>
            <w:vAlign w:val="center"/>
          </w:tcPr>
          <w:p>
            <w:pPr>
              <w:pStyle w:val="36"/>
              <w:spacing w:line="360" w:lineRule="auto"/>
              <w:jc w:val="center"/>
              <w:rPr>
                <w:color w:val="auto"/>
                <w:sz w:val="24"/>
                <w:szCs w:val="24"/>
              </w:rPr>
            </w:pPr>
            <w:r>
              <w:rPr>
                <w:color w:val="auto"/>
                <w:sz w:val="24"/>
                <w:szCs w:val="24"/>
              </w:rPr>
              <w:t>1</w:t>
            </w:r>
          </w:p>
        </w:tc>
        <w:tc>
          <w:tcPr>
            <w:tcW w:w="931" w:type="dxa"/>
            <w:tcBorders>
              <w:top w:val="single" w:color="000000" w:sz="6" w:space="0"/>
              <w:left w:val="single" w:color="000000" w:sz="6" w:space="0"/>
              <w:bottom w:val="single" w:color="000000" w:sz="6" w:space="0"/>
            </w:tcBorders>
            <w:vAlign w:val="center"/>
          </w:tcPr>
          <w:p>
            <w:pPr>
              <w:pStyle w:val="36"/>
              <w:spacing w:line="360" w:lineRule="auto"/>
              <w:jc w:val="center"/>
              <w:rPr>
                <w:rFonts w:ascii="Times New Roman"/>
                <w:color w:val="auto"/>
                <w:sz w:val="24"/>
                <w:szCs w:val="24"/>
              </w:rPr>
            </w:pPr>
          </w:p>
        </w:tc>
        <w:tc>
          <w:tcPr>
            <w:tcW w:w="3094" w:type="dxa"/>
            <w:tcBorders>
              <w:top w:val="single" w:color="000000" w:sz="6" w:space="0"/>
              <w:bottom w:val="single" w:color="000000" w:sz="6" w:space="0"/>
              <w:right w:val="single" w:color="000000" w:sz="6" w:space="0"/>
            </w:tcBorders>
            <w:vAlign w:val="center"/>
          </w:tcPr>
          <w:p>
            <w:pPr>
              <w:pStyle w:val="36"/>
              <w:spacing w:line="360" w:lineRule="auto"/>
              <w:jc w:val="center"/>
              <w:rPr>
                <w:rFonts w:ascii="Times New Roman"/>
                <w:color w:val="auto"/>
                <w:sz w:val="24"/>
                <w:szCs w:val="24"/>
              </w:rPr>
            </w:pPr>
          </w:p>
        </w:tc>
        <w:tc>
          <w:tcPr>
            <w:tcW w:w="2784" w:type="dxa"/>
            <w:tcBorders>
              <w:top w:val="single" w:color="000000" w:sz="6" w:space="0"/>
              <w:left w:val="single" w:color="000000" w:sz="6" w:space="0"/>
              <w:bottom w:val="single" w:color="000000" w:sz="6" w:space="0"/>
              <w:right w:val="single" w:color="000000" w:sz="6" w:space="0"/>
            </w:tcBorders>
            <w:vAlign w:val="center"/>
          </w:tcPr>
          <w:p>
            <w:pPr>
              <w:pStyle w:val="36"/>
              <w:spacing w:line="360" w:lineRule="auto"/>
              <w:jc w:val="center"/>
              <w:rPr>
                <w:rFonts w:ascii="Times New Roman"/>
                <w:color w:val="auto"/>
                <w:sz w:val="24"/>
                <w:szCs w:val="24"/>
              </w:rPr>
            </w:pPr>
          </w:p>
        </w:tc>
        <w:tc>
          <w:tcPr>
            <w:tcW w:w="1518" w:type="dxa"/>
            <w:tcBorders>
              <w:top w:val="single" w:color="000000" w:sz="6" w:space="0"/>
              <w:left w:val="single" w:color="000000" w:sz="6" w:space="0"/>
              <w:bottom w:val="single" w:color="000000" w:sz="6" w:space="0"/>
            </w:tcBorders>
            <w:vAlign w:val="center"/>
          </w:tcPr>
          <w:p>
            <w:pPr>
              <w:pStyle w:val="36"/>
              <w:spacing w:line="360" w:lineRule="auto"/>
              <w:jc w:val="center"/>
              <w:rPr>
                <w:rFonts w:ascii="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931" w:type="dxa"/>
            <w:tcBorders>
              <w:top w:val="single" w:color="000000" w:sz="6" w:space="0"/>
              <w:bottom w:val="single" w:color="000000" w:sz="6" w:space="0"/>
              <w:right w:val="single" w:color="000000" w:sz="6" w:space="0"/>
            </w:tcBorders>
            <w:vAlign w:val="center"/>
          </w:tcPr>
          <w:p>
            <w:pPr>
              <w:pStyle w:val="36"/>
              <w:spacing w:line="360" w:lineRule="auto"/>
              <w:jc w:val="center"/>
              <w:rPr>
                <w:color w:val="auto"/>
                <w:sz w:val="24"/>
                <w:szCs w:val="24"/>
              </w:rPr>
            </w:pPr>
            <w:r>
              <w:rPr>
                <w:color w:val="auto"/>
                <w:sz w:val="24"/>
                <w:szCs w:val="24"/>
              </w:rPr>
              <w:t>2</w:t>
            </w:r>
          </w:p>
        </w:tc>
        <w:tc>
          <w:tcPr>
            <w:tcW w:w="931" w:type="dxa"/>
            <w:tcBorders>
              <w:top w:val="single" w:color="000000" w:sz="6" w:space="0"/>
              <w:left w:val="single" w:color="000000" w:sz="6" w:space="0"/>
              <w:bottom w:val="single" w:color="000000" w:sz="6" w:space="0"/>
            </w:tcBorders>
            <w:vAlign w:val="center"/>
          </w:tcPr>
          <w:p>
            <w:pPr>
              <w:pStyle w:val="36"/>
              <w:spacing w:line="360" w:lineRule="auto"/>
              <w:jc w:val="center"/>
              <w:rPr>
                <w:rFonts w:ascii="Times New Roman"/>
                <w:color w:val="auto"/>
                <w:sz w:val="24"/>
                <w:szCs w:val="24"/>
              </w:rPr>
            </w:pPr>
          </w:p>
        </w:tc>
        <w:tc>
          <w:tcPr>
            <w:tcW w:w="3094" w:type="dxa"/>
            <w:tcBorders>
              <w:top w:val="single" w:color="000000" w:sz="6" w:space="0"/>
              <w:bottom w:val="single" w:color="000000" w:sz="6" w:space="0"/>
              <w:right w:val="single" w:color="000000" w:sz="6" w:space="0"/>
            </w:tcBorders>
            <w:vAlign w:val="center"/>
          </w:tcPr>
          <w:p>
            <w:pPr>
              <w:pStyle w:val="36"/>
              <w:spacing w:line="360" w:lineRule="auto"/>
              <w:jc w:val="center"/>
              <w:rPr>
                <w:rFonts w:ascii="Times New Roman"/>
                <w:color w:val="auto"/>
                <w:sz w:val="24"/>
                <w:szCs w:val="24"/>
              </w:rPr>
            </w:pPr>
          </w:p>
        </w:tc>
        <w:tc>
          <w:tcPr>
            <w:tcW w:w="2784" w:type="dxa"/>
            <w:tcBorders>
              <w:top w:val="single" w:color="000000" w:sz="6" w:space="0"/>
              <w:left w:val="single" w:color="000000" w:sz="6" w:space="0"/>
              <w:bottom w:val="single" w:color="000000" w:sz="6" w:space="0"/>
              <w:right w:val="single" w:color="000000" w:sz="6" w:space="0"/>
            </w:tcBorders>
            <w:vAlign w:val="center"/>
          </w:tcPr>
          <w:p>
            <w:pPr>
              <w:pStyle w:val="36"/>
              <w:spacing w:line="360" w:lineRule="auto"/>
              <w:jc w:val="center"/>
              <w:rPr>
                <w:rFonts w:ascii="Times New Roman"/>
                <w:color w:val="auto"/>
                <w:sz w:val="24"/>
                <w:szCs w:val="24"/>
              </w:rPr>
            </w:pPr>
          </w:p>
        </w:tc>
        <w:tc>
          <w:tcPr>
            <w:tcW w:w="1518" w:type="dxa"/>
            <w:tcBorders>
              <w:top w:val="single" w:color="000000" w:sz="6" w:space="0"/>
              <w:left w:val="single" w:color="000000" w:sz="6" w:space="0"/>
              <w:bottom w:val="single" w:color="000000" w:sz="6" w:space="0"/>
            </w:tcBorders>
            <w:vAlign w:val="center"/>
          </w:tcPr>
          <w:p>
            <w:pPr>
              <w:pStyle w:val="36"/>
              <w:spacing w:line="360" w:lineRule="auto"/>
              <w:jc w:val="center"/>
              <w:rPr>
                <w:rFonts w:ascii="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931" w:type="dxa"/>
            <w:tcBorders>
              <w:top w:val="single" w:color="000000" w:sz="6" w:space="0"/>
              <w:bottom w:val="single" w:color="000000" w:sz="6" w:space="0"/>
              <w:right w:val="single" w:color="000000" w:sz="6" w:space="0"/>
            </w:tcBorders>
            <w:vAlign w:val="center"/>
          </w:tcPr>
          <w:p>
            <w:pPr>
              <w:pStyle w:val="36"/>
              <w:spacing w:line="360" w:lineRule="auto"/>
              <w:jc w:val="center"/>
              <w:rPr>
                <w:color w:val="auto"/>
                <w:sz w:val="24"/>
                <w:szCs w:val="24"/>
              </w:rPr>
            </w:pPr>
            <w:r>
              <w:rPr>
                <w:color w:val="auto"/>
                <w:sz w:val="24"/>
                <w:szCs w:val="24"/>
              </w:rPr>
              <w:t>3</w:t>
            </w:r>
          </w:p>
        </w:tc>
        <w:tc>
          <w:tcPr>
            <w:tcW w:w="931" w:type="dxa"/>
            <w:tcBorders>
              <w:top w:val="single" w:color="000000" w:sz="6" w:space="0"/>
              <w:left w:val="single" w:color="000000" w:sz="6" w:space="0"/>
              <w:bottom w:val="single" w:color="000000" w:sz="6" w:space="0"/>
            </w:tcBorders>
            <w:vAlign w:val="center"/>
          </w:tcPr>
          <w:p>
            <w:pPr>
              <w:pStyle w:val="36"/>
              <w:spacing w:line="360" w:lineRule="auto"/>
              <w:jc w:val="center"/>
              <w:rPr>
                <w:rFonts w:ascii="Times New Roman"/>
                <w:color w:val="auto"/>
                <w:sz w:val="24"/>
                <w:szCs w:val="24"/>
              </w:rPr>
            </w:pPr>
          </w:p>
        </w:tc>
        <w:tc>
          <w:tcPr>
            <w:tcW w:w="3094" w:type="dxa"/>
            <w:tcBorders>
              <w:top w:val="single" w:color="000000" w:sz="6" w:space="0"/>
              <w:bottom w:val="single" w:color="000000" w:sz="6" w:space="0"/>
              <w:right w:val="single" w:color="000000" w:sz="6" w:space="0"/>
            </w:tcBorders>
            <w:vAlign w:val="center"/>
          </w:tcPr>
          <w:p>
            <w:pPr>
              <w:pStyle w:val="36"/>
              <w:spacing w:line="360" w:lineRule="auto"/>
              <w:jc w:val="center"/>
              <w:rPr>
                <w:rFonts w:ascii="Times New Roman"/>
                <w:color w:val="auto"/>
                <w:sz w:val="24"/>
                <w:szCs w:val="24"/>
              </w:rPr>
            </w:pPr>
          </w:p>
        </w:tc>
        <w:tc>
          <w:tcPr>
            <w:tcW w:w="2784" w:type="dxa"/>
            <w:tcBorders>
              <w:top w:val="single" w:color="000000" w:sz="6" w:space="0"/>
              <w:left w:val="single" w:color="000000" w:sz="6" w:space="0"/>
              <w:bottom w:val="single" w:color="000000" w:sz="6" w:space="0"/>
              <w:right w:val="single" w:color="000000" w:sz="6" w:space="0"/>
            </w:tcBorders>
            <w:vAlign w:val="center"/>
          </w:tcPr>
          <w:p>
            <w:pPr>
              <w:pStyle w:val="36"/>
              <w:spacing w:line="360" w:lineRule="auto"/>
              <w:jc w:val="center"/>
              <w:rPr>
                <w:rFonts w:ascii="Times New Roman"/>
                <w:color w:val="auto"/>
                <w:sz w:val="24"/>
                <w:szCs w:val="24"/>
              </w:rPr>
            </w:pPr>
          </w:p>
        </w:tc>
        <w:tc>
          <w:tcPr>
            <w:tcW w:w="1518" w:type="dxa"/>
            <w:tcBorders>
              <w:top w:val="single" w:color="000000" w:sz="6" w:space="0"/>
              <w:left w:val="single" w:color="000000" w:sz="6" w:space="0"/>
              <w:bottom w:val="single" w:color="000000" w:sz="6" w:space="0"/>
            </w:tcBorders>
            <w:vAlign w:val="center"/>
          </w:tcPr>
          <w:p>
            <w:pPr>
              <w:pStyle w:val="36"/>
              <w:spacing w:line="360" w:lineRule="auto"/>
              <w:jc w:val="center"/>
              <w:rPr>
                <w:rFonts w:ascii="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931" w:type="dxa"/>
            <w:tcBorders>
              <w:top w:val="single" w:color="000000" w:sz="6" w:space="0"/>
              <w:bottom w:val="single" w:color="000000" w:sz="6" w:space="0"/>
              <w:right w:val="single" w:color="000000" w:sz="6" w:space="0"/>
            </w:tcBorders>
            <w:vAlign w:val="center"/>
          </w:tcPr>
          <w:p>
            <w:pPr>
              <w:pStyle w:val="36"/>
              <w:spacing w:line="360" w:lineRule="auto"/>
              <w:jc w:val="center"/>
              <w:rPr>
                <w:color w:val="auto"/>
                <w:sz w:val="24"/>
                <w:szCs w:val="24"/>
              </w:rPr>
            </w:pPr>
            <w:r>
              <w:rPr>
                <w:color w:val="auto"/>
                <w:sz w:val="24"/>
                <w:szCs w:val="24"/>
              </w:rPr>
              <w:t>4</w:t>
            </w:r>
          </w:p>
        </w:tc>
        <w:tc>
          <w:tcPr>
            <w:tcW w:w="931" w:type="dxa"/>
            <w:tcBorders>
              <w:top w:val="single" w:color="000000" w:sz="6" w:space="0"/>
              <w:left w:val="single" w:color="000000" w:sz="6" w:space="0"/>
              <w:bottom w:val="single" w:color="000000" w:sz="6" w:space="0"/>
            </w:tcBorders>
            <w:vAlign w:val="center"/>
          </w:tcPr>
          <w:p>
            <w:pPr>
              <w:pStyle w:val="36"/>
              <w:spacing w:line="360" w:lineRule="auto"/>
              <w:jc w:val="center"/>
              <w:rPr>
                <w:rFonts w:ascii="Times New Roman"/>
                <w:color w:val="auto"/>
                <w:sz w:val="24"/>
                <w:szCs w:val="24"/>
              </w:rPr>
            </w:pPr>
          </w:p>
        </w:tc>
        <w:tc>
          <w:tcPr>
            <w:tcW w:w="3094" w:type="dxa"/>
            <w:tcBorders>
              <w:top w:val="single" w:color="000000" w:sz="6" w:space="0"/>
              <w:bottom w:val="single" w:color="000000" w:sz="6" w:space="0"/>
              <w:right w:val="single" w:color="000000" w:sz="6" w:space="0"/>
            </w:tcBorders>
            <w:vAlign w:val="center"/>
          </w:tcPr>
          <w:p>
            <w:pPr>
              <w:pStyle w:val="36"/>
              <w:spacing w:line="360" w:lineRule="auto"/>
              <w:jc w:val="center"/>
              <w:rPr>
                <w:rFonts w:ascii="Times New Roman"/>
                <w:color w:val="auto"/>
                <w:sz w:val="24"/>
                <w:szCs w:val="24"/>
              </w:rPr>
            </w:pPr>
          </w:p>
        </w:tc>
        <w:tc>
          <w:tcPr>
            <w:tcW w:w="2784" w:type="dxa"/>
            <w:tcBorders>
              <w:top w:val="single" w:color="000000" w:sz="6" w:space="0"/>
              <w:left w:val="single" w:color="000000" w:sz="6" w:space="0"/>
              <w:bottom w:val="single" w:color="000000" w:sz="6" w:space="0"/>
              <w:right w:val="single" w:color="000000" w:sz="6" w:space="0"/>
            </w:tcBorders>
            <w:vAlign w:val="center"/>
          </w:tcPr>
          <w:p>
            <w:pPr>
              <w:pStyle w:val="36"/>
              <w:spacing w:line="360" w:lineRule="auto"/>
              <w:jc w:val="center"/>
              <w:rPr>
                <w:rFonts w:ascii="Times New Roman"/>
                <w:color w:val="auto"/>
                <w:sz w:val="24"/>
                <w:szCs w:val="24"/>
              </w:rPr>
            </w:pPr>
          </w:p>
        </w:tc>
        <w:tc>
          <w:tcPr>
            <w:tcW w:w="1518" w:type="dxa"/>
            <w:tcBorders>
              <w:top w:val="single" w:color="000000" w:sz="6" w:space="0"/>
              <w:left w:val="single" w:color="000000" w:sz="6" w:space="0"/>
              <w:bottom w:val="single" w:color="000000" w:sz="6" w:space="0"/>
            </w:tcBorders>
            <w:vAlign w:val="center"/>
          </w:tcPr>
          <w:p>
            <w:pPr>
              <w:pStyle w:val="36"/>
              <w:spacing w:line="360" w:lineRule="auto"/>
              <w:jc w:val="center"/>
              <w:rPr>
                <w:rFonts w:ascii="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931" w:type="dxa"/>
            <w:tcBorders>
              <w:top w:val="single" w:color="000000" w:sz="6" w:space="0"/>
              <w:bottom w:val="single" w:color="000000" w:sz="6" w:space="0"/>
              <w:right w:val="single" w:color="000000" w:sz="6" w:space="0"/>
            </w:tcBorders>
            <w:vAlign w:val="center"/>
          </w:tcPr>
          <w:p>
            <w:pPr>
              <w:pStyle w:val="36"/>
              <w:spacing w:line="360" w:lineRule="auto"/>
              <w:jc w:val="center"/>
              <w:rPr>
                <w:color w:val="auto"/>
                <w:sz w:val="24"/>
                <w:szCs w:val="24"/>
              </w:rPr>
            </w:pPr>
            <w:r>
              <w:rPr>
                <w:color w:val="auto"/>
                <w:sz w:val="24"/>
                <w:szCs w:val="24"/>
              </w:rPr>
              <w:t>5</w:t>
            </w:r>
          </w:p>
        </w:tc>
        <w:tc>
          <w:tcPr>
            <w:tcW w:w="931" w:type="dxa"/>
            <w:tcBorders>
              <w:top w:val="single" w:color="000000" w:sz="6" w:space="0"/>
              <w:left w:val="single" w:color="000000" w:sz="6" w:space="0"/>
              <w:bottom w:val="single" w:color="000000" w:sz="6" w:space="0"/>
            </w:tcBorders>
            <w:vAlign w:val="center"/>
          </w:tcPr>
          <w:p>
            <w:pPr>
              <w:pStyle w:val="36"/>
              <w:spacing w:line="360" w:lineRule="auto"/>
              <w:jc w:val="center"/>
              <w:rPr>
                <w:rFonts w:ascii="Times New Roman"/>
                <w:color w:val="auto"/>
                <w:sz w:val="24"/>
                <w:szCs w:val="24"/>
              </w:rPr>
            </w:pPr>
          </w:p>
        </w:tc>
        <w:tc>
          <w:tcPr>
            <w:tcW w:w="3094" w:type="dxa"/>
            <w:tcBorders>
              <w:top w:val="single" w:color="000000" w:sz="6" w:space="0"/>
              <w:bottom w:val="single" w:color="000000" w:sz="6" w:space="0"/>
              <w:right w:val="single" w:color="000000" w:sz="6" w:space="0"/>
            </w:tcBorders>
            <w:vAlign w:val="center"/>
          </w:tcPr>
          <w:p>
            <w:pPr>
              <w:pStyle w:val="36"/>
              <w:spacing w:line="360" w:lineRule="auto"/>
              <w:jc w:val="center"/>
              <w:rPr>
                <w:rFonts w:ascii="Times New Roman"/>
                <w:color w:val="auto"/>
                <w:sz w:val="24"/>
                <w:szCs w:val="24"/>
              </w:rPr>
            </w:pPr>
          </w:p>
        </w:tc>
        <w:tc>
          <w:tcPr>
            <w:tcW w:w="2784" w:type="dxa"/>
            <w:tcBorders>
              <w:top w:val="single" w:color="000000" w:sz="6" w:space="0"/>
              <w:left w:val="single" w:color="000000" w:sz="6" w:space="0"/>
              <w:bottom w:val="single" w:color="000000" w:sz="6" w:space="0"/>
              <w:right w:val="single" w:color="000000" w:sz="6" w:space="0"/>
            </w:tcBorders>
            <w:vAlign w:val="center"/>
          </w:tcPr>
          <w:p>
            <w:pPr>
              <w:pStyle w:val="36"/>
              <w:spacing w:line="360" w:lineRule="auto"/>
              <w:jc w:val="center"/>
              <w:rPr>
                <w:rFonts w:ascii="Times New Roman"/>
                <w:color w:val="auto"/>
                <w:sz w:val="24"/>
                <w:szCs w:val="24"/>
              </w:rPr>
            </w:pPr>
          </w:p>
        </w:tc>
        <w:tc>
          <w:tcPr>
            <w:tcW w:w="1518" w:type="dxa"/>
            <w:tcBorders>
              <w:top w:val="single" w:color="000000" w:sz="6" w:space="0"/>
              <w:left w:val="single" w:color="000000" w:sz="6" w:space="0"/>
              <w:bottom w:val="single" w:color="000000" w:sz="6" w:space="0"/>
            </w:tcBorders>
            <w:vAlign w:val="center"/>
          </w:tcPr>
          <w:p>
            <w:pPr>
              <w:pStyle w:val="36"/>
              <w:spacing w:line="360" w:lineRule="auto"/>
              <w:jc w:val="center"/>
              <w:rPr>
                <w:rFonts w:ascii="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931" w:type="dxa"/>
            <w:tcBorders>
              <w:top w:val="single" w:color="000000" w:sz="6" w:space="0"/>
              <w:right w:val="single" w:color="000000" w:sz="6" w:space="0"/>
            </w:tcBorders>
            <w:vAlign w:val="center"/>
          </w:tcPr>
          <w:p>
            <w:pPr>
              <w:pStyle w:val="36"/>
              <w:spacing w:line="360" w:lineRule="auto"/>
              <w:jc w:val="center"/>
              <w:rPr>
                <w:color w:val="auto"/>
                <w:sz w:val="24"/>
                <w:szCs w:val="24"/>
              </w:rPr>
            </w:pPr>
            <w:r>
              <w:rPr>
                <w:color w:val="auto"/>
                <w:sz w:val="24"/>
                <w:szCs w:val="24"/>
              </w:rPr>
              <w:t>…</w:t>
            </w:r>
          </w:p>
        </w:tc>
        <w:tc>
          <w:tcPr>
            <w:tcW w:w="931" w:type="dxa"/>
            <w:tcBorders>
              <w:top w:val="single" w:color="000000" w:sz="6" w:space="0"/>
              <w:left w:val="single" w:color="000000" w:sz="6" w:space="0"/>
            </w:tcBorders>
            <w:vAlign w:val="center"/>
          </w:tcPr>
          <w:p>
            <w:pPr>
              <w:pStyle w:val="36"/>
              <w:spacing w:line="360" w:lineRule="auto"/>
              <w:jc w:val="center"/>
              <w:rPr>
                <w:rFonts w:ascii="Times New Roman"/>
                <w:color w:val="auto"/>
                <w:sz w:val="24"/>
                <w:szCs w:val="24"/>
              </w:rPr>
            </w:pPr>
          </w:p>
        </w:tc>
        <w:tc>
          <w:tcPr>
            <w:tcW w:w="3094" w:type="dxa"/>
            <w:tcBorders>
              <w:top w:val="single" w:color="000000" w:sz="6" w:space="0"/>
              <w:right w:val="single" w:color="000000" w:sz="6" w:space="0"/>
            </w:tcBorders>
            <w:vAlign w:val="center"/>
          </w:tcPr>
          <w:p>
            <w:pPr>
              <w:pStyle w:val="36"/>
              <w:spacing w:line="360" w:lineRule="auto"/>
              <w:jc w:val="center"/>
              <w:rPr>
                <w:rFonts w:ascii="Times New Roman"/>
                <w:color w:val="auto"/>
                <w:sz w:val="24"/>
                <w:szCs w:val="24"/>
              </w:rPr>
            </w:pPr>
          </w:p>
        </w:tc>
        <w:tc>
          <w:tcPr>
            <w:tcW w:w="2784" w:type="dxa"/>
            <w:tcBorders>
              <w:top w:val="single" w:color="000000" w:sz="6" w:space="0"/>
              <w:left w:val="single" w:color="000000" w:sz="6" w:space="0"/>
              <w:right w:val="single" w:color="000000" w:sz="6" w:space="0"/>
            </w:tcBorders>
            <w:vAlign w:val="center"/>
          </w:tcPr>
          <w:p>
            <w:pPr>
              <w:pStyle w:val="36"/>
              <w:spacing w:line="360" w:lineRule="auto"/>
              <w:jc w:val="center"/>
              <w:rPr>
                <w:rFonts w:ascii="Times New Roman"/>
                <w:color w:val="auto"/>
                <w:sz w:val="24"/>
                <w:szCs w:val="24"/>
              </w:rPr>
            </w:pPr>
          </w:p>
        </w:tc>
        <w:tc>
          <w:tcPr>
            <w:tcW w:w="1518" w:type="dxa"/>
            <w:tcBorders>
              <w:top w:val="single" w:color="000000" w:sz="6" w:space="0"/>
              <w:left w:val="single" w:color="000000" w:sz="6" w:space="0"/>
            </w:tcBorders>
            <w:vAlign w:val="center"/>
          </w:tcPr>
          <w:p>
            <w:pPr>
              <w:pStyle w:val="36"/>
              <w:spacing w:line="360" w:lineRule="auto"/>
              <w:jc w:val="center"/>
              <w:rPr>
                <w:rFonts w:ascii="Times New Roman"/>
                <w:color w:val="auto"/>
                <w:sz w:val="24"/>
                <w:szCs w:val="24"/>
              </w:rPr>
            </w:pPr>
          </w:p>
        </w:tc>
      </w:tr>
    </w:tbl>
    <w:p>
      <w:pPr>
        <w:pStyle w:val="14"/>
        <w:spacing w:line="360" w:lineRule="auto"/>
        <w:rPr>
          <w:rFonts w:ascii="Times New Roman"/>
          <w:color w:val="auto"/>
          <w:sz w:val="24"/>
          <w:szCs w:val="24"/>
        </w:rPr>
      </w:pPr>
    </w:p>
    <w:p>
      <w:pPr>
        <w:spacing w:line="360" w:lineRule="auto"/>
        <w:rPr>
          <w:color w:val="auto"/>
          <w:sz w:val="24"/>
          <w:szCs w:val="24"/>
        </w:rPr>
      </w:pPr>
      <w:r>
        <w:rPr>
          <w:color w:val="auto"/>
          <w:sz w:val="24"/>
          <w:szCs w:val="24"/>
        </w:rPr>
        <w:t>注：</w:t>
      </w:r>
    </w:p>
    <w:p>
      <w:pPr>
        <w:spacing w:line="360" w:lineRule="auto"/>
        <w:rPr>
          <w:color w:val="auto"/>
          <w:sz w:val="24"/>
          <w:szCs w:val="24"/>
        </w:rPr>
      </w:pPr>
      <w:r>
        <w:rPr>
          <w:color w:val="auto"/>
          <w:sz w:val="24"/>
          <w:szCs w:val="24"/>
        </w:rPr>
        <w:t>1.</w:t>
      </w:r>
      <w:r>
        <w:rPr>
          <w:color w:val="auto"/>
          <w:spacing w:val="-1"/>
          <w:sz w:val="24"/>
          <w:szCs w:val="24"/>
        </w:rPr>
        <w:t xml:space="preserve"> 说明：应对照磋商文件“第三章 采购需求”中的技术要求逐条作出明确响应，并作出偏离说明。</w:t>
      </w:r>
      <w:r>
        <w:rPr>
          <w:color w:val="auto"/>
          <w:sz w:val="24"/>
          <w:szCs w:val="24"/>
        </w:rPr>
        <w:t>2.</w:t>
      </w:r>
      <w:r>
        <w:rPr>
          <w:color w:val="auto"/>
          <w:spacing w:val="-8"/>
          <w:sz w:val="24"/>
          <w:szCs w:val="24"/>
        </w:rPr>
        <w:t>供应商应根据自身的承诺，对照磋商文件要求，在“偏离说明”中注明“正偏离”、“负偏离”或者“无偏离”。既不属于“正偏离”也不属于“负偏离”即为“无偏离”。</w:t>
      </w:r>
    </w:p>
    <w:p>
      <w:pPr>
        <w:pStyle w:val="14"/>
        <w:rPr>
          <w:color w:val="auto"/>
          <w:sz w:val="24"/>
        </w:rPr>
      </w:pPr>
    </w:p>
    <w:p>
      <w:pPr>
        <w:spacing w:before="160"/>
        <w:ind w:left="1280"/>
        <w:rPr>
          <w:color w:val="auto"/>
          <w:sz w:val="24"/>
        </w:rPr>
      </w:pPr>
      <w:r>
        <w:rPr>
          <w:color w:val="auto"/>
          <w:sz w:val="24"/>
        </w:rPr>
        <w:t>法定代表人或者委托代理人（签字）：</w:t>
      </w:r>
    </w:p>
    <w:p>
      <w:pPr>
        <w:spacing w:before="158"/>
        <w:ind w:left="2960"/>
        <w:rPr>
          <w:color w:val="auto"/>
          <w:sz w:val="24"/>
        </w:rPr>
      </w:pPr>
      <w:r>
        <w:rPr>
          <w:color w:val="auto"/>
          <w:sz w:val="24"/>
        </w:rPr>
        <w:t>供应商（电子签章 ）：</w:t>
      </w:r>
    </w:p>
    <w:p>
      <w:pPr>
        <w:tabs>
          <w:tab w:val="left" w:pos="1289"/>
          <w:tab w:val="left" w:pos="1889"/>
          <w:tab w:val="left" w:pos="2489"/>
        </w:tabs>
        <w:spacing w:before="161"/>
        <w:ind w:left="210"/>
        <w:jc w:val="center"/>
        <w:rPr>
          <w:color w:val="auto"/>
          <w:sz w:val="24"/>
        </w:rPr>
      </w:pPr>
      <w:r>
        <w:rPr>
          <w:color w:val="auto"/>
          <w:sz w:val="24"/>
        </w:rPr>
        <w:t>日期：</w:t>
      </w:r>
      <w:r>
        <w:rPr>
          <w:color w:val="auto"/>
          <w:sz w:val="24"/>
        </w:rPr>
        <w:tab/>
      </w:r>
      <w:r>
        <w:rPr>
          <w:color w:val="auto"/>
          <w:sz w:val="24"/>
        </w:rPr>
        <w:t>年</w:t>
      </w:r>
      <w:r>
        <w:rPr>
          <w:color w:val="auto"/>
          <w:sz w:val="24"/>
        </w:rPr>
        <w:tab/>
      </w:r>
      <w:r>
        <w:rPr>
          <w:color w:val="auto"/>
          <w:sz w:val="24"/>
        </w:rPr>
        <w:t>月</w:t>
      </w:r>
      <w:r>
        <w:rPr>
          <w:color w:val="auto"/>
          <w:sz w:val="24"/>
        </w:rPr>
        <w:tab/>
      </w:r>
      <w:r>
        <w:rPr>
          <w:color w:val="auto"/>
          <w:sz w:val="24"/>
        </w:rPr>
        <w:t>日</w:t>
      </w:r>
    </w:p>
    <w:p>
      <w:pPr>
        <w:jc w:val="center"/>
        <w:rPr>
          <w:color w:val="auto"/>
          <w:sz w:val="24"/>
        </w:rPr>
        <w:sectPr>
          <w:pgSz w:w="11910" w:h="16840"/>
          <w:pgMar w:top="1417" w:right="1417" w:bottom="1417" w:left="1417" w:header="0" w:footer="1202" w:gutter="0"/>
          <w:cols w:space="0" w:num="1"/>
        </w:sectPr>
      </w:pPr>
    </w:p>
    <w:p>
      <w:pPr>
        <w:pStyle w:val="14"/>
        <w:rPr>
          <w:color w:val="auto"/>
          <w:sz w:val="20"/>
        </w:rPr>
      </w:pPr>
    </w:p>
    <w:p>
      <w:pPr>
        <w:pStyle w:val="14"/>
        <w:spacing w:before="2"/>
        <w:rPr>
          <w:color w:val="auto"/>
          <w:sz w:val="18"/>
        </w:rPr>
      </w:pPr>
    </w:p>
    <w:p>
      <w:pPr>
        <w:spacing w:before="24" w:line="360" w:lineRule="auto"/>
        <w:ind w:left="1769" w:right="1769"/>
        <w:jc w:val="center"/>
        <w:rPr>
          <w:b/>
          <w:bCs/>
          <w:color w:val="auto"/>
          <w:sz w:val="30"/>
          <w:szCs w:val="30"/>
        </w:rPr>
      </w:pPr>
      <w:r>
        <w:rPr>
          <w:rFonts w:hint="eastAsia"/>
          <w:b/>
          <w:bCs/>
          <w:color w:val="auto"/>
          <w:sz w:val="30"/>
          <w:szCs w:val="30"/>
        </w:rPr>
        <w:t>项目实施人员一览表</w:t>
      </w:r>
    </w:p>
    <w:p>
      <w:pPr>
        <w:pStyle w:val="14"/>
        <w:rPr>
          <w:b/>
          <w:color w:val="auto"/>
          <w:sz w:val="20"/>
        </w:rPr>
      </w:pPr>
    </w:p>
    <w:p>
      <w:pPr>
        <w:pStyle w:val="14"/>
        <w:spacing w:before="4"/>
        <w:rPr>
          <w:b/>
          <w:color w:val="auto"/>
          <w:sz w:val="16"/>
        </w:rPr>
      </w:pPr>
    </w:p>
    <w:tbl>
      <w:tblPr>
        <w:tblStyle w:val="29"/>
        <w:tblW w:w="9036" w:type="dxa"/>
        <w:tblInd w:w="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782"/>
        <w:gridCol w:w="3095"/>
        <w:gridCol w:w="1845"/>
        <w:gridCol w:w="1485"/>
        <w:gridCol w:w="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902" w:type="dxa"/>
            <w:vAlign w:val="center"/>
          </w:tcPr>
          <w:p>
            <w:pPr>
              <w:pStyle w:val="36"/>
              <w:spacing w:line="360" w:lineRule="auto"/>
              <w:jc w:val="center"/>
              <w:rPr>
                <w:color w:val="auto"/>
                <w:sz w:val="24"/>
                <w:szCs w:val="24"/>
              </w:rPr>
            </w:pPr>
            <w:r>
              <w:rPr>
                <w:color w:val="auto"/>
                <w:sz w:val="24"/>
                <w:szCs w:val="24"/>
              </w:rPr>
              <w:t>姓名</w:t>
            </w:r>
          </w:p>
        </w:tc>
        <w:tc>
          <w:tcPr>
            <w:tcW w:w="782" w:type="dxa"/>
            <w:vAlign w:val="center"/>
          </w:tcPr>
          <w:p>
            <w:pPr>
              <w:pStyle w:val="36"/>
              <w:spacing w:line="360" w:lineRule="auto"/>
              <w:jc w:val="center"/>
              <w:rPr>
                <w:color w:val="auto"/>
                <w:sz w:val="24"/>
                <w:szCs w:val="24"/>
              </w:rPr>
            </w:pPr>
            <w:r>
              <w:rPr>
                <w:color w:val="auto"/>
                <w:sz w:val="24"/>
                <w:szCs w:val="24"/>
              </w:rPr>
              <w:t>职务</w:t>
            </w:r>
          </w:p>
        </w:tc>
        <w:tc>
          <w:tcPr>
            <w:tcW w:w="3095" w:type="dxa"/>
            <w:vAlign w:val="center"/>
          </w:tcPr>
          <w:p>
            <w:pPr>
              <w:pStyle w:val="36"/>
              <w:spacing w:line="360" w:lineRule="auto"/>
              <w:jc w:val="center"/>
              <w:rPr>
                <w:color w:val="auto"/>
                <w:sz w:val="24"/>
                <w:szCs w:val="24"/>
              </w:rPr>
            </w:pPr>
            <w:r>
              <w:rPr>
                <w:color w:val="auto"/>
                <w:sz w:val="24"/>
                <w:szCs w:val="24"/>
              </w:rPr>
              <w:t>专业技术资格（职称）</w:t>
            </w:r>
            <w:r>
              <w:rPr>
                <w:color w:val="auto"/>
                <w:spacing w:val="-9"/>
                <w:sz w:val="24"/>
                <w:szCs w:val="24"/>
              </w:rPr>
              <w:t>或者</w:t>
            </w:r>
            <w:r>
              <w:rPr>
                <w:color w:val="auto"/>
                <w:spacing w:val="-3"/>
                <w:sz w:val="24"/>
                <w:szCs w:val="24"/>
              </w:rPr>
              <w:t>职业资格或者执业资格证或</w:t>
            </w:r>
          </w:p>
          <w:p>
            <w:pPr>
              <w:pStyle w:val="36"/>
              <w:spacing w:line="360" w:lineRule="auto"/>
              <w:jc w:val="center"/>
              <w:rPr>
                <w:color w:val="auto"/>
                <w:sz w:val="24"/>
                <w:szCs w:val="24"/>
              </w:rPr>
            </w:pPr>
            <w:r>
              <w:rPr>
                <w:color w:val="auto"/>
                <w:sz w:val="24"/>
                <w:szCs w:val="24"/>
              </w:rPr>
              <w:t>者其他证书</w:t>
            </w:r>
          </w:p>
        </w:tc>
        <w:tc>
          <w:tcPr>
            <w:tcW w:w="1845" w:type="dxa"/>
            <w:vAlign w:val="center"/>
          </w:tcPr>
          <w:p>
            <w:pPr>
              <w:pStyle w:val="36"/>
              <w:spacing w:line="360" w:lineRule="auto"/>
              <w:jc w:val="center"/>
              <w:rPr>
                <w:color w:val="auto"/>
                <w:sz w:val="24"/>
                <w:szCs w:val="24"/>
              </w:rPr>
            </w:pPr>
            <w:r>
              <w:rPr>
                <w:color w:val="auto"/>
                <w:sz w:val="24"/>
                <w:szCs w:val="24"/>
              </w:rPr>
              <w:t>证书编号</w:t>
            </w:r>
          </w:p>
        </w:tc>
        <w:tc>
          <w:tcPr>
            <w:tcW w:w="1485" w:type="dxa"/>
            <w:vAlign w:val="center"/>
          </w:tcPr>
          <w:p>
            <w:pPr>
              <w:pStyle w:val="36"/>
              <w:spacing w:line="360" w:lineRule="auto"/>
              <w:ind w:hanging="120"/>
              <w:jc w:val="center"/>
              <w:rPr>
                <w:color w:val="auto"/>
                <w:sz w:val="24"/>
                <w:szCs w:val="24"/>
              </w:rPr>
            </w:pPr>
            <w:r>
              <w:rPr>
                <w:color w:val="auto"/>
                <w:sz w:val="24"/>
                <w:szCs w:val="24"/>
              </w:rPr>
              <w:t>参加本单位工作时间</w:t>
            </w:r>
          </w:p>
        </w:tc>
        <w:tc>
          <w:tcPr>
            <w:tcW w:w="927" w:type="dxa"/>
            <w:vAlign w:val="center"/>
          </w:tcPr>
          <w:p>
            <w:pPr>
              <w:pStyle w:val="36"/>
              <w:spacing w:line="360" w:lineRule="auto"/>
              <w:jc w:val="center"/>
              <w:rPr>
                <w:color w:val="auto"/>
                <w:sz w:val="24"/>
                <w:szCs w:val="24"/>
              </w:rPr>
            </w:pPr>
            <w:r>
              <w:rPr>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902" w:type="dxa"/>
          </w:tcPr>
          <w:p>
            <w:pPr>
              <w:pStyle w:val="36"/>
              <w:rPr>
                <w:rFonts w:ascii="Times New Roman"/>
                <w:color w:val="auto"/>
                <w:sz w:val="24"/>
              </w:rPr>
            </w:pPr>
          </w:p>
        </w:tc>
        <w:tc>
          <w:tcPr>
            <w:tcW w:w="782" w:type="dxa"/>
          </w:tcPr>
          <w:p>
            <w:pPr>
              <w:pStyle w:val="36"/>
              <w:rPr>
                <w:rFonts w:ascii="Times New Roman"/>
                <w:color w:val="auto"/>
                <w:sz w:val="24"/>
              </w:rPr>
            </w:pPr>
          </w:p>
        </w:tc>
        <w:tc>
          <w:tcPr>
            <w:tcW w:w="3095" w:type="dxa"/>
          </w:tcPr>
          <w:p>
            <w:pPr>
              <w:pStyle w:val="36"/>
              <w:rPr>
                <w:rFonts w:ascii="Times New Roman"/>
                <w:color w:val="auto"/>
                <w:sz w:val="24"/>
              </w:rPr>
            </w:pPr>
          </w:p>
        </w:tc>
        <w:tc>
          <w:tcPr>
            <w:tcW w:w="1845" w:type="dxa"/>
          </w:tcPr>
          <w:p>
            <w:pPr>
              <w:pStyle w:val="36"/>
              <w:rPr>
                <w:rFonts w:ascii="Times New Roman"/>
                <w:color w:val="auto"/>
                <w:sz w:val="24"/>
              </w:rPr>
            </w:pPr>
          </w:p>
        </w:tc>
        <w:tc>
          <w:tcPr>
            <w:tcW w:w="1485" w:type="dxa"/>
          </w:tcPr>
          <w:p>
            <w:pPr>
              <w:pStyle w:val="36"/>
              <w:rPr>
                <w:rFonts w:ascii="Times New Roman"/>
                <w:color w:val="auto"/>
                <w:sz w:val="24"/>
              </w:rPr>
            </w:pPr>
          </w:p>
        </w:tc>
        <w:tc>
          <w:tcPr>
            <w:tcW w:w="927" w:type="dxa"/>
          </w:tcPr>
          <w:p>
            <w:pPr>
              <w:pStyle w:val="36"/>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902" w:type="dxa"/>
          </w:tcPr>
          <w:p>
            <w:pPr>
              <w:pStyle w:val="36"/>
              <w:rPr>
                <w:rFonts w:ascii="Times New Roman"/>
                <w:color w:val="auto"/>
                <w:sz w:val="24"/>
              </w:rPr>
            </w:pPr>
          </w:p>
        </w:tc>
        <w:tc>
          <w:tcPr>
            <w:tcW w:w="782" w:type="dxa"/>
          </w:tcPr>
          <w:p>
            <w:pPr>
              <w:pStyle w:val="36"/>
              <w:rPr>
                <w:rFonts w:ascii="Times New Roman"/>
                <w:color w:val="auto"/>
                <w:sz w:val="24"/>
              </w:rPr>
            </w:pPr>
          </w:p>
        </w:tc>
        <w:tc>
          <w:tcPr>
            <w:tcW w:w="3095" w:type="dxa"/>
          </w:tcPr>
          <w:p>
            <w:pPr>
              <w:pStyle w:val="36"/>
              <w:rPr>
                <w:rFonts w:ascii="Times New Roman"/>
                <w:color w:val="auto"/>
                <w:sz w:val="24"/>
              </w:rPr>
            </w:pPr>
          </w:p>
        </w:tc>
        <w:tc>
          <w:tcPr>
            <w:tcW w:w="1845" w:type="dxa"/>
          </w:tcPr>
          <w:p>
            <w:pPr>
              <w:pStyle w:val="36"/>
              <w:rPr>
                <w:rFonts w:ascii="Times New Roman"/>
                <w:color w:val="auto"/>
                <w:sz w:val="24"/>
              </w:rPr>
            </w:pPr>
          </w:p>
        </w:tc>
        <w:tc>
          <w:tcPr>
            <w:tcW w:w="1485" w:type="dxa"/>
          </w:tcPr>
          <w:p>
            <w:pPr>
              <w:pStyle w:val="36"/>
              <w:rPr>
                <w:rFonts w:ascii="Times New Roman"/>
                <w:color w:val="auto"/>
                <w:sz w:val="24"/>
              </w:rPr>
            </w:pPr>
          </w:p>
        </w:tc>
        <w:tc>
          <w:tcPr>
            <w:tcW w:w="927" w:type="dxa"/>
          </w:tcPr>
          <w:p>
            <w:pPr>
              <w:pStyle w:val="36"/>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902" w:type="dxa"/>
          </w:tcPr>
          <w:p>
            <w:pPr>
              <w:pStyle w:val="36"/>
              <w:rPr>
                <w:rFonts w:ascii="Times New Roman"/>
                <w:color w:val="auto"/>
                <w:sz w:val="24"/>
              </w:rPr>
            </w:pPr>
          </w:p>
        </w:tc>
        <w:tc>
          <w:tcPr>
            <w:tcW w:w="782" w:type="dxa"/>
          </w:tcPr>
          <w:p>
            <w:pPr>
              <w:pStyle w:val="36"/>
              <w:rPr>
                <w:rFonts w:ascii="Times New Roman"/>
                <w:color w:val="auto"/>
                <w:sz w:val="24"/>
              </w:rPr>
            </w:pPr>
          </w:p>
        </w:tc>
        <w:tc>
          <w:tcPr>
            <w:tcW w:w="3095" w:type="dxa"/>
          </w:tcPr>
          <w:p>
            <w:pPr>
              <w:pStyle w:val="36"/>
              <w:rPr>
                <w:rFonts w:ascii="Times New Roman"/>
                <w:color w:val="auto"/>
                <w:sz w:val="24"/>
              </w:rPr>
            </w:pPr>
          </w:p>
        </w:tc>
        <w:tc>
          <w:tcPr>
            <w:tcW w:w="1845" w:type="dxa"/>
          </w:tcPr>
          <w:p>
            <w:pPr>
              <w:pStyle w:val="36"/>
              <w:rPr>
                <w:rFonts w:ascii="Times New Roman"/>
                <w:color w:val="auto"/>
                <w:sz w:val="24"/>
              </w:rPr>
            </w:pPr>
          </w:p>
        </w:tc>
        <w:tc>
          <w:tcPr>
            <w:tcW w:w="1485" w:type="dxa"/>
          </w:tcPr>
          <w:p>
            <w:pPr>
              <w:pStyle w:val="36"/>
              <w:rPr>
                <w:rFonts w:ascii="Times New Roman"/>
                <w:color w:val="auto"/>
                <w:sz w:val="24"/>
              </w:rPr>
            </w:pPr>
          </w:p>
        </w:tc>
        <w:tc>
          <w:tcPr>
            <w:tcW w:w="927" w:type="dxa"/>
          </w:tcPr>
          <w:p>
            <w:pPr>
              <w:pStyle w:val="36"/>
              <w:rPr>
                <w:rFonts w:ascii="Times New Roman"/>
                <w:color w:val="auto"/>
                <w:sz w:val="24"/>
              </w:rPr>
            </w:pPr>
          </w:p>
        </w:tc>
      </w:tr>
    </w:tbl>
    <w:p>
      <w:pPr>
        <w:spacing w:line="360" w:lineRule="auto"/>
        <w:rPr>
          <w:color w:val="auto"/>
          <w:spacing w:val="-8"/>
          <w:sz w:val="24"/>
          <w:szCs w:val="24"/>
        </w:rPr>
      </w:pPr>
      <w:r>
        <w:rPr>
          <w:color w:val="auto"/>
          <w:spacing w:val="-8"/>
          <w:sz w:val="24"/>
          <w:szCs w:val="24"/>
        </w:rPr>
        <w:t>注：</w:t>
      </w:r>
    </w:p>
    <w:p>
      <w:pPr>
        <w:spacing w:line="360" w:lineRule="auto"/>
        <w:rPr>
          <w:color w:val="auto"/>
          <w:spacing w:val="-8"/>
          <w:sz w:val="24"/>
          <w:szCs w:val="24"/>
        </w:rPr>
      </w:pPr>
      <w:r>
        <w:rPr>
          <w:rFonts w:hint="eastAsia"/>
          <w:color w:val="auto"/>
          <w:spacing w:val="-8"/>
          <w:sz w:val="24"/>
          <w:szCs w:val="24"/>
          <w:lang w:val="en-US"/>
        </w:rPr>
        <w:t>1、</w:t>
      </w:r>
      <w:r>
        <w:rPr>
          <w:color w:val="auto"/>
          <w:spacing w:val="-8"/>
          <w:sz w:val="24"/>
          <w:szCs w:val="24"/>
        </w:rPr>
        <w:t>在填写时，如本表格不适合供应商的实际情况，可根据本表格式自行制表填写。</w:t>
      </w:r>
    </w:p>
    <w:p>
      <w:pPr>
        <w:spacing w:line="360" w:lineRule="auto"/>
        <w:rPr>
          <w:color w:val="auto"/>
          <w:spacing w:val="-8"/>
          <w:sz w:val="24"/>
          <w:szCs w:val="24"/>
        </w:rPr>
      </w:pPr>
      <w:r>
        <w:rPr>
          <w:rFonts w:hint="eastAsia"/>
          <w:color w:val="auto"/>
          <w:spacing w:val="-8"/>
          <w:sz w:val="24"/>
          <w:szCs w:val="24"/>
          <w:lang w:val="en-US"/>
        </w:rPr>
        <w:t>2、</w:t>
      </w:r>
      <w:r>
        <w:rPr>
          <w:color w:val="auto"/>
          <w:spacing w:val="-8"/>
          <w:sz w:val="24"/>
          <w:szCs w:val="24"/>
        </w:rPr>
        <w:t>供应商应当附本表所列证书的扫描件并加盖供应商公章。</w:t>
      </w:r>
    </w:p>
    <w:p>
      <w:pPr>
        <w:tabs>
          <w:tab w:val="left" w:pos="561"/>
          <w:tab w:val="left" w:pos="5378"/>
        </w:tabs>
        <w:spacing w:before="158" w:line="364" w:lineRule="auto"/>
        <w:ind w:left="320" w:right="4549"/>
        <w:rPr>
          <w:color w:val="auto"/>
          <w:sz w:val="24"/>
        </w:rPr>
      </w:pPr>
    </w:p>
    <w:p>
      <w:pPr>
        <w:tabs>
          <w:tab w:val="left" w:pos="561"/>
          <w:tab w:val="left" w:pos="5378"/>
        </w:tabs>
        <w:spacing w:before="158" w:line="364" w:lineRule="auto"/>
        <w:ind w:left="320" w:right="4549"/>
        <w:rPr>
          <w:color w:val="auto"/>
          <w:sz w:val="24"/>
        </w:rPr>
      </w:pPr>
    </w:p>
    <w:p>
      <w:pPr>
        <w:tabs>
          <w:tab w:val="left" w:pos="561"/>
          <w:tab w:val="left" w:pos="5378"/>
        </w:tabs>
        <w:spacing w:line="360" w:lineRule="auto"/>
        <w:rPr>
          <w:rFonts w:ascii="Times New Roman" w:eastAsia="Times New Roman"/>
          <w:color w:val="auto"/>
          <w:sz w:val="24"/>
        </w:rPr>
      </w:pPr>
      <w:r>
        <w:rPr>
          <w:color w:val="auto"/>
          <w:sz w:val="24"/>
        </w:rPr>
        <w:t>法定代表人或者委托代理人</w:t>
      </w:r>
      <w:r>
        <w:rPr>
          <w:color w:val="auto"/>
          <w:spacing w:val="40"/>
          <w:sz w:val="24"/>
        </w:rPr>
        <w:t>签</w:t>
      </w:r>
      <w:r>
        <w:rPr>
          <w:color w:val="auto"/>
          <w:spacing w:val="38"/>
          <w:sz w:val="24"/>
        </w:rPr>
        <w:t>字</w:t>
      </w:r>
      <w:r>
        <w:rPr>
          <w:rFonts w:hint="eastAsia"/>
          <w:color w:val="auto"/>
          <w:spacing w:val="38"/>
          <w:sz w:val="24"/>
        </w:rPr>
        <w:t>或盖章</w:t>
      </w:r>
      <w:r>
        <w:rPr>
          <w:color w:val="auto"/>
          <w:sz w:val="24"/>
        </w:rPr>
        <w:t>：</w:t>
      </w:r>
      <w:r>
        <w:rPr>
          <w:color w:val="auto"/>
          <w:spacing w:val="-80"/>
          <w:sz w:val="24"/>
        </w:rPr>
        <w:t xml:space="preserve"> </w:t>
      </w:r>
      <w:r>
        <w:rPr>
          <w:rFonts w:ascii="Times New Roman" w:eastAsia="Times New Roman"/>
          <w:color w:val="auto"/>
          <w:sz w:val="24"/>
          <w:u w:val="single"/>
        </w:rPr>
        <w:t xml:space="preserve"> </w:t>
      </w:r>
      <w:r>
        <w:rPr>
          <w:rFonts w:hint="eastAsia" w:ascii="Times New Roman"/>
          <w:color w:val="auto"/>
          <w:sz w:val="24"/>
          <w:u w:val="single"/>
          <w:lang w:val="en-US"/>
        </w:rPr>
        <w:t xml:space="preserve">      </w:t>
      </w:r>
      <w:r>
        <w:rPr>
          <w:rFonts w:ascii="Times New Roman" w:eastAsia="Times New Roman"/>
          <w:color w:val="auto"/>
          <w:sz w:val="24"/>
          <w:u w:val="single"/>
        </w:rPr>
        <w:tab/>
      </w:r>
    </w:p>
    <w:p>
      <w:pPr>
        <w:tabs>
          <w:tab w:val="left" w:pos="561"/>
          <w:tab w:val="left" w:pos="5378"/>
        </w:tabs>
        <w:spacing w:line="360" w:lineRule="auto"/>
        <w:rPr>
          <w:color w:val="auto"/>
          <w:sz w:val="24"/>
        </w:rPr>
      </w:pPr>
      <w:r>
        <w:rPr>
          <w:color w:val="auto"/>
          <w:spacing w:val="40"/>
          <w:sz w:val="24"/>
        </w:rPr>
        <w:t>供</w:t>
      </w:r>
      <w:r>
        <w:rPr>
          <w:color w:val="auto"/>
          <w:spacing w:val="38"/>
          <w:sz w:val="24"/>
        </w:rPr>
        <w:t>应</w:t>
      </w:r>
      <w:r>
        <w:rPr>
          <w:color w:val="auto"/>
          <w:spacing w:val="40"/>
          <w:sz w:val="24"/>
        </w:rPr>
        <w:t>商</w:t>
      </w:r>
      <w:r>
        <w:rPr>
          <w:color w:val="auto"/>
          <w:sz w:val="24"/>
        </w:rPr>
        <w:t>（电子签章 ）：</w:t>
      </w:r>
      <w:r>
        <w:rPr>
          <w:color w:val="auto"/>
          <w:sz w:val="24"/>
          <w:u w:val="single"/>
        </w:rPr>
        <w:t xml:space="preserve"> </w:t>
      </w:r>
      <w:r>
        <w:rPr>
          <w:color w:val="auto"/>
          <w:sz w:val="24"/>
          <w:u w:val="single"/>
        </w:rPr>
        <w:tab/>
      </w:r>
      <w:r>
        <w:rPr>
          <w:color w:val="auto"/>
          <w:sz w:val="24"/>
        </w:rPr>
        <w:tab/>
      </w:r>
    </w:p>
    <w:p>
      <w:pPr>
        <w:tabs>
          <w:tab w:val="left" w:pos="561"/>
          <w:tab w:val="left" w:pos="5378"/>
        </w:tabs>
        <w:spacing w:line="360" w:lineRule="auto"/>
        <w:rPr>
          <w:rFonts w:ascii="Times New Roman" w:eastAsia="Times New Roman"/>
          <w:color w:val="auto"/>
          <w:sz w:val="24"/>
        </w:rPr>
      </w:pPr>
      <w:r>
        <w:rPr>
          <w:color w:val="auto"/>
          <w:sz w:val="24"/>
        </w:rPr>
        <w:t>日</w:t>
      </w:r>
      <w:r>
        <w:rPr>
          <w:color w:val="auto"/>
          <w:spacing w:val="79"/>
          <w:sz w:val="24"/>
        </w:rPr>
        <w:t xml:space="preserve"> </w:t>
      </w:r>
      <w:r>
        <w:rPr>
          <w:color w:val="auto"/>
          <w:spacing w:val="40"/>
          <w:sz w:val="24"/>
        </w:rPr>
        <w:t>期</w:t>
      </w:r>
      <w:r>
        <w:rPr>
          <w:color w:val="auto"/>
          <w:sz w:val="24"/>
        </w:rPr>
        <w:t>：</w:t>
      </w:r>
      <w:r>
        <w:rPr>
          <w:color w:val="auto"/>
          <w:spacing w:val="-80"/>
          <w:sz w:val="24"/>
        </w:rPr>
        <w:t xml:space="preserve"> </w:t>
      </w:r>
      <w:r>
        <w:rPr>
          <w:rFonts w:ascii="Times New Roman" w:eastAsia="Times New Roman"/>
          <w:color w:val="auto"/>
          <w:sz w:val="24"/>
          <w:u w:val="single"/>
        </w:rPr>
        <w:t xml:space="preserve"> </w:t>
      </w:r>
      <w:r>
        <w:rPr>
          <w:rFonts w:ascii="Times New Roman" w:eastAsia="Times New Roman"/>
          <w:color w:val="auto"/>
          <w:sz w:val="24"/>
          <w:u w:val="single"/>
        </w:rPr>
        <w:tab/>
      </w:r>
    </w:p>
    <w:p>
      <w:pPr>
        <w:rPr>
          <w:rFonts w:ascii="Times New Roman" w:eastAsia="Times New Roman"/>
          <w:color w:val="auto"/>
          <w:sz w:val="24"/>
        </w:rPr>
        <w:sectPr>
          <w:pgSz w:w="11910" w:h="16840"/>
          <w:pgMar w:top="1417" w:right="1417" w:bottom="1417" w:left="1417" w:header="0" w:footer="1202" w:gutter="0"/>
          <w:cols w:space="0" w:num="1"/>
        </w:sectPr>
      </w:pPr>
    </w:p>
    <w:p>
      <w:pPr>
        <w:pStyle w:val="14"/>
        <w:rPr>
          <w:color w:val="auto"/>
          <w:sz w:val="20"/>
        </w:rPr>
      </w:pPr>
    </w:p>
    <w:p>
      <w:pPr>
        <w:pStyle w:val="14"/>
        <w:spacing w:before="5"/>
        <w:rPr>
          <w:color w:val="auto"/>
          <w:sz w:val="20"/>
        </w:rPr>
      </w:pPr>
    </w:p>
    <w:p>
      <w:pPr>
        <w:tabs>
          <w:tab w:val="left" w:pos="786"/>
        </w:tabs>
        <w:spacing w:line="360" w:lineRule="auto"/>
        <w:ind w:left="440" w:leftChars="200"/>
        <w:jc w:val="center"/>
        <w:rPr>
          <w:b/>
          <w:bCs/>
          <w:color w:val="auto"/>
          <w:sz w:val="28"/>
          <w:szCs w:val="28"/>
        </w:rPr>
      </w:pPr>
      <w:r>
        <w:rPr>
          <w:rFonts w:hint="eastAsia"/>
          <w:b/>
          <w:bCs/>
          <w:color w:val="auto"/>
          <w:sz w:val="28"/>
          <w:szCs w:val="28"/>
        </w:rPr>
        <w:t>报价文件</w:t>
      </w:r>
      <w:r>
        <w:rPr>
          <w:b/>
          <w:bCs/>
          <w:color w:val="auto"/>
          <w:sz w:val="28"/>
          <w:szCs w:val="28"/>
        </w:rPr>
        <w:t>目录</w:t>
      </w:r>
    </w:p>
    <w:p>
      <w:pPr>
        <w:pStyle w:val="14"/>
        <w:rPr>
          <w:color w:val="auto"/>
          <w:sz w:val="32"/>
        </w:rPr>
      </w:pPr>
    </w:p>
    <w:p>
      <w:pPr>
        <w:pStyle w:val="14"/>
        <w:rPr>
          <w:color w:val="auto"/>
          <w:sz w:val="32"/>
        </w:rPr>
      </w:pPr>
    </w:p>
    <w:p>
      <w:pPr>
        <w:pStyle w:val="14"/>
        <w:rPr>
          <w:color w:val="auto"/>
          <w:sz w:val="32"/>
        </w:rPr>
      </w:pPr>
    </w:p>
    <w:p>
      <w:pPr>
        <w:spacing w:line="360" w:lineRule="auto"/>
        <w:ind w:firstLine="480" w:firstLineChars="200"/>
        <w:rPr>
          <w:color w:val="auto"/>
          <w:sz w:val="24"/>
        </w:rPr>
      </w:pPr>
      <w:r>
        <w:rPr>
          <w:color w:val="auto"/>
          <w:sz w:val="24"/>
        </w:rPr>
        <w:t>根据</w:t>
      </w:r>
      <w:r>
        <w:rPr>
          <w:rFonts w:hint="eastAsia"/>
          <w:color w:val="auto"/>
          <w:sz w:val="24"/>
        </w:rPr>
        <w:t>竞争性磋商</w:t>
      </w:r>
      <w:r>
        <w:rPr>
          <w:color w:val="auto"/>
          <w:sz w:val="24"/>
        </w:rPr>
        <w:t>文件规定及供应商提供的材料自行编写目录（部分格式后附）。</w:t>
      </w:r>
    </w:p>
    <w:p>
      <w:pPr>
        <w:spacing w:line="360" w:lineRule="auto"/>
        <w:ind w:firstLine="480" w:firstLineChars="200"/>
        <w:rPr>
          <w:color w:val="auto"/>
          <w:sz w:val="24"/>
        </w:rPr>
        <w:sectPr>
          <w:pgSz w:w="11910" w:h="16840"/>
          <w:pgMar w:top="1417" w:right="1417" w:bottom="1417" w:left="1417" w:header="0" w:footer="1202" w:gutter="0"/>
          <w:cols w:space="0" w:num="1"/>
        </w:sectPr>
      </w:pPr>
    </w:p>
    <w:p>
      <w:pPr>
        <w:spacing w:before="24" w:line="360" w:lineRule="auto"/>
        <w:ind w:left="1769" w:right="1769"/>
        <w:jc w:val="center"/>
        <w:rPr>
          <w:b/>
          <w:bCs/>
          <w:color w:val="auto"/>
          <w:sz w:val="30"/>
          <w:szCs w:val="30"/>
        </w:rPr>
      </w:pPr>
      <w:r>
        <w:rPr>
          <w:rFonts w:hint="eastAsia"/>
          <w:b/>
          <w:bCs/>
          <w:color w:val="auto"/>
          <w:sz w:val="30"/>
          <w:szCs w:val="30"/>
        </w:rPr>
        <w:t>一、响应函</w:t>
      </w:r>
    </w:p>
    <w:p>
      <w:pPr>
        <w:pStyle w:val="14"/>
        <w:spacing w:line="360" w:lineRule="auto"/>
        <w:rPr>
          <w:color w:val="auto"/>
          <w:sz w:val="24"/>
          <w:szCs w:val="24"/>
        </w:rPr>
      </w:pPr>
      <w:r>
        <w:rPr>
          <w:rFonts w:hint="eastAsia"/>
          <w:color w:val="auto"/>
          <w:sz w:val="24"/>
          <w:szCs w:val="24"/>
        </w:rPr>
        <w:t>致：</w:t>
      </w:r>
      <w:r>
        <w:rPr>
          <w:rFonts w:hint="eastAsia"/>
          <w:color w:val="auto"/>
          <w:sz w:val="24"/>
          <w:szCs w:val="24"/>
          <w:u w:val="single"/>
        </w:rPr>
        <w:t>（采购人名称）</w:t>
      </w:r>
      <w:r>
        <w:rPr>
          <w:rFonts w:hint="eastAsia"/>
          <w:color w:val="auto"/>
          <w:sz w:val="24"/>
          <w:szCs w:val="24"/>
        </w:rPr>
        <w:t>：</w:t>
      </w:r>
    </w:p>
    <w:p>
      <w:pPr>
        <w:pStyle w:val="14"/>
        <w:tabs>
          <w:tab w:val="left" w:pos="9559"/>
        </w:tabs>
        <w:spacing w:line="360" w:lineRule="auto"/>
        <w:ind w:firstLine="480" w:firstLineChars="200"/>
        <w:rPr>
          <w:color w:val="auto"/>
          <w:sz w:val="24"/>
          <w:szCs w:val="24"/>
        </w:rPr>
      </w:pPr>
      <w:r>
        <w:rPr>
          <w:rFonts w:hint="eastAsia"/>
          <w:color w:val="auto"/>
          <w:sz w:val="24"/>
          <w:szCs w:val="24"/>
        </w:rPr>
        <w:t>我方</w:t>
      </w:r>
      <w:r>
        <w:rPr>
          <w:rFonts w:hint="eastAsia"/>
          <w:color w:val="auto"/>
          <w:sz w:val="24"/>
          <w:szCs w:val="24"/>
          <w:u w:val="single"/>
        </w:rPr>
        <w:t>（供应商名称）</w:t>
      </w:r>
      <w:r>
        <w:rPr>
          <w:rFonts w:hint="eastAsia"/>
          <w:color w:val="auto"/>
          <w:sz w:val="24"/>
          <w:szCs w:val="24"/>
        </w:rPr>
        <w:t>系中华人民共和国合法供应商，经营地址</w:t>
      </w:r>
      <w:r>
        <w:rPr>
          <w:rFonts w:hint="eastAsia"/>
          <w:color w:val="auto"/>
          <w:sz w:val="24"/>
          <w:szCs w:val="24"/>
          <w:u w:val="single"/>
        </w:rPr>
        <w:t xml:space="preserve"> </w:t>
      </w:r>
      <w:r>
        <w:rPr>
          <w:rFonts w:hint="eastAsia"/>
          <w:color w:val="auto"/>
          <w:sz w:val="24"/>
          <w:szCs w:val="24"/>
          <w:u w:val="single"/>
          <w:lang w:val="en-US"/>
        </w:rPr>
        <w:t xml:space="preserve">            </w:t>
      </w:r>
      <w:r>
        <w:rPr>
          <w:rFonts w:hint="eastAsia"/>
          <w:color w:val="auto"/>
          <w:sz w:val="24"/>
          <w:szCs w:val="24"/>
        </w:rPr>
        <w:t>。</w:t>
      </w:r>
    </w:p>
    <w:p>
      <w:pPr>
        <w:pStyle w:val="14"/>
        <w:spacing w:line="360" w:lineRule="auto"/>
        <w:ind w:firstLine="480" w:firstLineChars="200"/>
        <w:jc w:val="both"/>
        <w:rPr>
          <w:color w:val="auto"/>
          <w:sz w:val="24"/>
          <w:szCs w:val="24"/>
        </w:rPr>
      </w:pPr>
      <w:r>
        <w:rPr>
          <w:rFonts w:hint="eastAsia"/>
          <w:color w:val="auto"/>
          <w:sz w:val="24"/>
          <w:szCs w:val="24"/>
        </w:rPr>
        <w:t>我方愿意参加贵方组织的</w:t>
      </w:r>
      <w:r>
        <w:rPr>
          <w:rFonts w:hint="eastAsia"/>
          <w:color w:val="auto"/>
          <w:sz w:val="24"/>
          <w:szCs w:val="24"/>
          <w:u w:val="single"/>
        </w:rPr>
        <w:t>（项目名称）</w:t>
      </w:r>
      <w:r>
        <w:rPr>
          <w:rFonts w:hint="eastAsia"/>
          <w:color w:val="auto"/>
          <w:sz w:val="24"/>
          <w:szCs w:val="24"/>
        </w:rPr>
        <w:t>项目的竞标，为便于贵方公正、择优地确定成交供应商及其竞标服务，我方就本次竞标有关事项郑重声明如下：</w:t>
      </w:r>
    </w:p>
    <w:p>
      <w:pPr>
        <w:pStyle w:val="35"/>
        <w:numPr>
          <w:ilvl w:val="1"/>
          <w:numId w:val="26"/>
        </w:numPr>
        <w:tabs>
          <w:tab w:val="left" w:pos="952"/>
        </w:tabs>
        <w:spacing w:line="360" w:lineRule="auto"/>
        <w:ind w:left="0" w:firstLine="480" w:firstLineChars="200"/>
        <w:rPr>
          <w:color w:val="auto"/>
          <w:sz w:val="24"/>
          <w:szCs w:val="24"/>
        </w:rPr>
      </w:pPr>
      <w:r>
        <w:rPr>
          <w:rFonts w:hint="eastAsia"/>
          <w:color w:val="auto"/>
          <w:sz w:val="24"/>
          <w:szCs w:val="24"/>
        </w:rPr>
        <w:t>我方向贵方提交的所有响应文件、资料都是准确的和真实的。</w:t>
      </w:r>
    </w:p>
    <w:p>
      <w:pPr>
        <w:pStyle w:val="35"/>
        <w:numPr>
          <w:ilvl w:val="1"/>
          <w:numId w:val="26"/>
        </w:numPr>
        <w:tabs>
          <w:tab w:val="left" w:pos="952"/>
        </w:tabs>
        <w:spacing w:line="360" w:lineRule="auto"/>
        <w:ind w:left="0" w:firstLine="464" w:firstLineChars="200"/>
        <w:rPr>
          <w:color w:val="auto"/>
          <w:sz w:val="24"/>
          <w:szCs w:val="24"/>
        </w:rPr>
      </w:pPr>
      <w:r>
        <w:rPr>
          <w:rFonts w:hint="eastAsia"/>
          <w:color w:val="auto"/>
          <w:spacing w:val="-4"/>
          <w:sz w:val="24"/>
          <w:szCs w:val="24"/>
        </w:rPr>
        <w:t>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pPr>
        <w:pStyle w:val="35"/>
        <w:numPr>
          <w:ilvl w:val="1"/>
          <w:numId w:val="26"/>
        </w:numPr>
        <w:tabs>
          <w:tab w:val="left" w:pos="952"/>
        </w:tabs>
        <w:spacing w:line="360" w:lineRule="auto"/>
        <w:ind w:left="0" w:firstLine="480" w:firstLineChars="200"/>
        <w:rPr>
          <w:color w:val="auto"/>
          <w:sz w:val="24"/>
          <w:szCs w:val="24"/>
        </w:rPr>
      </w:pPr>
      <w:r>
        <w:rPr>
          <w:rFonts w:hint="eastAsia"/>
          <w:color w:val="auto"/>
          <w:sz w:val="24"/>
          <w:szCs w:val="24"/>
        </w:rPr>
        <w:t>在此，我方宣布同意如下：</w:t>
      </w:r>
    </w:p>
    <w:p>
      <w:pPr>
        <w:pStyle w:val="35"/>
        <w:numPr>
          <w:ilvl w:val="0"/>
          <w:numId w:val="27"/>
        </w:numPr>
        <w:tabs>
          <w:tab w:val="left" w:pos="1057"/>
        </w:tabs>
        <w:spacing w:line="360" w:lineRule="auto"/>
        <w:ind w:left="0" w:firstLine="480" w:firstLineChars="200"/>
        <w:rPr>
          <w:color w:val="auto"/>
          <w:sz w:val="24"/>
          <w:szCs w:val="24"/>
        </w:rPr>
      </w:pPr>
      <w:r>
        <w:rPr>
          <w:rFonts w:hint="eastAsia"/>
          <w:color w:val="auto"/>
          <w:sz w:val="24"/>
          <w:szCs w:val="24"/>
        </w:rPr>
        <w:t>将按谈判文件的约定履行合同责任和义务；</w:t>
      </w:r>
    </w:p>
    <w:p>
      <w:pPr>
        <w:pStyle w:val="35"/>
        <w:numPr>
          <w:ilvl w:val="0"/>
          <w:numId w:val="27"/>
        </w:numPr>
        <w:tabs>
          <w:tab w:val="left" w:pos="1057"/>
        </w:tabs>
        <w:spacing w:line="360" w:lineRule="auto"/>
        <w:ind w:left="0" w:firstLine="480" w:firstLineChars="200"/>
        <w:rPr>
          <w:color w:val="auto"/>
          <w:sz w:val="24"/>
          <w:szCs w:val="24"/>
        </w:rPr>
      </w:pPr>
      <w:r>
        <w:rPr>
          <w:rFonts w:hint="eastAsia"/>
          <w:color w:val="auto"/>
          <w:sz w:val="24"/>
          <w:szCs w:val="24"/>
        </w:rPr>
        <w:t>已详细审查全部谈判文件，包括补遗文件（如有）；</w:t>
      </w:r>
    </w:p>
    <w:p>
      <w:pPr>
        <w:pStyle w:val="35"/>
        <w:numPr>
          <w:ilvl w:val="0"/>
          <w:numId w:val="27"/>
        </w:numPr>
        <w:tabs>
          <w:tab w:val="left" w:pos="1057"/>
        </w:tabs>
        <w:spacing w:line="360" w:lineRule="auto"/>
        <w:ind w:left="0" w:firstLine="480" w:firstLineChars="200"/>
        <w:rPr>
          <w:color w:val="auto"/>
          <w:sz w:val="24"/>
          <w:szCs w:val="24"/>
        </w:rPr>
      </w:pPr>
      <w:r>
        <w:rPr>
          <w:rFonts w:hint="eastAsia"/>
          <w:color w:val="auto"/>
          <w:sz w:val="24"/>
          <w:szCs w:val="24"/>
        </w:rPr>
        <w:t xml:space="preserve">同意提供按照贵方可能要求的与谈判有关的一切数据或者资料； </w:t>
      </w:r>
    </w:p>
    <w:p>
      <w:pPr>
        <w:pStyle w:val="35"/>
        <w:numPr>
          <w:ilvl w:val="0"/>
          <w:numId w:val="27"/>
        </w:numPr>
        <w:tabs>
          <w:tab w:val="left" w:pos="1057"/>
        </w:tabs>
        <w:spacing w:line="360" w:lineRule="auto"/>
        <w:ind w:left="0" w:firstLine="480" w:firstLineChars="200"/>
        <w:rPr>
          <w:color w:val="auto"/>
          <w:sz w:val="24"/>
          <w:szCs w:val="24"/>
        </w:rPr>
      </w:pPr>
      <w:r>
        <w:rPr>
          <w:rFonts w:hint="eastAsia"/>
          <w:color w:val="auto"/>
          <w:sz w:val="24"/>
          <w:szCs w:val="24"/>
        </w:rPr>
        <w:t>响应谈判文件规定的竞标有效期。</w:t>
      </w:r>
    </w:p>
    <w:p>
      <w:pPr>
        <w:pStyle w:val="35"/>
        <w:numPr>
          <w:ilvl w:val="1"/>
          <w:numId w:val="26"/>
        </w:numPr>
        <w:tabs>
          <w:tab w:val="left" w:pos="952"/>
        </w:tabs>
        <w:spacing w:line="360" w:lineRule="auto"/>
        <w:ind w:left="0" w:firstLine="480" w:firstLineChars="200"/>
        <w:rPr>
          <w:color w:val="auto"/>
          <w:sz w:val="24"/>
          <w:szCs w:val="24"/>
        </w:rPr>
      </w:pPr>
      <w:r>
        <w:rPr>
          <w:rFonts w:hint="eastAsia"/>
          <w:color w:val="auto"/>
          <w:sz w:val="24"/>
          <w:szCs w:val="24"/>
        </w:rPr>
        <w:t>我方承诺符合《中华人民共和国政府采购法》第二十二条规定：</w:t>
      </w:r>
    </w:p>
    <w:p>
      <w:pPr>
        <w:pStyle w:val="35"/>
        <w:numPr>
          <w:ilvl w:val="0"/>
          <w:numId w:val="28"/>
        </w:numPr>
        <w:tabs>
          <w:tab w:val="left" w:pos="1265"/>
        </w:tabs>
        <w:spacing w:line="360" w:lineRule="auto"/>
        <w:ind w:left="0" w:firstLine="480" w:firstLineChars="200"/>
        <w:rPr>
          <w:color w:val="auto"/>
          <w:sz w:val="24"/>
          <w:szCs w:val="24"/>
        </w:rPr>
      </w:pPr>
      <w:r>
        <w:rPr>
          <w:rFonts w:hint="eastAsia"/>
          <w:color w:val="auto"/>
          <w:sz w:val="24"/>
          <w:szCs w:val="24"/>
        </w:rPr>
        <w:t>具有独立承担民事责任的能力；</w:t>
      </w:r>
    </w:p>
    <w:p>
      <w:pPr>
        <w:pStyle w:val="35"/>
        <w:numPr>
          <w:ilvl w:val="0"/>
          <w:numId w:val="28"/>
        </w:numPr>
        <w:tabs>
          <w:tab w:val="left" w:pos="1265"/>
        </w:tabs>
        <w:spacing w:line="360" w:lineRule="auto"/>
        <w:ind w:left="0" w:firstLine="480" w:firstLineChars="200"/>
        <w:rPr>
          <w:color w:val="auto"/>
          <w:sz w:val="24"/>
          <w:szCs w:val="24"/>
        </w:rPr>
      </w:pPr>
      <w:r>
        <w:rPr>
          <w:rFonts w:hint="eastAsia"/>
          <w:color w:val="auto"/>
          <w:sz w:val="24"/>
          <w:szCs w:val="24"/>
        </w:rPr>
        <w:t>具有良好的商业信誉和健全的财务会计制度；</w:t>
      </w:r>
    </w:p>
    <w:p>
      <w:pPr>
        <w:pStyle w:val="35"/>
        <w:numPr>
          <w:ilvl w:val="0"/>
          <w:numId w:val="28"/>
        </w:numPr>
        <w:tabs>
          <w:tab w:val="left" w:pos="1265"/>
        </w:tabs>
        <w:spacing w:line="360" w:lineRule="auto"/>
        <w:ind w:left="0" w:firstLine="480" w:firstLineChars="200"/>
        <w:rPr>
          <w:color w:val="auto"/>
          <w:sz w:val="24"/>
          <w:szCs w:val="24"/>
        </w:rPr>
      </w:pPr>
      <w:r>
        <w:rPr>
          <w:rFonts w:hint="eastAsia"/>
          <w:color w:val="auto"/>
          <w:sz w:val="24"/>
          <w:szCs w:val="24"/>
        </w:rPr>
        <w:t>具有履行合同所必需的设备和专业技术能力；</w:t>
      </w:r>
    </w:p>
    <w:p>
      <w:pPr>
        <w:pStyle w:val="35"/>
        <w:numPr>
          <w:ilvl w:val="0"/>
          <w:numId w:val="28"/>
        </w:numPr>
        <w:tabs>
          <w:tab w:val="left" w:pos="1265"/>
        </w:tabs>
        <w:spacing w:line="360" w:lineRule="auto"/>
        <w:ind w:left="0" w:firstLine="480" w:firstLineChars="200"/>
        <w:rPr>
          <w:color w:val="auto"/>
          <w:sz w:val="24"/>
          <w:szCs w:val="24"/>
        </w:rPr>
      </w:pPr>
      <w:r>
        <w:rPr>
          <w:rFonts w:hint="eastAsia"/>
          <w:color w:val="auto"/>
          <w:sz w:val="24"/>
          <w:szCs w:val="24"/>
        </w:rPr>
        <w:t>有依法缴纳税收和社会保障资金的良好记录；</w:t>
      </w:r>
    </w:p>
    <w:p>
      <w:pPr>
        <w:pStyle w:val="35"/>
        <w:numPr>
          <w:ilvl w:val="0"/>
          <w:numId w:val="28"/>
        </w:numPr>
        <w:tabs>
          <w:tab w:val="left" w:pos="1265"/>
        </w:tabs>
        <w:spacing w:line="360" w:lineRule="auto"/>
        <w:ind w:left="0" w:firstLine="480" w:firstLineChars="200"/>
        <w:rPr>
          <w:color w:val="auto"/>
          <w:sz w:val="24"/>
          <w:szCs w:val="24"/>
        </w:rPr>
      </w:pPr>
      <w:r>
        <w:rPr>
          <w:rFonts w:hint="eastAsia"/>
          <w:color w:val="auto"/>
          <w:sz w:val="24"/>
          <w:szCs w:val="24"/>
        </w:rPr>
        <w:t>参加政府采购活动前三年内，在经营活动中没有重大违法记录；</w:t>
      </w:r>
    </w:p>
    <w:p>
      <w:pPr>
        <w:pStyle w:val="35"/>
        <w:numPr>
          <w:ilvl w:val="0"/>
          <w:numId w:val="28"/>
        </w:numPr>
        <w:tabs>
          <w:tab w:val="left" w:pos="1265"/>
        </w:tabs>
        <w:spacing w:line="360" w:lineRule="auto"/>
        <w:ind w:left="0" w:firstLine="480" w:firstLineChars="200"/>
        <w:rPr>
          <w:color w:val="auto"/>
          <w:sz w:val="24"/>
          <w:szCs w:val="24"/>
        </w:rPr>
      </w:pPr>
      <w:r>
        <w:rPr>
          <w:rFonts w:hint="eastAsia"/>
          <w:color w:val="auto"/>
          <w:sz w:val="24"/>
          <w:szCs w:val="24"/>
        </w:rPr>
        <w:t>法律、行政法规规定的其他条件。</w:t>
      </w:r>
    </w:p>
    <w:p>
      <w:pPr>
        <w:pStyle w:val="35"/>
        <w:numPr>
          <w:ilvl w:val="1"/>
          <w:numId w:val="26"/>
        </w:numPr>
        <w:tabs>
          <w:tab w:val="left" w:pos="952"/>
        </w:tabs>
        <w:spacing w:line="360" w:lineRule="auto"/>
        <w:ind w:left="0" w:firstLine="480" w:firstLineChars="200"/>
        <w:jc w:val="both"/>
        <w:rPr>
          <w:color w:val="auto"/>
          <w:sz w:val="24"/>
          <w:szCs w:val="24"/>
        </w:rPr>
      </w:pPr>
      <w:r>
        <w:rPr>
          <w:rFonts w:hint="eastAsia"/>
          <w:color w:val="auto"/>
          <w:sz w:val="24"/>
          <w:szCs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35"/>
        <w:numPr>
          <w:ilvl w:val="1"/>
          <w:numId w:val="26"/>
        </w:numPr>
        <w:tabs>
          <w:tab w:val="left" w:pos="952"/>
        </w:tabs>
        <w:spacing w:line="360" w:lineRule="auto"/>
        <w:ind w:left="0" w:firstLine="480" w:firstLineChars="200"/>
        <w:rPr>
          <w:color w:val="auto"/>
          <w:sz w:val="24"/>
          <w:szCs w:val="24"/>
        </w:rPr>
      </w:pPr>
      <w:r>
        <w:rPr>
          <w:rFonts w:hint="eastAsia"/>
          <w:color w:val="auto"/>
          <w:sz w:val="24"/>
          <w:szCs w:val="24"/>
        </w:rPr>
        <w:t>根据《中华人民共和国政府采购法实施条例》第五十条要求对政府采购合同进行公告，但政府采购合同中涉及中华人民共和国秘密、商业秘密的内容除外。我方就对本次响应文件进行注明如下：（两项内容中必须选择一项）</w:t>
      </w:r>
    </w:p>
    <w:p>
      <w:pPr>
        <w:pStyle w:val="14"/>
        <w:spacing w:line="360" w:lineRule="auto"/>
        <w:ind w:firstLine="480" w:firstLineChars="200"/>
        <w:rPr>
          <w:color w:val="auto"/>
          <w:sz w:val="24"/>
          <w:szCs w:val="24"/>
        </w:rPr>
      </w:pPr>
      <w:r>
        <w:rPr>
          <w:rFonts w:hint="eastAsia"/>
          <w:color w:val="auto"/>
          <w:sz w:val="24"/>
          <w:szCs w:val="24"/>
        </w:rPr>
        <w:t>□我方本次响应文件内容中未涉及商业秘密；</w:t>
      </w:r>
    </w:p>
    <w:p>
      <w:pPr>
        <w:pStyle w:val="14"/>
        <w:tabs>
          <w:tab w:val="left" w:pos="7565"/>
        </w:tabs>
        <w:spacing w:line="360" w:lineRule="auto"/>
        <w:ind w:firstLine="480" w:firstLineChars="200"/>
        <w:rPr>
          <w:color w:val="auto"/>
          <w:sz w:val="24"/>
          <w:szCs w:val="24"/>
        </w:rPr>
      </w:pPr>
      <w:r>
        <w:rPr>
          <w:rFonts w:hint="eastAsia"/>
          <w:color w:val="auto"/>
          <w:sz w:val="24"/>
          <w:szCs w:val="24"/>
        </w:rPr>
        <w:t>□我方本次响应文件涉及商业秘密的内容有：</w:t>
      </w:r>
      <w:r>
        <w:rPr>
          <w:rFonts w:hint="eastAsia"/>
          <w:color w:val="auto"/>
          <w:sz w:val="24"/>
          <w:szCs w:val="24"/>
          <w:u w:val="single"/>
        </w:rPr>
        <w:t xml:space="preserve"> </w:t>
      </w:r>
      <w:r>
        <w:rPr>
          <w:rFonts w:hint="eastAsia"/>
          <w:color w:val="auto"/>
          <w:sz w:val="24"/>
          <w:szCs w:val="24"/>
          <w:u w:val="single"/>
        </w:rPr>
        <w:tab/>
      </w:r>
      <w:r>
        <w:rPr>
          <w:rFonts w:hint="eastAsia"/>
          <w:color w:val="auto"/>
          <w:sz w:val="24"/>
          <w:szCs w:val="24"/>
        </w:rPr>
        <w:t>；</w:t>
      </w:r>
    </w:p>
    <w:p>
      <w:pPr>
        <w:pStyle w:val="35"/>
        <w:numPr>
          <w:ilvl w:val="1"/>
          <w:numId w:val="26"/>
        </w:numPr>
        <w:tabs>
          <w:tab w:val="left" w:pos="923"/>
        </w:tabs>
        <w:spacing w:line="360" w:lineRule="auto"/>
        <w:ind w:left="0" w:firstLine="480" w:firstLineChars="200"/>
        <w:rPr>
          <w:color w:val="auto"/>
          <w:sz w:val="24"/>
          <w:szCs w:val="24"/>
        </w:rPr>
      </w:pPr>
      <w:r>
        <w:rPr>
          <w:rFonts w:hint="eastAsia"/>
          <w:color w:val="auto"/>
          <w:sz w:val="24"/>
          <w:szCs w:val="24"/>
        </w:rPr>
        <w:t>以上事项如有虚假或者隐瞒，我方愿意承担一切后果，并不再寻求任何旨在减轻或者免除法律责任的辩解。</w:t>
      </w:r>
    </w:p>
    <w:p>
      <w:pPr>
        <w:pStyle w:val="35"/>
        <w:numPr>
          <w:ilvl w:val="1"/>
          <w:numId w:val="26"/>
        </w:numPr>
        <w:tabs>
          <w:tab w:val="left" w:pos="952"/>
        </w:tabs>
        <w:spacing w:line="360" w:lineRule="auto"/>
        <w:ind w:left="0" w:firstLine="480" w:firstLineChars="200"/>
        <w:rPr>
          <w:color w:val="auto"/>
          <w:sz w:val="24"/>
          <w:szCs w:val="24"/>
        </w:rPr>
      </w:pPr>
      <w:r>
        <w:rPr>
          <w:rFonts w:hint="eastAsia"/>
          <w:color w:val="auto"/>
          <w:sz w:val="24"/>
          <w:szCs w:val="24"/>
        </w:rPr>
        <w:t>与本谈判有关的一切正式往来信函请寄：</w:t>
      </w:r>
    </w:p>
    <w:p>
      <w:pPr>
        <w:pStyle w:val="14"/>
        <w:tabs>
          <w:tab w:val="left" w:pos="7565"/>
        </w:tabs>
        <w:spacing w:line="360" w:lineRule="auto"/>
        <w:ind w:left="480" w:leftChars="218"/>
        <w:rPr>
          <w:color w:val="auto"/>
          <w:sz w:val="24"/>
          <w:szCs w:val="24"/>
          <w:u w:val="single"/>
          <w:lang w:val="en-US"/>
        </w:rPr>
      </w:pPr>
      <w:r>
        <w:rPr>
          <w:rFonts w:hint="eastAsia"/>
          <w:color w:val="auto"/>
          <w:sz w:val="24"/>
          <w:szCs w:val="24"/>
        </w:rPr>
        <w:t>地址：</w:t>
      </w:r>
      <w:r>
        <w:rPr>
          <w:rFonts w:hint="eastAsia"/>
          <w:color w:val="auto"/>
          <w:sz w:val="24"/>
          <w:szCs w:val="24"/>
          <w:u w:val="single"/>
          <w:lang w:val="en-US"/>
        </w:rPr>
        <w:t xml:space="preserve">                             </w:t>
      </w:r>
      <w:r>
        <w:rPr>
          <w:rFonts w:hint="eastAsia"/>
          <w:color w:val="auto"/>
          <w:sz w:val="24"/>
          <w:szCs w:val="24"/>
        </w:rPr>
        <w:tab/>
      </w:r>
      <w:r>
        <w:rPr>
          <w:rFonts w:hint="eastAsia"/>
          <w:color w:val="auto"/>
          <w:sz w:val="24"/>
          <w:szCs w:val="24"/>
        </w:rPr>
        <w:t xml:space="preserve">                                                          电话：</w:t>
      </w:r>
      <w:r>
        <w:rPr>
          <w:rFonts w:hint="eastAsia"/>
          <w:color w:val="auto"/>
          <w:sz w:val="24"/>
          <w:szCs w:val="24"/>
          <w:u w:val="single"/>
          <w:lang w:val="en-US"/>
        </w:rPr>
        <w:t xml:space="preserve">                             </w:t>
      </w:r>
      <w:r>
        <w:rPr>
          <w:rFonts w:hint="eastAsia"/>
          <w:color w:val="auto"/>
          <w:sz w:val="24"/>
          <w:szCs w:val="24"/>
        </w:rPr>
        <w:tab/>
      </w:r>
      <w:r>
        <w:rPr>
          <w:rFonts w:hint="eastAsia"/>
          <w:color w:val="auto"/>
          <w:sz w:val="24"/>
          <w:szCs w:val="24"/>
        </w:rPr>
        <w:t xml:space="preserve">                                                          传真：</w:t>
      </w:r>
      <w:r>
        <w:rPr>
          <w:rFonts w:hint="eastAsia"/>
          <w:color w:val="auto"/>
          <w:sz w:val="24"/>
          <w:szCs w:val="24"/>
          <w:u w:val="single"/>
          <w:lang w:val="en-US"/>
        </w:rPr>
        <w:t xml:space="preserve">                             </w:t>
      </w:r>
      <w:r>
        <w:rPr>
          <w:rFonts w:hint="eastAsia"/>
          <w:color w:val="auto"/>
          <w:sz w:val="24"/>
          <w:szCs w:val="24"/>
        </w:rPr>
        <w:tab/>
      </w:r>
      <w:r>
        <w:rPr>
          <w:rFonts w:hint="eastAsia"/>
          <w:color w:val="auto"/>
          <w:sz w:val="24"/>
          <w:szCs w:val="24"/>
        </w:rPr>
        <w:t xml:space="preserve">                                                          邮政编码：</w:t>
      </w:r>
      <w:r>
        <w:rPr>
          <w:rFonts w:hint="eastAsia"/>
          <w:color w:val="auto"/>
          <w:sz w:val="24"/>
          <w:szCs w:val="24"/>
          <w:u w:val="single"/>
          <w:lang w:val="en-US"/>
        </w:rPr>
        <w:t xml:space="preserve">                         </w:t>
      </w:r>
    </w:p>
    <w:p>
      <w:pPr>
        <w:pStyle w:val="14"/>
        <w:tabs>
          <w:tab w:val="left" w:pos="7565"/>
        </w:tabs>
        <w:spacing w:line="360" w:lineRule="auto"/>
        <w:ind w:left="480" w:leftChars="218"/>
        <w:rPr>
          <w:color w:val="auto"/>
          <w:w w:val="95"/>
          <w:sz w:val="24"/>
          <w:szCs w:val="24"/>
          <w:u w:val="single"/>
        </w:rPr>
      </w:pPr>
      <w:r>
        <w:rPr>
          <w:rFonts w:hint="eastAsia"/>
          <w:color w:val="auto"/>
          <w:sz w:val="24"/>
          <w:szCs w:val="24"/>
        </w:rPr>
        <w:t>开户名称：</w:t>
      </w:r>
      <w:r>
        <w:rPr>
          <w:rFonts w:hint="eastAsia"/>
          <w:color w:val="auto"/>
          <w:w w:val="95"/>
          <w:sz w:val="24"/>
          <w:szCs w:val="24"/>
          <w:u w:val="single"/>
        </w:rPr>
        <w:t xml:space="preserve">                                       </w:t>
      </w:r>
    </w:p>
    <w:p>
      <w:pPr>
        <w:pStyle w:val="14"/>
        <w:tabs>
          <w:tab w:val="left" w:pos="7565"/>
        </w:tabs>
        <w:spacing w:line="360" w:lineRule="auto"/>
        <w:ind w:left="480" w:leftChars="218"/>
        <w:rPr>
          <w:color w:val="auto"/>
          <w:w w:val="95"/>
          <w:sz w:val="24"/>
          <w:szCs w:val="24"/>
          <w:u w:val="single"/>
        </w:rPr>
      </w:pPr>
      <w:r>
        <w:rPr>
          <w:rFonts w:hint="eastAsia"/>
          <w:color w:val="auto"/>
          <w:sz w:val="24"/>
          <w:szCs w:val="24"/>
        </w:rPr>
        <w:t>开户银行：</w:t>
      </w:r>
      <w:r>
        <w:rPr>
          <w:rFonts w:hint="eastAsia"/>
          <w:color w:val="auto"/>
          <w:w w:val="95"/>
          <w:sz w:val="24"/>
          <w:szCs w:val="24"/>
          <w:u w:val="single"/>
        </w:rPr>
        <w:t xml:space="preserve">                                                     </w:t>
      </w:r>
    </w:p>
    <w:p>
      <w:pPr>
        <w:pStyle w:val="14"/>
        <w:tabs>
          <w:tab w:val="left" w:pos="7565"/>
        </w:tabs>
        <w:spacing w:line="360" w:lineRule="auto"/>
        <w:ind w:left="480" w:leftChars="218"/>
        <w:rPr>
          <w:color w:val="auto"/>
          <w:w w:val="95"/>
          <w:sz w:val="24"/>
          <w:szCs w:val="24"/>
          <w:u w:val="single"/>
        </w:rPr>
      </w:pPr>
      <w:r>
        <w:rPr>
          <w:rFonts w:hint="eastAsia"/>
          <w:color w:val="auto"/>
          <w:sz w:val="24"/>
          <w:szCs w:val="24"/>
        </w:rPr>
        <w:t>银行账号：</w:t>
      </w:r>
      <w:r>
        <w:rPr>
          <w:rFonts w:hint="eastAsia"/>
          <w:color w:val="auto"/>
          <w:w w:val="95"/>
          <w:sz w:val="24"/>
          <w:szCs w:val="24"/>
          <w:u w:val="single"/>
        </w:rPr>
        <w:tab/>
      </w:r>
      <w:r>
        <w:rPr>
          <w:rFonts w:hint="eastAsia"/>
          <w:color w:val="auto"/>
          <w:w w:val="95"/>
          <w:sz w:val="24"/>
          <w:szCs w:val="24"/>
          <w:u w:val="single"/>
        </w:rPr>
        <w:t xml:space="preserve"> </w:t>
      </w:r>
    </w:p>
    <w:p>
      <w:pPr>
        <w:pStyle w:val="14"/>
        <w:tabs>
          <w:tab w:val="left" w:pos="7565"/>
        </w:tabs>
        <w:spacing w:line="360" w:lineRule="auto"/>
        <w:ind w:left="480" w:leftChars="218"/>
        <w:rPr>
          <w:color w:val="auto"/>
          <w:sz w:val="24"/>
          <w:szCs w:val="24"/>
        </w:rPr>
      </w:pPr>
      <w:r>
        <w:rPr>
          <w:rFonts w:hint="eastAsia"/>
          <w:color w:val="auto"/>
          <w:sz w:val="24"/>
          <w:szCs w:val="24"/>
        </w:rPr>
        <w:t>特此承诺。</w:t>
      </w:r>
    </w:p>
    <w:p>
      <w:pPr>
        <w:pStyle w:val="14"/>
        <w:spacing w:line="360" w:lineRule="auto"/>
        <w:ind w:firstLine="480" w:firstLineChars="200"/>
        <w:rPr>
          <w:color w:val="auto"/>
          <w:sz w:val="24"/>
          <w:szCs w:val="24"/>
        </w:rPr>
      </w:pPr>
    </w:p>
    <w:p>
      <w:pPr>
        <w:spacing w:line="360" w:lineRule="auto"/>
        <w:ind w:firstLine="480" w:firstLineChars="200"/>
        <w:jc w:val="center"/>
        <w:rPr>
          <w:color w:val="auto"/>
          <w:sz w:val="24"/>
          <w:szCs w:val="24"/>
        </w:rPr>
      </w:pPr>
      <w:r>
        <w:rPr>
          <w:rFonts w:hint="eastAsia"/>
          <w:color w:val="auto"/>
          <w:sz w:val="24"/>
          <w:szCs w:val="24"/>
        </w:rPr>
        <w:t>供应商名称（电子签章）：</w:t>
      </w:r>
    </w:p>
    <w:p>
      <w:pPr>
        <w:tabs>
          <w:tab w:val="left" w:pos="7759"/>
          <w:tab w:val="left" w:pos="8239"/>
          <w:tab w:val="left" w:pos="8839"/>
        </w:tabs>
        <w:spacing w:line="360" w:lineRule="auto"/>
        <w:ind w:firstLine="480" w:firstLineChars="200"/>
        <w:jc w:val="center"/>
        <w:rPr>
          <w:color w:val="auto"/>
          <w:sz w:val="24"/>
          <w:szCs w:val="24"/>
        </w:rPr>
      </w:pPr>
      <w:r>
        <w:rPr>
          <w:rFonts w:hint="eastAsia"/>
          <w:color w:val="auto"/>
          <w:sz w:val="24"/>
          <w:szCs w:val="24"/>
        </w:rPr>
        <w:t>日期：</w:t>
      </w:r>
      <w:r>
        <w:rPr>
          <w:rFonts w:hint="eastAsia"/>
          <w:color w:val="auto"/>
          <w:sz w:val="24"/>
          <w:szCs w:val="24"/>
          <w:lang w:val="en-US"/>
        </w:rPr>
        <w:t xml:space="preserve">   </w:t>
      </w:r>
      <w:r>
        <w:rPr>
          <w:rFonts w:hint="eastAsia"/>
          <w:color w:val="auto"/>
          <w:sz w:val="24"/>
          <w:szCs w:val="24"/>
        </w:rPr>
        <w:t>年</w:t>
      </w:r>
      <w:r>
        <w:rPr>
          <w:rFonts w:hint="eastAsia"/>
          <w:color w:val="auto"/>
          <w:sz w:val="24"/>
          <w:szCs w:val="24"/>
          <w:lang w:val="en-US"/>
        </w:rPr>
        <w:t xml:space="preserve">   </w:t>
      </w:r>
      <w:r>
        <w:rPr>
          <w:rFonts w:hint="eastAsia"/>
          <w:color w:val="auto"/>
          <w:sz w:val="24"/>
          <w:szCs w:val="24"/>
        </w:rPr>
        <w:t>月</w:t>
      </w:r>
      <w:r>
        <w:rPr>
          <w:rFonts w:hint="eastAsia"/>
          <w:color w:val="auto"/>
          <w:sz w:val="24"/>
          <w:szCs w:val="24"/>
          <w:lang w:val="en-US"/>
        </w:rPr>
        <w:t xml:space="preserve">     </w:t>
      </w:r>
      <w:r>
        <w:rPr>
          <w:rFonts w:hint="eastAsia"/>
          <w:color w:val="auto"/>
          <w:sz w:val="24"/>
          <w:szCs w:val="24"/>
        </w:rPr>
        <w:t>日</w:t>
      </w:r>
    </w:p>
    <w:p>
      <w:pPr>
        <w:spacing w:line="360" w:lineRule="auto"/>
        <w:ind w:firstLine="480" w:firstLineChars="200"/>
        <w:rPr>
          <w:color w:val="auto"/>
          <w:sz w:val="24"/>
          <w:szCs w:val="24"/>
        </w:rPr>
        <w:sectPr>
          <w:pgSz w:w="11910" w:h="16840"/>
          <w:pgMar w:top="1417" w:right="1417" w:bottom="1417" w:left="1417" w:header="0" w:footer="1202" w:gutter="0"/>
          <w:cols w:space="0" w:num="1"/>
        </w:sectPr>
      </w:pPr>
    </w:p>
    <w:p>
      <w:pPr>
        <w:spacing w:before="24" w:line="360" w:lineRule="auto"/>
        <w:ind w:left="1769" w:right="1769"/>
        <w:jc w:val="center"/>
        <w:rPr>
          <w:b/>
          <w:bCs/>
          <w:color w:val="auto"/>
          <w:sz w:val="30"/>
          <w:szCs w:val="30"/>
        </w:rPr>
      </w:pPr>
      <w:r>
        <w:rPr>
          <w:rFonts w:hint="eastAsia"/>
          <w:b/>
          <w:bCs/>
          <w:color w:val="auto"/>
          <w:sz w:val="30"/>
          <w:szCs w:val="30"/>
        </w:rPr>
        <w:t>二、竞标报价</w:t>
      </w:r>
      <w:r>
        <w:rPr>
          <w:rFonts w:hint="eastAsia"/>
          <w:b/>
          <w:bCs/>
          <w:color w:val="auto"/>
          <w:sz w:val="30"/>
          <w:szCs w:val="30"/>
        </w:rPr>
        <w:tab/>
      </w:r>
      <w:r>
        <w:rPr>
          <w:rFonts w:hint="eastAsia"/>
          <w:b/>
          <w:bCs/>
          <w:color w:val="auto"/>
          <w:sz w:val="30"/>
          <w:szCs w:val="30"/>
        </w:rPr>
        <w:t>表</w:t>
      </w:r>
    </w:p>
    <w:p>
      <w:pPr>
        <w:pStyle w:val="14"/>
        <w:spacing w:before="2"/>
        <w:rPr>
          <w:rFonts w:ascii="黑体"/>
          <w:color w:val="auto"/>
          <w:sz w:val="39"/>
        </w:rPr>
      </w:pPr>
    </w:p>
    <w:p>
      <w:pPr>
        <w:tabs>
          <w:tab w:val="left" w:pos="3332"/>
          <w:tab w:val="left" w:pos="6871"/>
        </w:tabs>
        <w:spacing w:line="360" w:lineRule="auto"/>
        <w:jc w:val="both"/>
        <w:rPr>
          <w:color w:val="auto"/>
          <w:sz w:val="24"/>
          <w:szCs w:val="24"/>
          <w:u w:val="single"/>
        </w:rPr>
      </w:pPr>
      <w:r>
        <w:rPr>
          <w:rFonts w:hint="eastAsia"/>
          <w:color w:val="auto"/>
          <w:sz w:val="24"/>
          <w:szCs w:val="24"/>
        </w:rPr>
        <w:t>项目名称：</w:t>
      </w:r>
      <w:r>
        <w:rPr>
          <w:rFonts w:hint="eastAsia"/>
          <w:color w:val="auto"/>
          <w:sz w:val="24"/>
          <w:szCs w:val="24"/>
          <w:u w:val="single"/>
        </w:rPr>
        <w:t xml:space="preserve"> </w:t>
      </w:r>
      <w:r>
        <w:rPr>
          <w:rFonts w:hint="eastAsia"/>
          <w:color w:val="auto"/>
          <w:sz w:val="24"/>
          <w:szCs w:val="24"/>
          <w:u w:val="single"/>
        </w:rPr>
        <w:tab/>
      </w:r>
    </w:p>
    <w:p>
      <w:pPr>
        <w:tabs>
          <w:tab w:val="left" w:pos="3332"/>
          <w:tab w:val="left" w:pos="6871"/>
        </w:tabs>
        <w:spacing w:line="360" w:lineRule="auto"/>
        <w:jc w:val="both"/>
        <w:rPr>
          <w:color w:val="auto"/>
          <w:spacing w:val="17"/>
          <w:sz w:val="24"/>
          <w:szCs w:val="24"/>
          <w:u w:val="single"/>
        </w:rPr>
      </w:pPr>
      <w:r>
        <w:rPr>
          <w:rFonts w:hint="eastAsia"/>
          <w:color w:val="auto"/>
          <w:spacing w:val="-1"/>
          <w:sz w:val="24"/>
          <w:szCs w:val="24"/>
        </w:rPr>
        <w:t>项</w:t>
      </w:r>
      <w:r>
        <w:rPr>
          <w:rFonts w:hint="eastAsia"/>
          <w:color w:val="auto"/>
          <w:sz w:val="24"/>
          <w:szCs w:val="24"/>
        </w:rPr>
        <w:t>目编号：</w:t>
      </w:r>
      <w:r>
        <w:rPr>
          <w:rFonts w:hint="eastAsia"/>
          <w:color w:val="auto"/>
          <w:sz w:val="24"/>
          <w:szCs w:val="24"/>
          <w:u w:val="single"/>
        </w:rPr>
        <w:t xml:space="preserve"> </w:t>
      </w:r>
      <w:r>
        <w:rPr>
          <w:rFonts w:hint="eastAsia"/>
          <w:color w:val="auto"/>
          <w:sz w:val="24"/>
          <w:szCs w:val="24"/>
          <w:u w:val="single"/>
        </w:rPr>
        <w:tab/>
      </w:r>
    </w:p>
    <w:p>
      <w:pPr>
        <w:tabs>
          <w:tab w:val="left" w:pos="3332"/>
          <w:tab w:val="left" w:pos="6871"/>
        </w:tabs>
        <w:spacing w:line="360" w:lineRule="auto"/>
        <w:jc w:val="both"/>
        <w:rPr>
          <w:color w:val="auto"/>
          <w:sz w:val="24"/>
          <w:szCs w:val="24"/>
        </w:rPr>
      </w:pPr>
      <w:r>
        <w:rPr>
          <w:rFonts w:hint="eastAsia"/>
          <w:color w:val="auto"/>
          <w:spacing w:val="-1"/>
          <w:sz w:val="24"/>
          <w:szCs w:val="24"/>
        </w:rPr>
        <w:t>供</w:t>
      </w:r>
      <w:r>
        <w:rPr>
          <w:rFonts w:hint="eastAsia"/>
          <w:color w:val="auto"/>
          <w:sz w:val="24"/>
          <w:szCs w:val="24"/>
        </w:rPr>
        <w:t>应商名称：</w:t>
      </w:r>
      <w:r>
        <w:rPr>
          <w:rFonts w:hint="eastAsia"/>
          <w:color w:val="auto"/>
          <w:sz w:val="24"/>
          <w:szCs w:val="24"/>
          <w:u w:val="single"/>
        </w:rPr>
        <w:t xml:space="preserve"> </w:t>
      </w:r>
      <w:r>
        <w:rPr>
          <w:rFonts w:hint="eastAsia"/>
          <w:color w:val="auto"/>
          <w:sz w:val="24"/>
          <w:szCs w:val="24"/>
          <w:u w:val="single"/>
        </w:rPr>
        <w:tab/>
      </w:r>
    </w:p>
    <w:p>
      <w:pPr>
        <w:spacing w:line="360" w:lineRule="auto"/>
        <w:ind w:firstLine="480" w:firstLineChars="200"/>
        <w:jc w:val="right"/>
        <w:rPr>
          <w:color w:val="auto"/>
          <w:sz w:val="24"/>
          <w:szCs w:val="24"/>
        </w:rPr>
      </w:pPr>
      <w:r>
        <w:rPr>
          <w:rFonts w:hint="eastAsia"/>
          <w:color w:val="auto"/>
          <w:sz w:val="24"/>
          <w:szCs w:val="24"/>
        </w:rPr>
        <w:t>单位：元</w:t>
      </w:r>
    </w:p>
    <w:tbl>
      <w:tblPr>
        <w:tblStyle w:val="29"/>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3776"/>
        <w:gridCol w:w="4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84" w:type="dxa"/>
            <w:vAlign w:val="center"/>
          </w:tcPr>
          <w:p>
            <w:pPr>
              <w:pStyle w:val="36"/>
              <w:spacing w:line="360" w:lineRule="auto"/>
              <w:jc w:val="center"/>
              <w:rPr>
                <w:color w:val="auto"/>
                <w:sz w:val="24"/>
                <w:szCs w:val="24"/>
              </w:rPr>
            </w:pPr>
            <w:r>
              <w:rPr>
                <w:rFonts w:hint="eastAsia"/>
                <w:color w:val="auto"/>
                <w:sz w:val="24"/>
                <w:szCs w:val="24"/>
              </w:rPr>
              <w:t>序列</w:t>
            </w:r>
          </w:p>
        </w:tc>
        <w:tc>
          <w:tcPr>
            <w:tcW w:w="3776" w:type="dxa"/>
            <w:vAlign w:val="center"/>
          </w:tcPr>
          <w:p>
            <w:pPr>
              <w:pStyle w:val="36"/>
              <w:spacing w:line="360" w:lineRule="auto"/>
              <w:jc w:val="center"/>
              <w:rPr>
                <w:color w:val="auto"/>
                <w:sz w:val="24"/>
                <w:szCs w:val="24"/>
              </w:rPr>
            </w:pPr>
            <w:r>
              <w:rPr>
                <w:rFonts w:hint="eastAsia"/>
                <w:color w:val="auto"/>
                <w:sz w:val="24"/>
                <w:szCs w:val="24"/>
              </w:rPr>
              <w:t>项目名称</w:t>
            </w:r>
          </w:p>
        </w:tc>
        <w:tc>
          <w:tcPr>
            <w:tcW w:w="4190" w:type="dxa"/>
            <w:vAlign w:val="center"/>
          </w:tcPr>
          <w:p>
            <w:pPr>
              <w:pStyle w:val="36"/>
              <w:spacing w:line="360" w:lineRule="auto"/>
              <w:jc w:val="center"/>
              <w:rPr>
                <w:color w:val="auto"/>
                <w:sz w:val="24"/>
                <w:szCs w:val="24"/>
              </w:rPr>
            </w:pPr>
            <w:r>
              <w:rPr>
                <w:rFonts w:hint="eastAsia"/>
                <w:color w:val="auto"/>
                <w:sz w:val="24"/>
                <w:szCs w:val="24"/>
              </w:rPr>
              <w:t>磋商报价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84" w:type="dxa"/>
            <w:vAlign w:val="center"/>
          </w:tcPr>
          <w:p>
            <w:pPr>
              <w:pStyle w:val="36"/>
              <w:spacing w:line="360" w:lineRule="auto"/>
              <w:jc w:val="center"/>
              <w:rPr>
                <w:color w:val="auto"/>
                <w:sz w:val="24"/>
                <w:szCs w:val="24"/>
              </w:rPr>
            </w:pPr>
            <w:r>
              <w:rPr>
                <w:rFonts w:hint="eastAsia"/>
                <w:color w:val="auto"/>
                <w:sz w:val="24"/>
                <w:szCs w:val="24"/>
              </w:rPr>
              <w:t>1</w:t>
            </w:r>
          </w:p>
        </w:tc>
        <w:tc>
          <w:tcPr>
            <w:tcW w:w="3776" w:type="dxa"/>
            <w:vAlign w:val="center"/>
          </w:tcPr>
          <w:p>
            <w:pPr>
              <w:pStyle w:val="36"/>
              <w:spacing w:line="360" w:lineRule="auto"/>
              <w:jc w:val="center"/>
              <w:rPr>
                <w:color w:val="auto"/>
                <w:sz w:val="24"/>
                <w:szCs w:val="24"/>
              </w:rPr>
            </w:pPr>
          </w:p>
        </w:tc>
        <w:tc>
          <w:tcPr>
            <w:tcW w:w="4190" w:type="dxa"/>
            <w:vAlign w:val="center"/>
          </w:tcPr>
          <w:p>
            <w:pPr>
              <w:pStyle w:val="36"/>
              <w:spacing w:line="360" w:lineRule="auto"/>
              <w:jc w:val="center"/>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950" w:type="dxa"/>
            <w:gridSpan w:val="3"/>
          </w:tcPr>
          <w:p>
            <w:pPr>
              <w:pStyle w:val="36"/>
              <w:tabs>
                <w:tab w:val="left" w:pos="4306"/>
                <w:tab w:val="left" w:pos="5400"/>
              </w:tabs>
              <w:spacing w:line="360" w:lineRule="auto"/>
              <w:rPr>
                <w:color w:val="auto"/>
                <w:sz w:val="24"/>
                <w:szCs w:val="24"/>
              </w:rPr>
            </w:pPr>
            <w:r>
              <w:rPr>
                <w:rFonts w:hint="eastAsia"/>
                <w:color w:val="auto"/>
                <w:sz w:val="24"/>
                <w:szCs w:val="24"/>
              </w:rPr>
              <w:t>总报价：大写</w:t>
            </w:r>
            <w:r>
              <w:rPr>
                <w:rFonts w:hint="eastAsia"/>
                <w:color w:val="auto"/>
                <w:sz w:val="24"/>
                <w:szCs w:val="24"/>
              </w:rPr>
              <w:tab/>
            </w:r>
            <w:r>
              <w:rPr>
                <w:rFonts w:hint="eastAsia"/>
                <w:color w:val="auto"/>
                <w:sz w:val="24"/>
                <w:szCs w:val="24"/>
              </w:rPr>
              <w:t>（¥</w:t>
            </w:r>
            <w:r>
              <w:rPr>
                <w:rFonts w:hint="eastAsia"/>
                <w:color w:val="auto"/>
                <w:sz w:val="24"/>
                <w:szCs w:val="24"/>
              </w:rPr>
              <w:tab/>
            </w:r>
            <w:r>
              <w:rPr>
                <w:rFonts w:hint="eastAsia"/>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950" w:type="dxa"/>
            <w:gridSpan w:val="3"/>
          </w:tcPr>
          <w:p>
            <w:pPr>
              <w:pStyle w:val="36"/>
              <w:spacing w:line="360" w:lineRule="auto"/>
              <w:rPr>
                <w:b/>
                <w:color w:val="auto"/>
                <w:sz w:val="24"/>
                <w:szCs w:val="24"/>
              </w:rPr>
            </w:pPr>
            <w:r>
              <w:rPr>
                <w:rFonts w:hint="eastAsia"/>
                <w:b/>
                <w:color w:val="auto"/>
                <w:sz w:val="24"/>
                <w:szCs w:val="24"/>
                <w:lang w:eastAsia="zh-CN"/>
              </w:rPr>
              <w:t>合同履约</w:t>
            </w:r>
            <w:r>
              <w:rPr>
                <w:rFonts w:hint="eastAsia"/>
                <w:b/>
                <w:color w:val="auto"/>
                <w:sz w:val="24"/>
                <w:szCs w:val="24"/>
              </w:rPr>
              <w:t>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8950" w:type="dxa"/>
            <w:gridSpan w:val="3"/>
          </w:tcPr>
          <w:p>
            <w:pPr>
              <w:pStyle w:val="36"/>
              <w:spacing w:line="360" w:lineRule="auto"/>
              <w:jc w:val="both"/>
              <w:rPr>
                <w:color w:val="auto"/>
                <w:sz w:val="24"/>
                <w:szCs w:val="24"/>
              </w:rPr>
            </w:pPr>
            <w:r>
              <w:rPr>
                <w:rFonts w:hint="eastAsia"/>
                <w:color w:val="auto"/>
                <w:sz w:val="24"/>
                <w:szCs w:val="24"/>
              </w:rPr>
              <w:t>说明：竞标报价是履行合同的最终价格，即满足全部采购需求所应提供的服务的价格。必须包含本项目工资、保险费、福利费、管理费、加班费、服装费、交通费、通讯费、税费等所有费用。</w:t>
            </w:r>
          </w:p>
        </w:tc>
      </w:tr>
    </w:tbl>
    <w:p>
      <w:pPr>
        <w:spacing w:line="360" w:lineRule="auto"/>
        <w:ind w:firstLine="480" w:firstLineChars="200"/>
        <w:rPr>
          <w:color w:val="auto"/>
          <w:sz w:val="24"/>
          <w:szCs w:val="24"/>
        </w:rPr>
      </w:pPr>
      <w:r>
        <w:rPr>
          <w:rFonts w:hint="eastAsia"/>
          <w:color w:val="auto"/>
          <w:sz w:val="24"/>
          <w:szCs w:val="24"/>
        </w:rPr>
        <w:t>注:</w:t>
      </w:r>
    </w:p>
    <w:p>
      <w:pPr>
        <w:numPr>
          <w:ilvl w:val="0"/>
          <w:numId w:val="29"/>
        </w:numPr>
        <w:tabs>
          <w:tab w:val="left" w:pos="934"/>
        </w:tabs>
        <w:spacing w:line="360" w:lineRule="auto"/>
        <w:ind w:left="0" w:firstLine="480" w:firstLineChars="200"/>
        <w:rPr>
          <w:color w:val="auto"/>
          <w:sz w:val="24"/>
          <w:szCs w:val="24"/>
        </w:rPr>
      </w:pPr>
      <w:r>
        <w:rPr>
          <w:rFonts w:hint="eastAsia"/>
          <w:color w:val="auto"/>
          <w:sz w:val="24"/>
          <w:szCs w:val="24"/>
        </w:rPr>
        <w:t>供应商的报价表必须加盖供应商公章并由法定代表人或者委托代理人签字，</w:t>
      </w:r>
      <w:r>
        <w:rPr>
          <w:rFonts w:hint="eastAsia"/>
          <w:b/>
          <w:color w:val="auto"/>
          <w:sz w:val="24"/>
          <w:szCs w:val="24"/>
        </w:rPr>
        <w:t>否则其响</w:t>
      </w:r>
      <w:r>
        <w:rPr>
          <w:rFonts w:hint="eastAsia"/>
          <w:color w:val="auto"/>
          <w:sz w:val="24"/>
          <w:szCs w:val="24"/>
        </w:rPr>
        <w:t>应文件按无效响应处理。</w:t>
      </w:r>
    </w:p>
    <w:p>
      <w:pPr>
        <w:pStyle w:val="35"/>
        <w:numPr>
          <w:ilvl w:val="0"/>
          <w:numId w:val="29"/>
        </w:numPr>
        <w:tabs>
          <w:tab w:val="left" w:pos="934"/>
        </w:tabs>
        <w:spacing w:line="360" w:lineRule="auto"/>
        <w:ind w:left="0" w:firstLine="476" w:firstLineChars="200"/>
        <w:rPr>
          <w:b/>
          <w:color w:val="auto"/>
          <w:sz w:val="24"/>
          <w:szCs w:val="24"/>
        </w:rPr>
      </w:pPr>
      <w:r>
        <w:rPr>
          <w:rFonts w:hint="eastAsia"/>
          <w:color w:val="auto"/>
          <w:spacing w:val="-1"/>
          <w:sz w:val="24"/>
          <w:szCs w:val="24"/>
        </w:rPr>
        <w:t>报价一经涂改，应在涂改处加盖供应商公章或者由法定代表人或者委托代理人签字或</w:t>
      </w:r>
      <w:r>
        <w:rPr>
          <w:rFonts w:hint="eastAsia"/>
          <w:color w:val="auto"/>
          <w:sz w:val="24"/>
          <w:szCs w:val="24"/>
        </w:rPr>
        <w:t>者盖章</w:t>
      </w:r>
      <w:r>
        <w:rPr>
          <w:rFonts w:hint="eastAsia"/>
          <w:b/>
          <w:color w:val="auto"/>
          <w:sz w:val="24"/>
          <w:szCs w:val="24"/>
        </w:rPr>
        <w:t>，否则其响应文件按无效响应处理。</w:t>
      </w:r>
    </w:p>
    <w:p>
      <w:pPr>
        <w:pStyle w:val="35"/>
        <w:numPr>
          <w:ilvl w:val="0"/>
          <w:numId w:val="29"/>
        </w:numPr>
        <w:tabs>
          <w:tab w:val="left" w:pos="934"/>
        </w:tabs>
        <w:spacing w:line="360" w:lineRule="auto"/>
        <w:ind w:left="0" w:firstLine="480" w:firstLineChars="200"/>
        <w:jc w:val="both"/>
        <w:rPr>
          <w:b/>
          <w:color w:val="auto"/>
          <w:sz w:val="24"/>
          <w:szCs w:val="24"/>
        </w:rPr>
      </w:pPr>
      <w:r>
        <w:rPr>
          <w:rFonts w:hint="eastAsia"/>
          <w:color w:val="auto"/>
          <w:sz w:val="24"/>
          <w:szCs w:val="24"/>
        </w:rPr>
        <w:t>如为联合体竞标，“供应商名称”处必须列明联合体各方名称，标注联合体牵头人名称，</w:t>
      </w:r>
      <w:r>
        <w:rPr>
          <w:rFonts w:hint="eastAsia"/>
          <w:b/>
          <w:color w:val="auto"/>
          <w:sz w:val="24"/>
          <w:szCs w:val="24"/>
        </w:rPr>
        <w:t>否则其响应文件按无效响应处理。</w:t>
      </w:r>
    </w:p>
    <w:p>
      <w:pPr>
        <w:pStyle w:val="35"/>
        <w:numPr>
          <w:ilvl w:val="0"/>
          <w:numId w:val="29"/>
        </w:numPr>
        <w:tabs>
          <w:tab w:val="left" w:pos="934"/>
        </w:tabs>
        <w:spacing w:line="360" w:lineRule="auto"/>
        <w:ind w:left="0" w:firstLine="480" w:firstLineChars="200"/>
        <w:rPr>
          <w:b/>
          <w:color w:val="auto"/>
          <w:sz w:val="24"/>
          <w:szCs w:val="24"/>
        </w:rPr>
      </w:pPr>
      <w:r>
        <w:rPr>
          <w:rFonts w:hint="eastAsia"/>
          <w:color w:val="auto"/>
          <w:sz w:val="24"/>
          <w:szCs w:val="24"/>
        </w:rPr>
        <w:t>如为联合体竞标，盖章处须加盖联合体各方公章，</w:t>
      </w:r>
      <w:r>
        <w:rPr>
          <w:rFonts w:hint="eastAsia"/>
          <w:b/>
          <w:color w:val="auto"/>
          <w:sz w:val="24"/>
          <w:szCs w:val="24"/>
        </w:rPr>
        <w:t>否则其响应文件按无效响应处理。</w:t>
      </w:r>
    </w:p>
    <w:p>
      <w:pPr>
        <w:pStyle w:val="35"/>
        <w:numPr>
          <w:ilvl w:val="0"/>
          <w:numId w:val="29"/>
        </w:numPr>
        <w:tabs>
          <w:tab w:val="left" w:pos="934"/>
        </w:tabs>
        <w:spacing w:line="360" w:lineRule="auto"/>
        <w:ind w:left="0" w:firstLine="432" w:firstLineChars="200"/>
        <w:rPr>
          <w:b/>
          <w:color w:val="auto"/>
          <w:sz w:val="24"/>
          <w:szCs w:val="24"/>
        </w:rPr>
      </w:pPr>
      <w:r>
        <w:rPr>
          <w:rFonts w:hint="eastAsia"/>
          <w:color w:val="auto"/>
          <w:spacing w:val="-12"/>
          <w:sz w:val="24"/>
          <w:szCs w:val="24"/>
        </w:rPr>
        <w:t>如有多分标，分别列明各分标的报价表，</w:t>
      </w:r>
      <w:r>
        <w:rPr>
          <w:rFonts w:hint="eastAsia"/>
          <w:b/>
          <w:color w:val="auto"/>
          <w:spacing w:val="-12"/>
          <w:sz w:val="24"/>
          <w:szCs w:val="24"/>
        </w:rPr>
        <w:t>否则其响应文件按无效响应处理。</w:t>
      </w:r>
    </w:p>
    <w:p>
      <w:pPr>
        <w:pStyle w:val="14"/>
        <w:spacing w:line="360" w:lineRule="auto"/>
        <w:ind w:firstLine="482" w:firstLineChars="200"/>
        <w:rPr>
          <w:b/>
          <w:color w:val="auto"/>
          <w:sz w:val="24"/>
          <w:szCs w:val="24"/>
        </w:rPr>
      </w:pPr>
    </w:p>
    <w:p>
      <w:pPr>
        <w:pStyle w:val="14"/>
        <w:spacing w:line="360" w:lineRule="auto"/>
        <w:ind w:firstLine="482" w:firstLineChars="200"/>
        <w:rPr>
          <w:b/>
          <w:color w:val="auto"/>
          <w:sz w:val="24"/>
          <w:szCs w:val="24"/>
        </w:rPr>
      </w:pPr>
    </w:p>
    <w:p>
      <w:pPr>
        <w:spacing w:line="360" w:lineRule="auto"/>
        <w:ind w:firstLine="480" w:firstLineChars="200"/>
        <w:rPr>
          <w:color w:val="auto"/>
          <w:sz w:val="24"/>
          <w:szCs w:val="24"/>
        </w:rPr>
      </w:pPr>
      <w:r>
        <w:rPr>
          <w:rFonts w:hint="eastAsia"/>
          <w:color w:val="auto"/>
          <w:sz w:val="24"/>
          <w:szCs w:val="24"/>
        </w:rPr>
        <w:t xml:space="preserve">法定代表人或者委托代理人（签字）： </w:t>
      </w:r>
    </w:p>
    <w:p>
      <w:pPr>
        <w:spacing w:line="360" w:lineRule="auto"/>
        <w:ind w:firstLine="480" w:firstLineChars="200"/>
        <w:rPr>
          <w:color w:val="auto"/>
          <w:sz w:val="24"/>
          <w:szCs w:val="24"/>
        </w:rPr>
      </w:pPr>
      <w:r>
        <w:rPr>
          <w:rFonts w:hint="eastAsia"/>
          <w:color w:val="auto"/>
          <w:sz w:val="24"/>
          <w:szCs w:val="24"/>
        </w:rPr>
        <w:t>供应商（电子签章 ）：</w:t>
      </w:r>
    </w:p>
    <w:p>
      <w:pPr>
        <w:tabs>
          <w:tab w:val="left" w:pos="5372"/>
          <w:tab w:val="left" w:pos="5972"/>
          <w:tab w:val="left" w:pos="6572"/>
        </w:tabs>
        <w:spacing w:line="360" w:lineRule="auto"/>
        <w:ind w:firstLine="480" w:firstLineChars="200"/>
        <w:rPr>
          <w:color w:val="auto"/>
          <w:sz w:val="24"/>
          <w:szCs w:val="24"/>
        </w:rPr>
      </w:pPr>
      <w:r>
        <w:rPr>
          <w:rFonts w:hint="eastAsia"/>
          <w:color w:val="auto"/>
          <w:sz w:val="24"/>
          <w:szCs w:val="24"/>
        </w:rPr>
        <w:t>日期：</w:t>
      </w:r>
      <w:r>
        <w:rPr>
          <w:rFonts w:hint="eastAsia"/>
          <w:color w:val="auto"/>
          <w:sz w:val="24"/>
          <w:szCs w:val="24"/>
          <w:lang w:val="en-US"/>
        </w:rPr>
        <w:t xml:space="preserve">   </w:t>
      </w:r>
      <w:r>
        <w:rPr>
          <w:rFonts w:hint="eastAsia"/>
          <w:color w:val="auto"/>
          <w:sz w:val="24"/>
          <w:szCs w:val="24"/>
        </w:rPr>
        <w:t>年</w:t>
      </w:r>
      <w:r>
        <w:rPr>
          <w:rFonts w:hint="eastAsia"/>
          <w:color w:val="auto"/>
          <w:sz w:val="24"/>
          <w:szCs w:val="24"/>
          <w:lang w:val="en-US"/>
        </w:rPr>
        <w:t xml:space="preserve">   </w:t>
      </w:r>
      <w:r>
        <w:rPr>
          <w:rFonts w:hint="eastAsia"/>
          <w:color w:val="auto"/>
          <w:sz w:val="24"/>
          <w:szCs w:val="24"/>
        </w:rPr>
        <w:t>月</w:t>
      </w:r>
      <w:r>
        <w:rPr>
          <w:rFonts w:hint="eastAsia"/>
          <w:color w:val="auto"/>
          <w:sz w:val="24"/>
          <w:szCs w:val="24"/>
          <w:lang w:val="en-US"/>
        </w:rPr>
        <w:t xml:space="preserve">   </w:t>
      </w:r>
      <w:r>
        <w:rPr>
          <w:rFonts w:hint="eastAsia"/>
          <w:color w:val="auto"/>
          <w:sz w:val="24"/>
          <w:szCs w:val="24"/>
        </w:rPr>
        <w:t>日</w:t>
      </w:r>
    </w:p>
    <w:p>
      <w:pPr>
        <w:spacing w:line="360" w:lineRule="auto"/>
        <w:ind w:firstLine="480" w:firstLineChars="200"/>
        <w:rPr>
          <w:color w:val="auto"/>
          <w:sz w:val="24"/>
          <w:szCs w:val="24"/>
        </w:rPr>
        <w:sectPr>
          <w:footerReference r:id="rId11" w:type="default"/>
          <w:pgSz w:w="11910" w:h="16840"/>
          <w:pgMar w:top="1417" w:right="1417" w:bottom="1417" w:left="1417" w:header="0" w:footer="1202" w:gutter="0"/>
          <w:cols w:space="0" w:num="1"/>
        </w:sectPr>
      </w:pPr>
    </w:p>
    <w:p>
      <w:pPr>
        <w:widowControl/>
        <w:shd w:val="clear" w:color="auto" w:fill="FFFFFF"/>
        <w:spacing w:before="100" w:beforeAutospacing="1" w:after="100" w:afterAutospacing="1" w:line="482" w:lineRule="atLeast"/>
        <w:jc w:val="center"/>
        <w:rPr>
          <w:rFonts w:ascii="宋体" w:hAnsi="宋体"/>
          <w:caps w:val="0"/>
          <w:color w:val="auto"/>
          <w:spacing w:val="0"/>
          <w:kern w:val="0"/>
          <w:sz w:val="32"/>
          <w:szCs w:val="32"/>
          <w:highlight w:val="none"/>
        </w:rPr>
      </w:pPr>
      <w:r>
        <w:rPr>
          <w:rFonts w:hint="eastAsia" w:ascii="宋体" w:hAnsi="宋体"/>
          <w:b/>
          <w:bCs/>
          <w:caps w:val="0"/>
          <w:color w:val="auto"/>
          <w:spacing w:val="0"/>
          <w:kern w:val="0"/>
          <w:sz w:val="32"/>
          <w:szCs w:val="32"/>
          <w:highlight w:val="none"/>
        </w:rPr>
        <w:t>中小企业声明函（工程）</w:t>
      </w:r>
    </w:p>
    <w:p>
      <w:pPr>
        <w:widowControl/>
        <w:shd w:val="clear" w:color="auto" w:fill="FFFFFF"/>
        <w:spacing w:line="360" w:lineRule="auto"/>
        <w:ind w:firstLine="480" w:firstLineChars="200"/>
        <w:jc w:val="left"/>
        <w:rPr>
          <w:caps w:val="0"/>
          <w:color w:val="auto"/>
          <w:spacing w:val="0"/>
          <w:kern w:val="0"/>
          <w:sz w:val="24"/>
          <w:szCs w:val="24"/>
          <w:highlight w:val="none"/>
        </w:rPr>
      </w:pPr>
      <w:r>
        <w:rPr>
          <w:rFonts w:hint="eastAsia"/>
          <w:caps w:val="0"/>
          <w:color w:val="auto"/>
          <w:spacing w:val="0"/>
          <w:kern w:val="0"/>
          <w:sz w:val="24"/>
          <w:szCs w:val="24"/>
          <w:highlight w:val="none"/>
        </w:rPr>
        <w:t xml:space="preserve">本公司（联合体）郑重声明，根据《政府采购促进中小企业发展管理办法》（财库﹝2020﹞46 号）的规定，本公司（联合体）参加 </w:t>
      </w:r>
      <w:r>
        <w:rPr>
          <w:rFonts w:hint="eastAsia"/>
          <w:caps w:val="0"/>
          <w:color w:val="auto"/>
          <w:spacing w:val="0"/>
          <w:kern w:val="0"/>
          <w:sz w:val="24"/>
          <w:szCs w:val="24"/>
          <w:highlight w:val="none"/>
          <w:u w:val="single"/>
        </w:rPr>
        <w:t>（单位名称）</w:t>
      </w:r>
      <w:r>
        <w:rPr>
          <w:rFonts w:hint="eastAsia"/>
          <w:caps w:val="0"/>
          <w:color w:val="auto"/>
          <w:spacing w:val="0"/>
          <w:kern w:val="0"/>
          <w:sz w:val="24"/>
          <w:szCs w:val="24"/>
          <w:highlight w:val="none"/>
        </w:rPr>
        <w:t xml:space="preserve"> 的</w:t>
      </w:r>
      <w:r>
        <w:rPr>
          <w:rFonts w:hint="eastAsia"/>
          <w:caps w:val="0"/>
          <w:color w:val="auto"/>
          <w:spacing w:val="0"/>
          <w:kern w:val="0"/>
          <w:sz w:val="24"/>
          <w:szCs w:val="24"/>
          <w:highlight w:val="none"/>
          <w:u w:val="single"/>
        </w:rPr>
        <w:t xml:space="preserve"> （项目名称） </w:t>
      </w:r>
      <w:r>
        <w:rPr>
          <w:rFonts w:hint="eastAsia"/>
          <w:caps w:val="0"/>
          <w:color w:val="auto"/>
          <w:spacing w:val="0"/>
          <w:kern w:val="0"/>
          <w:sz w:val="24"/>
          <w:szCs w:val="24"/>
          <w:highlight w:val="none"/>
        </w:rPr>
        <w:t>采购活动，工程的施工单位全部为符合政策要求的中小企业。相关企业的具体情况如下：</w:t>
      </w:r>
    </w:p>
    <w:p>
      <w:pPr>
        <w:widowControl/>
        <w:shd w:val="clear" w:color="auto" w:fill="FFFFFF"/>
        <w:spacing w:line="360" w:lineRule="auto"/>
        <w:ind w:firstLine="480" w:firstLineChars="200"/>
        <w:jc w:val="left"/>
        <w:rPr>
          <w:caps w:val="0"/>
          <w:color w:val="auto"/>
          <w:spacing w:val="0"/>
          <w:kern w:val="0"/>
          <w:sz w:val="24"/>
          <w:szCs w:val="24"/>
          <w:highlight w:val="none"/>
        </w:rPr>
      </w:pPr>
      <w:r>
        <w:rPr>
          <w:rFonts w:hint="eastAsia"/>
          <w:caps w:val="0"/>
          <w:color w:val="auto"/>
          <w:spacing w:val="0"/>
          <w:kern w:val="0"/>
          <w:sz w:val="24"/>
          <w:szCs w:val="24"/>
          <w:highlight w:val="none"/>
        </w:rPr>
        <w:t>1.</w:t>
      </w:r>
      <w:r>
        <w:rPr>
          <w:rFonts w:hint="eastAsia"/>
          <w:caps w:val="0"/>
          <w:color w:val="auto"/>
          <w:spacing w:val="0"/>
          <w:kern w:val="0"/>
          <w:sz w:val="24"/>
          <w:szCs w:val="24"/>
          <w:highlight w:val="none"/>
          <w:u w:val="single"/>
        </w:rPr>
        <w:t>（标的名称）</w:t>
      </w:r>
      <w:r>
        <w:rPr>
          <w:rFonts w:hint="eastAsia"/>
          <w:caps w:val="0"/>
          <w:color w:val="auto"/>
          <w:spacing w:val="0"/>
          <w:kern w:val="0"/>
          <w:sz w:val="24"/>
          <w:szCs w:val="24"/>
          <w:highlight w:val="none"/>
        </w:rPr>
        <w:t>，属于</w:t>
      </w:r>
      <w:r>
        <w:rPr>
          <w:rFonts w:hint="eastAsia"/>
          <w:caps w:val="0"/>
          <w:color w:val="auto"/>
          <w:spacing w:val="0"/>
          <w:kern w:val="0"/>
          <w:sz w:val="24"/>
          <w:szCs w:val="24"/>
          <w:highlight w:val="none"/>
          <w:u w:val="single"/>
        </w:rPr>
        <w:t xml:space="preserve">（采购文件中明确的所属行业） </w:t>
      </w:r>
      <w:r>
        <w:rPr>
          <w:rFonts w:hint="eastAsia"/>
          <w:caps w:val="0"/>
          <w:color w:val="auto"/>
          <w:spacing w:val="0"/>
          <w:kern w:val="0"/>
          <w:sz w:val="24"/>
          <w:szCs w:val="24"/>
          <w:highlight w:val="none"/>
        </w:rPr>
        <w:t xml:space="preserve">；承建企业为 </w:t>
      </w:r>
      <w:r>
        <w:rPr>
          <w:rFonts w:hint="eastAsia"/>
          <w:caps w:val="0"/>
          <w:color w:val="auto"/>
          <w:spacing w:val="0"/>
          <w:kern w:val="0"/>
          <w:sz w:val="24"/>
          <w:szCs w:val="24"/>
          <w:highlight w:val="none"/>
          <w:u w:val="single"/>
        </w:rPr>
        <w:t xml:space="preserve">（企业名称） </w:t>
      </w:r>
      <w:r>
        <w:rPr>
          <w:rFonts w:hint="eastAsia"/>
          <w:caps w:val="0"/>
          <w:color w:val="auto"/>
          <w:spacing w:val="0"/>
          <w:kern w:val="0"/>
          <w:sz w:val="24"/>
          <w:szCs w:val="24"/>
          <w:highlight w:val="none"/>
        </w:rPr>
        <w:t>，从业人员</w:t>
      </w:r>
      <w:r>
        <w:rPr>
          <w:rFonts w:hint="eastAsia"/>
          <w:caps w:val="0"/>
          <w:color w:val="auto"/>
          <w:spacing w:val="0"/>
          <w:kern w:val="0"/>
          <w:sz w:val="24"/>
          <w:szCs w:val="24"/>
          <w:highlight w:val="none"/>
          <w:u w:val="single"/>
        </w:rPr>
        <w:t xml:space="preserve">       </w:t>
      </w:r>
      <w:r>
        <w:rPr>
          <w:rFonts w:hint="eastAsia"/>
          <w:caps w:val="0"/>
          <w:color w:val="auto"/>
          <w:spacing w:val="0"/>
          <w:kern w:val="0"/>
          <w:sz w:val="24"/>
          <w:szCs w:val="24"/>
          <w:highlight w:val="none"/>
        </w:rPr>
        <w:t>人，营业收入为</w:t>
      </w:r>
      <w:r>
        <w:rPr>
          <w:rFonts w:hint="eastAsia"/>
          <w:caps w:val="0"/>
          <w:color w:val="auto"/>
          <w:spacing w:val="0"/>
          <w:kern w:val="0"/>
          <w:sz w:val="24"/>
          <w:szCs w:val="24"/>
          <w:highlight w:val="none"/>
          <w:u w:val="single"/>
        </w:rPr>
        <w:t xml:space="preserve">        </w:t>
      </w:r>
      <w:r>
        <w:rPr>
          <w:rFonts w:hint="eastAsia"/>
          <w:caps w:val="0"/>
          <w:color w:val="auto"/>
          <w:spacing w:val="0"/>
          <w:kern w:val="0"/>
          <w:sz w:val="24"/>
          <w:szCs w:val="24"/>
          <w:highlight w:val="none"/>
        </w:rPr>
        <w:t>万元，资产总额为</w:t>
      </w:r>
      <w:r>
        <w:rPr>
          <w:rFonts w:hint="eastAsia"/>
          <w:caps w:val="0"/>
          <w:color w:val="auto"/>
          <w:spacing w:val="0"/>
          <w:kern w:val="0"/>
          <w:sz w:val="24"/>
          <w:szCs w:val="24"/>
          <w:highlight w:val="none"/>
          <w:u w:val="single"/>
        </w:rPr>
        <w:t xml:space="preserve">        </w:t>
      </w:r>
      <w:r>
        <w:rPr>
          <w:rFonts w:hint="eastAsia"/>
          <w:caps w:val="0"/>
          <w:color w:val="auto"/>
          <w:spacing w:val="0"/>
          <w:kern w:val="0"/>
          <w:sz w:val="24"/>
          <w:szCs w:val="24"/>
          <w:highlight w:val="none"/>
        </w:rPr>
        <w:t>万元，属于</w:t>
      </w:r>
      <w:r>
        <w:rPr>
          <w:rFonts w:hint="eastAsia"/>
          <w:caps w:val="0"/>
          <w:color w:val="auto"/>
          <w:spacing w:val="0"/>
          <w:kern w:val="0"/>
          <w:sz w:val="24"/>
          <w:szCs w:val="24"/>
          <w:highlight w:val="none"/>
          <w:u w:val="single"/>
          <w:lang w:val="en-US" w:eastAsia="zh-CN"/>
        </w:rPr>
        <w:t xml:space="preserve">      </w:t>
      </w:r>
      <w:r>
        <w:rPr>
          <w:rFonts w:hint="eastAsia"/>
          <w:caps w:val="0"/>
          <w:color w:val="auto"/>
          <w:spacing w:val="0"/>
          <w:kern w:val="0"/>
          <w:sz w:val="24"/>
          <w:szCs w:val="24"/>
          <w:highlight w:val="none"/>
        </w:rPr>
        <w:t>（中型企业、小型企业、微型企业） ；</w:t>
      </w:r>
    </w:p>
    <w:p>
      <w:pPr>
        <w:widowControl/>
        <w:shd w:val="clear" w:color="auto" w:fill="FFFFFF"/>
        <w:spacing w:line="360" w:lineRule="auto"/>
        <w:ind w:firstLine="480" w:firstLineChars="200"/>
        <w:jc w:val="left"/>
        <w:rPr>
          <w:caps w:val="0"/>
          <w:color w:val="auto"/>
          <w:spacing w:val="0"/>
          <w:kern w:val="0"/>
          <w:sz w:val="24"/>
          <w:szCs w:val="24"/>
          <w:highlight w:val="none"/>
        </w:rPr>
      </w:pPr>
      <w:r>
        <w:rPr>
          <w:rFonts w:hint="eastAsia"/>
          <w:caps w:val="0"/>
          <w:color w:val="auto"/>
          <w:spacing w:val="0"/>
          <w:kern w:val="0"/>
          <w:sz w:val="24"/>
          <w:szCs w:val="24"/>
          <w:highlight w:val="none"/>
        </w:rPr>
        <w:t>以上企业，不属于大企业的分支机构，不存在控股股东为大企业的情形，也不存在与大企业的负责人为同一人的情形。</w:t>
      </w:r>
    </w:p>
    <w:p>
      <w:pPr>
        <w:widowControl/>
        <w:shd w:val="clear" w:color="auto" w:fill="FFFFFF"/>
        <w:spacing w:line="360" w:lineRule="auto"/>
        <w:ind w:firstLine="539"/>
        <w:rPr>
          <w:color w:val="auto"/>
          <w:sz w:val="24"/>
          <w:szCs w:val="24"/>
          <w:highlight w:val="none"/>
        </w:rPr>
      </w:pPr>
      <w:r>
        <w:rPr>
          <w:rFonts w:hint="eastAsia"/>
          <w:caps w:val="0"/>
          <w:color w:val="auto"/>
          <w:spacing w:val="0"/>
          <w:kern w:val="0"/>
          <w:sz w:val="24"/>
          <w:szCs w:val="24"/>
          <w:highlight w:val="none"/>
        </w:rPr>
        <w:t>本企业对上述声明内容的真实性负责。如有虚假，将依法承担相应责任。</w:t>
      </w:r>
    </w:p>
    <w:p>
      <w:pPr>
        <w:widowControl/>
        <w:shd w:val="clear" w:color="auto" w:fill="FFFFFF"/>
        <w:spacing w:line="360" w:lineRule="auto"/>
        <w:ind w:firstLine="4140"/>
        <w:rPr>
          <w:color w:val="auto"/>
          <w:sz w:val="24"/>
          <w:szCs w:val="24"/>
          <w:highlight w:val="none"/>
        </w:rPr>
      </w:pPr>
    </w:p>
    <w:p>
      <w:pPr>
        <w:widowControl/>
        <w:shd w:val="clear" w:color="auto" w:fill="FFFFFF"/>
        <w:spacing w:line="360" w:lineRule="auto"/>
        <w:ind w:firstLine="4140"/>
        <w:rPr>
          <w:color w:val="auto"/>
          <w:sz w:val="24"/>
          <w:szCs w:val="24"/>
          <w:highlight w:val="none"/>
        </w:rPr>
      </w:pPr>
      <w:r>
        <w:rPr>
          <w:color w:val="auto"/>
          <w:sz w:val="24"/>
          <w:szCs w:val="24"/>
          <w:highlight w:val="none"/>
        </w:rPr>
        <w:t>企业名称（盖章）：</w:t>
      </w:r>
    </w:p>
    <w:p>
      <w:pPr>
        <w:widowControl/>
        <w:shd w:val="clear" w:color="auto" w:fill="FFFFFF"/>
        <w:spacing w:line="360" w:lineRule="auto"/>
        <w:ind w:firstLine="4140"/>
        <w:rPr>
          <w:color w:val="auto"/>
          <w:sz w:val="24"/>
          <w:szCs w:val="24"/>
          <w:highlight w:val="none"/>
        </w:rPr>
      </w:pPr>
      <w:r>
        <w:rPr>
          <w:color w:val="auto"/>
          <w:sz w:val="24"/>
          <w:szCs w:val="24"/>
          <w:highlight w:val="none"/>
        </w:rPr>
        <w:t>日    期：</w:t>
      </w:r>
    </w:p>
    <w:p>
      <w:pPr>
        <w:pStyle w:val="2"/>
        <w:ind w:firstLine="352"/>
        <w:rPr>
          <w:color w:val="auto"/>
          <w:highlight w:val="none"/>
        </w:rPr>
      </w:pPr>
    </w:p>
    <w:p>
      <w:pPr>
        <w:rPr>
          <w:color w:val="auto"/>
          <w:highlight w:val="none"/>
        </w:rPr>
      </w:pPr>
    </w:p>
    <w:p>
      <w:pPr>
        <w:rPr>
          <w:color w:val="auto"/>
          <w:highlight w:val="none"/>
          <w:lang w:val="en-US"/>
        </w:rPr>
      </w:pPr>
    </w:p>
    <w:p>
      <w:pPr>
        <w:rPr>
          <w:color w:val="auto"/>
          <w:highlight w:val="none"/>
          <w:lang w:val="en-US"/>
        </w:rPr>
      </w:pPr>
    </w:p>
    <w:p>
      <w:pPr>
        <w:rPr>
          <w:color w:val="auto"/>
          <w:highlight w:val="none"/>
          <w:lang w:val="en-US"/>
        </w:rPr>
      </w:pPr>
    </w:p>
    <w:p>
      <w:pPr>
        <w:rPr>
          <w:color w:val="auto"/>
        </w:rPr>
        <w:sectPr>
          <w:footerReference r:id="rId12" w:type="default"/>
          <w:pgSz w:w="11906" w:h="16838"/>
          <w:pgMar w:top="1417" w:right="1417" w:bottom="1417" w:left="1417" w:header="709" w:footer="709" w:gutter="0"/>
          <w:pgNumType w:fmt="decimal"/>
          <w:cols w:space="720" w:num="1"/>
          <w:docGrid w:type="linesAndChars" w:linePitch="312" w:charSpace="0"/>
        </w:sectPr>
      </w:pPr>
      <w:r>
        <w:rPr>
          <w:rFonts w:hint="eastAsia"/>
          <w:color w:val="auto"/>
          <w:highlight w:val="none"/>
          <w:lang w:val="en-US"/>
        </w:rPr>
        <w:t>注：</w:t>
      </w:r>
      <w:r>
        <w:rPr>
          <w:rFonts w:hint="eastAsia"/>
          <w:color w:val="auto"/>
          <w:highlight w:val="none"/>
        </w:rPr>
        <w:t>从业人员、营业收入、资产总额填报上一年度数据，无上一年度数据的新成立企业可不填报。</w:t>
      </w:r>
    </w:p>
    <w:p>
      <w:pPr>
        <w:pStyle w:val="16"/>
        <w:rPr>
          <w:rFonts w:ascii="Arial Unicode MS" w:hAnsi="Arial Unicode MS" w:eastAsia="Arial Unicode MS" w:cs="Arial Unicode MS"/>
          <w:color w:val="auto"/>
          <w:sz w:val="32"/>
          <w:szCs w:val="32"/>
        </w:rPr>
      </w:pPr>
      <w:r>
        <w:rPr>
          <w:rFonts w:hint="eastAsia" w:ascii="Arial Unicode MS" w:hAnsi="Arial Unicode MS" w:eastAsia="Arial Unicode MS" w:cs="Arial Unicode MS"/>
          <w:color w:val="auto"/>
          <w:sz w:val="32"/>
          <w:szCs w:val="32"/>
        </w:rPr>
        <w:t>附：</w:t>
      </w:r>
    </w:p>
    <w:p>
      <w:pPr>
        <w:jc w:val="center"/>
        <w:rPr>
          <w:rFonts w:cs="Arial Unicode MS"/>
          <w:color w:val="auto"/>
          <w:sz w:val="44"/>
          <w:szCs w:val="44"/>
        </w:rPr>
      </w:pPr>
      <w:r>
        <w:rPr>
          <w:rFonts w:hint="eastAsia" w:cs="Arial Unicode MS"/>
          <w:color w:val="auto"/>
          <w:sz w:val="36"/>
          <w:szCs w:val="36"/>
        </w:rPr>
        <w:t>中小微企业划型标准</w:t>
      </w:r>
    </w:p>
    <w:p>
      <w:pPr>
        <w:ind w:left="1871"/>
        <w:rPr>
          <w:rFonts w:cs="Arial Unicode MS"/>
          <w:color w:val="auto"/>
          <w:szCs w:val="21"/>
        </w:rPr>
      </w:pPr>
    </w:p>
    <w:tbl>
      <w:tblPr>
        <w:tblStyle w:val="29"/>
        <w:tblW w:w="0" w:type="auto"/>
        <w:jc w:val="center"/>
        <w:tblLayout w:type="fixed"/>
        <w:tblCellMar>
          <w:top w:w="0" w:type="dxa"/>
          <w:left w:w="108" w:type="dxa"/>
          <w:bottom w:w="0" w:type="dxa"/>
          <w:right w:w="108" w:type="dxa"/>
        </w:tblCellMar>
      </w:tblPr>
      <w:tblGrid>
        <w:gridCol w:w="1806"/>
        <w:gridCol w:w="1470"/>
        <w:gridCol w:w="1075"/>
        <w:gridCol w:w="1614"/>
        <w:gridCol w:w="1529"/>
        <w:gridCol w:w="982"/>
      </w:tblGrid>
      <w:tr>
        <w:tblPrEx>
          <w:tblCellMar>
            <w:top w:w="0" w:type="dxa"/>
            <w:left w:w="108" w:type="dxa"/>
            <w:bottom w:w="0" w:type="dxa"/>
            <w:right w:w="108" w:type="dxa"/>
          </w:tblCellMar>
        </w:tblPrEx>
        <w:trPr>
          <w:trHeight w:val="285" w:hRule="atLeast"/>
          <w:jc w:val="center"/>
        </w:trPr>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仿宋" w:eastAsia="仿宋_GB2312"/>
                <w:b/>
                <w:color w:val="auto"/>
                <w:sz w:val="24"/>
              </w:rPr>
            </w:pPr>
            <w:r>
              <w:rPr>
                <w:rFonts w:hint="eastAsia" w:ascii="仿宋_GB2312" w:hAnsi="仿宋" w:eastAsia="仿宋_GB2312"/>
                <w:b/>
                <w:color w:val="auto"/>
                <w:sz w:val="24"/>
              </w:rPr>
              <w:t>行业名称</w:t>
            </w:r>
          </w:p>
        </w:tc>
        <w:tc>
          <w:tcPr>
            <w:tcW w:w="147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_GB2312" w:hAnsi="仿宋" w:eastAsia="仿宋_GB2312"/>
                <w:b/>
                <w:color w:val="auto"/>
                <w:sz w:val="24"/>
              </w:rPr>
            </w:pPr>
            <w:r>
              <w:rPr>
                <w:rFonts w:hint="eastAsia" w:ascii="仿宋_GB2312" w:hAnsi="仿宋" w:eastAsia="仿宋_GB2312"/>
                <w:b/>
                <w:color w:val="auto"/>
                <w:sz w:val="24"/>
              </w:rPr>
              <w:t>指标名称</w:t>
            </w:r>
          </w:p>
        </w:tc>
        <w:tc>
          <w:tcPr>
            <w:tcW w:w="10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_GB2312" w:hAnsi="仿宋" w:eastAsia="仿宋_GB2312"/>
                <w:b/>
                <w:color w:val="auto"/>
                <w:sz w:val="24"/>
              </w:rPr>
            </w:pPr>
            <w:r>
              <w:rPr>
                <w:rFonts w:hint="eastAsia" w:ascii="仿宋_GB2312" w:hAnsi="仿宋" w:eastAsia="仿宋_GB2312"/>
                <w:b/>
                <w:color w:val="auto"/>
                <w:sz w:val="24"/>
              </w:rPr>
              <w:t>计量单位</w:t>
            </w:r>
          </w:p>
        </w:tc>
        <w:tc>
          <w:tcPr>
            <w:tcW w:w="161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_GB2312" w:hAnsi="仿宋" w:eastAsia="仿宋_GB2312"/>
                <w:b/>
                <w:color w:val="auto"/>
                <w:sz w:val="24"/>
              </w:rPr>
            </w:pPr>
            <w:r>
              <w:rPr>
                <w:rFonts w:hint="eastAsia" w:ascii="仿宋_GB2312" w:hAnsi="仿宋" w:eastAsia="仿宋_GB2312"/>
                <w:b/>
                <w:color w:val="auto"/>
                <w:sz w:val="24"/>
              </w:rPr>
              <w:t>中型</w:t>
            </w:r>
          </w:p>
        </w:tc>
        <w:tc>
          <w:tcPr>
            <w:tcW w:w="152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_GB2312" w:hAnsi="仿宋" w:eastAsia="仿宋_GB2312"/>
                <w:b/>
                <w:color w:val="auto"/>
                <w:sz w:val="24"/>
              </w:rPr>
            </w:pPr>
            <w:r>
              <w:rPr>
                <w:rFonts w:hint="eastAsia" w:ascii="仿宋_GB2312" w:hAnsi="仿宋" w:eastAsia="仿宋_GB2312"/>
                <w:b/>
                <w:color w:val="auto"/>
                <w:sz w:val="24"/>
              </w:rPr>
              <w:t>小型</w:t>
            </w:r>
          </w:p>
        </w:tc>
        <w:tc>
          <w:tcPr>
            <w:tcW w:w="98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_GB2312" w:hAnsi="仿宋" w:eastAsia="仿宋_GB2312"/>
                <w:b/>
                <w:color w:val="auto"/>
                <w:sz w:val="24"/>
              </w:rPr>
            </w:pPr>
            <w:r>
              <w:rPr>
                <w:rFonts w:hint="eastAsia" w:ascii="仿宋_GB2312" w:hAnsi="仿宋" w:eastAsia="仿宋_GB2312"/>
                <w:b/>
                <w:color w:val="auto"/>
                <w:sz w:val="24"/>
              </w:rPr>
              <w:t>微型</w:t>
            </w:r>
          </w:p>
        </w:tc>
      </w:tr>
      <w:tr>
        <w:tblPrEx>
          <w:tblCellMar>
            <w:top w:w="0" w:type="dxa"/>
            <w:left w:w="108" w:type="dxa"/>
            <w:bottom w:w="0" w:type="dxa"/>
            <w:right w:w="108" w:type="dxa"/>
          </w:tblCellMar>
        </w:tblPrEx>
        <w:trPr>
          <w:trHeight w:val="225" w:hRule="atLeast"/>
          <w:jc w:val="center"/>
        </w:trPr>
        <w:tc>
          <w:tcPr>
            <w:tcW w:w="1806" w:type="dxa"/>
            <w:tcBorders>
              <w:top w:val="nil"/>
              <w:left w:val="single" w:color="auto" w:sz="4" w:space="0"/>
              <w:bottom w:val="single" w:color="auto" w:sz="4" w:space="0"/>
              <w:right w:val="single" w:color="auto" w:sz="4" w:space="0"/>
            </w:tcBorders>
            <w:vAlign w:val="bottom"/>
          </w:tcPr>
          <w:p>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农、林、牧、渔</w:t>
            </w:r>
          </w:p>
        </w:tc>
        <w:tc>
          <w:tcPr>
            <w:tcW w:w="1470"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营业收入（Y）</w:t>
            </w:r>
          </w:p>
        </w:tc>
        <w:tc>
          <w:tcPr>
            <w:tcW w:w="1075"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500≤Y＜20000</w:t>
            </w:r>
          </w:p>
        </w:tc>
        <w:tc>
          <w:tcPr>
            <w:tcW w:w="1529"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50≤Y＜500</w:t>
            </w:r>
          </w:p>
        </w:tc>
        <w:tc>
          <w:tcPr>
            <w:tcW w:w="982"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Y＜50</w:t>
            </w:r>
          </w:p>
        </w:tc>
      </w:tr>
      <w:tr>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工业</w:t>
            </w:r>
          </w:p>
        </w:tc>
        <w:tc>
          <w:tcPr>
            <w:tcW w:w="1470"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从业人员（X）</w:t>
            </w:r>
          </w:p>
        </w:tc>
        <w:tc>
          <w:tcPr>
            <w:tcW w:w="1075"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人</w:t>
            </w:r>
          </w:p>
        </w:tc>
        <w:tc>
          <w:tcPr>
            <w:tcW w:w="1614"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300≤X＜1000</w:t>
            </w:r>
          </w:p>
        </w:tc>
        <w:tc>
          <w:tcPr>
            <w:tcW w:w="1529"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20≤X＜300</w:t>
            </w:r>
          </w:p>
        </w:tc>
        <w:tc>
          <w:tcPr>
            <w:tcW w:w="982"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X＜20</w:t>
            </w:r>
          </w:p>
        </w:tc>
      </w:tr>
      <w:tr>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pPr>
              <w:widowControl/>
              <w:spacing w:line="360" w:lineRule="auto"/>
              <w:rPr>
                <w:rFonts w:ascii="仿宋_GB2312" w:hAnsi="仿宋" w:eastAsia="仿宋_GB2312"/>
                <w:b/>
                <w:bCs/>
                <w:color w:val="auto"/>
                <w:sz w:val="18"/>
                <w:szCs w:val="18"/>
              </w:rPr>
            </w:pPr>
          </w:p>
        </w:tc>
        <w:tc>
          <w:tcPr>
            <w:tcW w:w="1470"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营业收入（Y）</w:t>
            </w:r>
          </w:p>
        </w:tc>
        <w:tc>
          <w:tcPr>
            <w:tcW w:w="1075"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2000≤Y＜40000</w:t>
            </w:r>
          </w:p>
        </w:tc>
        <w:tc>
          <w:tcPr>
            <w:tcW w:w="1529"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300≤Y＜2000</w:t>
            </w:r>
          </w:p>
        </w:tc>
        <w:tc>
          <w:tcPr>
            <w:tcW w:w="982"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Y＜300</w:t>
            </w:r>
          </w:p>
        </w:tc>
      </w:tr>
      <w:tr>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建筑业</w:t>
            </w:r>
          </w:p>
        </w:tc>
        <w:tc>
          <w:tcPr>
            <w:tcW w:w="1470"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营业收入（Y）</w:t>
            </w:r>
          </w:p>
        </w:tc>
        <w:tc>
          <w:tcPr>
            <w:tcW w:w="1075"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6000≤Y＜80000</w:t>
            </w:r>
          </w:p>
        </w:tc>
        <w:tc>
          <w:tcPr>
            <w:tcW w:w="1529"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300≤Y＜6000</w:t>
            </w:r>
          </w:p>
        </w:tc>
        <w:tc>
          <w:tcPr>
            <w:tcW w:w="982"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Y＜300</w:t>
            </w:r>
          </w:p>
        </w:tc>
      </w:tr>
      <w:tr>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pPr>
              <w:widowControl/>
              <w:spacing w:line="360" w:lineRule="auto"/>
              <w:rPr>
                <w:rFonts w:ascii="仿宋_GB2312" w:hAnsi="仿宋" w:eastAsia="仿宋_GB2312"/>
                <w:b/>
                <w:bCs/>
                <w:color w:val="auto"/>
                <w:sz w:val="18"/>
                <w:szCs w:val="18"/>
              </w:rPr>
            </w:pPr>
          </w:p>
        </w:tc>
        <w:tc>
          <w:tcPr>
            <w:tcW w:w="1470"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资产总额（Z）</w:t>
            </w:r>
          </w:p>
        </w:tc>
        <w:tc>
          <w:tcPr>
            <w:tcW w:w="1075"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5000≤Z＜80000</w:t>
            </w:r>
          </w:p>
        </w:tc>
        <w:tc>
          <w:tcPr>
            <w:tcW w:w="1529"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300≤Z＜5000</w:t>
            </w:r>
          </w:p>
        </w:tc>
        <w:tc>
          <w:tcPr>
            <w:tcW w:w="982"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Z＜300</w:t>
            </w:r>
          </w:p>
        </w:tc>
      </w:tr>
      <w:tr>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批发业</w:t>
            </w:r>
          </w:p>
        </w:tc>
        <w:tc>
          <w:tcPr>
            <w:tcW w:w="1470"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从业人员（X）</w:t>
            </w:r>
          </w:p>
        </w:tc>
        <w:tc>
          <w:tcPr>
            <w:tcW w:w="1075"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人</w:t>
            </w:r>
          </w:p>
        </w:tc>
        <w:tc>
          <w:tcPr>
            <w:tcW w:w="1614"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20≤X＜200</w:t>
            </w:r>
          </w:p>
        </w:tc>
        <w:tc>
          <w:tcPr>
            <w:tcW w:w="1529"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5≤X＜20</w:t>
            </w:r>
          </w:p>
        </w:tc>
        <w:tc>
          <w:tcPr>
            <w:tcW w:w="982"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X＜5</w:t>
            </w:r>
          </w:p>
        </w:tc>
      </w:tr>
      <w:tr>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pPr>
              <w:widowControl/>
              <w:spacing w:line="360" w:lineRule="auto"/>
              <w:rPr>
                <w:rFonts w:ascii="仿宋_GB2312" w:hAnsi="仿宋" w:eastAsia="仿宋_GB2312"/>
                <w:b/>
                <w:bCs/>
                <w:color w:val="auto"/>
                <w:sz w:val="18"/>
                <w:szCs w:val="18"/>
              </w:rPr>
            </w:pPr>
          </w:p>
        </w:tc>
        <w:tc>
          <w:tcPr>
            <w:tcW w:w="1470"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营业收入（Y）</w:t>
            </w:r>
          </w:p>
        </w:tc>
        <w:tc>
          <w:tcPr>
            <w:tcW w:w="1075"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5000≤Y＜40000</w:t>
            </w:r>
          </w:p>
        </w:tc>
        <w:tc>
          <w:tcPr>
            <w:tcW w:w="1529"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1000≤Y＜5000</w:t>
            </w:r>
          </w:p>
        </w:tc>
        <w:tc>
          <w:tcPr>
            <w:tcW w:w="982"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Y＜1000</w:t>
            </w:r>
          </w:p>
        </w:tc>
      </w:tr>
      <w:tr>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零售业</w:t>
            </w:r>
          </w:p>
        </w:tc>
        <w:tc>
          <w:tcPr>
            <w:tcW w:w="1470"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从业人员（X）</w:t>
            </w:r>
          </w:p>
        </w:tc>
        <w:tc>
          <w:tcPr>
            <w:tcW w:w="1075"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人</w:t>
            </w:r>
          </w:p>
        </w:tc>
        <w:tc>
          <w:tcPr>
            <w:tcW w:w="1614"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50≤X＜300</w:t>
            </w:r>
          </w:p>
        </w:tc>
        <w:tc>
          <w:tcPr>
            <w:tcW w:w="1529"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10≤X＜50</w:t>
            </w:r>
          </w:p>
        </w:tc>
        <w:tc>
          <w:tcPr>
            <w:tcW w:w="982"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X＜10</w:t>
            </w:r>
          </w:p>
        </w:tc>
      </w:tr>
      <w:tr>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pPr>
              <w:widowControl/>
              <w:spacing w:line="360" w:lineRule="auto"/>
              <w:rPr>
                <w:rFonts w:ascii="仿宋_GB2312" w:hAnsi="仿宋" w:eastAsia="仿宋_GB2312"/>
                <w:b/>
                <w:bCs/>
                <w:color w:val="auto"/>
                <w:sz w:val="18"/>
                <w:szCs w:val="18"/>
              </w:rPr>
            </w:pPr>
          </w:p>
        </w:tc>
        <w:tc>
          <w:tcPr>
            <w:tcW w:w="1470"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营业收入（Y）</w:t>
            </w:r>
          </w:p>
        </w:tc>
        <w:tc>
          <w:tcPr>
            <w:tcW w:w="1075"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500≤Y＜20000</w:t>
            </w:r>
          </w:p>
        </w:tc>
        <w:tc>
          <w:tcPr>
            <w:tcW w:w="1529"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100≤Y＜500</w:t>
            </w:r>
          </w:p>
        </w:tc>
        <w:tc>
          <w:tcPr>
            <w:tcW w:w="982"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Y＜100</w:t>
            </w:r>
          </w:p>
        </w:tc>
      </w:tr>
      <w:tr>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交通运输业</w:t>
            </w:r>
          </w:p>
        </w:tc>
        <w:tc>
          <w:tcPr>
            <w:tcW w:w="1470"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从业人员（X）</w:t>
            </w:r>
          </w:p>
        </w:tc>
        <w:tc>
          <w:tcPr>
            <w:tcW w:w="1075"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人</w:t>
            </w:r>
          </w:p>
        </w:tc>
        <w:tc>
          <w:tcPr>
            <w:tcW w:w="1614"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300≤X＜1000</w:t>
            </w:r>
          </w:p>
        </w:tc>
        <w:tc>
          <w:tcPr>
            <w:tcW w:w="1529"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20≤X＜300</w:t>
            </w:r>
          </w:p>
        </w:tc>
        <w:tc>
          <w:tcPr>
            <w:tcW w:w="982"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X＜20</w:t>
            </w:r>
          </w:p>
        </w:tc>
      </w:tr>
      <w:tr>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pPr>
              <w:widowControl/>
              <w:spacing w:line="360" w:lineRule="auto"/>
              <w:rPr>
                <w:rFonts w:ascii="仿宋_GB2312" w:hAnsi="仿宋" w:eastAsia="仿宋_GB2312"/>
                <w:b/>
                <w:bCs/>
                <w:color w:val="auto"/>
                <w:sz w:val="18"/>
                <w:szCs w:val="18"/>
              </w:rPr>
            </w:pPr>
          </w:p>
        </w:tc>
        <w:tc>
          <w:tcPr>
            <w:tcW w:w="1470"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营业收入（Y）</w:t>
            </w:r>
          </w:p>
        </w:tc>
        <w:tc>
          <w:tcPr>
            <w:tcW w:w="1075"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3000≤Y＜30000</w:t>
            </w:r>
          </w:p>
        </w:tc>
        <w:tc>
          <w:tcPr>
            <w:tcW w:w="1529"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200≤Y＜3000</w:t>
            </w:r>
          </w:p>
        </w:tc>
        <w:tc>
          <w:tcPr>
            <w:tcW w:w="982"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Y＜200</w:t>
            </w:r>
          </w:p>
        </w:tc>
      </w:tr>
      <w:tr>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仓储业</w:t>
            </w:r>
          </w:p>
        </w:tc>
        <w:tc>
          <w:tcPr>
            <w:tcW w:w="1470"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从业人员（X）</w:t>
            </w:r>
          </w:p>
        </w:tc>
        <w:tc>
          <w:tcPr>
            <w:tcW w:w="1075"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人</w:t>
            </w:r>
          </w:p>
        </w:tc>
        <w:tc>
          <w:tcPr>
            <w:tcW w:w="1614"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100≤X＜200</w:t>
            </w:r>
          </w:p>
        </w:tc>
        <w:tc>
          <w:tcPr>
            <w:tcW w:w="1529"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20≤X＜100</w:t>
            </w:r>
          </w:p>
        </w:tc>
        <w:tc>
          <w:tcPr>
            <w:tcW w:w="982"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X＜20</w:t>
            </w:r>
          </w:p>
        </w:tc>
      </w:tr>
      <w:tr>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pPr>
              <w:widowControl/>
              <w:spacing w:line="360" w:lineRule="auto"/>
              <w:rPr>
                <w:rFonts w:ascii="仿宋_GB2312" w:hAnsi="仿宋" w:eastAsia="仿宋_GB2312"/>
                <w:b/>
                <w:bCs/>
                <w:color w:val="auto"/>
                <w:sz w:val="18"/>
                <w:szCs w:val="18"/>
              </w:rPr>
            </w:pPr>
          </w:p>
        </w:tc>
        <w:tc>
          <w:tcPr>
            <w:tcW w:w="1470"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营业收入（Y）</w:t>
            </w:r>
          </w:p>
        </w:tc>
        <w:tc>
          <w:tcPr>
            <w:tcW w:w="1075"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1000≤Y＜30000</w:t>
            </w:r>
          </w:p>
        </w:tc>
        <w:tc>
          <w:tcPr>
            <w:tcW w:w="1529"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100≤Y＜1000</w:t>
            </w:r>
          </w:p>
        </w:tc>
        <w:tc>
          <w:tcPr>
            <w:tcW w:w="982"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Y＜100</w:t>
            </w:r>
          </w:p>
        </w:tc>
      </w:tr>
      <w:tr>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邮政业</w:t>
            </w:r>
          </w:p>
        </w:tc>
        <w:tc>
          <w:tcPr>
            <w:tcW w:w="1470"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从业人员（X）</w:t>
            </w:r>
          </w:p>
        </w:tc>
        <w:tc>
          <w:tcPr>
            <w:tcW w:w="1075"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人</w:t>
            </w:r>
          </w:p>
        </w:tc>
        <w:tc>
          <w:tcPr>
            <w:tcW w:w="1614"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300≤X＜1000</w:t>
            </w:r>
          </w:p>
        </w:tc>
        <w:tc>
          <w:tcPr>
            <w:tcW w:w="1529"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20≤X＜300</w:t>
            </w:r>
          </w:p>
        </w:tc>
        <w:tc>
          <w:tcPr>
            <w:tcW w:w="982"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X＜20</w:t>
            </w:r>
          </w:p>
        </w:tc>
      </w:tr>
      <w:tr>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pPr>
              <w:widowControl/>
              <w:spacing w:line="360" w:lineRule="auto"/>
              <w:rPr>
                <w:rFonts w:ascii="仿宋_GB2312" w:hAnsi="仿宋" w:eastAsia="仿宋_GB2312"/>
                <w:b/>
                <w:bCs/>
                <w:color w:val="auto"/>
                <w:sz w:val="18"/>
                <w:szCs w:val="18"/>
              </w:rPr>
            </w:pPr>
          </w:p>
        </w:tc>
        <w:tc>
          <w:tcPr>
            <w:tcW w:w="1470"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营业收入（Y）</w:t>
            </w:r>
          </w:p>
        </w:tc>
        <w:tc>
          <w:tcPr>
            <w:tcW w:w="1075"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2000≤Y＜30000</w:t>
            </w:r>
          </w:p>
        </w:tc>
        <w:tc>
          <w:tcPr>
            <w:tcW w:w="1529"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100≤Y＜2000</w:t>
            </w:r>
          </w:p>
        </w:tc>
        <w:tc>
          <w:tcPr>
            <w:tcW w:w="982"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Y＜100</w:t>
            </w:r>
          </w:p>
        </w:tc>
      </w:tr>
      <w:tr>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住宿业</w:t>
            </w:r>
          </w:p>
        </w:tc>
        <w:tc>
          <w:tcPr>
            <w:tcW w:w="1470"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从业人员（X）</w:t>
            </w:r>
          </w:p>
        </w:tc>
        <w:tc>
          <w:tcPr>
            <w:tcW w:w="1075"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人</w:t>
            </w:r>
          </w:p>
        </w:tc>
        <w:tc>
          <w:tcPr>
            <w:tcW w:w="1614"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100≤X＜300</w:t>
            </w:r>
          </w:p>
        </w:tc>
        <w:tc>
          <w:tcPr>
            <w:tcW w:w="1529"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10≤X＜100</w:t>
            </w:r>
          </w:p>
        </w:tc>
        <w:tc>
          <w:tcPr>
            <w:tcW w:w="982"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X＜10</w:t>
            </w:r>
          </w:p>
        </w:tc>
      </w:tr>
      <w:tr>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pPr>
              <w:widowControl/>
              <w:spacing w:line="360" w:lineRule="auto"/>
              <w:rPr>
                <w:rFonts w:ascii="仿宋_GB2312" w:hAnsi="仿宋" w:eastAsia="仿宋_GB2312"/>
                <w:b/>
                <w:bCs/>
                <w:color w:val="auto"/>
                <w:sz w:val="18"/>
                <w:szCs w:val="18"/>
              </w:rPr>
            </w:pPr>
          </w:p>
        </w:tc>
        <w:tc>
          <w:tcPr>
            <w:tcW w:w="1470"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营业收入（Y）</w:t>
            </w:r>
          </w:p>
        </w:tc>
        <w:tc>
          <w:tcPr>
            <w:tcW w:w="1075"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2000≤Y＜10000</w:t>
            </w:r>
          </w:p>
        </w:tc>
        <w:tc>
          <w:tcPr>
            <w:tcW w:w="1529"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100≤Y＜2000</w:t>
            </w:r>
          </w:p>
        </w:tc>
        <w:tc>
          <w:tcPr>
            <w:tcW w:w="982"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Y＜100</w:t>
            </w:r>
          </w:p>
        </w:tc>
      </w:tr>
      <w:tr>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餐饮业</w:t>
            </w:r>
          </w:p>
        </w:tc>
        <w:tc>
          <w:tcPr>
            <w:tcW w:w="1470"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从业人员（X）</w:t>
            </w:r>
          </w:p>
        </w:tc>
        <w:tc>
          <w:tcPr>
            <w:tcW w:w="1075"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人</w:t>
            </w:r>
          </w:p>
        </w:tc>
        <w:tc>
          <w:tcPr>
            <w:tcW w:w="1614"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100≤X＜300</w:t>
            </w:r>
          </w:p>
        </w:tc>
        <w:tc>
          <w:tcPr>
            <w:tcW w:w="1529"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10≤X＜100</w:t>
            </w:r>
          </w:p>
        </w:tc>
        <w:tc>
          <w:tcPr>
            <w:tcW w:w="982"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X＜10</w:t>
            </w:r>
          </w:p>
        </w:tc>
      </w:tr>
      <w:tr>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pPr>
              <w:widowControl/>
              <w:spacing w:line="360" w:lineRule="auto"/>
              <w:rPr>
                <w:rFonts w:ascii="仿宋_GB2312" w:hAnsi="仿宋" w:eastAsia="仿宋_GB2312"/>
                <w:b/>
                <w:bCs/>
                <w:color w:val="auto"/>
                <w:sz w:val="18"/>
                <w:szCs w:val="18"/>
              </w:rPr>
            </w:pPr>
          </w:p>
        </w:tc>
        <w:tc>
          <w:tcPr>
            <w:tcW w:w="1470"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营业收入（Y）</w:t>
            </w:r>
          </w:p>
        </w:tc>
        <w:tc>
          <w:tcPr>
            <w:tcW w:w="1075"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2000≤Y＜10000</w:t>
            </w:r>
          </w:p>
        </w:tc>
        <w:tc>
          <w:tcPr>
            <w:tcW w:w="1529"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100≤Y＜2000</w:t>
            </w:r>
          </w:p>
        </w:tc>
        <w:tc>
          <w:tcPr>
            <w:tcW w:w="982"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Y＜100</w:t>
            </w:r>
          </w:p>
        </w:tc>
      </w:tr>
      <w:tr>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信息传输业</w:t>
            </w:r>
          </w:p>
        </w:tc>
        <w:tc>
          <w:tcPr>
            <w:tcW w:w="1470"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从业人员（X）</w:t>
            </w:r>
          </w:p>
        </w:tc>
        <w:tc>
          <w:tcPr>
            <w:tcW w:w="1075"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人</w:t>
            </w:r>
          </w:p>
        </w:tc>
        <w:tc>
          <w:tcPr>
            <w:tcW w:w="1614"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100≤X＜2000</w:t>
            </w:r>
          </w:p>
        </w:tc>
        <w:tc>
          <w:tcPr>
            <w:tcW w:w="1529"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10≤X＜100</w:t>
            </w:r>
          </w:p>
        </w:tc>
        <w:tc>
          <w:tcPr>
            <w:tcW w:w="982"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X＜10</w:t>
            </w:r>
          </w:p>
        </w:tc>
      </w:tr>
      <w:tr>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pPr>
              <w:widowControl/>
              <w:spacing w:line="360" w:lineRule="auto"/>
              <w:rPr>
                <w:rFonts w:ascii="仿宋_GB2312" w:hAnsi="仿宋" w:eastAsia="仿宋_GB2312"/>
                <w:b/>
                <w:bCs/>
                <w:color w:val="auto"/>
                <w:sz w:val="18"/>
                <w:szCs w:val="18"/>
              </w:rPr>
            </w:pPr>
          </w:p>
        </w:tc>
        <w:tc>
          <w:tcPr>
            <w:tcW w:w="1470"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营业收入（Y）</w:t>
            </w:r>
          </w:p>
        </w:tc>
        <w:tc>
          <w:tcPr>
            <w:tcW w:w="1075"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1000≤Y＜100000</w:t>
            </w:r>
          </w:p>
        </w:tc>
        <w:tc>
          <w:tcPr>
            <w:tcW w:w="1529"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100≤Y＜1000</w:t>
            </w:r>
          </w:p>
        </w:tc>
        <w:tc>
          <w:tcPr>
            <w:tcW w:w="982"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Y＜100</w:t>
            </w:r>
          </w:p>
        </w:tc>
      </w:tr>
      <w:tr>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软件和信息技术服务业</w:t>
            </w:r>
          </w:p>
        </w:tc>
        <w:tc>
          <w:tcPr>
            <w:tcW w:w="1470"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从业人员（X）</w:t>
            </w:r>
          </w:p>
        </w:tc>
        <w:tc>
          <w:tcPr>
            <w:tcW w:w="1075"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人</w:t>
            </w:r>
          </w:p>
        </w:tc>
        <w:tc>
          <w:tcPr>
            <w:tcW w:w="1614"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100≤X＜300</w:t>
            </w:r>
          </w:p>
        </w:tc>
        <w:tc>
          <w:tcPr>
            <w:tcW w:w="1529"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10≤X＜100</w:t>
            </w:r>
          </w:p>
        </w:tc>
        <w:tc>
          <w:tcPr>
            <w:tcW w:w="982"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X＜10</w:t>
            </w:r>
          </w:p>
        </w:tc>
      </w:tr>
      <w:tr>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pPr>
              <w:widowControl/>
              <w:spacing w:line="360" w:lineRule="auto"/>
              <w:rPr>
                <w:rFonts w:ascii="仿宋_GB2312" w:hAnsi="仿宋" w:eastAsia="仿宋_GB2312"/>
                <w:b/>
                <w:bCs/>
                <w:color w:val="auto"/>
                <w:sz w:val="18"/>
                <w:szCs w:val="18"/>
              </w:rPr>
            </w:pPr>
          </w:p>
        </w:tc>
        <w:tc>
          <w:tcPr>
            <w:tcW w:w="1470"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营业收入（Y）</w:t>
            </w:r>
          </w:p>
        </w:tc>
        <w:tc>
          <w:tcPr>
            <w:tcW w:w="1075"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1000≤Y＜10000</w:t>
            </w:r>
          </w:p>
        </w:tc>
        <w:tc>
          <w:tcPr>
            <w:tcW w:w="1529"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50≤Y＜1000</w:t>
            </w:r>
          </w:p>
        </w:tc>
        <w:tc>
          <w:tcPr>
            <w:tcW w:w="982"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Y＜50</w:t>
            </w:r>
          </w:p>
        </w:tc>
      </w:tr>
      <w:tr>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房地产开发经营</w:t>
            </w:r>
          </w:p>
        </w:tc>
        <w:tc>
          <w:tcPr>
            <w:tcW w:w="1470"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营业收入（Y）</w:t>
            </w:r>
          </w:p>
        </w:tc>
        <w:tc>
          <w:tcPr>
            <w:tcW w:w="1075"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1000≤Y＜200000</w:t>
            </w:r>
          </w:p>
        </w:tc>
        <w:tc>
          <w:tcPr>
            <w:tcW w:w="1529"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100≤X＜1000</w:t>
            </w:r>
          </w:p>
        </w:tc>
        <w:tc>
          <w:tcPr>
            <w:tcW w:w="982"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X＜100</w:t>
            </w:r>
          </w:p>
        </w:tc>
      </w:tr>
      <w:tr>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pPr>
              <w:widowControl/>
              <w:spacing w:line="360" w:lineRule="auto"/>
              <w:rPr>
                <w:rFonts w:ascii="仿宋_GB2312" w:hAnsi="仿宋" w:eastAsia="仿宋_GB2312"/>
                <w:b/>
                <w:bCs/>
                <w:color w:val="auto"/>
                <w:sz w:val="18"/>
                <w:szCs w:val="18"/>
              </w:rPr>
            </w:pPr>
          </w:p>
        </w:tc>
        <w:tc>
          <w:tcPr>
            <w:tcW w:w="1470"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资产总额（Z）</w:t>
            </w:r>
          </w:p>
        </w:tc>
        <w:tc>
          <w:tcPr>
            <w:tcW w:w="1075"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5000≤Z＜10000</w:t>
            </w:r>
          </w:p>
        </w:tc>
        <w:tc>
          <w:tcPr>
            <w:tcW w:w="1529"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2000≤Y＜5000</w:t>
            </w:r>
          </w:p>
        </w:tc>
        <w:tc>
          <w:tcPr>
            <w:tcW w:w="982"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Y＜2000</w:t>
            </w:r>
          </w:p>
        </w:tc>
      </w:tr>
      <w:tr>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物业管理</w:t>
            </w:r>
          </w:p>
        </w:tc>
        <w:tc>
          <w:tcPr>
            <w:tcW w:w="1470"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从业人员（X）</w:t>
            </w:r>
          </w:p>
        </w:tc>
        <w:tc>
          <w:tcPr>
            <w:tcW w:w="1075"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人</w:t>
            </w:r>
          </w:p>
        </w:tc>
        <w:tc>
          <w:tcPr>
            <w:tcW w:w="1614"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300≤X＜1000</w:t>
            </w:r>
          </w:p>
        </w:tc>
        <w:tc>
          <w:tcPr>
            <w:tcW w:w="1529"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100≤X＜300</w:t>
            </w:r>
          </w:p>
        </w:tc>
        <w:tc>
          <w:tcPr>
            <w:tcW w:w="982"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X＜100</w:t>
            </w:r>
          </w:p>
        </w:tc>
      </w:tr>
      <w:tr>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pPr>
              <w:widowControl/>
              <w:spacing w:line="360" w:lineRule="auto"/>
              <w:rPr>
                <w:rFonts w:ascii="仿宋_GB2312" w:hAnsi="仿宋" w:eastAsia="仿宋_GB2312"/>
                <w:b/>
                <w:bCs/>
                <w:color w:val="auto"/>
                <w:sz w:val="18"/>
                <w:szCs w:val="18"/>
              </w:rPr>
            </w:pPr>
          </w:p>
        </w:tc>
        <w:tc>
          <w:tcPr>
            <w:tcW w:w="1470"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营业收入（Y）</w:t>
            </w:r>
          </w:p>
        </w:tc>
        <w:tc>
          <w:tcPr>
            <w:tcW w:w="1075"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1000≤Y＜5000</w:t>
            </w:r>
          </w:p>
        </w:tc>
        <w:tc>
          <w:tcPr>
            <w:tcW w:w="1529"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500≤Y＜1000</w:t>
            </w:r>
          </w:p>
        </w:tc>
        <w:tc>
          <w:tcPr>
            <w:tcW w:w="982"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Y＜500</w:t>
            </w:r>
          </w:p>
        </w:tc>
      </w:tr>
      <w:tr>
        <w:tblPrEx>
          <w:tblCellMar>
            <w:top w:w="0" w:type="dxa"/>
            <w:left w:w="108" w:type="dxa"/>
            <w:bottom w:w="0" w:type="dxa"/>
            <w:right w:w="108" w:type="dxa"/>
          </w:tblCellMar>
        </w:tblPrEx>
        <w:trPr>
          <w:trHeight w:val="225" w:hRule="atLeast"/>
          <w:jc w:val="center"/>
        </w:trPr>
        <w:tc>
          <w:tcPr>
            <w:tcW w:w="1806" w:type="dxa"/>
            <w:vMerge w:val="restart"/>
            <w:tcBorders>
              <w:top w:val="nil"/>
              <w:left w:val="single" w:color="auto" w:sz="4" w:space="0"/>
              <w:bottom w:val="single" w:color="auto" w:sz="4" w:space="0"/>
              <w:right w:val="single" w:color="auto" w:sz="4" w:space="0"/>
            </w:tcBorders>
            <w:vAlign w:val="bottom"/>
          </w:tcPr>
          <w:p>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租赁和商务服务业</w:t>
            </w:r>
          </w:p>
        </w:tc>
        <w:tc>
          <w:tcPr>
            <w:tcW w:w="1470"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从业人员（X）</w:t>
            </w:r>
          </w:p>
        </w:tc>
        <w:tc>
          <w:tcPr>
            <w:tcW w:w="1075"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人</w:t>
            </w:r>
          </w:p>
        </w:tc>
        <w:tc>
          <w:tcPr>
            <w:tcW w:w="1614"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100≤X＜300</w:t>
            </w:r>
          </w:p>
        </w:tc>
        <w:tc>
          <w:tcPr>
            <w:tcW w:w="1529"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10≤X＜100</w:t>
            </w:r>
          </w:p>
        </w:tc>
        <w:tc>
          <w:tcPr>
            <w:tcW w:w="982"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X＜10</w:t>
            </w:r>
          </w:p>
        </w:tc>
      </w:tr>
      <w:tr>
        <w:tblPrEx>
          <w:tblCellMar>
            <w:top w:w="0" w:type="dxa"/>
            <w:left w:w="108" w:type="dxa"/>
            <w:bottom w:w="0" w:type="dxa"/>
            <w:right w:w="108" w:type="dxa"/>
          </w:tblCellMar>
        </w:tblPrEx>
        <w:trPr>
          <w:trHeight w:val="225" w:hRule="atLeast"/>
          <w:jc w:val="center"/>
        </w:trPr>
        <w:tc>
          <w:tcPr>
            <w:tcW w:w="1806" w:type="dxa"/>
            <w:vMerge w:val="continue"/>
            <w:tcBorders>
              <w:top w:val="nil"/>
              <w:left w:val="single" w:color="auto" w:sz="4" w:space="0"/>
              <w:bottom w:val="single" w:color="auto" w:sz="4" w:space="0"/>
              <w:right w:val="single" w:color="auto" w:sz="4" w:space="0"/>
            </w:tcBorders>
            <w:vAlign w:val="center"/>
          </w:tcPr>
          <w:p>
            <w:pPr>
              <w:widowControl/>
              <w:spacing w:line="360" w:lineRule="auto"/>
              <w:rPr>
                <w:rFonts w:ascii="仿宋_GB2312" w:hAnsi="仿宋" w:eastAsia="仿宋_GB2312"/>
                <w:b/>
                <w:bCs/>
                <w:color w:val="auto"/>
                <w:sz w:val="18"/>
                <w:szCs w:val="18"/>
              </w:rPr>
            </w:pPr>
          </w:p>
        </w:tc>
        <w:tc>
          <w:tcPr>
            <w:tcW w:w="1470"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资产总额（Z）</w:t>
            </w:r>
          </w:p>
        </w:tc>
        <w:tc>
          <w:tcPr>
            <w:tcW w:w="1075"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万元</w:t>
            </w:r>
          </w:p>
        </w:tc>
        <w:tc>
          <w:tcPr>
            <w:tcW w:w="1614"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8000≤Z＜120000</w:t>
            </w:r>
          </w:p>
        </w:tc>
        <w:tc>
          <w:tcPr>
            <w:tcW w:w="1529"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100≤Z＜8000</w:t>
            </w:r>
          </w:p>
        </w:tc>
        <w:tc>
          <w:tcPr>
            <w:tcW w:w="982"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Y＜100</w:t>
            </w:r>
          </w:p>
        </w:tc>
      </w:tr>
      <w:tr>
        <w:tblPrEx>
          <w:tblCellMar>
            <w:top w:w="0" w:type="dxa"/>
            <w:left w:w="108" w:type="dxa"/>
            <w:bottom w:w="0" w:type="dxa"/>
            <w:right w:w="108" w:type="dxa"/>
          </w:tblCellMar>
        </w:tblPrEx>
        <w:trPr>
          <w:trHeight w:val="225" w:hRule="atLeast"/>
          <w:jc w:val="center"/>
        </w:trPr>
        <w:tc>
          <w:tcPr>
            <w:tcW w:w="1806" w:type="dxa"/>
            <w:tcBorders>
              <w:top w:val="nil"/>
              <w:left w:val="single" w:color="auto" w:sz="4" w:space="0"/>
              <w:bottom w:val="single" w:color="auto" w:sz="4" w:space="0"/>
              <w:right w:val="single" w:color="auto" w:sz="4" w:space="0"/>
            </w:tcBorders>
            <w:vAlign w:val="bottom"/>
          </w:tcPr>
          <w:p>
            <w:pPr>
              <w:widowControl/>
              <w:spacing w:line="360" w:lineRule="auto"/>
              <w:jc w:val="center"/>
              <w:rPr>
                <w:rFonts w:ascii="仿宋_GB2312" w:hAnsi="仿宋" w:eastAsia="仿宋_GB2312"/>
                <w:b/>
                <w:bCs/>
                <w:color w:val="auto"/>
                <w:sz w:val="18"/>
                <w:szCs w:val="18"/>
              </w:rPr>
            </w:pPr>
            <w:r>
              <w:rPr>
                <w:rFonts w:hint="eastAsia" w:ascii="仿宋_GB2312" w:hAnsi="仿宋" w:eastAsia="仿宋_GB2312"/>
                <w:b/>
                <w:bCs/>
                <w:color w:val="auto"/>
                <w:sz w:val="18"/>
                <w:szCs w:val="18"/>
              </w:rPr>
              <w:t>其他未列明行业</w:t>
            </w:r>
          </w:p>
        </w:tc>
        <w:tc>
          <w:tcPr>
            <w:tcW w:w="1470"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从业人员（X）</w:t>
            </w:r>
          </w:p>
        </w:tc>
        <w:tc>
          <w:tcPr>
            <w:tcW w:w="1075"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人</w:t>
            </w:r>
          </w:p>
        </w:tc>
        <w:tc>
          <w:tcPr>
            <w:tcW w:w="1614"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100≤X＜300</w:t>
            </w:r>
          </w:p>
        </w:tc>
        <w:tc>
          <w:tcPr>
            <w:tcW w:w="1529"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10≤X＜100</w:t>
            </w:r>
          </w:p>
        </w:tc>
        <w:tc>
          <w:tcPr>
            <w:tcW w:w="982" w:type="dxa"/>
            <w:tcBorders>
              <w:top w:val="nil"/>
              <w:left w:val="nil"/>
              <w:bottom w:val="single" w:color="auto" w:sz="4" w:space="0"/>
              <w:right w:val="single" w:color="auto" w:sz="4" w:space="0"/>
            </w:tcBorders>
            <w:vAlign w:val="center"/>
          </w:tcPr>
          <w:p>
            <w:pPr>
              <w:widowControl/>
              <w:spacing w:line="360" w:lineRule="auto"/>
              <w:rPr>
                <w:rFonts w:ascii="仿宋_GB2312" w:hAnsi="仿宋" w:eastAsia="仿宋_GB2312"/>
                <w:color w:val="auto"/>
                <w:sz w:val="18"/>
                <w:szCs w:val="18"/>
              </w:rPr>
            </w:pPr>
            <w:r>
              <w:rPr>
                <w:rFonts w:hint="eastAsia" w:ascii="仿宋_GB2312" w:hAnsi="仿宋" w:eastAsia="仿宋_GB2312"/>
                <w:color w:val="auto"/>
                <w:sz w:val="18"/>
                <w:szCs w:val="18"/>
              </w:rPr>
              <w:t>X＜10</w:t>
            </w:r>
          </w:p>
        </w:tc>
      </w:tr>
    </w:tbl>
    <w:p>
      <w:pPr>
        <w:spacing w:line="360" w:lineRule="auto"/>
        <w:ind w:firstLine="550" w:firstLineChars="250"/>
        <w:rPr>
          <w:rFonts w:ascii="仿宋_GB2312" w:hAnsi="仿宋" w:eastAsia="仿宋_GB2312"/>
          <w:color w:val="auto"/>
          <w:szCs w:val="21"/>
        </w:rPr>
      </w:pPr>
    </w:p>
    <w:p>
      <w:pPr>
        <w:pStyle w:val="2"/>
        <w:ind w:firstLine="352"/>
        <w:rPr>
          <w:color w:val="auto"/>
        </w:rPr>
      </w:pPr>
      <w:r>
        <w:rPr>
          <w:rFonts w:hint="eastAsia" w:ascii="仿宋_GB2312" w:hAnsi="仿宋" w:eastAsia="仿宋_GB2312"/>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pPr>
        <w:jc w:val="center"/>
        <w:rPr>
          <w:b/>
          <w:color w:val="auto"/>
          <w:kern w:val="2"/>
          <w:sz w:val="28"/>
          <w:szCs w:val="32"/>
        </w:rPr>
      </w:pPr>
      <w:r>
        <w:rPr>
          <w:rFonts w:hint="eastAsia"/>
          <w:b/>
          <w:color w:val="auto"/>
          <w:kern w:val="2"/>
          <w:sz w:val="28"/>
          <w:szCs w:val="32"/>
        </w:rPr>
        <w:t>《残疾人福利性单位声明函》格式（非残疾人福利性单位无需填写）</w:t>
      </w:r>
    </w:p>
    <w:p>
      <w:pPr>
        <w:spacing w:line="588" w:lineRule="exact"/>
        <w:jc w:val="center"/>
        <w:rPr>
          <w:b/>
          <w:color w:val="auto"/>
          <w:sz w:val="32"/>
          <w:szCs w:val="32"/>
        </w:rPr>
      </w:pPr>
      <w:bookmarkStart w:id="40" w:name="OLE_LINK14"/>
      <w:bookmarkStart w:id="41" w:name="OLE_LINK13"/>
    </w:p>
    <w:p>
      <w:pPr>
        <w:pStyle w:val="22"/>
        <w:shd w:val="clear" w:color="auto" w:fill="FFFFFF"/>
        <w:spacing w:line="482" w:lineRule="atLeast"/>
        <w:jc w:val="center"/>
        <w:rPr>
          <w:rStyle w:val="32"/>
          <w:color w:val="auto"/>
          <w:sz w:val="28"/>
        </w:rPr>
      </w:pPr>
      <w:r>
        <w:rPr>
          <w:rStyle w:val="32"/>
          <w:rFonts w:hint="eastAsia"/>
          <w:color w:val="auto"/>
          <w:sz w:val="28"/>
        </w:rPr>
        <w:t>残疾人福利性单位声明函</w:t>
      </w:r>
    </w:p>
    <w:bookmarkEnd w:id="40"/>
    <w:bookmarkEnd w:id="41"/>
    <w:p>
      <w:pPr>
        <w:spacing w:line="588" w:lineRule="exact"/>
        <w:rPr>
          <w:b/>
          <w:color w:val="auto"/>
          <w:szCs w:val="21"/>
        </w:rPr>
      </w:pPr>
    </w:p>
    <w:p>
      <w:pPr>
        <w:spacing w:line="588" w:lineRule="exact"/>
        <w:ind w:firstLine="440" w:firstLineChars="200"/>
        <w:rPr>
          <w:color w:val="auto"/>
          <w:szCs w:val="21"/>
        </w:rPr>
      </w:pPr>
      <w:r>
        <w:rPr>
          <w:rFonts w:hint="eastAsia"/>
          <w:color w:val="auto"/>
          <w:szCs w:val="21"/>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szCs w:val="21"/>
          <w:u w:val="single"/>
        </w:rPr>
        <w:t xml:space="preserve">          </w:t>
      </w:r>
      <w:r>
        <w:rPr>
          <w:rFonts w:hint="eastAsia"/>
          <w:color w:val="auto"/>
          <w:szCs w:val="21"/>
        </w:rPr>
        <w:t>单位的</w:t>
      </w:r>
      <w:r>
        <w:rPr>
          <w:rFonts w:hint="eastAsia"/>
          <w:color w:val="auto"/>
          <w:szCs w:val="21"/>
          <w:u w:val="single"/>
        </w:rPr>
        <w:t xml:space="preserve">                （项目名称）   </w:t>
      </w:r>
      <w:r>
        <w:rPr>
          <w:rFonts w:hint="eastAsia"/>
          <w:color w:val="auto"/>
          <w:szCs w:val="21"/>
        </w:rPr>
        <w:t>磋商活动提供的服务（由本单位承担工程/提供服务），或者由其他残疾人福利性单位提供的服务。</w:t>
      </w:r>
    </w:p>
    <w:p>
      <w:pPr>
        <w:spacing w:line="588" w:lineRule="exact"/>
        <w:ind w:firstLine="440" w:firstLineChars="200"/>
        <w:rPr>
          <w:color w:val="auto"/>
          <w:szCs w:val="21"/>
        </w:rPr>
      </w:pPr>
      <w:r>
        <w:rPr>
          <w:rFonts w:hint="eastAsia"/>
          <w:color w:val="auto"/>
          <w:szCs w:val="21"/>
        </w:rPr>
        <w:t>本单位对上述声明的真实性负责。如有虚假，将依法承担相应责任。</w:t>
      </w:r>
    </w:p>
    <w:p>
      <w:pPr>
        <w:spacing w:line="588" w:lineRule="exact"/>
        <w:ind w:firstLine="440" w:firstLineChars="200"/>
        <w:rPr>
          <w:color w:val="auto"/>
          <w:szCs w:val="21"/>
        </w:rPr>
      </w:pPr>
    </w:p>
    <w:p>
      <w:pPr>
        <w:spacing w:line="588" w:lineRule="exact"/>
        <w:ind w:firstLine="440" w:firstLineChars="200"/>
        <w:rPr>
          <w:color w:val="auto"/>
          <w:szCs w:val="21"/>
        </w:rPr>
      </w:pPr>
    </w:p>
    <w:p>
      <w:pPr>
        <w:tabs>
          <w:tab w:val="left" w:pos="4860"/>
        </w:tabs>
        <w:spacing w:line="588" w:lineRule="exact"/>
        <w:ind w:firstLine="4400" w:firstLineChars="2000"/>
        <w:rPr>
          <w:color w:val="auto"/>
          <w:szCs w:val="21"/>
        </w:rPr>
      </w:pPr>
      <w:r>
        <w:rPr>
          <w:rFonts w:hint="eastAsia"/>
          <w:color w:val="auto"/>
          <w:szCs w:val="21"/>
        </w:rPr>
        <w:t>单位名称（盖章）：</w:t>
      </w:r>
    </w:p>
    <w:p>
      <w:pPr>
        <w:snapToGrid w:val="0"/>
        <w:spacing w:before="120" w:beforeLines="50" w:after="50" w:line="360" w:lineRule="auto"/>
        <w:ind w:firstLine="4400" w:firstLineChars="2000"/>
        <w:rPr>
          <w:color w:val="auto"/>
          <w:sz w:val="24"/>
        </w:rPr>
      </w:pPr>
      <w:r>
        <w:rPr>
          <w:rFonts w:hint="eastAsia"/>
          <w:color w:val="auto"/>
          <w:szCs w:val="21"/>
        </w:rPr>
        <w:t>日    期：</w:t>
      </w:r>
    </w:p>
    <w:p>
      <w:pPr>
        <w:pStyle w:val="14"/>
        <w:rPr>
          <w:color w:val="auto"/>
          <w:sz w:val="24"/>
        </w:rPr>
      </w:pPr>
    </w:p>
    <w:p>
      <w:pPr>
        <w:pStyle w:val="14"/>
        <w:rPr>
          <w:color w:val="auto"/>
          <w:sz w:val="24"/>
        </w:rPr>
      </w:pPr>
    </w:p>
    <w:p>
      <w:pPr>
        <w:pStyle w:val="14"/>
        <w:spacing w:before="1"/>
        <w:rPr>
          <w:color w:val="auto"/>
          <w:sz w:val="26"/>
        </w:rPr>
      </w:pPr>
    </w:p>
    <w:p>
      <w:pPr>
        <w:spacing w:line="364" w:lineRule="auto"/>
        <w:ind w:left="212" w:right="112"/>
        <w:rPr>
          <w:color w:val="auto"/>
          <w:sz w:val="24"/>
        </w:rPr>
      </w:pPr>
      <w:r>
        <w:rPr>
          <w:color w:val="auto"/>
          <w:sz w:val="24"/>
        </w:rPr>
        <w:t>注：请根据自己的真实情况出具《残疾人福利性单位声明函》。依法享受中小企业优惠政策</w:t>
      </w:r>
      <w:r>
        <w:rPr>
          <w:color w:val="auto"/>
          <w:spacing w:val="-9"/>
          <w:sz w:val="24"/>
        </w:rPr>
        <w:t xml:space="preserve">的，采购人或者采购代理机构在公告中标结果时，同时公告其《残疾人福利性单位声明函》， </w:t>
      </w:r>
      <w:r>
        <w:rPr>
          <w:color w:val="auto"/>
          <w:sz w:val="24"/>
        </w:rPr>
        <w:t>接受社会监督。</w:t>
      </w:r>
    </w:p>
    <w:p>
      <w:pPr>
        <w:spacing w:line="364" w:lineRule="auto"/>
        <w:rPr>
          <w:color w:val="auto"/>
          <w:sz w:val="24"/>
        </w:rPr>
        <w:sectPr>
          <w:footerReference r:id="rId13" w:type="default"/>
          <w:pgSz w:w="11910" w:h="16840"/>
          <w:pgMar w:top="1417" w:right="1417" w:bottom="1417" w:left="1417" w:header="0" w:footer="1202" w:gutter="0"/>
          <w:pgNumType w:fmt="decimal"/>
          <w:cols w:space="0" w:num="1"/>
        </w:sectPr>
      </w:pPr>
    </w:p>
    <w:p>
      <w:pPr>
        <w:widowControl/>
        <w:jc w:val="center"/>
        <w:rPr>
          <w:b/>
          <w:bCs/>
          <w:color w:val="auto"/>
          <w:sz w:val="30"/>
          <w:szCs w:val="30"/>
        </w:rPr>
      </w:pPr>
      <w:r>
        <w:rPr>
          <w:rFonts w:hint="eastAsia"/>
          <w:b/>
          <w:bCs/>
          <w:color w:val="auto"/>
          <w:sz w:val="30"/>
          <w:szCs w:val="30"/>
        </w:rPr>
        <w:t>贵港市政府采购项目投标资格承诺函</w:t>
      </w:r>
    </w:p>
    <w:p>
      <w:pPr>
        <w:widowControl/>
        <w:spacing w:line="360" w:lineRule="auto"/>
        <w:ind w:firstLine="480" w:firstLineChars="200"/>
        <w:jc w:val="left"/>
        <w:rPr>
          <w:rFonts w:hint="eastAsia" w:ascii="宋体" w:hAnsi="宋体" w:cs="宋体"/>
          <w:color w:val="auto"/>
          <w:kern w:val="0"/>
          <w:sz w:val="24"/>
          <w:lang w:bidi="ar"/>
        </w:rPr>
      </w:pPr>
    </w:p>
    <w:p>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lang w:bidi="ar"/>
        </w:rPr>
        <w:t xml:space="preserve">本公司郑重承诺，根据《中华人民共和国政府采购法》第二十二条的规定，本公司为参加政府采购活动的合格供应商。即本公司同时满足以下条件： </w:t>
      </w:r>
    </w:p>
    <w:p>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lang w:bidi="ar"/>
        </w:rPr>
        <w:t xml:space="preserve">1.具有独立承担民事责任的能力。 </w:t>
      </w:r>
    </w:p>
    <w:p>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lang w:bidi="ar"/>
        </w:rPr>
        <w:t xml:space="preserve">2.具有良好的商业信誉和健全的财务会计制度。 </w:t>
      </w:r>
    </w:p>
    <w:p>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lang w:bidi="ar"/>
        </w:rPr>
        <w:t xml:space="preserve">3.具有履行合同所必需的设备和专业技术能力。 </w:t>
      </w:r>
    </w:p>
    <w:p>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lang w:bidi="ar"/>
        </w:rPr>
        <w:t xml:space="preserve">4.有依法缴纳税收和社会保障资金的良好记录。 </w:t>
      </w:r>
    </w:p>
    <w:p>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lang w:bidi="ar"/>
        </w:rPr>
        <w:t xml:space="preserve">5. 提交投标文件截止日期前三年内，在经营活动中没有重大违法记录。 </w:t>
      </w:r>
    </w:p>
    <w:p>
      <w:pPr>
        <w:widowControl/>
        <w:spacing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lang w:bidi="ar"/>
        </w:rPr>
        <w:t xml:space="preserve">本公司对上述承诺的真实性负责，并接受政府采购、税务、社会保障等监督管理部门、采购文件规定的资格审查机构、社会公众的监督和检查。如有虚假，将依法承担相应责任。 </w:t>
      </w:r>
    </w:p>
    <w:p>
      <w:pPr>
        <w:widowControl/>
        <w:spacing w:line="360" w:lineRule="auto"/>
        <w:ind w:firstLine="6000" w:firstLineChars="2500"/>
        <w:rPr>
          <w:rFonts w:hint="eastAsia" w:ascii="宋体" w:hAnsi="宋体" w:cs="宋体"/>
          <w:color w:val="auto"/>
          <w:kern w:val="0"/>
          <w:sz w:val="24"/>
          <w:lang w:bidi="ar"/>
        </w:rPr>
      </w:pPr>
      <w:r>
        <w:rPr>
          <w:rFonts w:hint="eastAsia" w:ascii="宋体" w:hAnsi="宋体" w:cs="宋体"/>
          <w:color w:val="auto"/>
          <w:kern w:val="0"/>
          <w:sz w:val="24"/>
          <w:lang w:bidi="ar"/>
        </w:rPr>
        <w:t xml:space="preserve">企业名称（盖章）： </w:t>
      </w:r>
    </w:p>
    <w:p>
      <w:pPr>
        <w:widowControl/>
        <w:spacing w:line="360" w:lineRule="auto"/>
        <w:ind w:firstLine="480" w:firstLineChars="200"/>
        <w:jc w:val="center"/>
        <w:rPr>
          <w:rFonts w:hint="eastAsia" w:ascii="宋体" w:hAnsi="宋体" w:cs="宋体"/>
          <w:color w:val="auto"/>
          <w:kern w:val="0"/>
          <w:sz w:val="24"/>
          <w:lang w:bidi="ar"/>
        </w:rPr>
      </w:pPr>
      <w:r>
        <w:rPr>
          <w:rFonts w:hint="eastAsia" w:ascii="宋体" w:hAnsi="宋体" w:cs="宋体"/>
          <w:color w:val="auto"/>
          <w:kern w:val="0"/>
          <w:sz w:val="24"/>
          <w:lang w:bidi="ar"/>
        </w:rPr>
        <w:t xml:space="preserve">                                        法定代表人（签名）： </w:t>
      </w:r>
    </w:p>
    <w:p>
      <w:pPr>
        <w:widowControl/>
        <w:spacing w:line="360" w:lineRule="auto"/>
        <w:ind w:firstLine="480" w:firstLineChars="200"/>
        <w:jc w:val="center"/>
        <w:rPr>
          <w:rFonts w:hint="eastAsia"/>
          <w:color w:val="auto"/>
        </w:rPr>
      </w:pPr>
      <w:r>
        <w:rPr>
          <w:rFonts w:hint="eastAsia" w:ascii="宋体" w:hAnsi="宋体" w:cs="宋体"/>
          <w:color w:val="auto"/>
          <w:kern w:val="0"/>
          <w:sz w:val="24"/>
          <w:lang w:bidi="ar"/>
        </w:rPr>
        <w:t xml:space="preserve">                                          日期： 年 月 日</w:t>
      </w:r>
    </w:p>
    <w:p>
      <w:pPr>
        <w:rPr>
          <w:color w:val="auto"/>
        </w:rPr>
        <w:sectPr>
          <w:pgSz w:w="11910" w:h="16840"/>
          <w:pgMar w:top="1417" w:right="1417" w:bottom="1417" w:left="1417" w:header="0" w:footer="1202" w:gutter="0"/>
          <w:pgNumType w:fmt="decimal"/>
          <w:cols w:space="0" w:num="1"/>
        </w:sectPr>
      </w:pPr>
    </w:p>
    <w:p>
      <w:pPr>
        <w:pStyle w:val="4"/>
        <w:spacing w:before="0" w:line="360" w:lineRule="auto"/>
        <w:ind w:right="0"/>
        <w:rPr>
          <w:color w:val="auto"/>
          <w:sz w:val="32"/>
          <w:szCs w:val="32"/>
        </w:rPr>
      </w:pPr>
      <w:bookmarkStart w:id="42" w:name="第一部分_合同协议书"/>
      <w:bookmarkEnd w:id="42"/>
      <w:bookmarkStart w:id="43" w:name="第六章_合同文本"/>
      <w:bookmarkEnd w:id="43"/>
      <w:bookmarkStart w:id="44" w:name="_Toc29429"/>
      <w:r>
        <w:rPr>
          <w:color w:val="auto"/>
          <w:sz w:val="32"/>
          <w:szCs w:val="32"/>
        </w:rPr>
        <w:t>第六章 合同文本</w:t>
      </w:r>
      <w:bookmarkEnd w:id="44"/>
    </w:p>
    <w:p>
      <w:pPr>
        <w:spacing w:line="500" w:lineRule="exact"/>
        <w:ind w:firstLine="440" w:firstLineChars="200"/>
        <w:rPr>
          <w:rFonts w:hint="eastAsia" w:ascii="宋体" w:hAnsi="宋体"/>
          <w:color w:val="auto"/>
          <w:szCs w:val="21"/>
        </w:rPr>
      </w:pPr>
      <w:r>
        <w:rPr>
          <w:rFonts w:ascii="宋体" w:hAnsi="宋体"/>
          <w:color w:val="auto"/>
          <w:szCs w:val="21"/>
        </w:rPr>
        <w:t>注：本合同仅为合同的参考文本，合同签订双方可根据项目的具体要求进行修订，但合同条款不得与采购文件和</w:t>
      </w:r>
      <w:r>
        <w:rPr>
          <w:rFonts w:hint="eastAsia" w:ascii="宋体" w:hAnsi="宋体"/>
          <w:color w:val="auto"/>
          <w:szCs w:val="21"/>
        </w:rPr>
        <w:t>成交</w:t>
      </w:r>
      <w:r>
        <w:rPr>
          <w:rFonts w:ascii="宋体" w:hAnsi="宋体"/>
          <w:color w:val="auto"/>
          <w:szCs w:val="21"/>
        </w:rPr>
        <w:t>供应商</w:t>
      </w:r>
      <w:r>
        <w:rPr>
          <w:rFonts w:hint="eastAsia" w:ascii="宋体" w:hAnsi="宋体"/>
          <w:color w:val="auto"/>
          <w:szCs w:val="21"/>
        </w:rPr>
        <w:t>响应</w:t>
      </w:r>
      <w:r>
        <w:rPr>
          <w:rFonts w:ascii="宋体" w:hAnsi="宋体"/>
          <w:color w:val="auto"/>
          <w:szCs w:val="21"/>
        </w:rPr>
        <w:t>文件有实质性偏离</w:t>
      </w:r>
      <w:bookmarkStart w:id="45" w:name="_Toc502825861"/>
      <w:bookmarkStart w:id="46" w:name="_Toc433385876"/>
      <w:bookmarkStart w:id="47" w:name="_Toc460442958"/>
      <w:r>
        <w:rPr>
          <w:rFonts w:hint="eastAsia" w:ascii="宋体" w:hAnsi="宋体"/>
          <w:color w:val="auto"/>
          <w:szCs w:val="21"/>
        </w:rPr>
        <w:t>。</w:t>
      </w:r>
    </w:p>
    <w:bookmarkEnd w:id="45"/>
    <w:bookmarkEnd w:id="46"/>
    <w:bookmarkEnd w:id="47"/>
    <w:p>
      <w:pPr>
        <w:snapToGrid w:val="0"/>
        <w:spacing w:line="400" w:lineRule="exact"/>
        <w:jc w:val="center"/>
        <w:rPr>
          <w:rFonts w:hint="eastAsia" w:hAnsi="宋体"/>
          <w:b/>
          <w:color w:val="auto"/>
          <w:sz w:val="28"/>
          <w:szCs w:val="28"/>
        </w:rPr>
      </w:pPr>
      <w:r>
        <w:rPr>
          <w:rFonts w:hint="eastAsia" w:hAnsi="宋体"/>
          <w:b/>
          <w:color w:val="auto"/>
          <w:sz w:val="28"/>
          <w:szCs w:val="28"/>
        </w:rPr>
        <w:t>（仅供参考，具体以实际签订内容为准，但不得偏离实质性内容）</w:t>
      </w:r>
    </w:p>
    <w:p>
      <w:pPr>
        <w:pStyle w:val="2"/>
        <w:ind w:firstLine="344"/>
        <w:rPr>
          <w:rFonts w:hint="eastAsia"/>
          <w:color w:val="auto"/>
        </w:rPr>
      </w:pPr>
    </w:p>
    <w:p>
      <w:pPr>
        <w:pStyle w:val="4"/>
        <w:spacing w:line="240" w:lineRule="auto"/>
        <w:jc w:val="center"/>
        <w:rPr>
          <w:color w:val="auto"/>
          <w:sz w:val="44"/>
          <w:szCs w:val="52"/>
          <w:highlight w:val="none"/>
        </w:rPr>
      </w:pPr>
      <w:bookmarkStart w:id="48" w:name="_Toc25324"/>
      <w:bookmarkStart w:id="49" w:name="_Toc9850519"/>
      <w:bookmarkStart w:id="50" w:name="_Toc407135191"/>
      <w:bookmarkStart w:id="51" w:name="_Toc296890982"/>
      <w:bookmarkStart w:id="52" w:name="_Toc351203480"/>
      <w:bookmarkStart w:id="53" w:name="_Toc9104"/>
      <w:bookmarkStart w:id="54" w:name="_Toc1150"/>
      <w:bookmarkStart w:id="55" w:name="_Toc9105"/>
      <w:bookmarkStart w:id="56" w:name="_Toc373478199"/>
      <w:bookmarkStart w:id="57" w:name="_Toc296503025"/>
      <w:bookmarkStart w:id="58" w:name="_Toc28958"/>
      <w:bookmarkStart w:id="59" w:name="_Toc389065255"/>
      <w:bookmarkStart w:id="60" w:name="_Toc373227552"/>
      <w:r>
        <w:rPr>
          <w:rFonts w:hint="eastAsia" w:cs="黑体"/>
          <w:color w:val="auto"/>
          <w:sz w:val="44"/>
          <w:szCs w:val="52"/>
          <w:highlight w:val="none"/>
        </w:rPr>
        <w:t>第一部分</w:t>
      </w:r>
      <w:r>
        <w:rPr>
          <w:color w:val="auto"/>
          <w:sz w:val="44"/>
          <w:szCs w:val="52"/>
          <w:highlight w:val="none"/>
        </w:rPr>
        <w:t xml:space="preserve"> </w:t>
      </w:r>
      <w:r>
        <w:rPr>
          <w:rFonts w:hint="eastAsia" w:cs="黑体"/>
          <w:color w:val="auto"/>
          <w:sz w:val="44"/>
          <w:szCs w:val="52"/>
          <w:highlight w:val="none"/>
        </w:rPr>
        <w:t>合同协议书</w:t>
      </w:r>
      <w:bookmarkEnd w:id="48"/>
      <w:bookmarkEnd w:id="49"/>
      <w:bookmarkEnd w:id="50"/>
      <w:bookmarkEnd w:id="51"/>
      <w:bookmarkEnd w:id="52"/>
      <w:bookmarkEnd w:id="53"/>
      <w:bookmarkEnd w:id="54"/>
      <w:bookmarkEnd w:id="55"/>
      <w:bookmarkEnd w:id="56"/>
      <w:bookmarkEnd w:id="57"/>
      <w:bookmarkEnd w:id="58"/>
      <w:bookmarkEnd w:id="59"/>
      <w:bookmarkEnd w:id="60"/>
    </w:p>
    <w:p>
      <w:pPr>
        <w:spacing w:line="360" w:lineRule="auto"/>
        <w:rPr>
          <w:color w:val="auto"/>
          <w:highlight w:val="none"/>
          <w:u w:val="single"/>
        </w:rPr>
      </w:pPr>
      <w:r>
        <w:rPr>
          <w:rFonts w:hint="eastAsia" w:hAnsi="宋体" w:cs="宋体"/>
          <w:color w:val="auto"/>
          <w:highlight w:val="none"/>
        </w:rPr>
        <w:t>发包人（全称）：</w:t>
      </w:r>
      <w:r>
        <w:rPr>
          <w:rFonts w:hAnsi="宋体"/>
          <w:color w:val="auto"/>
          <w:highlight w:val="none"/>
          <w:u w:val="single"/>
        </w:rPr>
        <w:t xml:space="preserve">   </w:t>
      </w:r>
      <w:r>
        <w:rPr>
          <w:rFonts w:hint="eastAsia"/>
          <w:color w:val="auto"/>
          <w:highlight w:val="none"/>
          <w:u w:val="single"/>
          <w:lang w:val="en-US" w:eastAsia="zh-CN"/>
        </w:rPr>
        <w:t xml:space="preserve">                   </w:t>
      </w:r>
      <w:r>
        <w:rPr>
          <w:rFonts w:hAnsi="宋体"/>
          <w:color w:val="auto"/>
          <w:highlight w:val="none"/>
          <w:u w:val="single"/>
        </w:rPr>
        <w:t xml:space="preserve">        </w:t>
      </w:r>
    </w:p>
    <w:p>
      <w:pPr>
        <w:spacing w:line="360" w:lineRule="auto"/>
        <w:rPr>
          <w:color w:val="auto"/>
          <w:highlight w:val="none"/>
          <w:u w:val="single"/>
        </w:rPr>
      </w:pPr>
      <w:r>
        <w:rPr>
          <w:rFonts w:hint="eastAsia" w:hAnsi="宋体" w:cs="宋体"/>
          <w:color w:val="auto"/>
          <w:highlight w:val="none"/>
        </w:rPr>
        <w:t>承包人（全称）：</w:t>
      </w:r>
      <w:r>
        <w:rPr>
          <w:rFonts w:hAnsi="宋体"/>
          <w:color w:val="auto"/>
          <w:highlight w:val="none"/>
          <w:u w:val="single"/>
        </w:rPr>
        <w:t xml:space="preserve">                              </w:t>
      </w:r>
    </w:p>
    <w:p>
      <w:pPr>
        <w:spacing w:line="360" w:lineRule="auto"/>
        <w:ind w:firstLine="440" w:firstLineChars="200"/>
        <w:rPr>
          <w:rFonts w:hAnsi="宋体"/>
          <w:color w:val="auto"/>
          <w:highlight w:val="none"/>
        </w:rPr>
      </w:pPr>
      <w:r>
        <w:rPr>
          <w:rFonts w:hint="eastAsia" w:hAnsi="宋体" w:cs="宋体"/>
          <w:color w:val="auto"/>
          <w:highlight w:val="none"/>
        </w:rPr>
        <w:t>根据《中华人民共和国合同法》、《中华人民共和国建筑法》及有关法律规定，遵循平等、自愿、公平和诚实信用的原则，双方就</w:t>
      </w:r>
      <w:r>
        <w:rPr>
          <w:rFonts w:hint="eastAsia" w:hAnsi="宋体"/>
          <w:color w:val="auto"/>
          <w:highlight w:val="none"/>
          <w:u w:val="single"/>
          <w:lang w:val="en-US" w:eastAsia="zh-CN"/>
        </w:rPr>
        <w:t xml:space="preserve">   </w:t>
      </w:r>
      <w:r>
        <w:rPr>
          <w:rFonts w:hint="eastAsia" w:hAnsi="宋体"/>
          <w:color w:val="auto"/>
          <w:highlight w:val="none"/>
          <w:u w:val="single"/>
          <w:lang w:eastAsia="zh-CN"/>
        </w:rPr>
        <w:t xml:space="preserve"> </w:t>
      </w:r>
      <w:r>
        <w:rPr>
          <w:rFonts w:hint="eastAsia"/>
          <w:color w:val="auto"/>
          <w:highlight w:val="none"/>
          <w:u w:val="single"/>
          <w:lang w:val="en-US" w:eastAsia="zh-CN"/>
        </w:rPr>
        <w:t xml:space="preserve"> </w:t>
      </w:r>
      <w:r>
        <w:rPr>
          <w:rFonts w:hint="eastAsia" w:hAnsi="宋体"/>
          <w:color w:val="auto"/>
          <w:highlight w:val="none"/>
          <w:u w:val="single"/>
          <w:lang w:eastAsia="zh-CN"/>
        </w:rPr>
        <w:t xml:space="preserve"> </w:t>
      </w:r>
      <w:r>
        <w:rPr>
          <w:rFonts w:hint="eastAsia"/>
          <w:color w:val="auto"/>
          <w:highlight w:val="none"/>
          <w:u w:val="single"/>
          <w:lang w:val="en-US" w:eastAsia="zh-CN"/>
        </w:rPr>
        <w:t xml:space="preserve">  </w:t>
      </w:r>
      <w:r>
        <w:rPr>
          <w:rFonts w:hint="eastAsia" w:hAnsi="宋体" w:cs="宋体"/>
          <w:color w:val="auto"/>
          <w:highlight w:val="none"/>
        </w:rPr>
        <w:t>工程施工及有关事项协商一致，共同达成如下协议：</w:t>
      </w:r>
      <w:bookmarkStart w:id="61" w:name="_Toc351203481"/>
    </w:p>
    <w:p>
      <w:pPr>
        <w:spacing w:line="360" w:lineRule="auto"/>
        <w:ind w:firstLine="440" w:firstLineChars="200"/>
        <w:outlineLvl w:val="0"/>
        <w:rPr>
          <w:b/>
          <w:bCs/>
          <w:color w:val="auto"/>
          <w:highlight w:val="none"/>
        </w:rPr>
      </w:pPr>
      <w:bookmarkStart w:id="62" w:name="_Toc30060"/>
      <w:bookmarkStart w:id="63" w:name="_Toc18502"/>
      <w:bookmarkStart w:id="64" w:name="_Toc24324"/>
      <w:bookmarkStart w:id="65" w:name="_Toc30628"/>
      <w:bookmarkStart w:id="66" w:name="_Toc25100"/>
      <w:r>
        <w:rPr>
          <w:rFonts w:hint="eastAsia" w:hAnsi="宋体" w:cs="宋体"/>
          <w:b/>
          <w:bCs/>
          <w:color w:val="auto"/>
          <w:highlight w:val="none"/>
        </w:rPr>
        <w:t>一、工程概况</w:t>
      </w:r>
      <w:bookmarkEnd w:id="61"/>
      <w:bookmarkEnd w:id="62"/>
      <w:bookmarkEnd w:id="63"/>
      <w:bookmarkEnd w:id="64"/>
      <w:bookmarkEnd w:id="65"/>
      <w:bookmarkEnd w:id="66"/>
    </w:p>
    <w:p>
      <w:pPr>
        <w:spacing w:line="360" w:lineRule="auto"/>
        <w:ind w:firstLine="431" w:firstLineChars="196"/>
        <w:rPr>
          <w:color w:val="auto"/>
          <w:highlight w:val="none"/>
          <w:u w:val="single"/>
        </w:rPr>
      </w:pPr>
      <w:r>
        <w:rPr>
          <w:color w:val="auto"/>
          <w:highlight w:val="none"/>
        </w:rPr>
        <w:t xml:space="preserve">1. </w:t>
      </w:r>
      <w:r>
        <w:rPr>
          <w:rFonts w:hint="eastAsia" w:hAnsi="宋体" w:cs="宋体"/>
          <w:color w:val="auto"/>
          <w:highlight w:val="none"/>
        </w:rPr>
        <w:t>工程名称：</w:t>
      </w:r>
      <w:r>
        <w:rPr>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31" w:firstLineChars="196"/>
        <w:rPr>
          <w:color w:val="auto"/>
          <w:highlight w:val="none"/>
        </w:rPr>
      </w:pPr>
      <w:r>
        <w:rPr>
          <w:color w:val="auto"/>
          <w:highlight w:val="none"/>
        </w:rPr>
        <w:t xml:space="preserve">2. </w:t>
      </w:r>
      <w:r>
        <w:rPr>
          <w:rFonts w:hint="eastAsia" w:hAnsi="宋体" w:cs="宋体"/>
          <w:color w:val="auto"/>
          <w:highlight w:val="none"/>
        </w:rPr>
        <w:t>工程地点：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31" w:firstLineChars="196"/>
        <w:rPr>
          <w:color w:val="auto"/>
          <w:highlight w:val="none"/>
        </w:rPr>
      </w:pPr>
      <w:r>
        <w:rPr>
          <w:color w:val="auto"/>
          <w:highlight w:val="none"/>
        </w:rPr>
        <w:t xml:space="preserve">3. </w:t>
      </w:r>
      <w:r>
        <w:rPr>
          <w:rFonts w:hint="eastAsia" w:hAnsi="宋体" w:cs="宋体"/>
          <w:color w:val="auto"/>
          <w:highlight w:val="none"/>
        </w:rPr>
        <w:t>工程立项批准文号：</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31" w:firstLineChars="196"/>
        <w:rPr>
          <w:color w:val="auto"/>
          <w:highlight w:val="none"/>
        </w:rPr>
      </w:pPr>
      <w:r>
        <w:rPr>
          <w:color w:val="auto"/>
          <w:highlight w:val="none"/>
        </w:rPr>
        <w:t xml:space="preserve">4. </w:t>
      </w:r>
      <w:r>
        <w:rPr>
          <w:rFonts w:hint="eastAsia" w:hAnsi="宋体" w:cs="宋体"/>
          <w:color w:val="auto"/>
          <w:highlight w:val="none"/>
        </w:rPr>
        <w:t>资金来源：</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31" w:firstLineChars="196"/>
        <w:rPr>
          <w:color w:val="auto"/>
          <w:highlight w:val="none"/>
        </w:rPr>
      </w:pPr>
      <w:r>
        <w:rPr>
          <w:color w:val="auto"/>
          <w:highlight w:val="none"/>
        </w:rPr>
        <w:t xml:space="preserve">5. </w:t>
      </w:r>
      <w:r>
        <w:rPr>
          <w:rFonts w:hint="eastAsia" w:hAnsi="宋体" w:cs="宋体"/>
          <w:color w:val="auto"/>
          <w:highlight w:val="none"/>
        </w:rPr>
        <w:t>工程内容：</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31" w:firstLineChars="196"/>
        <w:rPr>
          <w:color w:val="auto"/>
          <w:highlight w:val="none"/>
        </w:rPr>
      </w:pPr>
      <w:r>
        <w:rPr>
          <w:rFonts w:hint="eastAsia" w:hAnsi="宋体" w:cs="宋体"/>
          <w:color w:val="auto"/>
          <w:highlight w:val="none"/>
        </w:rPr>
        <w:t>群体工程应附《承包人承揽工程项目一览表》（附件</w:t>
      </w:r>
      <w:r>
        <w:rPr>
          <w:color w:val="auto"/>
          <w:highlight w:val="none"/>
        </w:rPr>
        <w:t>1</w:t>
      </w:r>
      <w:r>
        <w:rPr>
          <w:rFonts w:hint="eastAsia" w:hAnsi="宋体" w:cs="宋体"/>
          <w:color w:val="auto"/>
          <w:highlight w:val="none"/>
        </w:rPr>
        <w:t>）。</w:t>
      </w:r>
    </w:p>
    <w:p>
      <w:pPr>
        <w:spacing w:line="360" w:lineRule="auto"/>
        <w:ind w:firstLine="431" w:firstLineChars="196"/>
        <w:rPr>
          <w:color w:val="auto"/>
          <w:highlight w:val="none"/>
        </w:rPr>
      </w:pPr>
      <w:r>
        <w:rPr>
          <w:color w:val="auto"/>
          <w:highlight w:val="none"/>
        </w:rPr>
        <w:t xml:space="preserve">6. </w:t>
      </w:r>
      <w:r>
        <w:rPr>
          <w:rFonts w:hint="eastAsia" w:hAnsi="宋体" w:cs="宋体"/>
          <w:color w:val="auto"/>
          <w:highlight w:val="none"/>
        </w:rPr>
        <w:t>工程承包范围：</w:t>
      </w:r>
    </w:p>
    <w:p>
      <w:pPr>
        <w:spacing w:line="360" w:lineRule="auto"/>
        <w:ind w:firstLine="424" w:firstLineChars="193"/>
        <w:rPr>
          <w:rFonts w:hAnsi="宋体"/>
          <w:color w:val="auto"/>
          <w:highlight w:val="none"/>
        </w:rPr>
      </w:pP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4" w:firstLineChars="193"/>
        <w:outlineLvl w:val="0"/>
        <w:rPr>
          <w:b/>
          <w:bCs/>
          <w:color w:val="auto"/>
          <w:highlight w:val="none"/>
        </w:rPr>
      </w:pPr>
      <w:bookmarkStart w:id="67" w:name="_Toc32754"/>
      <w:bookmarkStart w:id="68" w:name="_Toc1509"/>
      <w:bookmarkStart w:id="69" w:name="_Toc2274"/>
      <w:bookmarkStart w:id="70" w:name="_Toc1583"/>
      <w:bookmarkStart w:id="71" w:name="_Toc27862"/>
      <w:bookmarkStart w:id="72" w:name="_Toc351203482"/>
      <w:r>
        <w:rPr>
          <w:rFonts w:hint="eastAsia" w:hAnsi="宋体" w:cs="宋体"/>
          <w:b/>
          <w:bCs/>
          <w:color w:val="auto"/>
          <w:highlight w:val="none"/>
        </w:rPr>
        <w:t>二、合同工期</w:t>
      </w:r>
      <w:bookmarkEnd w:id="67"/>
      <w:bookmarkEnd w:id="68"/>
      <w:bookmarkEnd w:id="69"/>
      <w:bookmarkEnd w:id="70"/>
      <w:bookmarkEnd w:id="71"/>
      <w:bookmarkEnd w:id="72"/>
    </w:p>
    <w:p>
      <w:pPr>
        <w:spacing w:line="360" w:lineRule="auto"/>
        <w:ind w:firstLine="459"/>
        <w:rPr>
          <w:color w:val="auto"/>
          <w:highlight w:val="none"/>
        </w:rPr>
      </w:pPr>
      <w:r>
        <w:rPr>
          <w:rFonts w:hint="eastAsia" w:hAnsi="宋体" w:cs="宋体"/>
          <w:color w:val="auto"/>
          <w:highlight w:val="none"/>
        </w:rPr>
        <w:t>计划开工日期：</w:t>
      </w:r>
      <w:r>
        <w:rPr>
          <w:rFonts w:hAnsi="宋体"/>
          <w:color w:val="auto"/>
          <w:highlight w:val="none"/>
          <w:u w:val="single"/>
        </w:rPr>
        <w:t></w:t>
      </w:r>
      <w:r>
        <w:rPr>
          <w:rFonts w:hAnsi="宋体"/>
          <w:color w:val="auto"/>
          <w:highlight w:val="none"/>
        </w:rPr>
        <w:t>年</w:t>
      </w:r>
      <w:r>
        <w:rPr>
          <w:rFonts w:hAnsi="宋体"/>
          <w:color w:val="auto"/>
          <w:highlight w:val="none"/>
          <w:u w:val="single"/>
        </w:rPr>
        <w:t></w:t>
      </w:r>
      <w:r>
        <w:rPr>
          <w:rFonts w:hAnsi="宋体"/>
          <w:color w:val="auto"/>
          <w:highlight w:val="none"/>
        </w:rPr>
        <w:t>月</w:t>
      </w:r>
      <w:r>
        <w:rPr>
          <w:rFonts w:hAnsi="宋体"/>
          <w:color w:val="auto"/>
          <w:highlight w:val="none"/>
          <w:u w:val="single"/>
        </w:rPr>
        <w:t></w:t>
      </w:r>
      <w:r>
        <w:rPr>
          <w:rFonts w:hAnsi="宋体"/>
          <w:color w:val="auto"/>
          <w:highlight w:val="none"/>
        </w:rPr>
        <w:t>日。</w:t>
      </w:r>
      <w:r>
        <w:rPr>
          <w:rFonts w:hint="eastAsia" w:hAnsi="宋体" w:cs="宋体"/>
          <w:color w:val="auto"/>
          <w:highlight w:val="none"/>
        </w:rPr>
        <w:t>（具体以发包人书面通知为准）</w:t>
      </w:r>
    </w:p>
    <w:p>
      <w:pPr>
        <w:spacing w:line="360" w:lineRule="auto"/>
        <w:ind w:firstLine="459"/>
        <w:rPr>
          <w:color w:val="auto"/>
          <w:highlight w:val="none"/>
        </w:rPr>
      </w:pPr>
      <w:r>
        <w:rPr>
          <w:rFonts w:hint="eastAsia" w:hAnsi="宋体" w:cs="宋体"/>
          <w:color w:val="auto"/>
          <w:highlight w:val="none"/>
        </w:rPr>
        <w:t>计划竣工日期：</w:t>
      </w:r>
      <w:r>
        <w:rPr>
          <w:rFonts w:hAnsi="宋体"/>
          <w:color w:val="auto"/>
          <w:highlight w:val="none"/>
          <w:u w:val="single"/>
        </w:rPr>
        <w:t></w:t>
      </w:r>
      <w:r>
        <w:rPr>
          <w:rFonts w:hAnsi="宋体"/>
          <w:color w:val="auto"/>
          <w:highlight w:val="none"/>
        </w:rPr>
        <w:t>年</w:t>
      </w:r>
      <w:r>
        <w:rPr>
          <w:rFonts w:hAnsi="宋体"/>
          <w:color w:val="auto"/>
          <w:highlight w:val="none"/>
          <w:u w:val="single"/>
        </w:rPr>
        <w:t></w:t>
      </w:r>
      <w:r>
        <w:rPr>
          <w:rFonts w:hAnsi="宋体"/>
          <w:color w:val="auto"/>
          <w:highlight w:val="none"/>
        </w:rPr>
        <w:t>月</w:t>
      </w:r>
      <w:r>
        <w:rPr>
          <w:rFonts w:hAnsi="宋体"/>
          <w:color w:val="auto"/>
          <w:highlight w:val="none"/>
          <w:u w:val="single"/>
        </w:rPr>
        <w:t></w:t>
      </w:r>
      <w:r>
        <w:rPr>
          <w:rFonts w:hAnsi="宋体"/>
          <w:color w:val="auto"/>
          <w:highlight w:val="none"/>
        </w:rPr>
        <w:t>日</w:t>
      </w:r>
      <w:r>
        <w:rPr>
          <w:rFonts w:hint="eastAsia" w:hAnsi="宋体" w:cs="宋体"/>
          <w:color w:val="auto"/>
          <w:highlight w:val="none"/>
        </w:rPr>
        <w:t>。</w:t>
      </w:r>
    </w:p>
    <w:p>
      <w:pPr>
        <w:spacing w:line="360" w:lineRule="auto"/>
        <w:ind w:firstLine="459"/>
        <w:rPr>
          <w:rFonts w:hAnsi="宋体"/>
          <w:color w:val="auto"/>
          <w:highlight w:val="none"/>
        </w:rPr>
      </w:pPr>
      <w:r>
        <w:rPr>
          <w:rFonts w:hint="eastAsia" w:hAnsi="宋体" w:cs="宋体"/>
          <w:color w:val="auto"/>
          <w:highlight w:val="none"/>
        </w:rPr>
        <w:t>工期总日历天数：</w:t>
      </w:r>
      <w:r>
        <w:rPr>
          <w:rFonts w:hint="eastAsia" w:hAnsi="宋体" w:cs="宋体"/>
          <w:color w:val="auto"/>
          <w:highlight w:val="none"/>
          <w:u w:val="single"/>
        </w:rPr>
        <w:t xml:space="preserve">  </w:t>
      </w:r>
      <w:r>
        <w:rPr>
          <w:rFonts w:hint="eastAsia" w:cs="宋体"/>
          <w:color w:val="auto"/>
          <w:highlight w:val="none"/>
          <w:u w:val="single"/>
          <w:lang w:val="en-US" w:eastAsia="zh-CN"/>
        </w:rPr>
        <w:t xml:space="preserve">  </w:t>
      </w:r>
      <w:r>
        <w:rPr>
          <w:rFonts w:hint="eastAsia" w:hAnsi="宋体" w:cs="宋体"/>
          <w:color w:val="auto"/>
          <w:highlight w:val="none"/>
          <w:u w:val="single"/>
        </w:rPr>
        <w:t xml:space="preserve"> </w:t>
      </w:r>
      <w:r>
        <w:rPr>
          <w:rFonts w:hint="eastAsia" w:hAnsi="宋体" w:cs="宋体"/>
          <w:color w:val="auto"/>
          <w:highlight w:val="none"/>
        </w:rPr>
        <w:t>天。工期总日历天数与根据前述计划开竣工日期计算的工期天数不一致的，以工期总日历天数为准。</w:t>
      </w:r>
    </w:p>
    <w:p>
      <w:pPr>
        <w:spacing w:line="360" w:lineRule="auto"/>
        <w:ind w:firstLine="459"/>
        <w:outlineLvl w:val="0"/>
        <w:rPr>
          <w:b/>
          <w:bCs/>
          <w:color w:val="auto"/>
          <w:highlight w:val="none"/>
        </w:rPr>
      </w:pPr>
      <w:bookmarkStart w:id="73" w:name="_Toc3084"/>
      <w:bookmarkStart w:id="74" w:name="_Toc19722"/>
      <w:bookmarkStart w:id="75" w:name="_Toc351203483"/>
      <w:bookmarkStart w:id="76" w:name="_Toc8540"/>
      <w:bookmarkStart w:id="77" w:name="_Toc32460"/>
      <w:bookmarkStart w:id="78" w:name="_Toc25333"/>
      <w:r>
        <w:rPr>
          <w:rFonts w:hint="eastAsia" w:hAnsi="宋体" w:cs="宋体"/>
          <w:b/>
          <w:bCs/>
          <w:color w:val="auto"/>
          <w:highlight w:val="none"/>
        </w:rPr>
        <w:t>三、质量标准</w:t>
      </w:r>
      <w:bookmarkEnd w:id="73"/>
      <w:bookmarkEnd w:id="74"/>
      <w:bookmarkEnd w:id="75"/>
      <w:bookmarkEnd w:id="76"/>
      <w:bookmarkEnd w:id="77"/>
      <w:bookmarkEnd w:id="78"/>
    </w:p>
    <w:p>
      <w:pPr>
        <w:spacing w:line="360" w:lineRule="auto"/>
        <w:ind w:firstLine="459"/>
        <w:rPr>
          <w:rFonts w:hAnsi="宋体"/>
          <w:color w:val="auto"/>
          <w:highlight w:val="none"/>
        </w:rPr>
      </w:pPr>
      <w:r>
        <w:rPr>
          <w:rFonts w:hint="eastAsia" w:hAnsi="宋体" w:cs="宋体"/>
          <w:color w:val="auto"/>
          <w:highlight w:val="none"/>
        </w:rPr>
        <w:t>工程质量符合</w:t>
      </w:r>
      <w:r>
        <w:rPr>
          <w:rFonts w:hint="eastAsia" w:hAnsi="宋体"/>
          <w:color w:val="auto"/>
          <w:highlight w:val="none"/>
          <w:u w:val="single"/>
          <w:lang w:eastAsia="zh-CN"/>
        </w:rPr>
        <w:t>达到国家施工验收规范合格标准</w:t>
      </w:r>
      <w:r>
        <w:rPr>
          <w:rFonts w:hint="eastAsia" w:hAnsi="宋体" w:cs="宋体"/>
          <w:color w:val="auto"/>
          <w:highlight w:val="none"/>
        </w:rPr>
        <w:t>标准。</w:t>
      </w:r>
    </w:p>
    <w:p>
      <w:pPr>
        <w:spacing w:line="360" w:lineRule="auto"/>
        <w:ind w:firstLine="459"/>
        <w:outlineLvl w:val="0"/>
        <w:rPr>
          <w:rFonts w:hAnsi="宋体"/>
          <w:b/>
          <w:bCs/>
          <w:color w:val="auto"/>
          <w:highlight w:val="none"/>
        </w:rPr>
      </w:pPr>
      <w:bookmarkStart w:id="79" w:name="_Toc28897"/>
      <w:bookmarkStart w:id="80" w:name="_Toc11560"/>
      <w:bookmarkStart w:id="81" w:name="_Toc9277"/>
      <w:bookmarkStart w:id="82" w:name="_Toc8976"/>
      <w:bookmarkStart w:id="83" w:name="_Toc351203484"/>
      <w:bookmarkStart w:id="84" w:name="_Toc12407"/>
      <w:r>
        <w:rPr>
          <w:rFonts w:hint="eastAsia" w:hAnsi="宋体" w:cs="宋体"/>
          <w:b/>
          <w:bCs/>
          <w:color w:val="auto"/>
          <w:highlight w:val="none"/>
        </w:rPr>
        <w:t>四、签约合同价与合同价格形式</w:t>
      </w:r>
      <w:bookmarkEnd w:id="79"/>
      <w:bookmarkEnd w:id="80"/>
      <w:bookmarkEnd w:id="81"/>
      <w:bookmarkEnd w:id="82"/>
      <w:bookmarkEnd w:id="83"/>
      <w:bookmarkEnd w:id="84"/>
    </w:p>
    <w:p>
      <w:pPr>
        <w:spacing w:line="360" w:lineRule="auto"/>
        <w:ind w:firstLine="459"/>
        <w:rPr>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 xml:space="preserve"> </w:t>
      </w:r>
      <w:r>
        <w:rPr>
          <w:rFonts w:hint="eastAsia" w:hAnsi="宋体" w:cs="宋体"/>
          <w:color w:val="auto"/>
          <w:highlight w:val="none"/>
        </w:rPr>
        <w:t>签约合同价为：</w:t>
      </w:r>
    </w:p>
    <w:p>
      <w:pPr>
        <w:spacing w:line="360" w:lineRule="auto"/>
        <w:ind w:firstLine="550" w:firstLineChars="2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pPr>
        <w:spacing w:line="360" w:lineRule="auto"/>
        <w:ind w:firstLine="550" w:firstLineChars="250"/>
        <w:rPr>
          <w:rFonts w:hAnsi="宋体"/>
          <w:color w:val="auto"/>
          <w:highlight w:val="none"/>
        </w:rPr>
      </w:pPr>
      <w:r>
        <w:rPr>
          <w:rFonts w:hint="eastAsia" w:hAnsi="宋体" w:cs="宋体"/>
          <w:color w:val="auto"/>
          <w:highlight w:val="none"/>
        </w:rPr>
        <w:t>其中：</w:t>
      </w:r>
    </w:p>
    <w:p>
      <w:pPr>
        <w:spacing w:line="360" w:lineRule="auto"/>
        <w:ind w:firstLine="440" w:firstLineChars="200"/>
        <w:rPr>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）安全文明施工费：</w:t>
      </w:r>
      <w:r>
        <w:rPr>
          <w:rFonts w:hint="eastAsia" w:cs="宋体"/>
          <w:color w:val="auto"/>
          <w:highlight w:val="none"/>
        </w:rPr>
        <w:t>【注：安全文明施工费以</w:t>
      </w:r>
      <w:r>
        <w:rPr>
          <w:rFonts w:hint="eastAsia"/>
          <w:color w:val="auto"/>
          <w:highlight w:val="none"/>
        </w:rPr>
        <w:t>招标人发布的安全文明施工费金额为准签订合同。】</w:t>
      </w:r>
    </w:p>
    <w:p>
      <w:pPr>
        <w:spacing w:line="360" w:lineRule="auto"/>
        <w:ind w:left="440" w:leftChars="200" w:firstLine="550" w:firstLineChars="2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pPr>
        <w:spacing w:line="360" w:lineRule="auto"/>
        <w:ind w:firstLine="440" w:firstLineChars="200"/>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）材料和工程设备暂估价金额：</w:t>
      </w:r>
    </w:p>
    <w:p>
      <w:pPr>
        <w:spacing w:line="360" w:lineRule="auto"/>
        <w:ind w:firstLine="990" w:firstLineChars="450"/>
        <w:rPr>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pPr>
        <w:spacing w:line="360" w:lineRule="auto"/>
        <w:ind w:firstLine="440" w:firstLineChars="200"/>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）专业工程暂估价金额：</w:t>
      </w:r>
    </w:p>
    <w:p>
      <w:pPr>
        <w:spacing w:line="360" w:lineRule="auto"/>
        <w:ind w:firstLine="990" w:firstLineChars="450"/>
        <w:rPr>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pPr>
        <w:spacing w:line="360" w:lineRule="auto"/>
        <w:ind w:firstLine="440" w:firstLineChars="200"/>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）暂列金额：</w:t>
      </w:r>
    </w:p>
    <w:p>
      <w:pPr>
        <w:spacing w:line="360" w:lineRule="auto"/>
        <w:ind w:firstLine="990" w:firstLineChars="450"/>
        <w:rPr>
          <w:rFonts w:hint="eastAsia" w:hAnsi="宋体" w:cs="宋体"/>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pPr>
        <w:numPr>
          <w:ilvl w:val="0"/>
          <w:numId w:val="0"/>
        </w:numPr>
        <w:spacing w:line="360" w:lineRule="auto"/>
        <w:ind w:firstLine="440" w:firstLineChars="200"/>
        <w:rPr>
          <w:rFonts w:hint="eastAsia" w:hAnsi="宋体" w:cs="宋体"/>
          <w:color w:val="auto"/>
          <w:highlight w:val="none"/>
        </w:rPr>
      </w:pPr>
      <w:r>
        <w:rPr>
          <w:rFonts w:hint="eastAsia" w:ascii="宋体" w:hAnsi="宋体" w:eastAsia="宋体" w:cs="宋体"/>
          <w:color w:val="auto"/>
          <w:highlight w:val="none"/>
          <w:lang w:val="en-US" w:eastAsia="zh-CN"/>
        </w:rPr>
        <w:t>2.</w:t>
      </w:r>
      <w:r>
        <w:rPr>
          <w:rFonts w:hint="eastAsia" w:ascii="Times New Roman" w:hAnsi="宋体" w:eastAsia="宋体" w:cs="宋体"/>
          <w:color w:val="auto"/>
          <w:highlight w:val="none"/>
        </w:rPr>
        <w:t>合同</w:t>
      </w:r>
      <w:r>
        <w:rPr>
          <w:rFonts w:hint="eastAsia" w:hAnsi="宋体" w:cs="宋体"/>
          <w:color w:val="auto"/>
          <w:highlight w:val="none"/>
        </w:rPr>
        <w:t>价格形式：</w:t>
      </w:r>
      <w:r>
        <w:rPr>
          <w:color w:val="auto"/>
          <w:highlight w:val="non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40" w:firstLineChars="200"/>
        <w:rPr>
          <w:rFonts w:hint="eastAsia" w:ascii="宋体" w:hAnsi="宋体" w:cs="宋体"/>
          <w:color w:val="auto"/>
          <w:szCs w:val="21"/>
          <w:highlight w:val="none"/>
          <w:u w:val="singl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（1）其它工程款支付账户：</w:t>
      </w:r>
      <w:r>
        <w:rPr>
          <w:rFonts w:hint="eastAsia" w:ascii="宋体" w:hAnsi="宋体" w:cs="宋体"/>
          <w:color w:val="auto"/>
          <w:szCs w:val="21"/>
          <w:highlight w:val="none"/>
          <w:u w:val="single"/>
        </w:rPr>
        <w:t xml:space="preserve">                     。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pPr>
        <w:numPr>
          <w:ilvl w:val="0"/>
          <w:numId w:val="30"/>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安全生产费用支付专用账户：</w:t>
      </w:r>
      <w:r>
        <w:rPr>
          <w:rFonts w:hint="eastAsia" w:ascii="宋体" w:hAnsi="宋体" w:cs="宋体"/>
          <w:color w:val="auto"/>
          <w:szCs w:val="21"/>
          <w:highlight w:val="none"/>
          <w:u w:val="single"/>
        </w:rPr>
        <w:t>××××公司安全生产费用专户</w:t>
      </w:r>
      <w:r>
        <w:rPr>
          <w:rFonts w:hint="eastAsia" w:ascii="宋体" w:hAnsi="宋体" w:cs="宋体"/>
          <w:color w:val="auto"/>
          <w:szCs w:val="21"/>
          <w:highlight w:val="none"/>
        </w:rPr>
        <w:t xml:space="preserve">。         </w:t>
      </w:r>
    </w:p>
    <w:p>
      <w:pPr>
        <w:spacing w:line="360" w:lineRule="auto"/>
        <w:ind w:left="525" w:firstLine="44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ind w:firstLine="1100" w:firstLineChars="50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p>
    <w:p>
      <w:pPr>
        <w:numPr>
          <w:ilvl w:val="0"/>
          <w:numId w:val="30"/>
        </w:num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农民工工资支付专用账户：</w:t>
      </w:r>
      <w:r>
        <w:rPr>
          <w:rFonts w:hint="eastAsia" w:ascii="宋体" w:hAnsi="宋体" w:cs="宋体"/>
          <w:color w:val="auto"/>
          <w:szCs w:val="21"/>
          <w:highlight w:val="none"/>
          <w:u w:val="single"/>
        </w:rPr>
        <w:t>××××公司农民工工资支付专用账户</w:t>
      </w:r>
      <w:r>
        <w:rPr>
          <w:rFonts w:hint="eastAsia" w:ascii="宋体" w:hAnsi="宋体" w:cs="宋体"/>
          <w:color w:val="auto"/>
          <w:szCs w:val="21"/>
          <w:highlight w:val="none"/>
        </w:rPr>
        <w:t xml:space="preserve"> 。</w:t>
      </w:r>
    </w:p>
    <w:p>
      <w:pPr>
        <w:spacing w:line="360" w:lineRule="auto"/>
        <w:ind w:left="525" w:firstLine="440" w:firstLineChars="200"/>
        <w:rPr>
          <w:rFonts w:hint="eastAsia" w:ascii="宋体" w:hAnsi="宋体" w:cs="宋体"/>
          <w:color w:val="auto"/>
          <w:szCs w:val="21"/>
          <w:highlight w:val="none"/>
        </w:rPr>
      </w:pPr>
      <w:r>
        <w:rPr>
          <w:rFonts w:hint="eastAsia" w:ascii="宋体" w:hAnsi="宋体" w:cs="宋体"/>
          <w:color w:val="auto"/>
          <w:szCs w:val="21"/>
          <w:highlight w:val="none"/>
        </w:rPr>
        <w:t>账号：</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p>
      <w:pPr>
        <w:spacing w:line="360" w:lineRule="auto"/>
        <w:ind w:left="525" w:firstLine="440" w:firstLineChars="200"/>
        <w:rPr>
          <w:rFonts w:hint="eastAsia" w:hAnsi="宋体" w:cs="宋体"/>
          <w:color w:val="auto"/>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 </w:t>
      </w:r>
    </w:p>
    <w:p>
      <w:pPr>
        <w:spacing w:line="360" w:lineRule="auto"/>
        <w:ind w:firstLine="440" w:firstLineChars="200"/>
        <w:outlineLvl w:val="0"/>
        <w:rPr>
          <w:b/>
          <w:bCs/>
          <w:color w:val="auto"/>
          <w:highlight w:val="none"/>
        </w:rPr>
      </w:pPr>
      <w:bookmarkStart w:id="85" w:name="_Toc351203485"/>
      <w:bookmarkStart w:id="86" w:name="_Toc21428"/>
      <w:bookmarkStart w:id="87" w:name="_Toc23400"/>
      <w:bookmarkStart w:id="88" w:name="_Toc214"/>
      <w:bookmarkStart w:id="89" w:name="_Toc7407"/>
      <w:bookmarkStart w:id="90" w:name="_Toc17890"/>
      <w:r>
        <w:rPr>
          <w:rFonts w:hint="eastAsia" w:hAnsi="宋体" w:cs="宋体"/>
          <w:b/>
          <w:bCs/>
          <w:color w:val="auto"/>
          <w:highlight w:val="none"/>
        </w:rPr>
        <w:t>五、</w:t>
      </w:r>
      <w:bookmarkEnd w:id="85"/>
      <w:r>
        <w:rPr>
          <w:rFonts w:hint="eastAsia" w:hAnsi="宋体" w:cs="宋体"/>
          <w:b/>
          <w:bCs/>
          <w:color w:val="auto"/>
          <w:highlight w:val="none"/>
        </w:rPr>
        <w:t>项目经理</w:t>
      </w:r>
      <w:bookmarkEnd w:id="86"/>
      <w:bookmarkEnd w:id="87"/>
      <w:bookmarkEnd w:id="88"/>
      <w:bookmarkEnd w:id="89"/>
      <w:bookmarkEnd w:id="90"/>
    </w:p>
    <w:p>
      <w:pPr>
        <w:spacing w:line="360" w:lineRule="auto"/>
        <w:ind w:firstLine="440" w:firstLineChars="200"/>
        <w:rPr>
          <w:rFonts w:hAnsi="宋体"/>
          <w:color w:val="auto"/>
          <w:highlight w:val="none"/>
        </w:rPr>
      </w:pPr>
      <w:r>
        <w:rPr>
          <w:rFonts w:hint="eastAsia" w:hAnsi="宋体" w:cs="宋体"/>
          <w:color w:val="auto"/>
          <w:highlight w:val="none"/>
        </w:rPr>
        <w:t>承包人项目经理：</w:t>
      </w:r>
      <w:r>
        <w:rPr>
          <w:color w:val="auto"/>
          <w:highlight w:val="none"/>
          <w:u w:val="single"/>
        </w:rPr>
        <w:t xml:space="preserve">                     </w:t>
      </w:r>
      <w:r>
        <w:rPr>
          <w:rFonts w:hint="eastAsia" w:hAnsi="宋体" w:cs="宋体"/>
          <w:color w:val="auto"/>
          <w:highlight w:val="none"/>
        </w:rPr>
        <w:t>。</w:t>
      </w:r>
    </w:p>
    <w:p>
      <w:pPr>
        <w:spacing w:line="360" w:lineRule="auto"/>
        <w:ind w:firstLine="440" w:firstLineChars="200"/>
        <w:outlineLvl w:val="0"/>
        <w:rPr>
          <w:b/>
          <w:bCs/>
          <w:color w:val="auto"/>
          <w:highlight w:val="none"/>
        </w:rPr>
      </w:pPr>
      <w:bookmarkStart w:id="91" w:name="_Toc19143"/>
      <w:bookmarkStart w:id="92" w:name="_Toc23908"/>
      <w:bookmarkStart w:id="93" w:name="_Toc11558"/>
      <w:bookmarkStart w:id="94" w:name="_Toc11174"/>
      <w:bookmarkStart w:id="95" w:name="_Toc20365"/>
      <w:bookmarkStart w:id="96" w:name="_Toc351203486"/>
      <w:r>
        <w:rPr>
          <w:rFonts w:hint="eastAsia" w:hAnsi="宋体" w:cs="宋体"/>
          <w:b/>
          <w:bCs/>
          <w:color w:val="auto"/>
          <w:highlight w:val="none"/>
        </w:rPr>
        <w:t>六、合同文件构成</w:t>
      </w:r>
      <w:bookmarkEnd w:id="91"/>
      <w:bookmarkEnd w:id="92"/>
      <w:bookmarkEnd w:id="93"/>
      <w:bookmarkEnd w:id="94"/>
      <w:bookmarkEnd w:id="95"/>
      <w:bookmarkEnd w:id="96"/>
    </w:p>
    <w:p>
      <w:pPr>
        <w:spacing w:line="360" w:lineRule="auto"/>
        <w:ind w:firstLine="440" w:firstLineChars="200"/>
        <w:rPr>
          <w:color w:val="auto"/>
          <w:highlight w:val="none"/>
        </w:rPr>
      </w:pPr>
      <w:r>
        <w:rPr>
          <w:rFonts w:hint="eastAsia" w:hAnsi="宋体" w:cs="宋体"/>
          <w:color w:val="auto"/>
          <w:highlight w:val="none"/>
        </w:rPr>
        <w:t>本协议书与下列文件一起构成合同文件：</w:t>
      </w:r>
    </w:p>
    <w:p>
      <w:pPr>
        <w:autoSpaceDE w:val="0"/>
        <w:autoSpaceDN w:val="0"/>
        <w:adjustRightInd w:val="0"/>
        <w:spacing w:line="360" w:lineRule="auto"/>
        <w:ind w:firstLine="44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）中标通知书（如有）；</w:t>
      </w:r>
    </w:p>
    <w:p>
      <w:pPr>
        <w:autoSpaceDE w:val="0"/>
        <w:autoSpaceDN w:val="0"/>
        <w:adjustRightInd w:val="0"/>
        <w:spacing w:line="360" w:lineRule="auto"/>
        <w:ind w:firstLine="44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）投标函及其附录（如有）；</w:t>
      </w:r>
      <w:r>
        <w:rPr>
          <w:color w:val="auto"/>
          <w:highlight w:val="none"/>
        </w:rPr>
        <w:t xml:space="preserve"> </w:t>
      </w:r>
    </w:p>
    <w:p>
      <w:pPr>
        <w:autoSpaceDE w:val="0"/>
        <w:autoSpaceDN w:val="0"/>
        <w:adjustRightInd w:val="0"/>
        <w:spacing w:line="360" w:lineRule="auto"/>
        <w:ind w:firstLine="440" w:firstLineChars="200"/>
        <w:jc w:val="left"/>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）专用合同条款及其附件；</w:t>
      </w:r>
    </w:p>
    <w:p>
      <w:pPr>
        <w:autoSpaceDE w:val="0"/>
        <w:autoSpaceDN w:val="0"/>
        <w:adjustRightInd w:val="0"/>
        <w:spacing w:line="360" w:lineRule="auto"/>
        <w:ind w:firstLine="440" w:firstLineChars="200"/>
        <w:jc w:val="left"/>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）通用合同条款；</w:t>
      </w:r>
    </w:p>
    <w:p>
      <w:pPr>
        <w:autoSpaceDE w:val="0"/>
        <w:autoSpaceDN w:val="0"/>
        <w:adjustRightInd w:val="0"/>
        <w:spacing w:line="360" w:lineRule="auto"/>
        <w:ind w:firstLine="440" w:firstLineChars="200"/>
        <w:jc w:val="left"/>
        <w:rPr>
          <w:color w:val="auto"/>
          <w:highlight w:val="none"/>
        </w:rPr>
      </w:pPr>
      <w:r>
        <w:rPr>
          <w:rFonts w:hint="eastAsia" w:hAnsi="宋体" w:cs="宋体"/>
          <w:color w:val="auto"/>
          <w:highlight w:val="none"/>
        </w:rPr>
        <w:t>（</w:t>
      </w:r>
      <w:r>
        <w:rPr>
          <w:rFonts w:hint="eastAsia"/>
          <w:color w:val="auto"/>
          <w:highlight w:val="none"/>
        </w:rPr>
        <w:t>5</w:t>
      </w:r>
      <w:r>
        <w:rPr>
          <w:rFonts w:hint="eastAsia" w:hAnsi="宋体" w:cs="宋体"/>
          <w:color w:val="auto"/>
          <w:highlight w:val="none"/>
        </w:rPr>
        <w:t>）其他合同文件：</w:t>
      </w:r>
    </w:p>
    <w:p>
      <w:pPr>
        <w:autoSpaceDE w:val="0"/>
        <w:autoSpaceDN w:val="0"/>
        <w:adjustRightInd w:val="0"/>
        <w:spacing w:line="360" w:lineRule="auto"/>
        <w:ind w:firstLine="440" w:firstLineChars="200"/>
        <w:jc w:val="left"/>
        <w:rPr>
          <w:rFonts w:hAnsi="宋体"/>
          <w:color w:val="auto"/>
          <w:highlight w:val="none"/>
        </w:rPr>
      </w:pPr>
      <w:r>
        <w:rPr>
          <w:rFonts w:hint="eastAsia" w:hAnsi="宋体" w:cs="宋体"/>
          <w:color w:val="auto"/>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pPr>
        <w:autoSpaceDE w:val="0"/>
        <w:autoSpaceDN w:val="0"/>
        <w:adjustRightInd w:val="0"/>
        <w:spacing w:line="360" w:lineRule="auto"/>
        <w:ind w:firstLine="440" w:firstLineChars="200"/>
        <w:jc w:val="left"/>
        <w:outlineLvl w:val="0"/>
        <w:rPr>
          <w:b/>
          <w:bCs/>
          <w:color w:val="auto"/>
          <w:highlight w:val="none"/>
        </w:rPr>
      </w:pPr>
      <w:bookmarkStart w:id="97" w:name="_Toc7925"/>
      <w:bookmarkStart w:id="98" w:name="_Toc18196"/>
      <w:bookmarkStart w:id="99" w:name="_Toc17304"/>
      <w:bookmarkStart w:id="100" w:name="_Toc351203487"/>
      <w:bookmarkStart w:id="101" w:name="_Toc26022"/>
      <w:bookmarkStart w:id="102" w:name="_Toc5179"/>
      <w:r>
        <w:rPr>
          <w:rFonts w:hint="eastAsia" w:hAnsi="宋体" w:cs="宋体"/>
          <w:b/>
          <w:bCs/>
          <w:color w:val="auto"/>
          <w:highlight w:val="none"/>
        </w:rPr>
        <w:t>七、承诺</w:t>
      </w:r>
      <w:bookmarkEnd w:id="97"/>
      <w:bookmarkEnd w:id="98"/>
      <w:bookmarkEnd w:id="99"/>
      <w:bookmarkEnd w:id="100"/>
      <w:bookmarkEnd w:id="101"/>
      <w:bookmarkEnd w:id="102"/>
    </w:p>
    <w:p>
      <w:pPr>
        <w:spacing w:line="360" w:lineRule="auto"/>
        <w:ind w:firstLine="440" w:firstLineChars="200"/>
        <w:rPr>
          <w:color w:val="auto"/>
          <w:highlight w:val="none"/>
        </w:rPr>
      </w:pPr>
      <w:r>
        <w:rPr>
          <w:color w:val="auto"/>
          <w:highlight w:val="none"/>
        </w:rPr>
        <w:t xml:space="preserve">1. </w:t>
      </w:r>
      <w:r>
        <w:rPr>
          <w:rFonts w:hint="eastAsia" w:hAnsi="宋体" w:cs="宋体"/>
          <w:color w:val="auto"/>
          <w:highlight w:val="none"/>
        </w:rPr>
        <w:t>发包人承诺按照法律规定履行项目审批手续、筹集工程建设资金并按照合同约定的期限和方式支付合同价款。</w:t>
      </w:r>
    </w:p>
    <w:p>
      <w:pPr>
        <w:spacing w:line="360" w:lineRule="auto"/>
        <w:ind w:firstLine="440" w:firstLineChars="200"/>
        <w:rPr>
          <w:color w:val="auto"/>
          <w:highlight w:val="none"/>
        </w:rPr>
      </w:pPr>
      <w:r>
        <w:rPr>
          <w:color w:val="auto"/>
          <w:highlight w:val="none"/>
        </w:rPr>
        <w:t xml:space="preserve">2. </w:t>
      </w:r>
      <w:r>
        <w:rPr>
          <w:rFonts w:hint="eastAsia" w:hAnsi="宋体" w:cs="宋体"/>
          <w:color w:val="auto"/>
          <w:highlight w:val="none"/>
        </w:rPr>
        <w:t>承包人承诺按照法律规定及合同约定组织完成工程施工，确保工程质量和安全，不进行转包及违法分包，并在缺陷责任期及保修期内承担相应的工程维修责任。</w:t>
      </w:r>
    </w:p>
    <w:p>
      <w:pPr>
        <w:spacing w:line="360" w:lineRule="auto"/>
        <w:ind w:firstLine="440" w:firstLineChars="200"/>
        <w:rPr>
          <w:rFonts w:hAnsi="宋体"/>
          <w:color w:val="auto"/>
          <w:highlight w:val="none"/>
        </w:rPr>
      </w:pPr>
      <w:r>
        <w:rPr>
          <w:color w:val="auto"/>
          <w:highlight w:val="none"/>
        </w:rPr>
        <w:t xml:space="preserve">3. </w:t>
      </w:r>
      <w:r>
        <w:rPr>
          <w:rFonts w:hint="eastAsia" w:hAnsi="宋体" w:cs="宋体"/>
          <w:color w:val="auto"/>
          <w:highlight w:val="none"/>
        </w:rPr>
        <w:t>发包人和承包人通过招投标形式签订合同的，双方理解并承诺不再就同一工程另行签订与合同实质性内容相背离的协议。</w:t>
      </w:r>
      <w:bookmarkStart w:id="103" w:name="_Toc351203488"/>
    </w:p>
    <w:p>
      <w:pPr>
        <w:spacing w:line="360" w:lineRule="auto"/>
        <w:ind w:firstLine="440" w:firstLineChars="200"/>
        <w:outlineLvl w:val="0"/>
        <w:rPr>
          <w:b/>
          <w:bCs/>
          <w:color w:val="auto"/>
          <w:highlight w:val="none"/>
        </w:rPr>
      </w:pPr>
      <w:bookmarkStart w:id="104" w:name="_Toc9025"/>
      <w:bookmarkStart w:id="105" w:name="_Toc22829"/>
      <w:bookmarkStart w:id="106" w:name="_Toc10509"/>
      <w:bookmarkStart w:id="107" w:name="_Toc19698"/>
      <w:bookmarkStart w:id="108" w:name="_Toc21706"/>
      <w:r>
        <w:rPr>
          <w:rFonts w:hint="eastAsia" w:hAnsi="宋体" w:cs="宋体"/>
          <w:b/>
          <w:bCs/>
          <w:color w:val="auto"/>
          <w:highlight w:val="none"/>
        </w:rPr>
        <w:t>八、词语含义</w:t>
      </w:r>
      <w:bookmarkEnd w:id="103"/>
      <w:bookmarkEnd w:id="104"/>
      <w:bookmarkEnd w:id="105"/>
      <w:bookmarkEnd w:id="106"/>
      <w:bookmarkEnd w:id="107"/>
      <w:bookmarkEnd w:id="108"/>
    </w:p>
    <w:p>
      <w:pPr>
        <w:spacing w:line="360" w:lineRule="auto"/>
        <w:ind w:firstLine="440" w:firstLineChars="200"/>
        <w:rPr>
          <w:rFonts w:hAnsi="宋体"/>
          <w:color w:val="auto"/>
          <w:highlight w:val="none"/>
        </w:rPr>
      </w:pPr>
      <w:r>
        <w:rPr>
          <w:rFonts w:hint="eastAsia" w:hAnsi="宋体" w:cs="宋体"/>
          <w:color w:val="auto"/>
          <w:highlight w:val="none"/>
        </w:rPr>
        <w:t>本协议书中词语含义与第二部分通用合同条款中赋予的含义相同。</w:t>
      </w:r>
    </w:p>
    <w:p>
      <w:pPr>
        <w:spacing w:line="360" w:lineRule="auto"/>
        <w:ind w:firstLine="440" w:firstLineChars="200"/>
        <w:outlineLvl w:val="0"/>
        <w:rPr>
          <w:b/>
          <w:bCs/>
          <w:color w:val="auto"/>
          <w:highlight w:val="none"/>
        </w:rPr>
      </w:pPr>
      <w:bookmarkStart w:id="109" w:name="_Toc7227"/>
      <w:bookmarkStart w:id="110" w:name="_Toc2576"/>
      <w:bookmarkStart w:id="111" w:name="_Toc24181"/>
      <w:bookmarkStart w:id="112" w:name="_Toc28559"/>
      <w:bookmarkStart w:id="113" w:name="_Toc3449"/>
      <w:bookmarkStart w:id="114" w:name="_Toc351203489"/>
      <w:r>
        <w:rPr>
          <w:rFonts w:hint="eastAsia" w:hAnsi="宋体" w:cs="宋体"/>
          <w:b/>
          <w:bCs/>
          <w:color w:val="auto"/>
          <w:highlight w:val="none"/>
        </w:rPr>
        <w:t>九、签订时间</w:t>
      </w:r>
      <w:bookmarkEnd w:id="109"/>
      <w:bookmarkEnd w:id="110"/>
      <w:bookmarkEnd w:id="111"/>
      <w:bookmarkEnd w:id="112"/>
      <w:bookmarkEnd w:id="113"/>
      <w:bookmarkEnd w:id="114"/>
    </w:p>
    <w:p>
      <w:pPr>
        <w:spacing w:line="360" w:lineRule="auto"/>
        <w:ind w:firstLine="440" w:firstLineChars="200"/>
        <w:rPr>
          <w:rFonts w:hAnsi="宋体"/>
          <w:color w:val="auto"/>
          <w:highlight w:val="none"/>
        </w:rPr>
      </w:pPr>
      <w:r>
        <w:rPr>
          <w:rFonts w:hint="eastAsia" w:hAnsi="宋体" w:cs="宋体"/>
          <w:color w:val="auto"/>
          <w:highlight w:val="none"/>
        </w:rPr>
        <w:t>本合同于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w:t>
      </w:r>
    </w:p>
    <w:p>
      <w:pPr>
        <w:spacing w:line="360" w:lineRule="auto"/>
        <w:ind w:firstLine="440" w:firstLineChars="200"/>
        <w:outlineLvl w:val="0"/>
        <w:rPr>
          <w:b/>
          <w:bCs/>
          <w:color w:val="auto"/>
          <w:highlight w:val="none"/>
        </w:rPr>
      </w:pPr>
      <w:bookmarkStart w:id="115" w:name="_Toc26597"/>
      <w:bookmarkStart w:id="116" w:name="_Toc15525"/>
      <w:bookmarkStart w:id="117" w:name="_Toc351203490"/>
      <w:bookmarkStart w:id="118" w:name="_Toc21718"/>
      <w:bookmarkStart w:id="119" w:name="_Toc18996"/>
      <w:bookmarkStart w:id="120" w:name="_Toc27235"/>
      <w:r>
        <w:rPr>
          <w:rFonts w:hint="eastAsia" w:hAnsi="宋体" w:cs="宋体"/>
          <w:b/>
          <w:bCs/>
          <w:color w:val="auto"/>
          <w:highlight w:val="none"/>
        </w:rPr>
        <w:t>十、签订地点</w:t>
      </w:r>
      <w:bookmarkEnd w:id="115"/>
      <w:bookmarkEnd w:id="116"/>
      <w:bookmarkEnd w:id="117"/>
      <w:bookmarkEnd w:id="118"/>
      <w:bookmarkEnd w:id="119"/>
      <w:bookmarkEnd w:id="120"/>
    </w:p>
    <w:p>
      <w:pPr>
        <w:spacing w:line="360" w:lineRule="auto"/>
        <w:ind w:firstLine="440" w:firstLineChars="200"/>
        <w:rPr>
          <w:rFonts w:hAnsi="宋体"/>
          <w:color w:val="auto"/>
          <w:highlight w:val="none"/>
        </w:rPr>
      </w:pPr>
      <w:r>
        <w:rPr>
          <w:rFonts w:hint="eastAsia" w:hAnsi="宋体" w:cs="宋体"/>
          <w:color w:val="auto"/>
          <w:highlight w:val="none"/>
        </w:rPr>
        <w:t>本合同在</w:t>
      </w:r>
      <w:r>
        <w:rPr>
          <w:color w:val="auto"/>
          <w:highlight w:val="none"/>
          <w:u w:val="single"/>
        </w:rPr>
        <w:t xml:space="preserve">                                    </w:t>
      </w:r>
      <w:r>
        <w:rPr>
          <w:rFonts w:hint="eastAsia" w:hAnsi="宋体" w:cs="宋体"/>
          <w:color w:val="auto"/>
          <w:highlight w:val="none"/>
        </w:rPr>
        <w:t>签订。</w:t>
      </w:r>
    </w:p>
    <w:p>
      <w:pPr>
        <w:spacing w:line="360" w:lineRule="auto"/>
        <w:ind w:firstLine="440" w:firstLineChars="200"/>
        <w:outlineLvl w:val="0"/>
        <w:rPr>
          <w:b/>
          <w:bCs/>
          <w:color w:val="auto"/>
          <w:highlight w:val="none"/>
        </w:rPr>
      </w:pPr>
      <w:bookmarkStart w:id="121" w:name="_Toc8403"/>
      <w:bookmarkStart w:id="122" w:name="_Toc7232"/>
      <w:bookmarkStart w:id="123" w:name="_Toc31638"/>
      <w:bookmarkStart w:id="124" w:name="_Toc27743"/>
      <w:bookmarkStart w:id="125" w:name="_Toc18915"/>
      <w:bookmarkStart w:id="126" w:name="_Toc351203491"/>
      <w:r>
        <w:rPr>
          <w:rFonts w:hint="eastAsia" w:hAnsi="宋体" w:cs="宋体"/>
          <w:b/>
          <w:bCs/>
          <w:color w:val="auto"/>
          <w:highlight w:val="none"/>
        </w:rPr>
        <w:t>十一、补充协议</w:t>
      </w:r>
      <w:bookmarkEnd w:id="121"/>
      <w:bookmarkEnd w:id="122"/>
      <w:bookmarkEnd w:id="123"/>
      <w:bookmarkEnd w:id="124"/>
      <w:bookmarkEnd w:id="125"/>
      <w:bookmarkEnd w:id="126"/>
    </w:p>
    <w:p>
      <w:pPr>
        <w:spacing w:line="360" w:lineRule="auto"/>
        <w:ind w:firstLine="440" w:firstLineChars="200"/>
        <w:rPr>
          <w:rFonts w:hAnsi="宋体"/>
          <w:color w:val="auto"/>
          <w:highlight w:val="none"/>
        </w:rPr>
      </w:pPr>
      <w:r>
        <w:rPr>
          <w:rFonts w:hint="eastAsia" w:hAnsi="宋体" w:cs="宋体"/>
          <w:color w:val="auto"/>
          <w:highlight w:val="none"/>
        </w:rPr>
        <w:t>合同未尽事宜，合同当事人另行签订补充协议，补充协议是合同的组成部分。</w:t>
      </w:r>
    </w:p>
    <w:p>
      <w:pPr>
        <w:spacing w:line="360" w:lineRule="auto"/>
        <w:ind w:firstLine="440" w:firstLineChars="200"/>
        <w:outlineLvl w:val="0"/>
        <w:rPr>
          <w:b/>
          <w:bCs/>
          <w:color w:val="auto"/>
          <w:highlight w:val="none"/>
        </w:rPr>
      </w:pPr>
      <w:bookmarkStart w:id="127" w:name="_Toc1517"/>
      <w:bookmarkStart w:id="128" w:name="_Toc15162"/>
      <w:bookmarkStart w:id="129" w:name="_Toc11687"/>
      <w:bookmarkStart w:id="130" w:name="_Toc351203492"/>
      <w:bookmarkStart w:id="131" w:name="_Toc3352"/>
      <w:bookmarkStart w:id="132" w:name="_Toc5138"/>
      <w:r>
        <w:rPr>
          <w:rFonts w:hint="eastAsia" w:hAnsi="宋体" w:cs="宋体"/>
          <w:b/>
          <w:bCs/>
          <w:color w:val="auto"/>
          <w:highlight w:val="none"/>
        </w:rPr>
        <w:t>十二、合同生效</w:t>
      </w:r>
      <w:bookmarkEnd w:id="127"/>
      <w:bookmarkEnd w:id="128"/>
      <w:bookmarkEnd w:id="129"/>
      <w:bookmarkEnd w:id="130"/>
      <w:bookmarkEnd w:id="131"/>
      <w:bookmarkEnd w:id="132"/>
    </w:p>
    <w:p>
      <w:pPr>
        <w:spacing w:line="360" w:lineRule="auto"/>
        <w:ind w:firstLine="440" w:firstLineChars="200"/>
        <w:rPr>
          <w:rFonts w:hAnsi="宋体"/>
          <w:color w:val="auto"/>
          <w:highlight w:val="none"/>
        </w:rPr>
      </w:pPr>
      <w:r>
        <w:rPr>
          <w:rFonts w:hint="eastAsia" w:hAnsi="宋体" w:cs="宋体"/>
          <w:color w:val="auto"/>
          <w:highlight w:val="none"/>
        </w:rPr>
        <w:t>本合同自</w:t>
      </w:r>
      <w:r>
        <w:rPr>
          <w:color w:val="auto"/>
          <w:highlight w:val="none"/>
          <w:u w:val="single"/>
        </w:rPr>
        <w:t xml:space="preserve">                                   </w:t>
      </w:r>
      <w:r>
        <w:rPr>
          <w:rFonts w:hint="eastAsia" w:hAnsi="宋体" w:cs="宋体"/>
          <w:color w:val="auto"/>
          <w:highlight w:val="none"/>
        </w:rPr>
        <w:t>生效。</w:t>
      </w:r>
    </w:p>
    <w:p>
      <w:pPr>
        <w:spacing w:line="360" w:lineRule="auto"/>
        <w:ind w:firstLine="440" w:firstLineChars="200"/>
        <w:outlineLvl w:val="0"/>
        <w:rPr>
          <w:b/>
          <w:bCs/>
          <w:color w:val="auto"/>
          <w:highlight w:val="none"/>
        </w:rPr>
      </w:pPr>
      <w:bookmarkStart w:id="133" w:name="_Toc12014"/>
      <w:bookmarkStart w:id="134" w:name="_Toc351203493"/>
      <w:bookmarkStart w:id="135" w:name="_Toc12669"/>
      <w:bookmarkStart w:id="136" w:name="_Toc25558"/>
      <w:bookmarkStart w:id="137" w:name="_Toc28611"/>
      <w:bookmarkStart w:id="138" w:name="_Toc28612"/>
      <w:r>
        <w:rPr>
          <w:rFonts w:hint="eastAsia" w:hAnsi="宋体" w:cs="宋体"/>
          <w:b/>
          <w:bCs/>
          <w:color w:val="auto"/>
          <w:highlight w:val="none"/>
        </w:rPr>
        <w:t>十三、合同份数</w:t>
      </w:r>
      <w:bookmarkEnd w:id="133"/>
      <w:bookmarkEnd w:id="134"/>
      <w:bookmarkEnd w:id="135"/>
      <w:bookmarkEnd w:id="136"/>
      <w:bookmarkEnd w:id="137"/>
      <w:bookmarkEnd w:id="138"/>
    </w:p>
    <w:p>
      <w:pPr>
        <w:spacing w:line="360" w:lineRule="auto"/>
        <w:ind w:firstLine="440" w:firstLineChars="200"/>
        <w:rPr>
          <w:color w:val="auto"/>
          <w:highlight w:val="none"/>
        </w:rPr>
      </w:pPr>
      <w:r>
        <w:rPr>
          <w:rFonts w:hint="eastAsia" w:hAnsi="宋体" w:cs="宋体"/>
          <w:color w:val="auto"/>
          <w:highlight w:val="none"/>
        </w:rPr>
        <w:t>本合同一式</w:t>
      </w:r>
      <w:r>
        <w:rPr>
          <w:color w:val="auto"/>
          <w:highlight w:val="none"/>
          <w:u w:val="single"/>
        </w:rPr>
        <w:t xml:space="preserve">    </w:t>
      </w:r>
      <w:r>
        <w:rPr>
          <w:rFonts w:hint="eastAsia" w:hAnsi="宋体" w:cs="宋体"/>
          <w:color w:val="auto"/>
          <w:highlight w:val="none"/>
        </w:rPr>
        <w:t>份，均具有同等法律效力，发包人执</w:t>
      </w:r>
      <w:r>
        <w:rPr>
          <w:color w:val="auto"/>
          <w:highlight w:val="none"/>
          <w:u w:val="single"/>
        </w:rPr>
        <w:t xml:space="preserve">    </w:t>
      </w:r>
      <w:r>
        <w:rPr>
          <w:rFonts w:hint="eastAsia" w:hAnsi="宋体" w:cs="宋体"/>
          <w:color w:val="auto"/>
          <w:highlight w:val="none"/>
        </w:rPr>
        <w:t>份，承包人执</w:t>
      </w:r>
      <w:r>
        <w:rPr>
          <w:color w:val="auto"/>
          <w:highlight w:val="none"/>
          <w:u w:val="single"/>
        </w:rPr>
        <w:t xml:space="preserve">    </w:t>
      </w:r>
      <w:r>
        <w:rPr>
          <w:rFonts w:hint="eastAsia" w:hAnsi="宋体" w:cs="宋体"/>
          <w:color w:val="auto"/>
          <w:highlight w:val="none"/>
        </w:rPr>
        <w:t>份。</w:t>
      </w:r>
    </w:p>
    <w:p>
      <w:pPr>
        <w:spacing w:line="360" w:lineRule="auto"/>
        <w:rPr>
          <w:color w:val="auto"/>
          <w:highlight w:val="none"/>
        </w:rPr>
      </w:pPr>
    </w:p>
    <w:p>
      <w:pPr>
        <w:spacing w:line="360" w:lineRule="auto"/>
        <w:ind w:firstLine="440" w:firstLineChars="200"/>
        <w:rPr>
          <w:color w:val="auto"/>
          <w:highlight w:val="none"/>
        </w:rPr>
      </w:pPr>
      <w:r>
        <w:rPr>
          <w:rFonts w:hint="eastAsia" w:hAnsi="宋体" w:cs="宋体"/>
          <w:color w:val="auto"/>
          <w:highlight w:val="none"/>
        </w:rPr>
        <w:t>发包人：</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r>
        <w:rPr>
          <w:color w:val="auto"/>
          <w:highlight w:val="none"/>
        </w:rPr>
        <w:t xml:space="preserve">                              </w:t>
      </w:r>
      <w:r>
        <w:rPr>
          <w:rFonts w:hint="eastAsia" w:hAnsi="宋体" w:cs="宋体"/>
          <w:color w:val="auto"/>
          <w:highlight w:val="none"/>
        </w:rPr>
        <w:t>承包人：</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p>
    <w:p>
      <w:pPr>
        <w:spacing w:line="360" w:lineRule="auto"/>
        <w:rPr>
          <w:color w:val="auto"/>
          <w:highlight w:val="none"/>
          <w:u w:val="single"/>
        </w:rPr>
      </w:pPr>
      <w:r>
        <w:rPr>
          <w:color w:val="auto"/>
          <w:highlight w:val="none"/>
        </w:rPr>
        <w:t xml:space="preserve">                                 </w:t>
      </w:r>
    </w:p>
    <w:p>
      <w:pPr>
        <w:spacing w:line="360" w:lineRule="auto"/>
        <w:ind w:firstLine="440" w:firstLineChars="200"/>
        <w:rPr>
          <w:color w:val="auto"/>
          <w:highlight w:val="none"/>
        </w:rPr>
      </w:pPr>
      <w:r>
        <w:rPr>
          <w:rFonts w:hint="eastAsia" w:hAnsi="宋体" w:cs="宋体"/>
          <w:color w:val="auto"/>
          <w:highlight w:val="none"/>
        </w:rPr>
        <w:t>法定代表人或其委托代理人：</w:t>
      </w:r>
      <w:r>
        <w:rPr>
          <w:color w:val="auto"/>
          <w:highlight w:val="none"/>
        </w:rPr>
        <w:t xml:space="preserve">                    </w:t>
      </w:r>
      <w:r>
        <w:rPr>
          <w:rFonts w:hint="eastAsia" w:hAnsi="宋体" w:cs="宋体"/>
          <w:color w:val="auto"/>
          <w:highlight w:val="none"/>
        </w:rPr>
        <w:t>法定代表人或其委托代理人：</w:t>
      </w:r>
    </w:p>
    <w:p>
      <w:pPr>
        <w:spacing w:line="360" w:lineRule="auto"/>
        <w:ind w:firstLine="440" w:firstLineChars="200"/>
        <w:rPr>
          <w:color w:val="auto"/>
          <w:highlight w:val="none"/>
        </w:rPr>
      </w:pPr>
      <w:r>
        <w:rPr>
          <w:rFonts w:hint="eastAsia" w:hAnsi="宋体" w:cs="宋体"/>
          <w:color w:val="auto"/>
          <w:highlight w:val="none"/>
        </w:rPr>
        <w:t>（签字）</w:t>
      </w:r>
      <w:r>
        <w:rPr>
          <w:color w:val="auto"/>
          <w:highlight w:val="none"/>
        </w:rPr>
        <w:t xml:space="preserve">                                     </w:t>
      </w:r>
      <w:r>
        <w:rPr>
          <w:rFonts w:hint="eastAsia" w:hAnsi="宋体" w:cs="宋体"/>
          <w:color w:val="auto"/>
          <w:highlight w:val="none"/>
        </w:rPr>
        <w:t>（签字）</w:t>
      </w:r>
    </w:p>
    <w:p>
      <w:pPr>
        <w:spacing w:line="360" w:lineRule="auto"/>
        <w:rPr>
          <w:color w:val="auto"/>
          <w:highlight w:val="none"/>
          <w:u w:val="single"/>
        </w:rPr>
      </w:pPr>
    </w:p>
    <w:p>
      <w:pPr>
        <w:tabs>
          <w:tab w:val="left" w:pos="4410"/>
        </w:tabs>
        <w:spacing w:line="360" w:lineRule="auto"/>
        <w:ind w:firstLine="440" w:firstLineChars="200"/>
        <w:rPr>
          <w:color w:val="auto"/>
          <w:highlight w:val="none"/>
        </w:rPr>
      </w:pPr>
      <w:r>
        <w:rPr>
          <w:rFonts w:hint="eastAsia" w:hAnsi="宋体" w:cs="宋体"/>
          <w:color w:val="auto"/>
          <w:highlight w:val="none"/>
        </w:rPr>
        <w:t>统一社会信用代码：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s="宋体"/>
          <w:color w:val="auto"/>
          <w:highlight w:val="none"/>
        </w:rPr>
        <w:t>统一</w:t>
      </w:r>
      <w:r>
        <w:rPr>
          <w:rFonts w:hint="eastAsia" w:hAnsi="宋体" w:cs="宋体"/>
          <w:color w:val="auto"/>
          <w:highlight w:val="none"/>
        </w:rPr>
        <w:t>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p>
    <w:p>
      <w:pPr>
        <w:spacing w:line="360" w:lineRule="auto"/>
        <w:ind w:firstLine="440" w:firstLineChars="200"/>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p>
    <w:p>
      <w:pPr>
        <w:spacing w:line="360" w:lineRule="auto"/>
        <w:ind w:firstLine="440" w:firstLineChars="200"/>
        <w:rPr>
          <w:color w:val="auto"/>
          <w:highlight w:val="none"/>
        </w:rPr>
      </w:pP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olor w:val="auto"/>
          <w:highlight w:val="none"/>
        </w:rPr>
        <w:t xml:space="preserve"> </w:t>
      </w: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spacing w:line="360" w:lineRule="auto"/>
        <w:ind w:firstLine="440" w:firstLineChars="200"/>
        <w:rPr>
          <w:color w:val="auto"/>
          <w:highlight w:val="none"/>
        </w:rPr>
      </w:pP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spacing w:line="360" w:lineRule="auto"/>
        <w:ind w:firstLine="440" w:firstLineChars="200"/>
        <w:rPr>
          <w:color w:val="auto"/>
          <w:highlight w:val="none"/>
        </w:rPr>
      </w:pP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spacing w:line="360" w:lineRule="auto"/>
        <w:ind w:firstLine="440" w:firstLineChars="200"/>
        <w:rPr>
          <w:color w:val="auto"/>
          <w:highlight w:val="non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spacing w:line="360" w:lineRule="auto"/>
        <w:ind w:firstLine="440" w:firstLineChars="200"/>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spacing w:line="360" w:lineRule="auto"/>
        <w:ind w:firstLine="44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p>
    <w:p>
      <w:pPr>
        <w:spacing w:line="360" w:lineRule="auto"/>
        <w:ind w:firstLine="440" w:firstLineChars="200"/>
        <w:rPr>
          <w:color w:val="auto"/>
          <w:highlight w:val="none"/>
        </w:rPr>
      </w:pP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ind w:firstLine="440" w:firstLineChars="200"/>
        <w:rPr>
          <w:color w:val="auto"/>
          <w:highlight w:val="none"/>
          <w:u w:val="single"/>
        </w:rPr>
      </w:pP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widowControl/>
        <w:jc w:val="left"/>
        <w:rPr>
          <w:color w:val="auto"/>
          <w:highlight w:val="none"/>
          <w:u w:val="single"/>
        </w:rPr>
      </w:pPr>
      <w:r>
        <w:rPr>
          <w:color w:val="auto"/>
          <w:highlight w:val="none"/>
        </w:rPr>
        <w:br w:type="page"/>
      </w:r>
    </w:p>
    <w:p>
      <w:pPr>
        <w:pStyle w:val="4"/>
        <w:spacing w:line="240" w:lineRule="auto"/>
        <w:jc w:val="center"/>
        <w:rPr>
          <w:color w:val="auto"/>
          <w:sz w:val="44"/>
          <w:szCs w:val="44"/>
          <w:highlight w:val="none"/>
        </w:rPr>
      </w:pPr>
      <w:bookmarkStart w:id="139" w:name="_Toc16393"/>
      <w:bookmarkStart w:id="140" w:name="_Toc12380"/>
      <w:bookmarkStart w:id="141" w:name="_Toc389065256"/>
      <w:bookmarkStart w:id="142" w:name="_Toc27094"/>
      <w:bookmarkStart w:id="143" w:name="_Toc9850520"/>
      <w:bookmarkStart w:id="144" w:name="_Toc407135192"/>
      <w:bookmarkStart w:id="145" w:name="_Toc29076"/>
      <w:bookmarkStart w:id="146" w:name="_Toc3994"/>
      <w:bookmarkStart w:id="147" w:name="_Toc373478338"/>
      <w:bookmarkStart w:id="148" w:name="_Toc373227691"/>
      <w:bookmarkStart w:id="149" w:name="_Toc351203632"/>
      <w:r>
        <w:rPr>
          <w:rFonts w:hint="eastAsia" w:cs="黑体"/>
          <w:color w:val="auto"/>
          <w:sz w:val="44"/>
          <w:szCs w:val="44"/>
          <w:highlight w:val="none"/>
        </w:rPr>
        <w:t>第二部分</w:t>
      </w:r>
      <w:r>
        <w:rPr>
          <w:color w:val="auto"/>
          <w:sz w:val="44"/>
          <w:szCs w:val="44"/>
          <w:highlight w:val="none"/>
        </w:rPr>
        <w:t xml:space="preserve"> </w:t>
      </w:r>
      <w:r>
        <w:rPr>
          <w:rFonts w:hint="eastAsia" w:cs="黑体"/>
          <w:color w:val="auto"/>
          <w:sz w:val="44"/>
          <w:szCs w:val="44"/>
          <w:highlight w:val="none"/>
        </w:rPr>
        <w:t>通用合同条款</w:t>
      </w:r>
      <w:bookmarkEnd w:id="139"/>
      <w:bookmarkEnd w:id="140"/>
      <w:bookmarkEnd w:id="141"/>
      <w:bookmarkEnd w:id="142"/>
      <w:bookmarkEnd w:id="143"/>
      <w:bookmarkEnd w:id="144"/>
      <w:bookmarkEnd w:id="145"/>
      <w:bookmarkEnd w:id="146"/>
    </w:p>
    <w:p>
      <w:pPr>
        <w:spacing w:line="360" w:lineRule="auto"/>
        <w:ind w:firstLine="440" w:firstLineChars="200"/>
        <w:rPr>
          <w:rFonts w:hAnsi="宋体"/>
          <w:color w:val="auto"/>
          <w:kern w:val="0"/>
          <w:highlight w:val="none"/>
        </w:rPr>
      </w:pPr>
    </w:p>
    <w:p>
      <w:pPr>
        <w:spacing w:line="360" w:lineRule="auto"/>
        <w:ind w:firstLine="440" w:firstLineChars="200"/>
        <w:rPr>
          <w:rFonts w:hAnsi="宋体"/>
          <w:b/>
          <w:bCs/>
          <w:color w:val="auto"/>
          <w:kern w:val="0"/>
          <w:highlight w:val="none"/>
        </w:rPr>
      </w:pPr>
      <w:r>
        <w:rPr>
          <w:rFonts w:hint="eastAsia" w:hAnsi="宋体" w:cs="宋体"/>
          <w:b/>
          <w:bCs/>
          <w:color w:val="auto"/>
          <w:kern w:val="0"/>
          <w:highlight w:val="none"/>
        </w:rPr>
        <w:t>采用《建设工程施工合同（示范文本）》（</w:t>
      </w:r>
      <w:r>
        <w:rPr>
          <w:rFonts w:hAnsi="宋体"/>
          <w:b/>
          <w:bCs/>
          <w:color w:val="auto"/>
          <w:kern w:val="0"/>
          <w:highlight w:val="none"/>
        </w:rPr>
        <w:t>GF</w:t>
      </w:r>
      <w:r>
        <w:rPr>
          <w:rFonts w:hAnsi="宋体" w:cs="宋体"/>
          <w:b/>
          <w:bCs/>
          <w:color w:val="auto"/>
          <w:kern w:val="0"/>
          <w:highlight w:val="none"/>
        </w:rPr>
        <w:t>—</w:t>
      </w:r>
      <w:r>
        <w:rPr>
          <w:rFonts w:hAnsi="宋体"/>
          <w:b/>
          <w:bCs/>
          <w:color w:val="auto"/>
          <w:kern w:val="0"/>
          <w:highlight w:val="none"/>
        </w:rPr>
        <w:t>201</w:t>
      </w:r>
      <w:r>
        <w:rPr>
          <w:rFonts w:hint="eastAsia" w:hAnsi="宋体"/>
          <w:b/>
          <w:bCs/>
          <w:color w:val="auto"/>
          <w:kern w:val="0"/>
          <w:highlight w:val="none"/>
        </w:rPr>
        <w:t>7</w:t>
      </w:r>
      <w:r>
        <w:rPr>
          <w:rFonts w:hAnsi="宋体" w:cs="宋体"/>
          <w:b/>
          <w:bCs/>
          <w:color w:val="auto"/>
          <w:kern w:val="0"/>
          <w:highlight w:val="none"/>
        </w:rPr>
        <w:t>—</w:t>
      </w:r>
      <w:r>
        <w:rPr>
          <w:rFonts w:hAnsi="宋体"/>
          <w:b/>
          <w:bCs/>
          <w:color w:val="auto"/>
          <w:kern w:val="0"/>
          <w:highlight w:val="none"/>
        </w:rPr>
        <w:t>0201</w:t>
      </w:r>
      <w:r>
        <w:rPr>
          <w:rFonts w:hint="eastAsia" w:hAnsi="宋体" w:cs="宋体"/>
          <w:b/>
          <w:bCs/>
          <w:color w:val="auto"/>
          <w:kern w:val="0"/>
          <w:highlight w:val="none"/>
        </w:rPr>
        <w:t>）。</w:t>
      </w:r>
    </w:p>
    <w:p>
      <w:pPr>
        <w:pStyle w:val="4"/>
        <w:keepNext w:val="0"/>
        <w:keepLines w:val="0"/>
        <w:jc w:val="center"/>
        <w:rPr>
          <w:rFonts w:hint="eastAsia" w:hAnsi="宋体" w:cs="黑体"/>
          <w:color w:val="auto"/>
          <w:sz w:val="30"/>
          <w:szCs w:val="30"/>
          <w:highlight w:val="none"/>
        </w:rPr>
      </w:pPr>
      <w:bookmarkStart w:id="150" w:name="_Toc9850521"/>
      <w:bookmarkStart w:id="151" w:name="_Toc407135193"/>
      <w:bookmarkStart w:id="152" w:name="_Toc19929"/>
      <w:bookmarkStart w:id="153" w:name="_Toc389065257"/>
    </w:p>
    <w:p>
      <w:pPr>
        <w:pStyle w:val="4"/>
        <w:keepNext w:val="0"/>
        <w:keepLines w:val="0"/>
        <w:spacing w:line="240" w:lineRule="auto"/>
        <w:jc w:val="center"/>
        <w:rPr>
          <w:rFonts w:hAnsi="宋体"/>
          <w:color w:val="auto"/>
          <w:sz w:val="44"/>
          <w:szCs w:val="44"/>
          <w:highlight w:val="none"/>
        </w:rPr>
      </w:pPr>
      <w:bookmarkStart w:id="154" w:name="_Toc26380"/>
      <w:bookmarkStart w:id="155" w:name="_Toc28734"/>
      <w:bookmarkStart w:id="156" w:name="_Toc24178"/>
      <w:bookmarkStart w:id="157" w:name="_Toc4083"/>
      <w:r>
        <w:rPr>
          <w:rFonts w:hint="eastAsia" w:hAnsi="宋体" w:cs="黑体"/>
          <w:color w:val="auto"/>
          <w:sz w:val="44"/>
          <w:szCs w:val="44"/>
          <w:highlight w:val="none"/>
        </w:rPr>
        <w:t>第三部分</w:t>
      </w:r>
      <w:r>
        <w:rPr>
          <w:color w:val="auto"/>
          <w:sz w:val="44"/>
          <w:szCs w:val="44"/>
          <w:highlight w:val="none"/>
        </w:rPr>
        <w:t xml:space="preserve"> </w:t>
      </w:r>
      <w:r>
        <w:rPr>
          <w:rFonts w:hint="eastAsia" w:hAnsi="宋体" w:cs="黑体"/>
          <w:color w:val="auto"/>
          <w:sz w:val="44"/>
          <w:szCs w:val="44"/>
          <w:highlight w:val="none"/>
        </w:rPr>
        <w:t>专用合同条款</w:t>
      </w:r>
      <w:bookmarkEnd w:id="147"/>
      <w:bookmarkEnd w:id="148"/>
      <w:bookmarkEnd w:id="149"/>
      <w:bookmarkEnd w:id="150"/>
      <w:bookmarkEnd w:id="151"/>
      <w:bookmarkEnd w:id="152"/>
      <w:bookmarkEnd w:id="153"/>
      <w:bookmarkEnd w:id="154"/>
      <w:bookmarkEnd w:id="155"/>
      <w:bookmarkEnd w:id="156"/>
      <w:bookmarkEnd w:id="157"/>
    </w:p>
    <w:p>
      <w:pPr>
        <w:spacing w:line="360" w:lineRule="auto"/>
        <w:jc w:val="center"/>
        <w:rPr>
          <w:rFonts w:hAnsi="宋体"/>
          <w:b/>
          <w:bCs/>
          <w:color w:val="auto"/>
          <w:kern w:val="0"/>
          <w:highlight w:val="none"/>
        </w:rPr>
      </w:pPr>
      <w:r>
        <w:rPr>
          <w:rFonts w:hint="eastAsia" w:hAnsi="宋体" w:cs="宋体"/>
          <w:b/>
          <w:bCs/>
          <w:color w:val="auto"/>
          <w:kern w:val="0"/>
          <w:highlight w:val="none"/>
        </w:rPr>
        <w:t>（注：专用合同条款每一条均应填写完整！）</w:t>
      </w:r>
    </w:p>
    <w:p>
      <w:pPr>
        <w:pStyle w:val="5"/>
        <w:keepNext w:val="0"/>
        <w:keepLines w:val="0"/>
        <w:pageBreakBefore w:val="0"/>
        <w:widowControl w:val="0"/>
        <w:kinsoku/>
        <w:wordWrap/>
        <w:overflowPunct/>
        <w:topLinePunct w:val="0"/>
        <w:autoSpaceDE w:val="0"/>
        <w:autoSpaceDN w:val="0"/>
        <w:bidi w:val="0"/>
        <w:snapToGrid/>
        <w:spacing w:before="0" w:line="360" w:lineRule="auto"/>
        <w:ind w:left="0" w:leftChars="0" w:right="0"/>
        <w:textAlignment w:val="auto"/>
        <w:rPr>
          <w:color w:val="auto"/>
          <w:highlight w:val="none"/>
        </w:rPr>
      </w:pPr>
      <w:bookmarkStart w:id="158" w:name="_Toc389065258"/>
      <w:bookmarkStart w:id="159" w:name="_Toc373227692"/>
      <w:bookmarkStart w:id="160" w:name="_Toc21949"/>
      <w:bookmarkStart w:id="161" w:name="_Toc351203633"/>
      <w:bookmarkStart w:id="162" w:name="_Toc18305"/>
      <w:bookmarkStart w:id="163" w:name="_Toc9850522"/>
      <w:bookmarkStart w:id="164" w:name="_Toc407135194"/>
      <w:bookmarkStart w:id="165" w:name="_Toc373478339"/>
      <w:bookmarkStart w:id="166" w:name="_Toc17740"/>
      <w:bookmarkStart w:id="167" w:name="_Toc23994"/>
      <w:r>
        <w:rPr>
          <w:color w:val="auto"/>
          <w:highlight w:val="none"/>
        </w:rPr>
        <w:t>1</w:t>
      </w:r>
      <w:bookmarkStart w:id="168" w:name="_Toc296891196"/>
      <w:bookmarkStart w:id="169" w:name="_Toc296944495"/>
      <w:bookmarkStart w:id="170" w:name="_Toc292559361"/>
      <w:bookmarkStart w:id="171" w:name="_Toc297120456"/>
      <w:bookmarkStart w:id="172" w:name="_Toc296346657"/>
      <w:bookmarkStart w:id="173" w:name="_Toc296347155"/>
      <w:bookmarkStart w:id="174" w:name="_Toc296503156"/>
      <w:bookmarkStart w:id="175" w:name="_Toc292559866"/>
      <w:bookmarkStart w:id="176" w:name="_Toc296890984"/>
      <w:bookmarkStart w:id="177" w:name="_Toc297048342"/>
      <w:r>
        <w:rPr>
          <w:color w:val="auto"/>
          <w:highlight w:val="none"/>
        </w:rPr>
        <w:t xml:space="preserve">. </w:t>
      </w:r>
      <w:r>
        <w:rPr>
          <w:rFonts w:hint="eastAsia" w:hAnsi="宋体" w:cs="黑体"/>
          <w:color w:val="auto"/>
          <w:highlight w:val="none"/>
        </w:rPr>
        <w:t>一般约定</w:t>
      </w:r>
      <w:bookmarkEnd w:id="158"/>
      <w:bookmarkEnd w:id="159"/>
      <w:bookmarkEnd w:id="160"/>
      <w:bookmarkEnd w:id="161"/>
      <w:bookmarkEnd w:id="162"/>
      <w:bookmarkEnd w:id="163"/>
      <w:bookmarkEnd w:id="164"/>
      <w:bookmarkEnd w:id="165"/>
      <w:bookmarkEnd w:id="166"/>
      <w:bookmarkEnd w:id="167"/>
    </w:p>
    <w:bookmarkEnd w:id="168"/>
    <w:bookmarkEnd w:id="169"/>
    <w:bookmarkEnd w:id="170"/>
    <w:bookmarkEnd w:id="171"/>
    <w:bookmarkEnd w:id="172"/>
    <w:bookmarkEnd w:id="173"/>
    <w:bookmarkEnd w:id="174"/>
    <w:bookmarkEnd w:id="175"/>
    <w:bookmarkEnd w:id="176"/>
    <w:bookmarkEnd w:id="177"/>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178" w:name="_Toc389065259"/>
      <w:bookmarkStart w:id="179" w:name="_Toc21267"/>
      <w:bookmarkStart w:id="180" w:name="_Toc23263"/>
      <w:bookmarkStart w:id="181" w:name="_Toc27461"/>
      <w:bookmarkStart w:id="182" w:name="_Toc31458"/>
      <w:bookmarkStart w:id="183" w:name="_Toc407135195"/>
      <w:bookmarkStart w:id="184" w:name="_Toc9850523"/>
      <w:bookmarkStart w:id="185" w:name="_Toc373478340"/>
      <w:bookmarkStart w:id="186" w:name="_Toc373227693"/>
      <w:r>
        <w:rPr>
          <w:color w:val="auto"/>
          <w:highlight w:val="none"/>
        </w:rPr>
        <w:t xml:space="preserve">1.1 </w:t>
      </w:r>
      <w:r>
        <w:rPr>
          <w:rFonts w:hint="eastAsia" w:hAnsi="宋体" w:cs="黑体"/>
          <w:color w:val="auto"/>
          <w:highlight w:val="none"/>
        </w:rPr>
        <w:t>词语定义</w:t>
      </w:r>
      <w:bookmarkEnd w:id="178"/>
      <w:bookmarkEnd w:id="179"/>
      <w:bookmarkEnd w:id="180"/>
      <w:bookmarkEnd w:id="181"/>
      <w:bookmarkEnd w:id="182"/>
      <w:bookmarkEnd w:id="183"/>
      <w:bookmarkEnd w:id="184"/>
      <w:bookmarkEnd w:id="185"/>
      <w:bookmarkEnd w:id="186"/>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kern w:val="0"/>
          <w:highlight w:val="none"/>
        </w:rPr>
      </w:pPr>
      <w:r>
        <w:rPr>
          <w:color w:val="auto"/>
          <w:kern w:val="0"/>
          <w:highlight w:val="none"/>
        </w:rPr>
        <w:t xml:space="preserve">1.1.1 </w:t>
      </w:r>
      <w:r>
        <w:rPr>
          <w:rFonts w:hint="eastAsia" w:hAnsi="宋体" w:cs="宋体"/>
          <w:color w:val="auto"/>
          <w:kern w:val="0"/>
          <w:highlight w:val="none"/>
        </w:rPr>
        <w:t>合同</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kern w:val="0"/>
          <w:highlight w:val="none"/>
        </w:rPr>
      </w:pPr>
      <w:r>
        <w:rPr>
          <w:color w:val="auto"/>
          <w:kern w:val="0"/>
          <w:highlight w:val="none"/>
        </w:rPr>
        <w:t xml:space="preserve">1.1.1.10 </w:t>
      </w:r>
      <w:r>
        <w:rPr>
          <w:rFonts w:hint="eastAsia"/>
          <w:color w:val="auto"/>
          <w:kern w:val="0"/>
          <w:highlight w:val="none"/>
        </w:rPr>
        <w:t>其他合同文件包括：</w:t>
      </w:r>
      <w:r>
        <w:rPr>
          <w:color w:val="auto"/>
          <w:kern w:val="0"/>
          <w:highlight w:val="none"/>
          <w:u w:val="single"/>
        </w:rPr>
        <w:t xml:space="preserve">  履行合同过程中双方总经理以上管理者（或双方工地代表人）书面确认的对合同内容有实质性影响的会议纪要、签证、设计变更等资料    </w:t>
      </w:r>
      <w:r>
        <w:rPr>
          <w:rFonts w:hint="eastAsia"/>
          <w:color w:val="auto"/>
          <w:kern w:val="0"/>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color w:val="auto"/>
          <w:highlight w:val="none"/>
        </w:rPr>
        <w:t xml:space="preserve">1.1.2 </w:t>
      </w:r>
      <w:r>
        <w:rPr>
          <w:rFonts w:hint="eastAsia" w:hAnsi="宋体" w:cs="宋体"/>
          <w:color w:val="auto"/>
          <w:highlight w:val="none"/>
        </w:rPr>
        <w:t>合同当事人及其他相关方</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outlineLvl w:val="0"/>
        <w:rPr>
          <w:color w:val="auto"/>
          <w:highlight w:val="none"/>
        </w:rPr>
      </w:pPr>
      <w:bookmarkStart w:id="187" w:name="_Toc11983"/>
      <w:bookmarkStart w:id="188" w:name="_Toc2886"/>
      <w:bookmarkStart w:id="189" w:name="_Toc4017"/>
      <w:bookmarkStart w:id="190" w:name="_Toc14864"/>
      <w:bookmarkStart w:id="191" w:name="_Toc9562"/>
      <w:r>
        <w:rPr>
          <w:color w:val="auto"/>
          <w:highlight w:val="none"/>
        </w:rPr>
        <w:t xml:space="preserve">1.1.2.4 </w:t>
      </w:r>
      <w:r>
        <w:rPr>
          <w:rFonts w:hint="eastAsia" w:hAnsi="宋体" w:cs="宋体"/>
          <w:color w:val="auto"/>
          <w:highlight w:val="none"/>
        </w:rPr>
        <w:t>监理人：</w:t>
      </w:r>
      <w:bookmarkEnd w:id="187"/>
      <w:bookmarkEnd w:id="188"/>
      <w:bookmarkEnd w:id="189"/>
      <w:bookmarkEnd w:id="190"/>
      <w:bookmarkEnd w:id="191"/>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outlineLvl w:val="0"/>
        <w:rPr>
          <w:color w:val="auto"/>
          <w:highlight w:val="none"/>
        </w:rPr>
      </w:pPr>
      <w:bookmarkStart w:id="192" w:name="_Toc24665"/>
      <w:bookmarkStart w:id="193" w:name="_Toc31785"/>
      <w:bookmarkStart w:id="194" w:name="_Toc3630"/>
      <w:bookmarkStart w:id="195" w:name="_Toc26165"/>
      <w:bookmarkStart w:id="196" w:name="_Toc26008"/>
      <w:r>
        <w:rPr>
          <w:color w:val="auto"/>
          <w:highlight w:val="none"/>
        </w:rPr>
        <w:t xml:space="preserve">1.1.2.5 </w:t>
      </w:r>
      <w:r>
        <w:rPr>
          <w:rFonts w:hint="eastAsia" w:hAnsi="宋体" w:cs="宋体"/>
          <w:color w:val="auto"/>
          <w:highlight w:val="none"/>
        </w:rPr>
        <w:t>设计人：</w:t>
      </w:r>
      <w:bookmarkEnd w:id="192"/>
      <w:bookmarkEnd w:id="193"/>
      <w:bookmarkEnd w:id="194"/>
      <w:bookmarkEnd w:id="195"/>
      <w:bookmarkEnd w:id="196"/>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color w:val="auto"/>
          <w:highlight w:val="none"/>
        </w:rPr>
        <w:t xml:space="preserve">1.1.3 </w:t>
      </w:r>
      <w:r>
        <w:rPr>
          <w:rFonts w:hint="eastAsia" w:hAnsi="宋体" w:cs="宋体"/>
          <w:color w:val="auto"/>
          <w:highlight w:val="none"/>
        </w:rPr>
        <w:t>工程和设备</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outlineLvl w:val="0"/>
        <w:rPr>
          <w:color w:val="auto"/>
          <w:highlight w:val="none"/>
        </w:rPr>
      </w:pPr>
      <w:bookmarkStart w:id="197" w:name="_Toc28039"/>
      <w:bookmarkStart w:id="198" w:name="_Toc22150"/>
      <w:bookmarkStart w:id="199" w:name="_Toc25388"/>
      <w:bookmarkStart w:id="200" w:name="_Toc17412"/>
      <w:bookmarkStart w:id="201" w:name="_Toc32058"/>
      <w:r>
        <w:rPr>
          <w:color w:val="auto"/>
          <w:highlight w:val="none"/>
        </w:rPr>
        <w:t xml:space="preserve">1.1.3.7 </w:t>
      </w:r>
      <w:r>
        <w:rPr>
          <w:rFonts w:hint="eastAsia" w:hAnsi="宋体" w:cs="宋体"/>
          <w:color w:val="auto"/>
          <w:highlight w:val="none"/>
        </w:rPr>
        <w:t>作为施工现场组成部分的其他场所包括：</w:t>
      </w:r>
      <w:bookmarkEnd w:id="197"/>
      <w:bookmarkEnd w:id="198"/>
      <w:bookmarkEnd w:id="199"/>
      <w:bookmarkEnd w:id="200"/>
      <w:bookmarkEnd w:id="201"/>
      <w:r>
        <w:rPr>
          <w:color w:val="auto"/>
          <w:highlight w:val="none"/>
          <w:u w:val="single"/>
        </w:rPr>
        <w:t xml:space="preserve">  </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符合通用条款规定的发包方提供的施工场地</w:t>
      </w:r>
      <w:r>
        <w:rPr>
          <w:rFonts w:ascii="宋体" w:hAnsi="宋体" w:eastAsia="宋体" w:cs="宋体"/>
          <w:color w:val="auto"/>
          <w:highlight w:val="none"/>
          <w:u w:val="single"/>
        </w:rPr>
        <w:t xml:space="preserve">  </w:t>
      </w:r>
      <w:r>
        <w:rPr>
          <w:rFonts w:hAnsi="宋体"/>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kern w:val="0"/>
          <w:highlight w:val="none"/>
        </w:rPr>
      </w:pPr>
      <w:r>
        <w:rPr>
          <w:color w:val="auto"/>
          <w:kern w:val="0"/>
          <w:highlight w:val="none"/>
        </w:rPr>
        <w:t xml:space="preserve">1.1.3.9 </w:t>
      </w:r>
      <w:r>
        <w:rPr>
          <w:rFonts w:hint="eastAsia" w:hAnsi="宋体" w:cs="宋体"/>
          <w:color w:val="auto"/>
          <w:kern w:val="0"/>
          <w:highlight w:val="none"/>
        </w:rPr>
        <w:t>永久占地包括：</w:t>
      </w:r>
      <w:r>
        <w:rPr>
          <w:color w:val="auto"/>
          <w:highlight w:val="none"/>
          <w:u w:val="single"/>
        </w:rPr>
        <w:t xml:space="preserve">  </w:t>
      </w:r>
      <w:r>
        <w:rPr>
          <w:rFonts w:hint="eastAsia" w:ascii="宋体" w:hAnsi="宋体" w:eastAsia="宋体" w:cs="宋体"/>
          <w:color w:val="auto"/>
          <w:highlight w:val="none"/>
          <w:u w:val="single"/>
        </w:rPr>
        <w:t>实施工程需永久占用的土地</w:t>
      </w:r>
      <w:r>
        <w:rPr>
          <w:rFonts w:hint="eastAsia" w:ascii="宋体" w:hAnsi="宋体" w:eastAsia="宋体" w:cs="宋体"/>
          <w:color w:val="auto"/>
          <w:highlight w:val="none"/>
          <w:u w:val="single"/>
          <w:lang w:val="en-US" w:eastAsia="zh-CN"/>
        </w:rPr>
        <w:t>(含</w:t>
      </w:r>
      <w:r>
        <w:rPr>
          <w:rFonts w:hint="eastAsia" w:ascii="宋体" w:hAnsi="宋体" w:eastAsia="宋体" w:cs="宋体"/>
          <w:color w:val="auto"/>
          <w:highlight w:val="none"/>
          <w:u w:val="single"/>
        </w:rPr>
        <w:t>建筑占地、道路用地、绿化用地</w:t>
      </w:r>
      <w:r>
        <w:rPr>
          <w:rFonts w:hint="eastAsia" w:ascii="宋体" w:hAnsi="宋体" w:eastAsia="宋体" w:cs="宋体"/>
          <w:color w:val="auto"/>
          <w:highlight w:val="none"/>
          <w:u w:val="single"/>
          <w:lang w:eastAsia="zh-CN"/>
        </w:rPr>
        <w:t>等</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color w:val="auto"/>
          <w:kern w:val="0"/>
          <w:highlight w:val="none"/>
        </w:rPr>
        <w:t xml:space="preserve">1.1.3.10 </w:t>
      </w:r>
      <w:r>
        <w:rPr>
          <w:rFonts w:hint="eastAsia" w:hAnsi="宋体" w:cs="宋体"/>
          <w:color w:val="auto"/>
          <w:kern w:val="0"/>
          <w:highlight w:val="none"/>
        </w:rPr>
        <w:t>临时占地包括：</w:t>
      </w:r>
      <w:r>
        <w:rPr>
          <w:color w:val="auto"/>
          <w:highlight w:val="none"/>
          <w:u w:val="single"/>
        </w:rPr>
        <w:t xml:space="preserve">  </w:t>
      </w:r>
      <w:r>
        <w:rPr>
          <w:rFonts w:hint="eastAsia" w:ascii="宋体" w:hAnsi="宋体" w:eastAsia="宋体" w:cs="宋体"/>
          <w:color w:val="auto"/>
          <w:highlight w:val="none"/>
          <w:u w:val="single"/>
        </w:rPr>
        <w:t xml:space="preserve">临时工人宿舍、实验室、材料堆放场、材料加工场及施工便道用地等     </w:t>
      </w:r>
      <w:r>
        <w:rPr>
          <w:color w:val="auto"/>
          <w:highlight w:val="none"/>
          <w:u w:val="single"/>
        </w:rPr>
        <w:t xml:space="preserve"> </w:t>
      </w:r>
      <w:r>
        <w:rPr>
          <w:rFonts w:hint="eastAsia" w:hAnsi="宋体" w:cs="宋体"/>
          <w:color w:val="auto"/>
          <w:kern w:val="0"/>
          <w:highlight w:val="none"/>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202" w:name="_Toc373227694"/>
      <w:bookmarkStart w:id="203" w:name="_Toc25500"/>
      <w:bookmarkStart w:id="204" w:name="_Toc24994"/>
      <w:bookmarkStart w:id="205" w:name="_Toc9590"/>
      <w:bookmarkStart w:id="206" w:name="_Toc373478341"/>
      <w:bookmarkStart w:id="207" w:name="_Toc407135196"/>
      <w:bookmarkStart w:id="208" w:name="_Toc9850524"/>
      <w:bookmarkStart w:id="209" w:name="_Toc389065260"/>
      <w:bookmarkStart w:id="210" w:name="_Toc11369"/>
      <w:r>
        <w:rPr>
          <w:color w:val="auto"/>
          <w:highlight w:val="none"/>
        </w:rPr>
        <w:t xml:space="preserve">1.3 </w:t>
      </w:r>
      <w:r>
        <w:rPr>
          <w:rFonts w:hint="eastAsia" w:hAnsi="宋体" w:cs="黑体"/>
          <w:color w:val="auto"/>
          <w:highlight w:val="none"/>
        </w:rPr>
        <w:t>法律</w:t>
      </w:r>
      <w:bookmarkEnd w:id="202"/>
      <w:bookmarkEnd w:id="203"/>
      <w:bookmarkEnd w:id="204"/>
      <w:bookmarkEnd w:id="205"/>
      <w:bookmarkEnd w:id="206"/>
      <w:bookmarkEnd w:id="207"/>
      <w:bookmarkEnd w:id="208"/>
      <w:bookmarkEnd w:id="209"/>
      <w:bookmarkEnd w:id="210"/>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适用于合同的其他规范性文件：</w:t>
      </w:r>
      <w:r>
        <w:rPr>
          <w:rFonts w:hAnsi="宋体"/>
          <w:color w:val="auto"/>
          <w:highlight w:val="none"/>
          <w:u w:val="single"/>
        </w:rPr>
        <w:t xml:space="preserve">   </w:t>
      </w:r>
      <w:r>
        <w:rPr>
          <w:rFonts w:hint="eastAsia" w:ascii="宋体" w:hAnsi="宋体" w:eastAsia="宋体" w:cs="宋体"/>
          <w:color w:val="auto"/>
          <w:highlight w:val="none"/>
          <w:u w:val="single"/>
        </w:rPr>
        <w:t xml:space="preserve"> 现行《中华人民共和国建筑法》、《中华人民共和国</w:t>
      </w:r>
      <w:r>
        <w:rPr>
          <w:rFonts w:hint="eastAsia" w:ascii="宋体" w:hAnsi="宋体" w:eastAsia="宋体" w:cs="宋体"/>
          <w:color w:val="auto"/>
          <w:highlight w:val="none"/>
          <w:u w:val="single"/>
          <w:lang w:eastAsia="zh-CN"/>
        </w:rPr>
        <w:t>民法典</w:t>
      </w:r>
      <w:r>
        <w:rPr>
          <w:rFonts w:hint="eastAsia" w:ascii="宋体" w:hAnsi="宋体" w:eastAsia="宋体" w:cs="宋体"/>
          <w:color w:val="auto"/>
          <w:highlight w:val="none"/>
          <w:u w:val="single"/>
        </w:rPr>
        <w:t xml:space="preserve">》、《中华人民共和国招标投标法》、《建筑施工合同管理办法》及省市地方建设工程的法律、法规等             </w:t>
      </w:r>
      <w:r>
        <w:rPr>
          <w:color w:val="auto"/>
          <w:highlight w:val="none"/>
          <w:u w:val="single"/>
        </w:rPr>
        <w:t xml:space="preserve"> </w:t>
      </w:r>
      <w:r>
        <w:rPr>
          <w:rFonts w:hint="eastAsia" w:hAnsi="宋体" w:cs="宋体"/>
          <w:color w:val="auto"/>
          <w:highlight w:val="none"/>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211" w:name="_Toc9850525"/>
      <w:bookmarkStart w:id="212" w:name="_Toc373478342"/>
      <w:bookmarkStart w:id="213" w:name="_Toc31354"/>
      <w:bookmarkStart w:id="214" w:name="_Toc407135197"/>
      <w:bookmarkStart w:id="215" w:name="_Toc28396"/>
      <w:bookmarkStart w:id="216" w:name="_Toc30358"/>
      <w:bookmarkStart w:id="217" w:name="_Toc373227695"/>
      <w:bookmarkStart w:id="218" w:name="_Toc10676"/>
      <w:bookmarkStart w:id="219" w:name="_Toc389065261"/>
      <w:r>
        <w:rPr>
          <w:color w:val="auto"/>
          <w:highlight w:val="none"/>
        </w:rPr>
        <w:t xml:space="preserve">1.4 </w:t>
      </w:r>
      <w:r>
        <w:rPr>
          <w:rFonts w:hint="eastAsia" w:hAnsi="宋体" w:cs="黑体"/>
          <w:color w:val="auto"/>
          <w:highlight w:val="none"/>
        </w:rPr>
        <w:t>标准和规范</w:t>
      </w:r>
      <w:bookmarkEnd w:id="211"/>
      <w:bookmarkEnd w:id="212"/>
      <w:bookmarkEnd w:id="213"/>
      <w:bookmarkEnd w:id="214"/>
      <w:bookmarkEnd w:id="215"/>
      <w:bookmarkEnd w:id="216"/>
      <w:bookmarkEnd w:id="217"/>
      <w:bookmarkEnd w:id="218"/>
      <w:bookmarkEnd w:id="219"/>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textAlignment w:val="auto"/>
        <w:rPr>
          <w:color w:val="auto"/>
          <w:sz w:val="22"/>
          <w:szCs w:val="22"/>
          <w:highlight w:val="none"/>
        </w:rPr>
      </w:pPr>
      <w:r>
        <w:rPr>
          <w:color w:val="auto"/>
          <w:sz w:val="22"/>
          <w:szCs w:val="22"/>
          <w:highlight w:val="none"/>
        </w:rPr>
        <w:t xml:space="preserve">1.4.1 </w:t>
      </w:r>
      <w:r>
        <w:rPr>
          <w:rFonts w:hint="eastAsia" w:hAnsi="宋体" w:cs="宋体"/>
          <w:color w:val="auto"/>
          <w:sz w:val="22"/>
          <w:szCs w:val="22"/>
          <w:highlight w:val="none"/>
        </w:rPr>
        <w:t>适用于工程的标准规范包括：</w:t>
      </w:r>
      <w:r>
        <w:rPr>
          <w:rFonts w:hAnsi="宋体"/>
          <w:color w:val="auto"/>
          <w:sz w:val="22"/>
          <w:szCs w:val="22"/>
          <w:highlight w:val="none"/>
          <w:u w:val="single"/>
        </w:rPr>
        <w:t xml:space="preserve">  </w:t>
      </w:r>
      <w:r>
        <w:rPr>
          <w:rFonts w:hAnsi="宋体"/>
          <w:b/>
          <w:bCs/>
          <w:color w:val="auto"/>
          <w:sz w:val="22"/>
          <w:szCs w:val="22"/>
          <w:highlight w:val="none"/>
          <w:u w:val="single"/>
        </w:rPr>
        <w:t xml:space="preserve"> </w:t>
      </w:r>
      <w:r>
        <w:rPr>
          <w:rFonts w:hint="eastAsia" w:ascii="宋体" w:hAnsi="宋体" w:eastAsia="宋体" w:cs="宋体"/>
          <w:b w:val="0"/>
          <w:bCs w:val="0"/>
          <w:color w:val="auto"/>
          <w:kern w:val="0"/>
          <w:sz w:val="22"/>
          <w:szCs w:val="22"/>
          <w:highlight w:val="none"/>
          <w:u w:val="single"/>
          <w:lang w:val="en-US" w:eastAsia="zh-CN"/>
        </w:rPr>
        <w:t>适用于本工程国家现行有关的国家标准及规范、行业标准，工程所在地现行的地方性标准、规范、规程等</w:t>
      </w:r>
      <w:r>
        <w:rPr>
          <w:b w:val="0"/>
          <w:bCs w:val="0"/>
          <w:color w:val="auto"/>
          <w:sz w:val="22"/>
          <w:szCs w:val="22"/>
          <w:highlight w:val="none"/>
          <w:u w:val="single"/>
        </w:rPr>
        <w:t xml:space="preserve">  </w:t>
      </w:r>
      <w:r>
        <w:rPr>
          <w:color w:val="auto"/>
          <w:sz w:val="22"/>
          <w:szCs w:val="22"/>
          <w:highlight w:val="none"/>
          <w:u w:val="single"/>
        </w:rPr>
        <w:t xml:space="preserve">  </w:t>
      </w:r>
      <w:r>
        <w:rPr>
          <w:rFonts w:hint="eastAsia" w:hAnsi="宋体" w:cs="宋体"/>
          <w:color w:val="auto"/>
          <w:sz w:val="22"/>
          <w:szCs w:val="22"/>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textAlignment w:val="auto"/>
        <w:rPr>
          <w:color w:val="auto"/>
          <w:kern w:val="0"/>
          <w:sz w:val="22"/>
          <w:szCs w:val="22"/>
          <w:highlight w:val="none"/>
        </w:rPr>
      </w:pPr>
      <w:r>
        <w:rPr>
          <w:color w:val="auto"/>
          <w:kern w:val="0"/>
          <w:sz w:val="22"/>
          <w:szCs w:val="22"/>
          <w:highlight w:val="none"/>
        </w:rPr>
        <w:t xml:space="preserve">1.4.2 </w:t>
      </w:r>
      <w:r>
        <w:rPr>
          <w:rFonts w:hint="eastAsia" w:hAnsi="宋体" w:cs="宋体"/>
          <w:color w:val="auto"/>
          <w:kern w:val="0"/>
          <w:sz w:val="22"/>
          <w:szCs w:val="22"/>
          <w:highlight w:val="none"/>
        </w:rPr>
        <w:t>发包人提供国外标准、规范的名称：</w:t>
      </w:r>
      <w:r>
        <w:rPr>
          <w:rFonts w:hAnsi="宋体"/>
          <w:color w:val="auto"/>
          <w:sz w:val="22"/>
          <w:szCs w:val="22"/>
          <w:highlight w:val="none"/>
          <w:u w:val="single"/>
        </w:rPr>
        <w:t xml:space="preserve">  </w:t>
      </w:r>
      <w:r>
        <w:rPr>
          <w:rFonts w:hint="eastAsia"/>
          <w:color w:val="auto"/>
          <w:sz w:val="22"/>
          <w:szCs w:val="22"/>
          <w:highlight w:val="none"/>
          <w:u w:val="single"/>
          <w:lang w:eastAsia="zh-CN"/>
        </w:rPr>
        <w:t>无</w:t>
      </w:r>
      <w:r>
        <w:rPr>
          <w:color w:val="auto"/>
          <w:sz w:val="22"/>
          <w:szCs w:val="22"/>
          <w:highlight w:val="none"/>
          <w:u w:val="single"/>
        </w:rPr>
        <w:t xml:space="preserve">  </w:t>
      </w:r>
      <w:r>
        <w:rPr>
          <w:rFonts w:hint="eastAsia" w:hAnsi="宋体" w:cs="宋体"/>
          <w:color w:val="auto"/>
          <w:sz w:val="22"/>
          <w:szCs w:val="22"/>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textAlignment w:val="auto"/>
        <w:rPr>
          <w:color w:val="auto"/>
          <w:kern w:val="0"/>
          <w:sz w:val="22"/>
          <w:szCs w:val="22"/>
          <w:highlight w:val="none"/>
        </w:rPr>
      </w:pPr>
      <w:r>
        <w:rPr>
          <w:rFonts w:hint="eastAsia" w:hAnsi="宋体" w:cs="宋体"/>
          <w:color w:val="auto"/>
          <w:kern w:val="0"/>
          <w:sz w:val="22"/>
          <w:szCs w:val="22"/>
          <w:highlight w:val="none"/>
        </w:rPr>
        <w:t>发包人提供国外标准、规范的份数：</w:t>
      </w:r>
      <w:r>
        <w:rPr>
          <w:color w:val="auto"/>
          <w:kern w:val="0"/>
          <w:sz w:val="22"/>
          <w:szCs w:val="22"/>
          <w:highlight w:val="none"/>
          <w:u w:val="single"/>
        </w:rPr>
        <w:t xml:space="preserve">    </w:t>
      </w:r>
      <w:r>
        <w:rPr>
          <w:rFonts w:hint="eastAsia"/>
          <w:color w:val="auto"/>
          <w:kern w:val="0"/>
          <w:sz w:val="22"/>
          <w:szCs w:val="22"/>
          <w:highlight w:val="none"/>
          <w:u w:val="single"/>
          <w:lang w:val="en-US" w:eastAsia="zh-CN"/>
        </w:rPr>
        <w:t xml:space="preserve"> </w:t>
      </w:r>
      <w:r>
        <w:rPr>
          <w:rFonts w:hint="eastAsia"/>
          <w:color w:val="auto"/>
          <w:sz w:val="22"/>
          <w:szCs w:val="22"/>
          <w:highlight w:val="none"/>
          <w:u w:val="single"/>
          <w:lang w:eastAsia="zh-CN"/>
        </w:rPr>
        <w:t>无</w:t>
      </w:r>
      <w:r>
        <w:rPr>
          <w:color w:val="auto"/>
          <w:kern w:val="0"/>
          <w:sz w:val="22"/>
          <w:szCs w:val="22"/>
          <w:highlight w:val="none"/>
          <w:u w:val="single"/>
        </w:rPr>
        <w:t xml:space="preserve">        </w:t>
      </w:r>
      <w:r>
        <w:rPr>
          <w:rFonts w:hint="eastAsia" w:hAnsi="宋体" w:cs="宋体"/>
          <w:color w:val="auto"/>
          <w:kern w:val="0"/>
          <w:sz w:val="22"/>
          <w:szCs w:val="22"/>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textAlignment w:val="auto"/>
        <w:rPr>
          <w:color w:val="auto"/>
          <w:sz w:val="22"/>
          <w:szCs w:val="22"/>
          <w:highlight w:val="none"/>
        </w:rPr>
      </w:pPr>
      <w:r>
        <w:rPr>
          <w:rFonts w:hint="eastAsia" w:hAnsi="宋体" w:cs="宋体"/>
          <w:color w:val="auto"/>
          <w:kern w:val="0"/>
          <w:sz w:val="22"/>
          <w:szCs w:val="22"/>
          <w:highlight w:val="none"/>
        </w:rPr>
        <w:t>发包人提供国外标准、规范的名称：</w:t>
      </w:r>
      <w:r>
        <w:rPr>
          <w:color w:val="auto"/>
          <w:kern w:val="0"/>
          <w:sz w:val="22"/>
          <w:szCs w:val="22"/>
          <w:highlight w:val="none"/>
          <w:u w:val="single"/>
        </w:rPr>
        <w:t xml:space="preserve">     </w:t>
      </w:r>
      <w:r>
        <w:rPr>
          <w:rFonts w:hint="eastAsia"/>
          <w:color w:val="auto"/>
          <w:sz w:val="22"/>
          <w:szCs w:val="22"/>
          <w:highlight w:val="none"/>
          <w:u w:val="single"/>
          <w:lang w:eastAsia="zh-CN"/>
        </w:rPr>
        <w:t>无</w:t>
      </w:r>
      <w:r>
        <w:rPr>
          <w:color w:val="auto"/>
          <w:kern w:val="0"/>
          <w:sz w:val="22"/>
          <w:szCs w:val="22"/>
          <w:highlight w:val="none"/>
          <w:u w:val="single"/>
        </w:rPr>
        <w:t xml:space="preserve">        </w:t>
      </w:r>
      <w:r>
        <w:rPr>
          <w:rFonts w:hint="eastAsia" w:hAnsi="宋体" w:cs="宋体"/>
          <w:color w:val="auto"/>
          <w:kern w:val="0"/>
          <w:sz w:val="22"/>
          <w:szCs w:val="22"/>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textAlignment w:val="auto"/>
        <w:rPr>
          <w:color w:val="auto"/>
          <w:sz w:val="22"/>
          <w:szCs w:val="22"/>
          <w:highlight w:val="none"/>
        </w:rPr>
      </w:pPr>
      <w:r>
        <w:rPr>
          <w:color w:val="auto"/>
          <w:sz w:val="22"/>
          <w:szCs w:val="22"/>
          <w:highlight w:val="none"/>
        </w:rPr>
        <w:t xml:space="preserve">1.4.3 </w:t>
      </w:r>
      <w:r>
        <w:rPr>
          <w:rFonts w:hint="eastAsia" w:hAnsi="宋体" w:cs="宋体"/>
          <w:color w:val="auto"/>
          <w:sz w:val="22"/>
          <w:szCs w:val="22"/>
          <w:highlight w:val="none"/>
        </w:rPr>
        <w:t>发包人对工程的技术标准和功能要求的特殊要求：</w:t>
      </w:r>
      <w:r>
        <w:rPr>
          <w:rFonts w:hAnsi="宋体"/>
          <w:color w:val="auto"/>
          <w:sz w:val="22"/>
          <w:szCs w:val="22"/>
          <w:highlight w:val="none"/>
          <w:u w:val="single"/>
        </w:rPr>
        <w:t xml:space="preserve">   </w:t>
      </w:r>
      <w:r>
        <w:rPr>
          <w:rFonts w:hint="eastAsia"/>
          <w:color w:val="auto"/>
          <w:sz w:val="22"/>
          <w:szCs w:val="22"/>
          <w:highlight w:val="none"/>
          <w:u w:val="single"/>
          <w:lang w:eastAsia="zh-CN"/>
        </w:rPr>
        <w:t>无</w:t>
      </w:r>
      <w:r>
        <w:rPr>
          <w:rFonts w:hAnsi="宋体"/>
          <w:color w:val="auto"/>
          <w:sz w:val="22"/>
          <w:szCs w:val="22"/>
          <w:highlight w:val="none"/>
          <w:u w:val="single"/>
        </w:rPr>
        <w:t xml:space="preserve">    </w:t>
      </w:r>
      <w:r>
        <w:rPr>
          <w:rFonts w:hint="eastAsia" w:hAnsi="宋体" w:cs="宋体"/>
          <w:color w:val="auto"/>
          <w:sz w:val="22"/>
          <w:szCs w:val="22"/>
          <w:highlight w:val="none"/>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220" w:name="_Toc9850526"/>
      <w:bookmarkStart w:id="221" w:name="_Toc4715"/>
      <w:bookmarkStart w:id="222" w:name="_Toc373478343"/>
      <w:bookmarkStart w:id="223" w:name="_Toc373227696"/>
      <w:bookmarkStart w:id="224" w:name="_Toc11602"/>
      <w:bookmarkStart w:id="225" w:name="_Toc27172"/>
      <w:bookmarkStart w:id="226" w:name="_Toc28877"/>
      <w:bookmarkStart w:id="227" w:name="_Toc407135198"/>
      <w:bookmarkStart w:id="228" w:name="_Toc389065262"/>
      <w:r>
        <w:rPr>
          <w:color w:val="auto"/>
          <w:highlight w:val="none"/>
        </w:rPr>
        <w:t xml:space="preserve">1.5 </w:t>
      </w:r>
      <w:r>
        <w:rPr>
          <w:rFonts w:hint="eastAsia" w:cs="黑体"/>
          <w:color w:val="auto"/>
          <w:highlight w:val="none"/>
        </w:rPr>
        <w:t>合同文件的优先顺序</w:t>
      </w:r>
      <w:bookmarkEnd w:id="220"/>
      <w:bookmarkEnd w:id="221"/>
      <w:bookmarkEnd w:id="222"/>
      <w:bookmarkEnd w:id="223"/>
      <w:bookmarkEnd w:id="224"/>
      <w:bookmarkEnd w:id="225"/>
      <w:bookmarkEnd w:id="226"/>
      <w:bookmarkEnd w:id="227"/>
      <w:bookmarkEnd w:id="228"/>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rFonts w:hAnsi="宋体"/>
          <w:color w:val="auto"/>
          <w:highlight w:val="none"/>
        </w:rPr>
      </w:pPr>
      <w:r>
        <w:rPr>
          <w:rFonts w:hint="eastAsia" w:hAnsi="宋体" w:cs="宋体"/>
          <w:color w:val="auto"/>
          <w:highlight w:val="none"/>
        </w:rPr>
        <w:t>合同文件组成及优先顺序为：</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1</w:t>
      </w:r>
      <w:r>
        <w:rPr>
          <w:rFonts w:hint="eastAsia" w:hAnsi="宋体" w:cs="宋体"/>
          <w:color w:val="auto"/>
          <w:kern w:val="0"/>
          <w:highlight w:val="none"/>
        </w:rPr>
        <w:t>）合同协议书；</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2</w:t>
      </w:r>
      <w:r>
        <w:rPr>
          <w:rFonts w:hint="eastAsia" w:hAnsi="宋体" w:cs="宋体"/>
          <w:color w:val="auto"/>
          <w:kern w:val="0"/>
          <w:highlight w:val="none"/>
        </w:rPr>
        <w:t>）中标通知书（如有）；</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3</w:t>
      </w:r>
      <w:r>
        <w:rPr>
          <w:rFonts w:hint="eastAsia" w:hAnsi="宋体" w:cs="宋体"/>
          <w:color w:val="auto"/>
          <w:kern w:val="0"/>
          <w:highlight w:val="none"/>
        </w:rPr>
        <w:t>）投标函及其附录（如有）；</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4</w:t>
      </w:r>
      <w:r>
        <w:rPr>
          <w:rFonts w:hint="eastAsia" w:hAnsi="宋体" w:cs="宋体"/>
          <w:color w:val="auto"/>
          <w:kern w:val="0"/>
          <w:highlight w:val="none"/>
        </w:rPr>
        <w:t>）专用合同条款及其附件；</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5</w:t>
      </w:r>
      <w:r>
        <w:rPr>
          <w:rFonts w:hint="eastAsia" w:hAnsi="宋体" w:cs="宋体"/>
          <w:color w:val="auto"/>
          <w:kern w:val="0"/>
          <w:highlight w:val="none"/>
        </w:rPr>
        <w:t>）通用合同条款；</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6</w:t>
      </w:r>
      <w:r>
        <w:rPr>
          <w:rFonts w:hint="eastAsia" w:hAnsi="宋体" w:cs="宋体"/>
          <w:color w:val="auto"/>
          <w:kern w:val="0"/>
          <w:highlight w:val="none"/>
        </w:rPr>
        <w:t>）</w:t>
      </w:r>
      <w:r>
        <w:rPr>
          <w:rFonts w:hAnsi="宋体"/>
          <w:color w:val="auto"/>
          <w:kern w:val="0"/>
          <w:highlight w:val="none"/>
          <w:u w:val="single"/>
        </w:rPr>
        <w:t xml:space="preserve">  </w:t>
      </w:r>
      <w:r>
        <w:rPr>
          <w:rFonts w:hint="eastAsia" w:ascii="宋体" w:hAnsi="宋体" w:eastAsia="宋体" w:cs="宋体"/>
          <w:color w:val="auto"/>
          <w:kern w:val="0"/>
          <w:highlight w:val="none"/>
          <w:u w:val="single"/>
        </w:rPr>
        <w:t xml:space="preserve">技术标准和要求 </w:t>
      </w:r>
      <w:r>
        <w:rPr>
          <w:rFonts w:hAnsi="宋体"/>
          <w:color w:val="auto"/>
          <w:kern w:val="0"/>
          <w:highlight w:val="none"/>
          <w:u w:val="single"/>
        </w:rPr>
        <w:t xml:space="preserve">    </w:t>
      </w:r>
      <w:r>
        <w:rPr>
          <w:rFonts w:hint="eastAsia" w:hAnsi="宋体" w:cs="宋体"/>
          <w:color w:val="auto"/>
          <w:kern w:val="0"/>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7</w:t>
      </w:r>
      <w:r>
        <w:rPr>
          <w:rFonts w:hint="eastAsia" w:hAnsi="宋体" w:cs="宋体"/>
          <w:color w:val="auto"/>
          <w:kern w:val="0"/>
          <w:highlight w:val="none"/>
        </w:rPr>
        <w:t>）</w:t>
      </w:r>
      <w:r>
        <w:rPr>
          <w:rFonts w:hAnsi="宋体"/>
          <w:color w:val="auto"/>
          <w:kern w:val="0"/>
          <w:highlight w:val="none"/>
          <w:u w:val="single"/>
        </w:rPr>
        <w:t xml:space="preserve">  </w:t>
      </w:r>
      <w:r>
        <w:rPr>
          <w:rFonts w:hint="eastAsia" w:ascii="宋体" w:hAnsi="宋体" w:eastAsia="宋体" w:cs="宋体"/>
          <w:color w:val="auto"/>
          <w:kern w:val="0"/>
          <w:highlight w:val="none"/>
          <w:u w:val="single"/>
        </w:rPr>
        <w:t xml:space="preserve">图纸 </w:t>
      </w:r>
      <w:r>
        <w:rPr>
          <w:rFonts w:hAnsi="宋体"/>
          <w:color w:val="auto"/>
          <w:kern w:val="0"/>
          <w:highlight w:val="none"/>
          <w:u w:val="single"/>
        </w:rPr>
        <w:t xml:space="preserve">  </w:t>
      </w:r>
      <w:r>
        <w:rPr>
          <w:rFonts w:hint="eastAsia" w:hAnsi="宋体" w:cs="宋体"/>
          <w:color w:val="auto"/>
          <w:kern w:val="0"/>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8</w:t>
      </w:r>
      <w:r>
        <w:rPr>
          <w:rFonts w:hint="eastAsia" w:hAnsi="宋体" w:cs="宋体"/>
          <w:color w:val="auto"/>
          <w:kern w:val="0"/>
          <w:highlight w:val="none"/>
        </w:rPr>
        <w:t>）</w:t>
      </w:r>
      <w:r>
        <w:rPr>
          <w:rFonts w:hAnsi="宋体"/>
          <w:color w:val="auto"/>
          <w:kern w:val="0"/>
          <w:highlight w:val="none"/>
          <w:u w:val="single"/>
        </w:rPr>
        <w:t xml:space="preserve">  </w:t>
      </w:r>
      <w:r>
        <w:rPr>
          <w:rFonts w:hint="eastAsia" w:ascii="宋体" w:hAnsi="宋体" w:eastAsia="宋体" w:cs="宋体"/>
          <w:color w:val="auto"/>
          <w:kern w:val="0"/>
          <w:highlight w:val="none"/>
          <w:u w:val="single"/>
        </w:rPr>
        <w:t xml:space="preserve">已标价工程量清单 </w:t>
      </w:r>
      <w:r>
        <w:rPr>
          <w:rFonts w:hAnsi="宋体"/>
          <w:color w:val="auto"/>
          <w:kern w:val="0"/>
          <w:highlight w:val="none"/>
          <w:u w:val="single"/>
        </w:rPr>
        <w:t xml:space="preserve">   </w:t>
      </w:r>
      <w:r>
        <w:rPr>
          <w:rFonts w:hint="eastAsia" w:hAnsi="宋体" w:cs="宋体"/>
          <w:color w:val="auto"/>
          <w:kern w:val="0"/>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9</w:t>
      </w:r>
      <w:r>
        <w:rPr>
          <w:rFonts w:hint="eastAsia" w:hAnsi="宋体" w:cs="宋体"/>
          <w:color w:val="auto"/>
          <w:kern w:val="0"/>
          <w:highlight w:val="none"/>
        </w:rPr>
        <w:t>）</w:t>
      </w:r>
      <w:r>
        <w:rPr>
          <w:rFonts w:hAnsi="宋体"/>
          <w:color w:val="auto"/>
          <w:kern w:val="0"/>
          <w:highlight w:val="none"/>
          <w:u w:val="single"/>
        </w:rPr>
        <w:t xml:space="preserve">  </w:t>
      </w:r>
      <w:r>
        <w:rPr>
          <w:rFonts w:hint="eastAsia" w:hAnsi="宋体"/>
          <w:color w:val="auto"/>
          <w:kern w:val="0"/>
          <w:highlight w:val="none"/>
          <w:u w:val="single"/>
        </w:rPr>
        <w:t>其他合同文件</w:t>
      </w:r>
      <w:r>
        <w:rPr>
          <w:rFonts w:hAnsi="宋体"/>
          <w:color w:val="auto"/>
          <w:kern w:val="0"/>
          <w:highlight w:val="none"/>
          <w:u w:val="single"/>
        </w:rPr>
        <w:t xml:space="preserve">    </w:t>
      </w:r>
      <w:r>
        <w:rPr>
          <w:rFonts w:hint="eastAsia" w:hAnsi="宋体" w:cs="宋体"/>
          <w:color w:val="auto"/>
          <w:kern w:val="0"/>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rFonts w:hint="eastAsia" w:hAnsi="宋体"/>
          <w:color w:val="auto"/>
          <w:kern w:val="0"/>
          <w:highlight w:val="none"/>
        </w:rPr>
      </w:pPr>
      <w:r>
        <w:rPr>
          <w:rFonts w:hint="eastAsia" w:hAnsi="宋体" w:cs="宋体"/>
          <w:color w:val="auto"/>
          <w:kern w:val="0"/>
          <w:highlight w:val="none"/>
        </w:rPr>
        <w:t>说明：</w:t>
      </w:r>
      <w:r>
        <w:rPr>
          <w:rFonts w:hint="eastAsia" w:hAnsi="宋体"/>
          <w:color w:val="auto"/>
          <w:kern w:val="0"/>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229" w:name="_Toc373227697"/>
      <w:bookmarkStart w:id="230" w:name="_Toc389065263"/>
      <w:bookmarkStart w:id="231" w:name="_Toc32452"/>
      <w:bookmarkStart w:id="232" w:name="_Toc23659"/>
      <w:bookmarkStart w:id="233" w:name="_Toc373478344"/>
      <w:bookmarkStart w:id="234" w:name="_Toc3356"/>
      <w:bookmarkStart w:id="235" w:name="_Toc3595"/>
      <w:bookmarkStart w:id="236" w:name="_Toc407135199"/>
      <w:bookmarkStart w:id="237" w:name="_Toc9850527"/>
      <w:r>
        <w:rPr>
          <w:color w:val="auto"/>
          <w:highlight w:val="none"/>
        </w:rPr>
        <w:t xml:space="preserve">1.6 </w:t>
      </w:r>
      <w:r>
        <w:rPr>
          <w:rFonts w:hint="eastAsia" w:cs="黑体"/>
          <w:color w:val="auto"/>
          <w:highlight w:val="none"/>
        </w:rPr>
        <w:t>图纸和承包人文件</w:t>
      </w:r>
      <w:bookmarkEnd w:id="229"/>
      <w:bookmarkEnd w:id="230"/>
      <w:bookmarkEnd w:id="231"/>
      <w:bookmarkEnd w:id="232"/>
      <w:bookmarkEnd w:id="233"/>
      <w:bookmarkEnd w:id="234"/>
      <w:bookmarkEnd w:id="235"/>
      <w:bookmarkEnd w:id="236"/>
      <w:bookmarkEnd w:id="237"/>
      <w:r>
        <w:rPr>
          <w:color w:val="auto"/>
          <w:highlight w:val="none"/>
        </w:rPr>
        <w:tab/>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color w:val="auto"/>
          <w:highlight w:val="none"/>
        </w:rPr>
        <w:t xml:space="preserve">1.6.1 </w:t>
      </w:r>
      <w:r>
        <w:rPr>
          <w:rFonts w:hint="eastAsia" w:hAnsi="宋体" w:cs="宋体"/>
          <w:color w:val="auto"/>
          <w:highlight w:val="none"/>
        </w:rPr>
        <w:t>图纸的提供</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int="eastAsia" w:hAnsi="宋体" w:cs="宋体"/>
          <w:color w:val="auto"/>
          <w:highlight w:val="none"/>
        </w:rPr>
        <w:t>发包人向承包人提供图纸的期限：</w:t>
      </w:r>
      <w:r>
        <w:rPr>
          <w:color w:val="auto"/>
          <w:highlight w:val="none"/>
          <w:u w:val="single"/>
        </w:rPr>
        <w:t xml:space="preserve">   </w:t>
      </w:r>
      <w:r>
        <w:rPr>
          <w:rFonts w:hint="eastAsia"/>
          <w:color w:val="auto"/>
          <w:highlight w:val="none"/>
          <w:u w:val="single"/>
        </w:rPr>
        <w:t xml:space="preserve"> </w:t>
      </w:r>
      <w:r>
        <w:rPr>
          <w:rFonts w:hint="eastAsia" w:ascii="宋体" w:hAnsi="宋体" w:eastAsia="宋体" w:cs="宋体"/>
          <w:color w:val="auto"/>
          <w:highlight w:val="none"/>
          <w:u w:val="single"/>
        </w:rPr>
        <w:t xml:space="preserve"> 合同生效后</w:t>
      </w:r>
      <w:r>
        <w:rPr>
          <w:rFonts w:hint="eastAsia" w:ascii="宋体" w:hAnsi="宋体" w:eastAsia="宋体" w:cs="宋体"/>
          <w:color w:val="auto"/>
          <w:highlight w:val="none"/>
          <w:u w:val="single"/>
          <w:lang w:val="en-US" w:eastAsia="zh-CN"/>
        </w:rPr>
        <w:t>15</w:t>
      </w:r>
      <w:r>
        <w:rPr>
          <w:rFonts w:hint="eastAsia" w:ascii="宋体" w:hAnsi="宋体" w:eastAsia="宋体" w:cs="宋体"/>
          <w:color w:val="auto"/>
          <w:highlight w:val="none"/>
          <w:u w:val="single"/>
        </w:rPr>
        <w:t xml:space="preserve">天内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int="eastAsia" w:hAnsi="宋体" w:cs="宋体"/>
          <w:color w:val="auto"/>
          <w:highlight w:val="none"/>
        </w:rPr>
        <w:t>发包人向承包人提供图纸的数量：</w:t>
      </w:r>
      <w:r>
        <w:rPr>
          <w:rFonts w:hint="eastAsia" w:hAnsi="宋体" w:cs="宋体"/>
          <w:color w:val="auto"/>
          <w:highlight w:val="none"/>
          <w:u w:val="single"/>
        </w:rPr>
        <w:t xml:space="preserve"> </w:t>
      </w:r>
      <w:r>
        <w:rPr>
          <w:rFonts w:hint="eastAsia" w:ascii="MingLiU_HKSCS" w:cs="MingLiU_HKSCS"/>
          <w:color w:val="auto"/>
          <w:highlight w:val="none"/>
          <w:u w:val="single"/>
          <w:lang w:eastAsia="zh-CN"/>
        </w:rPr>
        <w:t>贰</w:t>
      </w:r>
      <w:r>
        <w:rPr>
          <w:rFonts w:hint="eastAsia" w:ascii="MingLiU_HKSCS" w:cs="MingLiU_HKSCS"/>
          <w:color w:val="auto"/>
          <w:highlight w:val="none"/>
          <w:u w:val="single"/>
        </w:rPr>
        <w:t xml:space="preserve">  </w:t>
      </w:r>
      <w:r>
        <w:rPr>
          <w:rFonts w:hint="eastAsia" w:hAnsi="宋体" w:cs="宋体"/>
          <w:color w:val="auto"/>
          <w:highlight w:val="none"/>
        </w:rPr>
        <w:t>套（承包人需要增加图纸套数的，发包人应代为复制，复制费用由承包人承担）；</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int="eastAsia" w:hAnsi="宋体" w:cs="宋体"/>
          <w:color w:val="auto"/>
          <w:highlight w:val="none"/>
        </w:rPr>
        <w:t>发包人向承包人提供图纸的内容：</w:t>
      </w:r>
      <w:r>
        <w:rPr>
          <w:color w:val="auto"/>
          <w:highlight w:val="none"/>
          <w:u w:val="single"/>
        </w:rPr>
        <w:t xml:space="preserve"> </w:t>
      </w:r>
      <w:r>
        <w:rPr>
          <w:rFonts w:hint="eastAsia" w:ascii="宋体" w:hAnsi="宋体" w:eastAsia="宋体" w:cs="宋体"/>
          <w:color w:val="auto"/>
          <w:highlight w:val="none"/>
          <w:u w:val="single"/>
        </w:rPr>
        <w:t>本合同发包</w:t>
      </w:r>
      <w:r>
        <w:rPr>
          <w:rFonts w:hint="eastAsia" w:ascii="宋体" w:hAnsi="宋体" w:eastAsia="宋体" w:cs="宋体"/>
          <w:color w:val="auto"/>
          <w:highlight w:val="none"/>
          <w:u w:val="single"/>
          <w:lang w:val="en-US" w:eastAsia="zh-CN"/>
        </w:rPr>
        <w:t>内容中完整的施工设计图纸文件</w:t>
      </w:r>
      <w:r>
        <w:rPr>
          <w:rFonts w:hint="eastAsia" w:ascii="宋体" w:hAnsi="宋体" w:eastAsia="宋体" w:cs="宋体"/>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color w:val="auto"/>
          <w:highlight w:val="none"/>
        </w:rPr>
        <w:t xml:space="preserve">1.6.4 </w:t>
      </w:r>
      <w:r>
        <w:rPr>
          <w:rFonts w:hint="eastAsia" w:hAnsi="宋体" w:cs="宋体"/>
          <w:color w:val="auto"/>
          <w:highlight w:val="none"/>
        </w:rPr>
        <w:t>承包人文件</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u w:val="single"/>
        </w:rPr>
      </w:pPr>
      <w:r>
        <w:rPr>
          <w:rFonts w:hint="eastAsia" w:hAnsi="宋体" w:cs="宋体"/>
          <w:color w:val="auto"/>
          <w:highlight w:val="none"/>
        </w:rPr>
        <w:t>需要由承包人提供的文件，包括：</w:t>
      </w:r>
      <w:r>
        <w:rPr>
          <w:color w:val="auto"/>
          <w:highlight w:val="none"/>
          <w:u w:val="single"/>
        </w:rPr>
        <w:t xml:space="preserve"> </w:t>
      </w:r>
      <w:r>
        <w:rPr>
          <w:rFonts w:hint="eastAsia" w:ascii="宋体" w:hAnsi="宋体" w:eastAsia="宋体" w:cs="宋体"/>
          <w:color w:val="auto"/>
          <w:highlight w:val="none"/>
          <w:u w:val="single"/>
          <w:lang w:val="en-US" w:eastAsia="zh-CN"/>
        </w:rPr>
        <w:t>施工组织设计、工程进度计划书、</w:t>
      </w:r>
      <w:r>
        <w:rPr>
          <w:rFonts w:hint="eastAsia" w:ascii="宋体" w:hAnsi="宋体" w:eastAsia="宋体" w:cs="宋体"/>
          <w:color w:val="auto"/>
          <w:highlight w:val="none"/>
          <w:u w:val="single"/>
        </w:rPr>
        <w:t>主要施工方法和措施等；开工前</w:t>
      </w:r>
      <w:r>
        <w:rPr>
          <w:rFonts w:hint="eastAsia" w:ascii="宋体" w:hAnsi="宋体" w:eastAsia="宋体" w:cs="宋体"/>
          <w:color w:val="auto"/>
          <w:highlight w:val="none"/>
          <w:u w:val="single"/>
          <w:lang w:val="en-US" w:eastAsia="zh-CN"/>
        </w:rPr>
        <w:t>14</w:t>
      </w:r>
      <w:r>
        <w:rPr>
          <w:rFonts w:hint="eastAsia" w:ascii="宋体" w:hAnsi="宋体" w:eastAsia="宋体" w:cs="宋体"/>
          <w:color w:val="auto"/>
          <w:highlight w:val="none"/>
          <w:u w:val="single"/>
        </w:rPr>
        <w:t>天应提供完善的施工组织设计和安全专项方案，其他需要由承包人提供的文件由双方另行确定</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sz w:val="22"/>
          <w:szCs w:val="22"/>
          <w:highlight w:val="none"/>
        </w:rPr>
      </w:pPr>
      <w:r>
        <w:rPr>
          <w:rFonts w:hint="eastAsia" w:hAnsi="宋体" w:cs="宋体"/>
          <w:color w:val="auto"/>
          <w:sz w:val="22"/>
          <w:szCs w:val="22"/>
          <w:highlight w:val="none"/>
        </w:rPr>
        <w:t>承包人提供的文件的期限为：</w:t>
      </w:r>
      <w:r>
        <w:rPr>
          <w:color w:val="auto"/>
          <w:sz w:val="22"/>
          <w:szCs w:val="22"/>
          <w:highlight w:val="none"/>
          <w:u w:val="single"/>
        </w:rPr>
        <w:t xml:space="preserve">    </w:t>
      </w:r>
      <w:r>
        <w:rPr>
          <w:rFonts w:hint="eastAsia" w:ascii="宋体" w:hAnsi="宋体" w:eastAsia="宋体" w:cs="宋体"/>
          <w:color w:val="auto"/>
          <w:sz w:val="22"/>
          <w:szCs w:val="22"/>
          <w:highlight w:val="none"/>
          <w:u w:val="single"/>
        </w:rPr>
        <w:t>开工前14天内</w:t>
      </w:r>
      <w:r>
        <w:rPr>
          <w:rFonts w:hint="eastAsia"/>
          <w:color w:val="auto"/>
          <w:sz w:val="22"/>
          <w:szCs w:val="22"/>
          <w:highlight w:val="none"/>
          <w:u w:val="single"/>
        </w:rPr>
        <w:t xml:space="preserve">   </w:t>
      </w:r>
      <w:r>
        <w:rPr>
          <w:rFonts w:hAnsi="宋体"/>
          <w:color w:val="auto"/>
          <w:sz w:val="22"/>
          <w:szCs w:val="22"/>
          <w:highlight w:val="none"/>
          <w:u w:val="single"/>
        </w:rPr>
        <w:t xml:space="preserve">  </w:t>
      </w:r>
      <w:r>
        <w:rPr>
          <w:rFonts w:hint="eastAsia" w:hAnsi="宋体" w:cs="宋体"/>
          <w:color w:val="auto"/>
          <w:sz w:val="22"/>
          <w:szCs w:val="22"/>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sz w:val="22"/>
          <w:szCs w:val="22"/>
          <w:highlight w:val="none"/>
        </w:rPr>
      </w:pPr>
      <w:r>
        <w:rPr>
          <w:rFonts w:hint="eastAsia" w:hAnsi="宋体" w:cs="宋体"/>
          <w:color w:val="auto"/>
          <w:sz w:val="22"/>
          <w:szCs w:val="22"/>
          <w:highlight w:val="none"/>
        </w:rPr>
        <w:t>承包人提供的文件的数量为：</w:t>
      </w:r>
      <w:r>
        <w:rPr>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一式</w:t>
      </w:r>
      <w:r>
        <w:rPr>
          <w:rFonts w:hint="eastAsia" w:ascii="宋体" w:hAnsi="宋体" w:eastAsia="宋体" w:cs="宋体"/>
          <w:color w:val="auto"/>
          <w:sz w:val="22"/>
          <w:szCs w:val="22"/>
          <w:highlight w:val="none"/>
          <w:u w:val="single"/>
          <w:lang w:val="en-US" w:eastAsia="zh-CN"/>
        </w:rPr>
        <w:t>4</w:t>
      </w:r>
      <w:r>
        <w:rPr>
          <w:rFonts w:hint="eastAsia" w:ascii="宋体" w:hAnsi="宋体" w:eastAsia="宋体" w:cs="宋体"/>
          <w:color w:val="auto"/>
          <w:sz w:val="22"/>
          <w:szCs w:val="22"/>
          <w:highlight w:val="none"/>
          <w:u w:val="single"/>
        </w:rPr>
        <w:t>份</w:t>
      </w:r>
      <w:r>
        <w:rPr>
          <w:color w:val="auto"/>
          <w:sz w:val="22"/>
          <w:szCs w:val="22"/>
          <w:highlight w:val="none"/>
          <w:u w:val="single"/>
        </w:rPr>
        <w:t xml:space="preserve">          </w:t>
      </w:r>
      <w:r>
        <w:rPr>
          <w:rFonts w:hint="eastAsia" w:hAnsi="宋体" w:cs="宋体"/>
          <w:color w:val="auto"/>
          <w:sz w:val="22"/>
          <w:szCs w:val="22"/>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sz w:val="22"/>
          <w:szCs w:val="22"/>
          <w:highlight w:val="none"/>
        </w:rPr>
      </w:pPr>
      <w:r>
        <w:rPr>
          <w:rFonts w:hint="eastAsia" w:hAnsi="宋体" w:cs="宋体"/>
          <w:color w:val="auto"/>
          <w:sz w:val="22"/>
          <w:szCs w:val="22"/>
          <w:highlight w:val="none"/>
        </w:rPr>
        <w:t>承包人提供的文件的形式为：</w:t>
      </w:r>
      <w:r>
        <w:rPr>
          <w:color w:val="auto"/>
          <w:sz w:val="22"/>
          <w:szCs w:val="22"/>
          <w:highlight w:val="none"/>
          <w:u w:val="single"/>
        </w:rPr>
        <w:t xml:space="preserve"> </w:t>
      </w:r>
      <w:r>
        <w:rPr>
          <w:rFonts w:hAnsi="宋体"/>
          <w:color w:val="auto"/>
          <w:sz w:val="22"/>
          <w:szCs w:val="22"/>
          <w:highlight w:val="none"/>
          <w:u w:val="single"/>
        </w:rPr>
        <w:t xml:space="preserve">  </w:t>
      </w:r>
      <w:r>
        <w:rPr>
          <w:rFonts w:hint="eastAsia" w:ascii="宋体" w:hAnsi="宋体" w:eastAsia="宋体" w:cs="宋体"/>
          <w:color w:val="auto"/>
          <w:sz w:val="22"/>
          <w:szCs w:val="22"/>
          <w:highlight w:val="none"/>
          <w:u w:val="single"/>
        </w:rPr>
        <w:t>书面形式</w:t>
      </w:r>
      <w:r>
        <w:rPr>
          <w:rFonts w:hAnsi="宋体"/>
          <w:color w:val="auto"/>
          <w:sz w:val="22"/>
          <w:szCs w:val="22"/>
          <w:highlight w:val="none"/>
          <w:u w:val="single"/>
        </w:rPr>
        <w:t xml:space="preserve">      </w:t>
      </w:r>
      <w:r>
        <w:rPr>
          <w:color w:val="auto"/>
          <w:sz w:val="22"/>
          <w:szCs w:val="22"/>
          <w:highlight w:val="none"/>
          <w:u w:val="single"/>
        </w:rPr>
        <w:t xml:space="preserve">    </w:t>
      </w:r>
      <w:r>
        <w:rPr>
          <w:rFonts w:hint="eastAsia"/>
          <w:color w:val="auto"/>
          <w:sz w:val="22"/>
          <w:szCs w:val="22"/>
          <w:highlight w:val="none"/>
          <w:u w:val="single"/>
        </w:rPr>
        <w:t xml:space="preserve">        </w:t>
      </w:r>
      <w:r>
        <w:rPr>
          <w:color w:val="auto"/>
          <w:sz w:val="22"/>
          <w:szCs w:val="22"/>
          <w:highlight w:val="none"/>
          <w:u w:val="single"/>
        </w:rPr>
        <w:t xml:space="preserve">  </w:t>
      </w:r>
      <w:r>
        <w:rPr>
          <w:rFonts w:hAnsi="宋体"/>
          <w:color w:val="auto"/>
          <w:sz w:val="22"/>
          <w:szCs w:val="22"/>
          <w:highlight w:val="none"/>
          <w:u w:val="single"/>
        </w:rPr>
        <w:t xml:space="preserve">  </w:t>
      </w:r>
      <w:r>
        <w:rPr>
          <w:rFonts w:hint="eastAsia" w:hAnsi="宋体" w:cs="宋体"/>
          <w:color w:val="auto"/>
          <w:sz w:val="22"/>
          <w:szCs w:val="22"/>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sz w:val="22"/>
          <w:szCs w:val="22"/>
          <w:highlight w:val="none"/>
        </w:rPr>
      </w:pPr>
      <w:r>
        <w:rPr>
          <w:rFonts w:hint="eastAsia" w:hAnsi="宋体" w:cs="宋体"/>
          <w:color w:val="auto"/>
          <w:sz w:val="22"/>
          <w:szCs w:val="22"/>
          <w:highlight w:val="none"/>
        </w:rPr>
        <w:t>发包人审批承包人文件的期限：</w:t>
      </w:r>
      <w:r>
        <w:rPr>
          <w:color w:val="auto"/>
          <w:sz w:val="22"/>
          <w:szCs w:val="22"/>
          <w:highlight w:val="none"/>
          <w:u w:val="single"/>
        </w:rPr>
        <w:t xml:space="preserve">   </w:t>
      </w:r>
      <w:r>
        <w:rPr>
          <w:rFonts w:hint="eastAsia" w:ascii="宋体" w:hAnsi="宋体" w:eastAsia="宋体" w:cs="宋体"/>
          <w:color w:val="auto"/>
          <w:sz w:val="22"/>
          <w:szCs w:val="22"/>
          <w:highlight w:val="none"/>
          <w:u w:val="single"/>
        </w:rPr>
        <w:t>监理人审查完毕且发包人收到文件后7个工作日内</w:t>
      </w:r>
      <w:r>
        <w:rPr>
          <w:rFonts w:hint="eastAsia" w:hAnsi="宋体"/>
          <w:color w:val="auto"/>
          <w:sz w:val="22"/>
          <w:szCs w:val="22"/>
          <w:highlight w:val="none"/>
          <w:u w:val="single"/>
        </w:rPr>
        <w:t xml:space="preserve">  </w:t>
      </w:r>
      <w:r>
        <w:rPr>
          <w:rFonts w:hint="eastAsia" w:hAnsi="宋体" w:cs="宋体"/>
          <w:color w:val="auto"/>
          <w:sz w:val="22"/>
          <w:szCs w:val="22"/>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sz w:val="22"/>
          <w:szCs w:val="22"/>
          <w:highlight w:val="none"/>
        </w:rPr>
      </w:pPr>
      <w:r>
        <w:rPr>
          <w:color w:val="auto"/>
          <w:sz w:val="22"/>
          <w:szCs w:val="22"/>
          <w:highlight w:val="none"/>
        </w:rPr>
        <w:t xml:space="preserve">1.6.5 </w:t>
      </w:r>
      <w:r>
        <w:rPr>
          <w:rFonts w:hint="eastAsia" w:hAnsi="宋体" w:cs="宋体"/>
          <w:color w:val="auto"/>
          <w:sz w:val="22"/>
          <w:szCs w:val="22"/>
          <w:highlight w:val="none"/>
        </w:rPr>
        <w:t>现场图纸准备</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sz w:val="22"/>
          <w:szCs w:val="22"/>
          <w:highlight w:val="none"/>
        </w:rPr>
      </w:pPr>
      <w:r>
        <w:rPr>
          <w:rFonts w:hint="eastAsia" w:hAnsi="宋体" w:cs="宋体"/>
          <w:color w:val="auto"/>
          <w:sz w:val="22"/>
          <w:szCs w:val="22"/>
          <w:highlight w:val="none"/>
        </w:rPr>
        <w:t>关于现场图纸准备的约定：</w:t>
      </w:r>
      <w:r>
        <w:rPr>
          <w:color w:val="auto"/>
          <w:sz w:val="22"/>
          <w:szCs w:val="22"/>
          <w:highlight w:val="none"/>
          <w:u w:val="single"/>
        </w:rPr>
        <w:t xml:space="preserve">   </w:t>
      </w:r>
      <w:r>
        <w:rPr>
          <w:rFonts w:hint="eastAsia" w:ascii="宋体" w:hAnsi="宋体" w:eastAsia="宋体" w:cs="宋体"/>
          <w:color w:val="auto"/>
          <w:sz w:val="22"/>
          <w:szCs w:val="22"/>
          <w:highlight w:val="none"/>
          <w:u w:val="single"/>
        </w:rPr>
        <w:t>承包人应在施工现场另外保存一套完整的图纸和承包人文件，供发包人、监理人及有关人员进行工程检查时使用</w:t>
      </w:r>
      <w:r>
        <w:rPr>
          <w:rFonts w:hint="eastAsia" w:hAnsi="宋体"/>
          <w:color w:val="auto"/>
          <w:sz w:val="22"/>
          <w:szCs w:val="22"/>
          <w:highlight w:val="none"/>
          <w:u w:val="single"/>
        </w:rPr>
        <w:t xml:space="preserve">   </w:t>
      </w:r>
      <w:r>
        <w:rPr>
          <w:rFonts w:hAnsi="宋体"/>
          <w:color w:val="auto"/>
          <w:sz w:val="22"/>
          <w:szCs w:val="22"/>
          <w:highlight w:val="none"/>
          <w:u w:val="single"/>
        </w:rPr>
        <w:t xml:space="preserve">  </w:t>
      </w:r>
      <w:r>
        <w:rPr>
          <w:rFonts w:hint="eastAsia" w:hAnsi="宋体" w:cs="宋体"/>
          <w:color w:val="auto"/>
          <w:sz w:val="22"/>
          <w:szCs w:val="22"/>
          <w:highlight w:val="none"/>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238" w:name="_Toc407135200"/>
      <w:bookmarkStart w:id="239" w:name="_Toc6088"/>
      <w:bookmarkStart w:id="240" w:name="_Toc9850528"/>
      <w:bookmarkStart w:id="241" w:name="_Toc373227698"/>
      <w:bookmarkStart w:id="242" w:name="_Toc1862"/>
      <w:bookmarkStart w:id="243" w:name="_Toc373478345"/>
      <w:bookmarkStart w:id="244" w:name="_Toc389065264"/>
      <w:bookmarkStart w:id="245" w:name="_Toc21685"/>
      <w:bookmarkStart w:id="246" w:name="_Toc30968"/>
      <w:r>
        <w:rPr>
          <w:color w:val="auto"/>
          <w:highlight w:val="none"/>
        </w:rPr>
        <w:t xml:space="preserve">1.7 </w:t>
      </w:r>
      <w:r>
        <w:rPr>
          <w:rFonts w:hint="eastAsia" w:hAnsi="宋体" w:cs="黑体"/>
          <w:color w:val="auto"/>
          <w:highlight w:val="none"/>
        </w:rPr>
        <w:t>联络</w:t>
      </w:r>
      <w:bookmarkEnd w:id="238"/>
      <w:bookmarkEnd w:id="239"/>
      <w:bookmarkEnd w:id="240"/>
      <w:bookmarkEnd w:id="241"/>
      <w:bookmarkEnd w:id="242"/>
      <w:bookmarkEnd w:id="243"/>
      <w:bookmarkEnd w:id="244"/>
      <w:bookmarkEnd w:id="245"/>
      <w:bookmarkEnd w:id="246"/>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color w:val="auto"/>
          <w:kern w:val="0"/>
          <w:highlight w:val="none"/>
        </w:rPr>
        <w:t>1.7.1</w:t>
      </w:r>
      <w:r>
        <w:rPr>
          <w:rFonts w:hint="eastAsia" w:hAnsi="宋体" w:cs="宋体"/>
          <w:color w:val="auto"/>
          <w:kern w:val="0"/>
          <w:highlight w:val="none"/>
        </w:rPr>
        <w:t>发包人和承包人应当在</w:t>
      </w:r>
      <w:r>
        <w:rPr>
          <w:color w:val="auto"/>
          <w:highlight w:val="none"/>
          <w:u w:val="single"/>
        </w:rPr>
        <w:t xml:space="preserve">  </w:t>
      </w:r>
      <w:r>
        <w:rPr>
          <w:rFonts w:hint="eastAsia"/>
          <w:color w:val="auto"/>
          <w:highlight w:val="none"/>
          <w:u w:val="single"/>
          <w:lang w:val="en-US" w:eastAsia="zh-CN"/>
        </w:rPr>
        <w:t>7</w:t>
      </w:r>
      <w:r>
        <w:rPr>
          <w:color w:val="auto"/>
          <w:highlight w:val="none"/>
          <w:u w:val="single"/>
        </w:rPr>
        <w:t xml:space="preserve"> </w:t>
      </w:r>
      <w:r>
        <w:rPr>
          <w:rFonts w:hint="eastAsia" w:hAnsi="宋体" w:cs="宋体"/>
          <w:color w:val="auto"/>
          <w:kern w:val="0"/>
          <w:highlight w:val="none"/>
        </w:rPr>
        <w:t>天内将与合同有关的通知、批准、证明、证书、指示、</w:t>
      </w:r>
      <w:r>
        <w:rPr>
          <w:rFonts w:hint="eastAsia" w:ascii="宋体" w:hAnsi="宋体" w:eastAsia="宋体" w:cs="宋体"/>
          <w:color w:val="auto"/>
          <w:kern w:val="0"/>
          <w:sz w:val="22"/>
          <w:szCs w:val="22"/>
          <w:highlight w:val="none"/>
        </w:rPr>
        <w:t>指令、要求、请求、同意、意见、确定和决定等书面函件送达对方当事人。</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1.7.2 发包人接收文件的地点：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u w:val="single"/>
          <w:lang w:eastAsia="zh-CN"/>
        </w:rPr>
        <w:t>施工</w:t>
      </w:r>
      <w:r>
        <w:rPr>
          <w:rFonts w:hint="eastAsia" w:ascii="宋体" w:hAnsi="宋体" w:eastAsia="宋体" w:cs="宋体"/>
          <w:color w:val="auto"/>
          <w:sz w:val="22"/>
          <w:szCs w:val="22"/>
          <w:highlight w:val="none"/>
          <w:u w:val="single"/>
        </w:rPr>
        <w:t xml:space="preserve">现场业主工程部    </w:t>
      </w:r>
      <w:r>
        <w:rPr>
          <w:rFonts w:hint="eastAsia" w:ascii="宋体" w:hAnsi="宋体" w:eastAsia="宋体" w:cs="宋体"/>
          <w:color w:val="auto"/>
          <w:kern w:val="0"/>
          <w:sz w:val="22"/>
          <w:szCs w:val="22"/>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发包人指定的接收人为：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业主派驻现场代表            </w:t>
      </w:r>
      <w:r>
        <w:rPr>
          <w:rFonts w:hint="eastAsia" w:ascii="宋体" w:hAnsi="宋体" w:eastAsia="宋体" w:cs="宋体"/>
          <w:color w:val="auto"/>
          <w:kern w:val="0"/>
          <w:sz w:val="22"/>
          <w:szCs w:val="22"/>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承包人接收文件的地点：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现场施工单位项目部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承包人指定的接收人为：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项目经理、技术负责人         </w:t>
      </w:r>
      <w:r>
        <w:rPr>
          <w:rFonts w:hint="eastAsia" w:ascii="宋体" w:hAnsi="宋体" w:eastAsia="宋体" w:cs="宋体"/>
          <w:color w:val="auto"/>
          <w:kern w:val="0"/>
          <w:sz w:val="22"/>
          <w:szCs w:val="22"/>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监理人接收文件的地点：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监理人指定的接收人为：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247" w:name="_Toc9850529"/>
      <w:bookmarkStart w:id="248" w:name="_Toc373227699"/>
      <w:bookmarkStart w:id="249" w:name="_Toc24243"/>
      <w:bookmarkStart w:id="250" w:name="_Toc31316"/>
      <w:bookmarkStart w:id="251" w:name="_Toc373478346"/>
      <w:bookmarkStart w:id="252" w:name="_Toc407135201"/>
      <w:bookmarkStart w:id="253" w:name="_Toc18604"/>
      <w:bookmarkStart w:id="254" w:name="_Toc389065265"/>
      <w:bookmarkStart w:id="255" w:name="_Toc7010"/>
      <w:r>
        <w:rPr>
          <w:color w:val="auto"/>
          <w:highlight w:val="none"/>
        </w:rPr>
        <w:t xml:space="preserve">1.10 </w:t>
      </w:r>
      <w:r>
        <w:rPr>
          <w:rFonts w:hint="eastAsia" w:hAnsi="宋体" w:cs="黑体"/>
          <w:color w:val="auto"/>
          <w:highlight w:val="none"/>
        </w:rPr>
        <w:t>交通运输</w:t>
      </w:r>
      <w:bookmarkEnd w:id="247"/>
      <w:bookmarkEnd w:id="248"/>
      <w:bookmarkEnd w:id="249"/>
      <w:bookmarkEnd w:id="250"/>
      <w:bookmarkEnd w:id="251"/>
      <w:bookmarkEnd w:id="252"/>
      <w:bookmarkEnd w:id="253"/>
      <w:bookmarkEnd w:id="254"/>
      <w:bookmarkEnd w:id="255"/>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color w:val="auto"/>
          <w:highlight w:val="none"/>
        </w:rPr>
        <w:t>1</w:t>
      </w:r>
      <w:bookmarkStart w:id="256" w:name="_Toc312677986"/>
      <w:bookmarkStart w:id="257" w:name="_Toc300934943"/>
      <w:bookmarkStart w:id="258" w:name="_Toc303539100"/>
      <w:bookmarkStart w:id="259" w:name="_Toc318581155"/>
      <w:bookmarkStart w:id="260" w:name="_Toc304295521"/>
      <w:r>
        <w:rPr>
          <w:color w:val="auto"/>
          <w:highlight w:val="none"/>
        </w:rPr>
        <w:t xml:space="preserve">.10.1 </w:t>
      </w:r>
      <w:r>
        <w:rPr>
          <w:rFonts w:hint="eastAsia" w:hAnsi="宋体" w:cs="宋体"/>
          <w:color w:val="auto"/>
          <w:highlight w:val="none"/>
        </w:rPr>
        <w:t>出入现场的权利</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u w:val="single"/>
        </w:rPr>
      </w:pPr>
      <w:r>
        <w:rPr>
          <w:rFonts w:hint="eastAsia" w:hAnsi="宋体" w:cs="宋体"/>
          <w:color w:val="auto"/>
          <w:highlight w:val="none"/>
        </w:rPr>
        <w:t>关于出入现场的权利的约定：</w:t>
      </w:r>
      <w:r>
        <w:rPr>
          <w:color w:val="auto"/>
          <w:highlight w:val="none"/>
          <w:u w:val="single"/>
        </w:rPr>
        <w:t xml:space="preserve"> </w:t>
      </w:r>
      <w:r>
        <w:rPr>
          <w:rFonts w:hint="eastAsia" w:ascii="宋体" w:hAnsi="宋体" w:eastAsia="宋体" w:cs="宋体"/>
          <w:color w:val="auto"/>
          <w:sz w:val="22"/>
          <w:szCs w:val="22"/>
          <w:highlight w:val="none"/>
          <w:u w:val="single"/>
        </w:rPr>
        <w:t>按《通用合同条款》1.10.1 条执行</w:t>
      </w:r>
      <w:r>
        <w:rPr>
          <w:color w:val="auto"/>
          <w:highlight w:val="none"/>
          <w:u w:val="single"/>
        </w:rPr>
        <w:t xml:space="preserve"> </w:t>
      </w:r>
      <w:r>
        <w:rPr>
          <w:rFonts w:hint="eastAsia" w:hAnsi="宋体" w:cs="宋体"/>
          <w:color w:val="auto"/>
          <w:highlight w:val="none"/>
        </w:rPr>
        <w:t>。</w:t>
      </w:r>
    </w:p>
    <w:bookmarkEnd w:id="256"/>
    <w:bookmarkEnd w:id="257"/>
    <w:bookmarkEnd w:id="258"/>
    <w:bookmarkEnd w:id="259"/>
    <w:bookmarkEnd w:id="260"/>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color w:val="auto"/>
          <w:highlight w:val="none"/>
        </w:rPr>
        <w:t>1</w:t>
      </w:r>
      <w:bookmarkStart w:id="261" w:name="_Toc318581156"/>
      <w:bookmarkStart w:id="262" w:name="_Toc312677987"/>
      <w:bookmarkStart w:id="263" w:name="_Toc303539101"/>
      <w:bookmarkStart w:id="264" w:name="_Toc304295522"/>
      <w:bookmarkStart w:id="265" w:name="_Toc300934944"/>
      <w:r>
        <w:rPr>
          <w:color w:val="auto"/>
          <w:highlight w:val="none"/>
        </w:rPr>
        <w:t xml:space="preserve">.10.3 </w:t>
      </w:r>
      <w:r>
        <w:rPr>
          <w:rFonts w:hint="eastAsia" w:hAnsi="宋体" w:cs="宋体"/>
          <w:color w:val="auto"/>
          <w:highlight w:val="none"/>
        </w:rPr>
        <w:t>场内交通</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kern w:val="0"/>
          <w:highlight w:val="none"/>
        </w:rPr>
      </w:pPr>
      <w:r>
        <w:rPr>
          <w:rFonts w:hint="eastAsia" w:hAnsi="宋体" w:cs="宋体"/>
          <w:color w:val="auto"/>
          <w:kern w:val="0"/>
          <w:highlight w:val="none"/>
        </w:rPr>
        <w:t>关于场外交通和场内交通的边界的约定：</w:t>
      </w:r>
      <w:r>
        <w:rPr>
          <w:color w:val="auto"/>
          <w:highlight w:val="none"/>
          <w:u w:val="singl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以工程用地红线为边界</w:t>
      </w:r>
      <w:r>
        <w:rPr>
          <w:rFonts w:hint="eastAsia" w:ascii="宋体" w:hAnsi="宋体" w:eastAsia="宋体" w:cs="宋体"/>
          <w:color w:val="auto"/>
          <w:sz w:val="22"/>
          <w:szCs w:val="22"/>
          <w:highlight w:val="none"/>
          <w:u w:val="single"/>
        </w:rPr>
        <w:t xml:space="preserve">  </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Ansi="宋体"/>
          <w:color w:val="auto"/>
          <w:highlight w:val="none"/>
        </w:rPr>
        <w:t>关于发包人向承包人免费提供满足工程施工需要的场内道路和交通设施的约定：</w:t>
      </w:r>
      <w:r>
        <w:rPr>
          <w:rFonts w:hint="eastAsia" w:ascii="宋体" w:hAnsi="宋体" w:eastAsia="宋体" w:cs="宋体"/>
          <w:color w:val="auto"/>
          <w:sz w:val="22"/>
          <w:szCs w:val="22"/>
          <w:highlight w:val="none"/>
          <w:u w:val="single"/>
          <w:lang w:val="en-US" w:eastAsia="zh-CN"/>
        </w:rPr>
        <w:t xml:space="preserve">以现场实际施工条件为准，其余按《通用合同条款》1.10.1 条执行    </w:t>
      </w:r>
      <w:r>
        <w:rPr>
          <w:rFonts w:hAnsi="宋体"/>
          <w:color w:val="auto"/>
          <w:highlight w:val="none"/>
        </w:rPr>
        <w:t>。</w:t>
      </w:r>
      <w:bookmarkEnd w:id="261"/>
      <w:bookmarkEnd w:id="262"/>
      <w:bookmarkEnd w:id="263"/>
      <w:bookmarkEnd w:id="264"/>
      <w:bookmarkEnd w:id="265"/>
      <w:bookmarkStart w:id="266" w:name="_Toc318581157"/>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color w:val="auto"/>
          <w:highlight w:val="none"/>
        </w:rPr>
        <w:t xml:space="preserve">1.10.4 </w:t>
      </w:r>
      <w:r>
        <w:rPr>
          <w:rFonts w:hint="eastAsia" w:hAnsi="宋体" w:cs="宋体"/>
          <w:color w:val="auto"/>
          <w:highlight w:val="none"/>
        </w:rPr>
        <w:t>超大件和超重件的运输</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hAnsi="宋体" w:cs="宋体"/>
          <w:color w:val="auto"/>
          <w:highlight w:val="none"/>
        </w:rPr>
      </w:pPr>
      <w:r>
        <w:rPr>
          <w:rFonts w:hint="eastAsia" w:hAnsi="宋体" w:cs="宋体"/>
          <w:color w:val="auto"/>
          <w:highlight w:val="none"/>
        </w:rPr>
        <w:t>运输超大件或超重件所需的道路和桥梁临时加固改造费用和其他有关费用由</w:t>
      </w:r>
      <w:r>
        <w:rPr>
          <w:color w:val="auto"/>
          <w:highlight w:val="none"/>
          <w:u w:val="single"/>
        </w:rPr>
        <w:t xml:space="preserve"> </w:t>
      </w:r>
      <w:r>
        <w:rPr>
          <w:rFonts w:hint="eastAsia" w:ascii="宋体" w:hAnsi="宋体" w:eastAsia="宋体" w:cs="宋体"/>
          <w:color w:val="auto"/>
          <w:sz w:val="22"/>
          <w:szCs w:val="22"/>
          <w:highlight w:val="none"/>
          <w:u w:val="single"/>
          <w:lang w:val="en-US" w:eastAsia="zh-CN"/>
        </w:rPr>
        <w:t xml:space="preserve">承包人 </w:t>
      </w:r>
      <w:r>
        <w:rPr>
          <w:rFonts w:hint="eastAsia" w:hAnsi="宋体" w:cs="宋体"/>
          <w:color w:val="auto"/>
          <w:highlight w:val="none"/>
        </w:rPr>
        <w:t>承担。</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hAnsi="宋体" w:cs="宋体"/>
          <w:color w:val="auto"/>
          <w:highlight w:val="none"/>
        </w:rPr>
      </w:pPr>
      <w:r>
        <w:rPr>
          <w:rFonts w:hint="eastAsia" w:hAnsi="宋体" w:cs="宋体"/>
          <w:color w:val="auto"/>
          <w:highlight w:val="none"/>
        </w:rPr>
        <w:t>1.10.5 场外交通</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hAnsi="宋体" w:cs="宋体"/>
          <w:color w:val="auto"/>
          <w:highlight w:val="none"/>
          <w:u w:val="single"/>
        </w:rPr>
      </w:pPr>
      <w:r>
        <w:rPr>
          <w:rFonts w:hint="eastAsia" w:hAnsi="宋体" w:cs="宋体"/>
          <w:color w:val="auto"/>
          <w:highlight w:val="none"/>
        </w:rPr>
        <w:t>关于场外交通的约定：</w:t>
      </w:r>
      <w:r>
        <w:rPr>
          <w:rFonts w:hint="eastAsia" w:hAnsi="宋体" w:cs="宋体"/>
          <w:color w:val="auto"/>
          <w:highlight w:val="none"/>
          <w:u w:val="single"/>
        </w:rPr>
        <w:t>如该工程项目属于重点整治范围内的散货运输必须委托经贵港市城市管理监督局核准的企业进行运输，并加强工地管理，对工地出入口道路硬化及保洁，对不按规定落实大气污染防尘治理的工地进行查处。</w:t>
      </w:r>
    </w:p>
    <w:bookmarkEnd w:id="266"/>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267" w:name="_Toc373478347"/>
      <w:bookmarkStart w:id="268" w:name="_Toc9850530"/>
      <w:bookmarkStart w:id="269" w:name="_Toc4232"/>
      <w:bookmarkStart w:id="270" w:name="_Toc373227700"/>
      <w:bookmarkStart w:id="271" w:name="_Toc407135202"/>
      <w:bookmarkStart w:id="272" w:name="_Toc6616"/>
      <w:bookmarkStart w:id="273" w:name="_Toc13369"/>
      <w:bookmarkStart w:id="274" w:name="_Toc389065266"/>
      <w:bookmarkStart w:id="275" w:name="_Toc8716"/>
      <w:r>
        <w:rPr>
          <w:color w:val="auto"/>
          <w:highlight w:val="none"/>
        </w:rPr>
        <w:t xml:space="preserve">1.11 </w:t>
      </w:r>
      <w:r>
        <w:rPr>
          <w:rFonts w:hint="eastAsia" w:hAnsi="宋体" w:cs="黑体"/>
          <w:color w:val="auto"/>
          <w:highlight w:val="none"/>
        </w:rPr>
        <w:t>知识产权</w:t>
      </w:r>
      <w:bookmarkEnd w:id="267"/>
      <w:bookmarkEnd w:id="268"/>
      <w:bookmarkEnd w:id="269"/>
      <w:bookmarkEnd w:id="270"/>
      <w:bookmarkEnd w:id="271"/>
      <w:bookmarkEnd w:id="272"/>
      <w:bookmarkEnd w:id="273"/>
      <w:bookmarkEnd w:id="274"/>
      <w:bookmarkEnd w:id="275"/>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highlight w:val="none"/>
        </w:rPr>
        <w:t>1.11.1 关于发包人提供给承包人的图纸</w:t>
      </w:r>
      <w:r>
        <w:rPr>
          <w:rFonts w:hint="eastAsia" w:ascii="宋体" w:hAnsi="宋体" w:eastAsia="宋体" w:cs="宋体"/>
          <w:color w:val="auto"/>
          <w:sz w:val="22"/>
          <w:szCs w:val="22"/>
          <w:highlight w:val="none"/>
        </w:rPr>
        <w:t>、发包人为实施工程自行编制或委托编制的技术规范以及反映发包人关于合同要求或其他类似性质的文件的著作权的归属：</w:t>
      </w:r>
      <w:r>
        <w:rPr>
          <w:rFonts w:hint="eastAsia" w:ascii="宋体" w:hAnsi="宋体" w:eastAsia="宋体" w:cs="宋体"/>
          <w:color w:val="auto"/>
          <w:sz w:val="22"/>
          <w:szCs w:val="22"/>
          <w:highlight w:val="none"/>
          <w:u w:val="single"/>
        </w:rPr>
        <w:t xml:space="preserve"> </w:t>
      </w:r>
      <w:r>
        <w:rPr>
          <w:rFonts w:hint="eastAsia"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《通用合同条款》1.11.1条执行</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关于发包人提供的上述文件的使用限制的要求：</w:t>
      </w:r>
      <w:r>
        <w:rPr>
          <w:rFonts w:hint="eastAsia" w:ascii="宋体" w:hAnsi="宋体" w:eastAsia="宋体" w:cs="宋体"/>
          <w:color w:val="auto"/>
          <w:sz w:val="22"/>
          <w:szCs w:val="22"/>
          <w:highlight w:val="none"/>
          <w:u w:val="single"/>
        </w:rPr>
        <w:t xml:space="preserve"> 按《通用合同条款》1.11.1条执行  </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1.11.2 关于承包人为实施工</w:t>
      </w:r>
      <w:r>
        <w:rPr>
          <w:rFonts w:hint="eastAsia" w:ascii="宋体" w:hAnsi="宋体" w:eastAsia="宋体" w:cs="宋体"/>
          <w:color w:val="auto"/>
          <w:sz w:val="22"/>
          <w:szCs w:val="22"/>
          <w:highlight w:val="none"/>
        </w:rPr>
        <w:t>程所编制文件的著作权的归属：</w:t>
      </w:r>
      <w:r>
        <w:rPr>
          <w:rFonts w:hint="eastAsia" w:ascii="宋体" w:hAnsi="宋体" w:eastAsia="宋体" w:cs="宋体"/>
          <w:color w:val="auto"/>
          <w:sz w:val="22"/>
          <w:szCs w:val="22"/>
          <w:highlight w:val="none"/>
          <w:u w:val="single"/>
        </w:rPr>
        <w:t xml:space="preserve"> 按《通用合同条款》1.11.2条执行 </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关于承包人提供的上述文件的使用限制的要求：</w:t>
      </w:r>
      <w:r>
        <w:rPr>
          <w:rFonts w:hint="eastAsia" w:ascii="宋体" w:hAnsi="宋体" w:eastAsia="宋体" w:cs="宋体"/>
          <w:color w:val="auto"/>
          <w:sz w:val="22"/>
          <w:szCs w:val="22"/>
          <w:highlight w:val="none"/>
          <w:u w:val="single"/>
        </w:rPr>
        <w:t xml:space="preserve">  按《通用合同条款》1.11.2条执行   </w:t>
      </w:r>
      <w:r>
        <w:rPr>
          <w:rFonts w:hint="eastAsia" w:ascii="宋体" w:hAnsi="宋体" w:eastAsia="宋体" w:cs="宋体"/>
          <w:color w:val="auto"/>
          <w:sz w:val="22"/>
          <w:szCs w:val="22"/>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kern w:val="0"/>
          <w:sz w:val="22"/>
          <w:szCs w:val="22"/>
          <w:highlight w:val="none"/>
        </w:rPr>
      </w:pPr>
      <w:r>
        <w:rPr>
          <w:rFonts w:hint="eastAsia" w:ascii="宋体" w:hAnsi="宋体" w:eastAsia="宋体" w:cs="宋体"/>
          <w:color w:val="auto"/>
          <w:sz w:val="22"/>
          <w:szCs w:val="22"/>
          <w:highlight w:val="none"/>
        </w:rPr>
        <w:t>1.11.4 承包人在施工过程中所采用的专利、专有技术、技术秘密的使用费的承担方式：</w:t>
      </w:r>
      <w:r>
        <w:rPr>
          <w:rFonts w:hint="eastAsia" w:ascii="宋体" w:hAnsi="宋体" w:eastAsia="宋体" w:cs="宋体"/>
          <w:color w:val="auto"/>
          <w:sz w:val="22"/>
          <w:szCs w:val="22"/>
          <w:highlight w:val="none"/>
          <w:u w:val="single"/>
        </w:rPr>
        <w:t>承包人在合同签订前和签订时已确定采用的专利、专有技术、技术秘密的使用费已包含在签约合同价中</w:t>
      </w:r>
      <w:r>
        <w:rPr>
          <w:color w:val="auto"/>
          <w:sz w:val="22"/>
          <w:szCs w:val="22"/>
          <w:highlight w:val="none"/>
          <w:u w:val="single"/>
        </w:rPr>
        <w:t xml:space="preserve">     </w:t>
      </w:r>
      <w:r>
        <w:rPr>
          <w:rFonts w:hint="eastAsia"/>
          <w:color w:val="auto"/>
          <w:sz w:val="22"/>
          <w:szCs w:val="22"/>
          <w:highlight w:val="none"/>
          <w:u w:val="single"/>
        </w:rPr>
        <w:t xml:space="preserve">    </w:t>
      </w:r>
      <w:r>
        <w:rPr>
          <w:color w:val="auto"/>
          <w:sz w:val="22"/>
          <w:szCs w:val="22"/>
          <w:highlight w:val="none"/>
          <w:u w:val="single"/>
        </w:rPr>
        <w:t xml:space="preserve"> </w:t>
      </w:r>
      <w:r>
        <w:rPr>
          <w:rFonts w:hint="eastAsia" w:hAnsi="宋体" w:cs="宋体"/>
          <w:color w:val="auto"/>
          <w:kern w:val="0"/>
          <w:sz w:val="22"/>
          <w:szCs w:val="22"/>
          <w:highlight w:val="none"/>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276" w:name="_Toc8552"/>
      <w:bookmarkStart w:id="277" w:name="_Toc21106"/>
      <w:bookmarkStart w:id="278" w:name="_Toc25622"/>
      <w:bookmarkStart w:id="279" w:name="_Toc389065267"/>
      <w:bookmarkStart w:id="280" w:name="_Toc373227701"/>
      <w:bookmarkStart w:id="281" w:name="_Toc21098"/>
      <w:bookmarkStart w:id="282" w:name="_Toc373478348"/>
      <w:bookmarkStart w:id="283" w:name="_Toc9850531"/>
      <w:bookmarkStart w:id="284" w:name="_Toc407135203"/>
      <w:r>
        <w:rPr>
          <w:color w:val="auto"/>
          <w:highlight w:val="none"/>
        </w:rPr>
        <w:t>1.13</w:t>
      </w:r>
      <w:r>
        <w:rPr>
          <w:rFonts w:hint="eastAsia" w:cs="黑体"/>
          <w:color w:val="auto"/>
          <w:highlight w:val="none"/>
        </w:rPr>
        <w:t>工程量清单错误的修正</w:t>
      </w:r>
      <w:bookmarkEnd w:id="276"/>
      <w:bookmarkEnd w:id="277"/>
      <w:bookmarkEnd w:id="278"/>
      <w:bookmarkEnd w:id="279"/>
      <w:bookmarkEnd w:id="280"/>
      <w:bookmarkEnd w:id="281"/>
      <w:bookmarkEnd w:id="282"/>
      <w:bookmarkEnd w:id="283"/>
      <w:bookmarkEnd w:id="284"/>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int="eastAsia" w:hAnsi="宋体" w:cs="宋体"/>
          <w:color w:val="auto"/>
          <w:highlight w:val="none"/>
        </w:rPr>
        <w:t>出现工程量清单工程量偏差时，是否调整合同价格：</w:t>
      </w:r>
      <w:r>
        <w:rPr>
          <w:rFonts w:hint="eastAsia" w:ascii="宋体" w:hAnsi="宋体" w:cs="宋体"/>
          <w:color w:val="auto"/>
          <w:highlight w:val="none"/>
          <w:u w:val="single"/>
        </w:rPr>
        <w:sym w:font="Wingdings 2" w:char="0052"/>
      </w:r>
      <w:r>
        <w:rPr>
          <w:rFonts w:hint="eastAsia" w:hAnsi="宋体" w:cs="宋体"/>
          <w:color w:val="auto"/>
          <w:highlight w:val="none"/>
          <w:u w:val="single"/>
        </w:rPr>
        <w:t xml:space="preserve">是  </w:t>
      </w:r>
      <w:r>
        <w:rPr>
          <w:rFonts w:hint="eastAsia" w:ascii="宋体" w:hAnsi="宋体" w:cs="宋体"/>
          <w:color w:val="auto"/>
          <w:highlight w:val="none"/>
          <w:u w:val="single"/>
        </w:rPr>
        <w:t>□</w:t>
      </w:r>
      <w:r>
        <w:rPr>
          <w:rFonts w:hint="eastAsia" w:hAnsi="宋体" w:cs="宋体"/>
          <w:color w:val="auto"/>
          <w:highlight w:val="none"/>
          <w:u w:val="single"/>
        </w:rPr>
        <w:t>否</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rFonts w:hint="eastAsia" w:hAnsi="宋体" w:cs="宋体"/>
          <w:color w:val="auto"/>
          <w:highlight w:val="none"/>
        </w:rPr>
      </w:pPr>
      <w:r>
        <w:rPr>
          <w:rFonts w:hint="eastAsia" w:hAnsi="宋体" w:cs="宋体"/>
          <w:color w:val="auto"/>
          <w:highlight w:val="none"/>
        </w:rPr>
        <w:t>允许调整合同价格的工程量偏差范围及其调整办法：</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kern w:val="0"/>
          <w:highlight w:val="none"/>
        </w:rPr>
      </w:pPr>
      <w:r>
        <w:rPr>
          <w:rFonts w:hint="eastAsia" w:ascii="宋体" w:hAnsi="宋体" w:cs="宋体"/>
          <w:color w:val="auto"/>
          <w:highlight w:val="none"/>
        </w:rPr>
        <w:t>□</w:t>
      </w:r>
      <w:r>
        <w:rPr>
          <w:color w:val="auto"/>
          <w:highlight w:val="none"/>
          <w:u w:val="single"/>
        </w:rPr>
        <w:t xml:space="preserve"> </w:t>
      </w:r>
      <w:r>
        <w:rPr>
          <w:rFonts w:hint="eastAsia"/>
          <w:color w:val="auto"/>
          <w:highlight w:val="none"/>
          <w:u w:val="single"/>
        </w:rPr>
        <w:t>除严重不平衡报价外，无论分部分项工程量清单项目中的工程量变化多少均不调整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rFonts w:hint="eastAsia" w:hAnsi="宋体" w:cs="宋体"/>
          <w:color w:val="auto"/>
          <w:highlight w:val="none"/>
          <w:u w:val="single"/>
        </w:rPr>
      </w:pPr>
      <w:r>
        <w:rPr>
          <w:rFonts w:hint="eastAsia" w:ascii="宋体" w:hAnsi="宋体" w:cs="宋体"/>
          <w:color w:val="auto"/>
          <w:highlight w:val="none"/>
        </w:rPr>
        <w:sym w:font="Wingdings 2" w:char="0052"/>
      </w:r>
      <w:r>
        <w:rPr>
          <w:rFonts w:hint="eastAsia" w:ascii="宋体" w:hAnsi="宋体" w:eastAsia="宋体" w:cs="宋体"/>
          <w:color w:val="auto"/>
          <w:highlight w:val="none"/>
          <w:u w:val="single"/>
        </w:rPr>
        <w:t xml:space="preserve">  本工程采用固定综合单价合同，工程量按实际工程量，材料信息价采用202</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年第</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期发布的《贵港市建设工程造价信息》信息价计算，</w:t>
      </w:r>
      <w:r>
        <w:rPr>
          <w:rFonts w:hint="eastAsia" w:ascii="宋体" w:hAnsi="宋体" w:eastAsia="宋体" w:cs="宋体"/>
          <w:color w:val="auto"/>
          <w:highlight w:val="none"/>
          <w:u w:val="single"/>
          <w:lang w:eastAsia="zh-CN"/>
        </w:rPr>
        <w:t>贵港市</w:t>
      </w:r>
      <w:r>
        <w:rPr>
          <w:rFonts w:hint="eastAsia" w:ascii="宋体" w:hAnsi="宋体" w:eastAsia="宋体" w:cs="宋体"/>
          <w:color w:val="auto"/>
          <w:highlight w:val="none"/>
          <w:u w:val="single"/>
        </w:rPr>
        <w:t xml:space="preserve">信息价没有的，部分材料采用贵港市市场价格计算    </w:t>
      </w:r>
      <w:r>
        <w:rPr>
          <w:rFonts w:hint="eastAsia" w:ascii="Calibri" w:hAnsi="宋体" w:cs="宋体"/>
          <w:color w:val="auto"/>
          <w:highlight w:val="none"/>
          <w:u w:val="single"/>
        </w:rPr>
        <w:t>。</w:t>
      </w:r>
    </w:p>
    <w:p>
      <w:pPr>
        <w:pStyle w:val="5"/>
        <w:keepNext w:val="0"/>
        <w:keepLines w:val="0"/>
        <w:pageBreakBefore w:val="0"/>
        <w:widowControl w:val="0"/>
        <w:kinsoku/>
        <w:wordWrap/>
        <w:overflowPunct/>
        <w:topLinePunct w:val="0"/>
        <w:autoSpaceDE w:val="0"/>
        <w:autoSpaceDN w:val="0"/>
        <w:bidi w:val="0"/>
        <w:snapToGrid/>
        <w:spacing w:before="0" w:line="360" w:lineRule="auto"/>
        <w:ind w:left="0" w:leftChars="0" w:right="0"/>
        <w:textAlignment w:val="auto"/>
        <w:rPr>
          <w:color w:val="auto"/>
          <w:highlight w:val="none"/>
        </w:rPr>
      </w:pPr>
      <w:bookmarkStart w:id="285" w:name="_Toc351203634"/>
      <w:bookmarkStart w:id="286" w:name="_Toc16119"/>
      <w:bookmarkStart w:id="287" w:name="_Toc17748"/>
      <w:bookmarkStart w:id="288" w:name="_Toc407135204"/>
      <w:bookmarkStart w:id="289" w:name="_Toc8102"/>
      <w:bookmarkStart w:id="290" w:name="_Toc9850532"/>
      <w:bookmarkStart w:id="291" w:name="_Toc373227702"/>
      <w:bookmarkStart w:id="292" w:name="_Toc389065268"/>
      <w:bookmarkStart w:id="293" w:name="_Toc373478349"/>
      <w:bookmarkStart w:id="294" w:name="_Toc30052"/>
      <w:r>
        <w:rPr>
          <w:color w:val="auto"/>
          <w:highlight w:val="none"/>
        </w:rPr>
        <w:t>2</w:t>
      </w:r>
      <w:bookmarkStart w:id="295" w:name="_Toc297048343"/>
      <w:bookmarkStart w:id="296" w:name="_Toc292559867"/>
      <w:bookmarkStart w:id="297" w:name="_Toc292559362"/>
      <w:bookmarkStart w:id="298" w:name="_Toc296503157"/>
      <w:bookmarkStart w:id="299" w:name="_Toc296346658"/>
      <w:bookmarkStart w:id="300" w:name="_Toc297120457"/>
      <w:bookmarkStart w:id="301" w:name="_Toc296891197"/>
      <w:bookmarkStart w:id="302" w:name="_Toc296347156"/>
      <w:bookmarkStart w:id="303" w:name="_Toc296944496"/>
      <w:bookmarkStart w:id="304" w:name="_Toc296890985"/>
      <w:r>
        <w:rPr>
          <w:color w:val="auto"/>
          <w:highlight w:val="none"/>
        </w:rPr>
        <w:t xml:space="preserve">. </w:t>
      </w:r>
      <w:r>
        <w:rPr>
          <w:rFonts w:hint="eastAsia" w:hAnsi="宋体" w:cs="黑体"/>
          <w:color w:val="auto"/>
          <w:highlight w:val="none"/>
        </w:rPr>
        <w:t>发包人</w:t>
      </w:r>
      <w:bookmarkEnd w:id="285"/>
      <w:bookmarkEnd w:id="286"/>
      <w:bookmarkEnd w:id="287"/>
      <w:bookmarkEnd w:id="288"/>
      <w:bookmarkEnd w:id="289"/>
      <w:bookmarkEnd w:id="290"/>
      <w:bookmarkEnd w:id="291"/>
      <w:bookmarkEnd w:id="292"/>
      <w:bookmarkEnd w:id="293"/>
      <w:bookmarkEnd w:id="294"/>
    </w:p>
    <w:bookmarkEnd w:id="295"/>
    <w:bookmarkEnd w:id="296"/>
    <w:bookmarkEnd w:id="297"/>
    <w:bookmarkEnd w:id="298"/>
    <w:bookmarkEnd w:id="299"/>
    <w:bookmarkEnd w:id="300"/>
    <w:bookmarkEnd w:id="301"/>
    <w:bookmarkEnd w:id="302"/>
    <w:bookmarkEnd w:id="303"/>
    <w:bookmarkEnd w:id="304"/>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305" w:name="_Toc21075"/>
      <w:bookmarkStart w:id="306" w:name="_Toc389065269"/>
      <w:bookmarkStart w:id="307" w:name="_Toc373227703"/>
      <w:bookmarkStart w:id="308" w:name="_Toc23984"/>
      <w:bookmarkStart w:id="309" w:name="_Toc18133"/>
      <w:bookmarkStart w:id="310" w:name="_Toc13688"/>
      <w:bookmarkStart w:id="311" w:name="_Toc373478350"/>
      <w:bookmarkStart w:id="312" w:name="_Toc9850533"/>
      <w:bookmarkStart w:id="313" w:name="_Toc407135205"/>
      <w:r>
        <w:rPr>
          <w:color w:val="auto"/>
          <w:highlight w:val="none"/>
        </w:rPr>
        <w:t xml:space="preserve">2.2 </w:t>
      </w:r>
      <w:r>
        <w:rPr>
          <w:rFonts w:hint="eastAsia" w:hAnsi="宋体" w:cs="黑体"/>
          <w:color w:val="auto"/>
          <w:highlight w:val="none"/>
        </w:rPr>
        <w:t>发包人代表</w:t>
      </w:r>
      <w:bookmarkEnd w:id="305"/>
      <w:bookmarkEnd w:id="306"/>
      <w:bookmarkEnd w:id="307"/>
      <w:bookmarkEnd w:id="308"/>
      <w:bookmarkEnd w:id="309"/>
      <w:bookmarkEnd w:id="310"/>
      <w:bookmarkEnd w:id="311"/>
      <w:bookmarkEnd w:id="312"/>
      <w:bookmarkEnd w:id="313"/>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int="eastAsia" w:hAnsi="宋体" w:cs="宋体"/>
          <w:color w:val="auto"/>
          <w:highlight w:val="none"/>
        </w:rPr>
        <w:t>发包人代表：</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u w:val="single"/>
        </w:rPr>
      </w:pPr>
      <w:r>
        <w:rPr>
          <w:rFonts w:hint="eastAsia" w:hAnsi="宋体" w:cs="宋体"/>
          <w:color w:val="auto"/>
          <w:highlight w:val="none"/>
        </w:rPr>
        <w:t>发包人对发包人代表的授权范围如下：</w:t>
      </w:r>
      <w:r>
        <w:rPr>
          <w:color w:val="auto"/>
          <w:highlight w:val="none"/>
          <w:u w:val="single"/>
        </w:rPr>
        <w:t xml:space="preserve">                        </w:t>
      </w:r>
      <w:r>
        <w:rPr>
          <w:rFonts w:hint="eastAsia" w:hAnsi="宋体" w:cs="宋体"/>
          <w:color w:val="auto"/>
          <w:highlight w:val="none"/>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314" w:name="_Toc373227704"/>
      <w:bookmarkStart w:id="315" w:name="_Toc407135206"/>
      <w:bookmarkStart w:id="316" w:name="_Toc21809"/>
      <w:bookmarkStart w:id="317" w:name="_Toc9850534"/>
      <w:bookmarkStart w:id="318" w:name="_Toc21133"/>
      <w:bookmarkStart w:id="319" w:name="_Toc22362"/>
      <w:bookmarkStart w:id="320" w:name="_Toc389065270"/>
      <w:bookmarkStart w:id="321" w:name="_Toc373478351"/>
      <w:bookmarkStart w:id="322" w:name="_Toc26564"/>
      <w:r>
        <w:rPr>
          <w:color w:val="auto"/>
          <w:highlight w:val="none"/>
        </w:rPr>
        <w:t xml:space="preserve">2.4 </w:t>
      </w:r>
      <w:r>
        <w:rPr>
          <w:rFonts w:hint="eastAsia" w:cs="黑体"/>
          <w:color w:val="auto"/>
          <w:highlight w:val="none"/>
        </w:rPr>
        <w:t>施工现场、施工条件和基础资料的提供</w:t>
      </w:r>
      <w:bookmarkEnd w:id="314"/>
      <w:bookmarkEnd w:id="315"/>
      <w:bookmarkEnd w:id="316"/>
      <w:bookmarkEnd w:id="317"/>
      <w:bookmarkEnd w:id="318"/>
      <w:bookmarkEnd w:id="319"/>
      <w:bookmarkEnd w:id="320"/>
      <w:bookmarkEnd w:id="321"/>
      <w:bookmarkEnd w:id="322"/>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sz w:val="22"/>
          <w:szCs w:val="22"/>
          <w:highlight w:val="none"/>
        </w:rPr>
      </w:pPr>
      <w:r>
        <w:rPr>
          <w:color w:val="auto"/>
          <w:sz w:val="22"/>
          <w:szCs w:val="22"/>
          <w:highlight w:val="none"/>
        </w:rPr>
        <w:t xml:space="preserve">2.4.1 </w:t>
      </w:r>
      <w:r>
        <w:rPr>
          <w:rFonts w:hint="eastAsia" w:hAnsi="宋体" w:cs="宋体"/>
          <w:color w:val="auto"/>
          <w:sz w:val="22"/>
          <w:szCs w:val="22"/>
          <w:highlight w:val="none"/>
        </w:rPr>
        <w:t>提供施工现场</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sz w:val="22"/>
          <w:szCs w:val="22"/>
          <w:highlight w:val="none"/>
        </w:rPr>
      </w:pPr>
      <w:r>
        <w:rPr>
          <w:rFonts w:hint="eastAsia" w:hAnsi="宋体" w:cs="宋体"/>
          <w:color w:val="auto"/>
          <w:sz w:val="22"/>
          <w:szCs w:val="22"/>
          <w:highlight w:val="none"/>
        </w:rPr>
        <w:t>关于发包人移交施工现场的期限要求：</w:t>
      </w:r>
      <w:r>
        <w:rPr>
          <w:color w:val="auto"/>
          <w:sz w:val="22"/>
          <w:szCs w:val="22"/>
          <w:highlight w:val="none"/>
          <w:u w:val="single"/>
        </w:rPr>
        <w:t xml:space="preserve">  </w:t>
      </w:r>
      <w:r>
        <w:rPr>
          <w:rFonts w:hint="eastAsia" w:ascii="宋体" w:hAnsi="宋体" w:eastAsia="宋体" w:cs="宋体"/>
          <w:color w:val="auto"/>
          <w:sz w:val="22"/>
          <w:szCs w:val="22"/>
          <w:highlight w:val="none"/>
          <w:u w:val="single"/>
        </w:rPr>
        <w:t>开工日期7天前移交</w:t>
      </w:r>
      <w:r>
        <w:rPr>
          <w:rFonts w:hint="eastAsia"/>
          <w:color w:val="auto"/>
          <w:sz w:val="22"/>
          <w:szCs w:val="22"/>
          <w:highlight w:val="none"/>
          <w:u w:val="single"/>
        </w:rPr>
        <w:t xml:space="preserve">   </w:t>
      </w:r>
      <w:r>
        <w:rPr>
          <w:color w:val="auto"/>
          <w:sz w:val="22"/>
          <w:szCs w:val="22"/>
          <w:highlight w:val="none"/>
          <w:u w:val="single"/>
        </w:rPr>
        <w:t xml:space="preserve"> </w:t>
      </w:r>
      <w:r>
        <w:rPr>
          <w:rFonts w:hint="eastAsia" w:hAnsi="宋体" w:cs="宋体"/>
          <w:color w:val="auto"/>
          <w:sz w:val="22"/>
          <w:szCs w:val="22"/>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sz w:val="22"/>
          <w:szCs w:val="22"/>
          <w:highlight w:val="none"/>
        </w:rPr>
      </w:pPr>
      <w:r>
        <w:rPr>
          <w:color w:val="auto"/>
          <w:sz w:val="22"/>
          <w:szCs w:val="22"/>
          <w:highlight w:val="none"/>
        </w:rPr>
        <w:t xml:space="preserve">2.4.2 </w:t>
      </w:r>
      <w:r>
        <w:rPr>
          <w:rFonts w:hint="eastAsia" w:hAnsi="宋体" w:cs="宋体"/>
          <w:color w:val="auto"/>
          <w:sz w:val="22"/>
          <w:szCs w:val="22"/>
          <w:highlight w:val="none"/>
        </w:rPr>
        <w:t>提供施工条件</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rFonts w:hint="eastAsia" w:hAnsi="宋体" w:cs="宋体"/>
          <w:color w:val="auto"/>
          <w:sz w:val="22"/>
          <w:szCs w:val="22"/>
          <w:highlight w:val="none"/>
        </w:rPr>
      </w:pPr>
      <w:r>
        <w:rPr>
          <w:rFonts w:hint="eastAsia" w:hAnsi="宋体" w:cs="宋体"/>
          <w:color w:val="auto"/>
          <w:sz w:val="22"/>
          <w:szCs w:val="22"/>
          <w:highlight w:val="none"/>
        </w:rPr>
        <w:t>关于发包人应负责提供施工所需要的条件，包括：</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（1）将施工用水、电力等施工所必需的条件接至施工现场内并无偿提供给承包人使用；</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（2）保证向承包人提供正常施工所需要的进入施工现场的交通条件；</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（3）协调处理施工现场周围地下管线和邻近建筑物、构筑物、古树名木的保护工作，并承担相关费用；</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 xml:space="preserve">（4）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 </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323" w:name="_Toc389065271"/>
      <w:bookmarkStart w:id="324" w:name="_Toc407135207"/>
      <w:bookmarkStart w:id="325" w:name="_Toc373227705"/>
      <w:bookmarkStart w:id="326" w:name="_Toc373478352"/>
      <w:bookmarkStart w:id="327" w:name="_Toc25174"/>
      <w:bookmarkStart w:id="328" w:name="_Toc18233"/>
      <w:bookmarkStart w:id="329" w:name="_Toc9850535"/>
      <w:bookmarkStart w:id="330" w:name="_Toc16740"/>
      <w:bookmarkStart w:id="331" w:name="_Toc14353"/>
      <w:r>
        <w:rPr>
          <w:color w:val="auto"/>
          <w:highlight w:val="none"/>
        </w:rPr>
        <w:t xml:space="preserve">2.5 </w:t>
      </w:r>
      <w:r>
        <w:rPr>
          <w:rFonts w:hint="eastAsia" w:cs="黑体"/>
          <w:color w:val="auto"/>
          <w:highlight w:val="none"/>
        </w:rPr>
        <w:t>资金来源证明及支付担保</w:t>
      </w:r>
      <w:bookmarkEnd w:id="323"/>
      <w:bookmarkEnd w:id="324"/>
      <w:bookmarkEnd w:id="325"/>
      <w:bookmarkEnd w:id="326"/>
      <w:bookmarkEnd w:id="327"/>
      <w:bookmarkEnd w:id="328"/>
      <w:bookmarkEnd w:id="329"/>
      <w:bookmarkEnd w:id="330"/>
      <w:bookmarkEnd w:id="331"/>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int="eastAsia" w:hAnsi="宋体" w:cs="宋体"/>
          <w:color w:val="auto"/>
          <w:highlight w:val="none"/>
        </w:rPr>
        <w:t>发包人提供资金来源证明的期限要求：</w:t>
      </w:r>
      <w:r>
        <w:rPr>
          <w:color w:val="auto"/>
          <w:highlight w:val="none"/>
          <w:u w:val="single"/>
        </w:rPr>
        <w:t xml:space="preserve">     </w:t>
      </w:r>
      <w:r>
        <w:rPr>
          <w:rFonts w:hint="eastAsia" w:ascii="宋体" w:hAnsi="宋体" w:eastAsia="宋体" w:cs="宋体"/>
          <w:color w:val="auto"/>
          <w:sz w:val="24"/>
          <w:szCs w:val="24"/>
          <w:highlight w:val="none"/>
          <w:u w:val="single"/>
        </w:rPr>
        <w:t>无</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int="eastAsia" w:hAnsi="宋体" w:cs="宋体"/>
          <w:color w:val="auto"/>
          <w:highlight w:val="none"/>
        </w:rPr>
        <w:t>发包人是否提供支付担保：</w:t>
      </w:r>
      <w:r>
        <w:rPr>
          <w:color w:val="auto"/>
          <w:highlight w:val="none"/>
          <w:u w:val="single"/>
        </w:rPr>
        <w:t xml:space="preserve">         </w:t>
      </w:r>
      <w:r>
        <w:rPr>
          <w:rFonts w:hint="eastAsia" w:ascii="宋体" w:hAnsi="宋体" w:eastAsia="宋体" w:cs="宋体"/>
          <w:color w:val="auto"/>
          <w:sz w:val="24"/>
          <w:szCs w:val="24"/>
          <w:highlight w:val="none"/>
          <w:u w:val="single"/>
        </w:rPr>
        <w:t>无</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rFonts w:hAnsi="宋体"/>
          <w:color w:val="auto"/>
          <w:highlight w:val="none"/>
        </w:rPr>
      </w:pPr>
      <w:r>
        <w:rPr>
          <w:rFonts w:hint="eastAsia" w:hAnsi="宋体" w:cs="宋体"/>
          <w:color w:val="auto"/>
          <w:highlight w:val="none"/>
        </w:rPr>
        <w:t>发包人提供支付担保的形式：</w:t>
      </w:r>
      <w:r>
        <w:rPr>
          <w:color w:val="auto"/>
          <w:highlight w:val="none"/>
          <w:u w:val="single"/>
        </w:rPr>
        <w:t xml:space="preserve">         </w:t>
      </w:r>
      <w:r>
        <w:rPr>
          <w:rFonts w:hint="eastAsia" w:ascii="宋体" w:hAnsi="宋体" w:eastAsia="宋体" w:cs="宋体"/>
          <w:color w:val="auto"/>
          <w:sz w:val="24"/>
          <w:szCs w:val="24"/>
          <w:highlight w:val="none"/>
          <w:u w:val="single"/>
        </w:rPr>
        <w:t>无</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u w:val="single"/>
        </w:rPr>
      </w:pPr>
      <w:r>
        <w:rPr>
          <w:rFonts w:hint="eastAsia" w:hAnsi="宋体" w:cs="宋体"/>
          <w:color w:val="auto"/>
          <w:highlight w:val="none"/>
        </w:rPr>
        <w:t>发包人提供的支付担保格式见合同附件</w:t>
      </w:r>
      <w:r>
        <w:rPr>
          <w:rFonts w:hint="eastAsia" w:hAnsi="宋体"/>
          <w:color w:val="auto"/>
          <w:highlight w:val="none"/>
        </w:rPr>
        <w:t>9</w:t>
      </w:r>
      <w:r>
        <w:rPr>
          <w:rFonts w:hint="eastAsia" w:hAnsi="宋体" w:cs="宋体"/>
          <w:color w:val="auto"/>
          <w:highlight w:val="none"/>
        </w:rPr>
        <w:t>。</w:t>
      </w:r>
    </w:p>
    <w:p>
      <w:pPr>
        <w:pStyle w:val="5"/>
        <w:keepNext w:val="0"/>
        <w:keepLines w:val="0"/>
        <w:pageBreakBefore w:val="0"/>
        <w:widowControl w:val="0"/>
        <w:kinsoku/>
        <w:wordWrap/>
        <w:overflowPunct/>
        <w:topLinePunct w:val="0"/>
        <w:autoSpaceDE w:val="0"/>
        <w:autoSpaceDN w:val="0"/>
        <w:bidi w:val="0"/>
        <w:snapToGrid/>
        <w:spacing w:before="0" w:line="360" w:lineRule="auto"/>
        <w:ind w:left="0" w:leftChars="0" w:right="0"/>
        <w:textAlignment w:val="auto"/>
        <w:rPr>
          <w:color w:val="auto"/>
          <w:highlight w:val="none"/>
        </w:rPr>
      </w:pPr>
      <w:bookmarkStart w:id="332" w:name="_Toc3809"/>
      <w:bookmarkStart w:id="333" w:name="_Toc13463"/>
      <w:bookmarkStart w:id="334" w:name="_Toc373478353"/>
      <w:bookmarkStart w:id="335" w:name="_Toc389065272"/>
      <w:bookmarkStart w:id="336" w:name="_Toc908"/>
      <w:bookmarkStart w:id="337" w:name="_Toc9850536"/>
      <w:bookmarkStart w:id="338" w:name="_Toc351203635"/>
      <w:bookmarkStart w:id="339" w:name="_Toc4456"/>
      <w:bookmarkStart w:id="340" w:name="_Toc407135208"/>
      <w:bookmarkStart w:id="341" w:name="_Toc373227706"/>
      <w:r>
        <w:rPr>
          <w:color w:val="auto"/>
          <w:highlight w:val="none"/>
        </w:rPr>
        <w:t>3</w:t>
      </w:r>
      <w:bookmarkStart w:id="342" w:name="_Toc296346659"/>
      <w:bookmarkStart w:id="343" w:name="_Toc296944497"/>
      <w:bookmarkStart w:id="344" w:name="_Toc292559363"/>
      <w:bookmarkStart w:id="345" w:name="_Toc296503158"/>
      <w:bookmarkStart w:id="346" w:name="_Toc292559868"/>
      <w:bookmarkStart w:id="347" w:name="_Toc296891198"/>
      <w:bookmarkStart w:id="348" w:name="_Toc296890986"/>
      <w:bookmarkStart w:id="349" w:name="_Toc297120458"/>
      <w:bookmarkStart w:id="350" w:name="_Toc297048344"/>
      <w:bookmarkStart w:id="351" w:name="_Toc296347157"/>
      <w:r>
        <w:rPr>
          <w:color w:val="auto"/>
          <w:highlight w:val="none"/>
        </w:rPr>
        <w:t xml:space="preserve">. </w:t>
      </w:r>
      <w:r>
        <w:rPr>
          <w:rFonts w:hint="eastAsia" w:hAnsi="宋体" w:cs="黑体"/>
          <w:color w:val="auto"/>
          <w:highlight w:val="none"/>
        </w:rPr>
        <w:t>承包人</w:t>
      </w:r>
      <w:bookmarkEnd w:id="332"/>
      <w:bookmarkEnd w:id="333"/>
      <w:bookmarkEnd w:id="334"/>
      <w:bookmarkEnd w:id="335"/>
      <w:bookmarkEnd w:id="336"/>
      <w:bookmarkEnd w:id="337"/>
      <w:bookmarkEnd w:id="338"/>
      <w:bookmarkEnd w:id="339"/>
      <w:bookmarkEnd w:id="340"/>
      <w:bookmarkEnd w:id="341"/>
    </w:p>
    <w:bookmarkEnd w:id="342"/>
    <w:bookmarkEnd w:id="343"/>
    <w:bookmarkEnd w:id="344"/>
    <w:bookmarkEnd w:id="345"/>
    <w:bookmarkEnd w:id="346"/>
    <w:bookmarkEnd w:id="347"/>
    <w:bookmarkEnd w:id="348"/>
    <w:bookmarkEnd w:id="349"/>
    <w:bookmarkEnd w:id="350"/>
    <w:bookmarkEnd w:id="351"/>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352" w:name="_Toc373227707"/>
      <w:bookmarkStart w:id="353" w:name="_Toc10387"/>
      <w:bookmarkStart w:id="354" w:name="_Toc389065273"/>
      <w:bookmarkStart w:id="355" w:name="_Toc407135209"/>
      <w:bookmarkStart w:id="356" w:name="_Toc28258"/>
      <w:bookmarkStart w:id="357" w:name="_Toc373478354"/>
      <w:bookmarkStart w:id="358" w:name="_Toc9850537"/>
      <w:bookmarkStart w:id="359" w:name="_Toc12537"/>
      <w:bookmarkStart w:id="360" w:name="_Toc10979"/>
      <w:r>
        <w:rPr>
          <w:color w:val="auto"/>
          <w:highlight w:val="none"/>
        </w:rPr>
        <w:t xml:space="preserve">3.1 </w:t>
      </w:r>
      <w:r>
        <w:rPr>
          <w:rFonts w:hint="eastAsia" w:cs="黑体"/>
          <w:color w:val="auto"/>
          <w:highlight w:val="none"/>
        </w:rPr>
        <w:t>承包人的一般义务</w:t>
      </w:r>
      <w:bookmarkEnd w:id="352"/>
      <w:bookmarkEnd w:id="353"/>
      <w:bookmarkEnd w:id="354"/>
      <w:bookmarkEnd w:id="355"/>
      <w:bookmarkEnd w:id="356"/>
      <w:bookmarkEnd w:id="357"/>
      <w:bookmarkEnd w:id="358"/>
      <w:bookmarkEnd w:id="359"/>
      <w:bookmarkEnd w:id="360"/>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jc w:val="left"/>
        <w:textAlignment w:val="auto"/>
        <w:rPr>
          <w:color w:val="auto"/>
          <w:sz w:val="22"/>
          <w:szCs w:val="22"/>
          <w:highlight w:val="none"/>
          <w:u w:val="single"/>
        </w:rPr>
      </w:pPr>
      <w:r>
        <w:rPr>
          <w:rFonts w:hint="eastAsia" w:hAnsi="宋体" w:cs="宋体"/>
          <w:color w:val="auto"/>
          <w:kern w:val="0"/>
          <w:sz w:val="22"/>
          <w:szCs w:val="22"/>
          <w:highlight w:val="none"/>
        </w:rPr>
        <w:t>（</w:t>
      </w:r>
      <w:r>
        <w:rPr>
          <w:color w:val="auto"/>
          <w:kern w:val="0"/>
          <w:sz w:val="22"/>
          <w:szCs w:val="22"/>
          <w:highlight w:val="none"/>
        </w:rPr>
        <w:t>9</w:t>
      </w:r>
      <w:r>
        <w:rPr>
          <w:rFonts w:hint="eastAsia" w:hAnsi="宋体" w:cs="宋体"/>
          <w:color w:val="auto"/>
          <w:kern w:val="0"/>
          <w:sz w:val="22"/>
          <w:szCs w:val="22"/>
          <w:highlight w:val="none"/>
        </w:rPr>
        <w:t>）</w:t>
      </w:r>
      <w:r>
        <w:rPr>
          <w:rFonts w:hint="eastAsia" w:hAnsi="宋体" w:cs="宋体"/>
          <w:color w:val="auto"/>
          <w:sz w:val="22"/>
          <w:szCs w:val="22"/>
          <w:highlight w:val="none"/>
        </w:rPr>
        <w:t>承包人提交的竣工资料的内容：</w:t>
      </w:r>
      <w:r>
        <w:rPr>
          <w:color w:val="auto"/>
          <w:sz w:val="22"/>
          <w:szCs w:val="22"/>
          <w:highlight w:val="none"/>
          <w:u w:val="single"/>
        </w:rPr>
        <w:t xml:space="preserve">  </w:t>
      </w:r>
      <w:r>
        <w:rPr>
          <w:rFonts w:hint="eastAsia" w:ascii="宋体" w:hAnsi="宋体" w:eastAsia="宋体" w:cs="宋体"/>
          <w:b w:val="0"/>
          <w:bCs w:val="0"/>
          <w:color w:val="auto"/>
          <w:kern w:val="0"/>
          <w:sz w:val="22"/>
          <w:szCs w:val="22"/>
          <w:highlight w:val="none"/>
          <w:u w:val="single"/>
        </w:rPr>
        <w:t>提供符合法律规定和合同约定及工程所在地行政质检监督部门要求的竣工图及竣工资料</w:t>
      </w:r>
      <w:r>
        <w:rPr>
          <w:color w:val="auto"/>
          <w:sz w:val="22"/>
          <w:szCs w:val="22"/>
          <w:highlight w:val="none"/>
          <w:u w:val="single"/>
        </w:rPr>
        <w:t xml:space="preserve">    </w:t>
      </w:r>
      <w:r>
        <w:rPr>
          <w:rFonts w:hint="eastAsia" w:hAnsi="宋体" w:cs="宋体"/>
          <w:color w:val="auto"/>
          <w:sz w:val="22"/>
          <w:szCs w:val="22"/>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jc w:val="left"/>
        <w:textAlignment w:val="auto"/>
        <w:rPr>
          <w:color w:val="auto"/>
          <w:sz w:val="22"/>
          <w:szCs w:val="22"/>
          <w:highlight w:val="none"/>
        </w:rPr>
      </w:pPr>
      <w:r>
        <w:rPr>
          <w:rFonts w:hint="eastAsia" w:hAnsi="宋体" w:cs="宋体"/>
          <w:color w:val="auto"/>
          <w:sz w:val="22"/>
          <w:szCs w:val="22"/>
          <w:highlight w:val="none"/>
        </w:rPr>
        <w:t>承包人需要提交的竣工资料套数：</w:t>
      </w:r>
      <w:r>
        <w:rPr>
          <w:color w:val="auto"/>
          <w:sz w:val="22"/>
          <w:szCs w:val="22"/>
          <w:highlight w:val="none"/>
          <w:u w:val="single"/>
        </w:rPr>
        <w:t xml:space="preserve">  </w:t>
      </w:r>
      <w:r>
        <w:rPr>
          <w:rFonts w:hint="eastAsia" w:ascii="宋体" w:hAnsi="宋体" w:eastAsia="宋体" w:cs="宋体"/>
          <w:b w:val="0"/>
          <w:bCs w:val="0"/>
          <w:color w:val="auto"/>
          <w:kern w:val="0"/>
          <w:sz w:val="22"/>
          <w:szCs w:val="22"/>
          <w:highlight w:val="none"/>
          <w:u w:val="single"/>
          <w:lang w:val="en-US" w:eastAsia="zh-CN"/>
        </w:rPr>
        <w:t>肆</w:t>
      </w:r>
      <w:r>
        <w:rPr>
          <w:rFonts w:hint="eastAsia" w:ascii="宋体" w:hAnsi="宋体" w:eastAsia="宋体" w:cs="宋体"/>
          <w:b w:val="0"/>
          <w:bCs w:val="0"/>
          <w:color w:val="auto"/>
          <w:kern w:val="0"/>
          <w:sz w:val="22"/>
          <w:szCs w:val="22"/>
          <w:highlight w:val="none"/>
          <w:u w:val="single"/>
        </w:rPr>
        <w:t>套竣工图、</w:t>
      </w:r>
      <w:r>
        <w:rPr>
          <w:rFonts w:hint="eastAsia" w:ascii="宋体" w:hAnsi="宋体" w:eastAsia="宋体" w:cs="宋体"/>
          <w:b w:val="0"/>
          <w:bCs w:val="0"/>
          <w:color w:val="auto"/>
          <w:kern w:val="0"/>
          <w:sz w:val="22"/>
          <w:szCs w:val="22"/>
          <w:highlight w:val="none"/>
          <w:u w:val="single"/>
          <w:lang w:val="en-US" w:eastAsia="zh-CN"/>
        </w:rPr>
        <w:t>肆</w:t>
      </w:r>
      <w:r>
        <w:rPr>
          <w:rFonts w:hint="eastAsia" w:ascii="宋体" w:hAnsi="宋体" w:eastAsia="宋体" w:cs="宋体"/>
          <w:b w:val="0"/>
          <w:bCs w:val="0"/>
          <w:color w:val="auto"/>
          <w:kern w:val="0"/>
          <w:sz w:val="22"/>
          <w:szCs w:val="22"/>
          <w:highlight w:val="none"/>
          <w:u w:val="single"/>
        </w:rPr>
        <w:t>套竣工资料</w:t>
      </w:r>
      <w:r>
        <w:rPr>
          <w:color w:val="auto"/>
          <w:sz w:val="22"/>
          <w:szCs w:val="22"/>
          <w:highlight w:val="none"/>
          <w:u w:val="single"/>
        </w:rPr>
        <w:t xml:space="preserve">       </w:t>
      </w:r>
      <w:r>
        <w:rPr>
          <w:rFonts w:hint="eastAsia" w:hAnsi="宋体" w:cs="宋体"/>
          <w:color w:val="auto"/>
          <w:sz w:val="22"/>
          <w:szCs w:val="22"/>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jc w:val="left"/>
        <w:textAlignment w:val="auto"/>
        <w:rPr>
          <w:color w:val="auto"/>
          <w:sz w:val="22"/>
          <w:szCs w:val="22"/>
          <w:highlight w:val="none"/>
        </w:rPr>
      </w:pPr>
      <w:r>
        <w:rPr>
          <w:rFonts w:hint="eastAsia" w:hAnsi="宋体" w:cs="宋体"/>
          <w:color w:val="auto"/>
          <w:sz w:val="22"/>
          <w:szCs w:val="22"/>
          <w:highlight w:val="none"/>
        </w:rPr>
        <w:t>承包人提交的竣工资料的费用承担：</w:t>
      </w:r>
      <w:r>
        <w:rPr>
          <w:color w:val="auto"/>
          <w:sz w:val="22"/>
          <w:szCs w:val="22"/>
          <w:highlight w:val="none"/>
          <w:u w:val="single"/>
        </w:rPr>
        <w:t xml:space="preserve"> </w:t>
      </w:r>
      <w:r>
        <w:rPr>
          <w:rFonts w:hint="eastAsia" w:ascii="宋体" w:hAnsi="宋体" w:eastAsia="宋体" w:cs="宋体"/>
          <w:color w:val="auto"/>
          <w:sz w:val="22"/>
          <w:szCs w:val="22"/>
          <w:highlight w:val="none"/>
          <w:u w:val="single"/>
        </w:rPr>
        <w:t>由承包人承担</w:t>
      </w:r>
      <w:r>
        <w:rPr>
          <w:color w:val="auto"/>
          <w:sz w:val="22"/>
          <w:szCs w:val="22"/>
          <w:highlight w:val="none"/>
          <w:u w:val="single"/>
        </w:rPr>
        <w:t xml:space="preserve">         </w:t>
      </w:r>
      <w:r>
        <w:rPr>
          <w:rFonts w:hint="eastAsia" w:hAnsi="宋体" w:cs="宋体"/>
          <w:color w:val="auto"/>
          <w:sz w:val="22"/>
          <w:szCs w:val="22"/>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jc w:val="left"/>
        <w:textAlignment w:val="auto"/>
        <w:rPr>
          <w:color w:val="auto"/>
          <w:sz w:val="22"/>
          <w:szCs w:val="22"/>
          <w:highlight w:val="none"/>
        </w:rPr>
      </w:pPr>
      <w:r>
        <w:rPr>
          <w:rFonts w:hint="eastAsia" w:hAnsi="宋体" w:cs="宋体"/>
          <w:color w:val="auto"/>
          <w:sz w:val="22"/>
          <w:szCs w:val="22"/>
          <w:highlight w:val="none"/>
        </w:rPr>
        <w:t>承包人提交的竣工资料移交时间：</w:t>
      </w:r>
      <w:r>
        <w:rPr>
          <w:color w:val="auto"/>
          <w:sz w:val="22"/>
          <w:szCs w:val="22"/>
          <w:highlight w:val="none"/>
          <w:u w:val="single"/>
        </w:rPr>
        <w:t xml:space="preserve">  </w:t>
      </w:r>
      <w:r>
        <w:rPr>
          <w:rFonts w:hint="eastAsia" w:ascii="宋体" w:hAnsi="宋体" w:eastAsia="宋体" w:cs="宋体"/>
          <w:color w:val="auto"/>
          <w:sz w:val="22"/>
          <w:szCs w:val="22"/>
          <w:highlight w:val="none"/>
          <w:u w:val="single"/>
        </w:rPr>
        <w:t>竣工验收合格后</w:t>
      </w:r>
      <w:r>
        <w:rPr>
          <w:rFonts w:hint="eastAsia" w:ascii="宋体" w:hAnsi="宋体" w:eastAsia="宋体" w:cs="宋体"/>
          <w:color w:val="auto"/>
          <w:sz w:val="22"/>
          <w:szCs w:val="22"/>
          <w:highlight w:val="none"/>
          <w:u w:val="single"/>
          <w:lang w:val="en-US" w:eastAsia="zh-CN"/>
        </w:rPr>
        <w:t>15</w:t>
      </w:r>
      <w:r>
        <w:rPr>
          <w:rFonts w:hint="eastAsia" w:ascii="宋体" w:hAnsi="宋体" w:eastAsia="宋体" w:cs="宋体"/>
          <w:color w:val="auto"/>
          <w:sz w:val="22"/>
          <w:szCs w:val="22"/>
          <w:highlight w:val="none"/>
          <w:u w:val="single"/>
        </w:rPr>
        <w:t>天内</w:t>
      </w:r>
      <w:r>
        <w:rPr>
          <w:color w:val="auto"/>
          <w:sz w:val="22"/>
          <w:szCs w:val="22"/>
          <w:highlight w:val="none"/>
          <w:u w:val="single"/>
        </w:rPr>
        <w:t xml:space="preserve">     </w:t>
      </w:r>
      <w:r>
        <w:rPr>
          <w:rFonts w:hint="eastAsia" w:hAnsi="宋体" w:cs="宋体"/>
          <w:color w:val="auto"/>
          <w:sz w:val="22"/>
          <w:szCs w:val="22"/>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jc w:val="left"/>
        <w:textAlignment w:val="auto"/>
        <w:rPr>
          <w:color w:val="auto"/>
          <w:sz w:val="22"/>
          <w:szCs w:val="22"/>
          <w:highlight w:val="none"/>
        </w:rPr>
      </w:pPr>
      <w:r>
        <w:rPr>
          <w:rFonts w:hint="eastAsia" w:hAnsi="宋体" w:cs="宋体"/>
          <w:color w:val="auto"/>
          <w:sz w:val="22"/>
          <w:szCs w:val="22"/>
          <w:highlight w:val="none"/>
        </w:rPr>
        <w:t>承包人提交的竣工资料形式要求：</w:t>
      </w:r>
      <w:r>
        <w:rPr>
          <w:color w:val="auto"/>
          <w:sz w:val="22"/>
          <w:szCs w:val="22"/>
          <w:highlight w:val="none"/>
          <w:u w:val="single"/>
        </w:rPr>
        <w:t xml:space="preserve">  </w:t>
      </w:r>
      <w:r>
        <w:rPr>
          <w:rFonts w:hint="eastAsia"/>
          <w:color w:val="auto"/>
          <w:sz w:val="22"/>
          <w:szCs w:val="22"/>
          <w:highlight w:val="none"/>
          <w:u w:val="single"/>
        </w:rPr>
        <w:t>纸质及电子文档并装订成册</w:t>
      </w:r>
      <w:r>
        <w:rPr>
          <w:color w:val="auto"/>
          <w:sz w:val="22"/>
          <w:szCs w:val="22"/>
          <w:highlight w:val="none"/>
          <w:u w:val="single"/>
        </w:rPr>
        <w:t xml:space="preserve">           </w:t>
      </w:r>
      <w:r>
        <w:rPr>
          <w:rFonts w:hint="eastAsia" w:hAnsi="宋体" w:cs="宋体"/>
          <w:color w:val="auto"/>
          <w:sz w:val="22"/>
          <w:szCs w:val="22"/>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textAlignment w:val="auto"/>
        <w:rPr>
          <w:color w:val="auto"/>
          <w:kern w:val="0"/>
          <w:sz w:val="22"/>
          <w:szCs w:val="22"/>
          <w:highlight w:val="none"/>
        </w:rPr>
      </w:pPr>
      <w:r>
        <w:rPr>
          <w:rFonts w:hint="eastAsia" w:hAnsi="宋体" w:cs="宋体"/>
          <w:color w:val="auto"/>
          <w:kern w:val="0"/>
          <w:sz w:val="22"/>
          <w:szCs w:val="22"/>
          <w:highlight w:val="none"/>
        </w:rPr>
        <w:t>（</w:t>
      </w:r>
      <w:r>
        <w:rPr>
          <w:color w:val="auto"/>
          <w:kern w:val="0"/>
          <w:sz w:val="22"/>
          <w:szCs w:val="22"/>
          <w:highlight w:val="none"/>
        </w:rPr>
        <w:t>10</w:t>
      </w:r>
      <w:r>
        <w:rPr>
          <w:rFonts w:hint="eastAsia" w:hAnsi="宋体" w:cs="宋体"/>
          <w:color w:val="auto"/>
          <w:kern w:val="0"/>
          <w:sz w:val="22"/>
          <w:szCs w:val="22"/>
          <w:highlight w:val="none"/>
        </w:rPr>
        <w:t>）承包人应履行的其他义务：</w:t>
      </w:r>
      <w:r>
        <w:rPr>
          <w:color w:val="auto"/>
          <w:kern w:val="0"/>
          <w:sz w:val="22"/>
          <w:szCs w:val="22"/>
          <w:highlight w:val="none"/>
          <w:u w:val="single"/>
        </w:rPr>
        <w:t xml:space="preserve">                      </w:t>
      </w:r>
      <w:r>
        <w:rPr>
          <w:rFonts w:hint="eastAsia"/>
          <w:color w:val="auto"/>
          <w:kern w:val="0"/>
          <w:sz w:val="22"/>
          <w:szCs w:val="22"/>
          <w:highlight w:val="none"/>
          <w:u w:val="single"/>
          <w:lang w:val="en-US" w:eastAsia="zh-CN"/>
        </w:rPr>
        <w:t xml:space="preserve"> </w:t>
      </w:r>
      <w:r>
        <w:rPr>
          <w:color w:val="auto"/>
          <w:kern w:val="0"/>
          <w:sz w:val="22"/>
          <w:szCs w:val="22"/>
          <w:highlight w:val="none"/>
          <w:u w:val="single"/>
        </w:rPr>
        <w:t xml:space="preserve">  </w:t>
      </w:r>
      <w:r>
        <w:rPr>
          <w:rFonts w:hint="eastAsia" w:hAnsi="宋体" w:cs="宋体"/>
          <w:color w:val="auto"/>
          <w:kern w:val="0"/>
          <w:sz w:val="22"/>
          <w:szCs w:val="22"/>
          <w:highlight w:val="none"/>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361" w:name="_Toc389065274"/>
      <w:bookmarkStart w:id="362" w:name="_Toc373227708"/>
      <w:bookmarkStart w:id="363" w:name="_Toc407135210"/>
      <w:bookmarkStart w:id="364" w:name="_Toc373478355"/>
      <w:bookmarkStart w:id="365" w:name="_Toc4050"/>
      <w:bookmarkStart w:id="366" w:name="_Toc9325"/>
      <w:bookmarkStart w:id="367" w:name="_Toc15378"/>
      <w:bookmarkStart w:id="368" w:name="_Toc6842"/>
      <w:bookmarkStart w:id="369" w:name="_Toc9850538"/>
      <w:r>
        <w:rPr>
          <w:color w:val="auto"/>
          <w:highlight w:val="none"/>
        </w:rPr>
        <w:t xml:space="preserve">3.2 </w:t>
      </w:r>
      <w:r>
        <w:rPr>
          <w:rFonts w:hint="eastAsia" w:hAnsi="宋体" w:cs="黑体"/>
          <w:color w:val="auto"/>
          <w:highlight w:val="none"/>
        </w:rPr>
        <w:t>项目经理</w:t>
      </w:r>
      <w:bookmarkEnd w:id="361"/>
      <w:bookmarkEnd w:id="362"/>
      <w:bookmarkEnd w:id="363"/>
      <w:bookmarkEnd w:id="364"/>
      <w:bookmarkEnd w:id="365"/>
      <w:bookmarkEnd w:id="366"/>
      <w:bookmarkEnd w:id="367"/>
      <w:bookmarkEnd w:id="368"/>
      <w:bookmarkEnd w:id="369"/>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color w:val="auto"/>
          <w:kern w:val="0"/>
          <w:highlight w:val="none"/>
        </w:rPr>
        <w:t xml:space="preserve">3.2.1 </w:t>
      </w:r>
      <w:r>
        <w:rPr>
          <w:rFonts w:hint="eastAsia" w:hAnsi="宋体" w:cs="宋体"/>
          <w:color w:val="auto"/>
          <w:highlight w:val="none"/>
        </w:rPr>
        <w:t>项目经理：</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Ansi="宋体"/>
          <w:color w:val="auto"/>
          <w:highlight w:val="none"/>
        </w:rPr>
        <w:t>建造师执业资格等级：</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Ansi="宋体"/>
          <w:color w:val="auto"/>
          <w:highlight w:val="none"/>
        </w:rPr>
        <w:t>建造师注册证书号：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Ansi="宋体"/>
          <w:color w:val="auto"/>
          <w:highlight w:val="none"/>
        </w:rPr>
        <w:t>建造师执业印章号：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rFonts w:hAnsi="宋体"/>
          <w:color w:val="auto"/>
          <w:highlight w:val="none"/>
        </w:rPr>
      </w:pPr>
      <w:r>
        <w:rPr>
          <w:rFonts w:hAnsi="宋体"/>
          <w:color w:val="auto"/>
          <w:highlight w:val="none"/>
        </w:rPr>
        <w:t>安全生产考核合格证书号：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rFonts w:hint="eastAsia" w:hAnsi="宋体"/>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sz w:val="22"/>
          <w:szCs w:val="22"/>
          <w:highlight w:val="none"/>
        </w:rPr>
      </w:pPr>
      <w:r>
        <w:rPr>
          <w:rFonts w:hint="eastAsia" w:hAnsi="宋体" w:cs="宋体"/>
          <w:color w:val="auto"/>
          <w:sz w:val="22"/>
          <w:szCs w:val="22"/>
          <w:highlight w:val="none"/>
        </w:rPr>
        <w:t>承包人对项目经理的授权范围如下：</w:t>
      </w:r>
      <w:r>
        <w:rPr>
          <w:color w:val="auto"/>
          <w:sz w:val="22"/>
          <w:szCs w:val="22"/>
          <w:highlight w:val="none"/>
          <w:u w:val="single"/>
        </w:rPr>
        <w:t xml:space="preserve"> </w:t>
      </w:r>
      <w:r>
        <w:rPr>
          <w:rFonts w:hint="eastAsia"/>
          <w:color w:val="auto"/>
          <w:highlight w:val="none"/>
          <w:u w:val="single"/>
        </w:rPr>
        <w:t>（1）经授权组建总承包管理项目部，提出项目部的组织机构，选择项目部成员，确定项目部人员的职责；（2）在授权范围内，按以上项目总负责人职责规定的职责，行使相应的管理权；（3）在合同范围内，有权按规定程序使用工程总承包企业的相关资源，并取得有关部门的支持；（4）主持项目部的工作，组织制定项目的各项管理规定；（5） 根据企业法定代表人授权，协调和处理与项目有关的内、外部事项</w:t>
      </w:r>
      <w:r>
        <w:rPr>
          <w:color w:val="auto"/>
          <w:sz w:val="22"/>
          <w:szCs w:val="22"/>
          <w:highlight w:val="none"/>
          <w:u w:val="single"/>
        </w:rPr>
        <w:t xml:space="preserve">    </w:t>
      </w:r>
      <w:r>
        <w:rPr>
          <w:rFonts w:hint="eastAsia" w:hAnsi="宋体" w:cs="宋体"/>
          <w:color w:val="auto"/>
          <w:sz w:val="22"/>
          <w:szCs w:val="22"/>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kern w:val="0"/>
          <w:sz w:val="22"/>
          <w:szCs w:val="22"/>
          <w:highlight w:val="none"/>
        </w:rPr>
      </w:pPr>
      <w:r>
        <w:rPr>
          <w:rFonts w:hint="eastAsia" w:hAnsi="宋体" w:cs="宋体"/>
          <w:color w:val="auto"/>
          <w:kern w:val="0"/>
          <w:sz w:val="22"/>
          <w:szCs w:val="22"/>
          <w:highlight w:val="none"/>
        </w:rPr>
        <w:t>关于项目经理每月在施工现场的时间要求：</w:t>
      </w:r>
      <w:r>
        <w:rPr>
          <w:color w:val="auto"/>
          <w:sz w:val="22"/>
          <w:szCs w:val="22"/>
          <w:highlight w:val="none"/>
          <w:u w:val="single"/>
        </w:rPr>
        <w:t xml:space="preserve"> </w:t>
      </w:r>
      <w:r>
        <w:rPr>
          <w:rFonts w:hint="eastAsia"/>
          <w:color w:val="auto"/>
          <w:highlight w:val="none"/>
          <w:u w:val="single"/>
        </w:rPr>
        <w:t>不少于22天（特殊情况需征得发包人同意）</w:t>
      </w:r>
      <w:r>
        <w:rPr>
          <w:rFonts w:hint="eastAsia"/>
          <w:color w:val="auto"/>
          <w:sz w:val="22"/>
          <w:szCs w:val="22"/>
          <w:highlight w:val="none"/>
          <w:u w:val="single"/>
        </w:rPr>
        <w:t xml:space="preserve">  </w:t>
      </w:r>
      <w:r>
        <w:rPr>
          <w:rFonts w:hint="eastAsia" w:hAnsi="宋体" w:cs="宋体"/>
          <w:color w:val="auto"/>
          <w:sz w:val="22"/>
          <w:szCs w:val="22"/>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kern w:val="0"/>
          <w:highlight w:val="none"/>
        </w:rPr>
      </w:pPr>
      <w:r>
        <w:rPr>
          <w:rFonts w:hint="eastAsia" w:hAnsi="宋体" w:cs="宋体"/>
          <w:color w:val="auto"/>
          <w:kern w:val="0"/>
          <w:sz w:val="22"/>
          <w:szCs w:val="22"/>
          <w:highlight w:val="none"/>
        </w:rPr>
        <w:t>承包人未提交劳动合同，以及没有为项目经理缴纳社会保险证明的违约责任：</w:t>
      </w:r>
      <w:r>
        <w:rPr>
          <w:color w:val="auto"/>
          <w:highlight w:val="none"/>
          <w:u w:val="single"/>
        </w:rPr>
        <w:t xml:space="preserve"> </w:t>
      </w:r>
      <w:r>
        <w:rPr>
          <w:rFonts w:hint="eastAsia" w:ascii="Calibri" w:hAnsi="Calibri"/>
          <w:color w:val="auto"/>
          <w:highlight w:val="none"/>
          <w:u w:val="single"/>
        </w:rPr>
        <w:t>由承包人自行承担相关责任</w:t>
      </w:r>
      <w:r>
        <w:rPr>
          <w:rFonts w:hAnsi="宋体"/>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u w:val="single"/>
        </w:rPr>
      </w:pPr>
      <w:r>
        <w:rPr>
          <w:rFonts w:hint="eastAsia" w:hAnsi="宋体" w:cs="宋体"/>
          <w:color w:val="auto"/>
          <w:kern w:val="0"/>
          <w:highlight w:val="none"/>
        </w:rPr>
        <w:t>项目经理未经批准，擅自离开施工现场的违约责任：</w:t>
      </w:r>
      <w:r>
        <w:rPr>
          <w:rFonts w:hint="eastAsia" w:hAnsi="宋体" w:cs="宋体"/>
          <w:color w:val="auto"/>
          <w:highlight w:val="none"/>
          <w:u w:val="single"/>
        </w:rPr>
        <w:t>项目经理每月在岗带班时间不得少于当月施工时间的</w:t>
      </w:r>
      <w:r>
        <w:rPr>
          <w:rFonts w:hAnsi="宋体"/>
          <w:color w:val="auto"/>
          <w:highlight w:val="none"/>
          <w:u w:val="single"/>
        </w:rPr>
        <w:t>80%</w:t>
      </w:r>
      <w:r>
        <w:rPr>
          <w:rFonts w:hint="eastAsia" w:hAnsi="宋体" w:cs="宋体"/>
          <w:color w:val="auto"/>
          <w:highlight w:val="none"/>
          <w:u w:val="single"/>
        </w:rPr>
        <w:t>。未经发包人同意或正当理由，项目经理每月在岗带班时间少于当月施工时间</w:t>
      </w:r>
      <w:r>
        <w:rPr>
          <w:rFonts w:hAnsi="宋体"/>
          <w:color w:val="auto"/>
          <w:highlight w:val="none"/>
          <w:u w:val="single"/>
        </w:rPr>
        <w:t>80%</w:t>
      </w:r>
      <w:r>
        <w:rPr>
          <w:rFonts w:hint="eastAsia" w:hAnsi="宋体" w:cs="宋体"/>
          <w:color w:val="auto"/>
          <w:highlight w:val="none"/>
          <w:u w:val="single"/>
        </w:rPr>
        <w:t>的，少在岗带班一天，发包人有权处违约金</w:t>
      </w:r>
      <w:r>
        <w:rPr>
          <w:color w:val="auto"/>
          <w:highlight w:val="none"/>
          <w:u w:val="single"/>
        </w:rPr>
        <w:t xml:space="preserve"> </w:t>
      </w:r>
      <w:r>
        <w:rPr>
          <w:rFonts w:hint="eastAsia"/>
          <w:color w:val="auto"/>
          <w:highlight w:val="none"/>
          <w:u w:val="single"/>
          <w:lang w:val="en-US" w:eastAsia="zh-CN"/>
        </w:rPr>
        <w:t>100</w:t>
      </w:r>
      <w:r>
        <w:rPr>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cs="宋体"/>
          <w:color w:val="auto"/>
          <w:highlight w:val="none"/>
          <w:u w:val="single"/>
        </w:rPr>
        <w:t>日（</w:t>
      </w:r>
      <w:r>
        <w:rPr>
          <w:rFonts w:hint="eastAsia" w:hAnsi="宋体" w:cs="宋体"/>
          <w:color w:val="auto"/>
          <w:highlight w:val="none"/>
          <w:u w:val="single"/>
        </w:rPr>
        <w:t>人民币</w:t>
      </w:r>
      <w:r>
        <w:rPr>
          <w:rFonts w:hint="eastAsia" w:cs="宋体"/>
          <w:color w:val="auto"/>
          <w:highlight w:val="none"/>
          <w:u w:val="single"/>
        </w:rPr>
        <w:t>）</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rFonts w:hAnsi="宋体"/>
          <w:color w:val="auto"/>
          <w:highlight w:val="none"/>
        </w:rPr>
      </w:pPr>
      <w:r>
        <w:rPr>
          <w:color w:val="auto"/>
          <w:highlight w:val="none"/>
        </w:rPr>
        <w:t xml:space="preserve">3.2.3 </w:t>
      </w:r>
      <w:r>
        <w:rPr>
          <w:rFonts w:hint="eastAsia" w:hAnsi="宋体" w:cs="宋体"/>
          <w:color w:val="auto"/>
          <w:highlight w:val="none"/>
        </w:rPr>
        <w:t>承包人擅自更换项目经理的违约责任：</w:t>
      </w:r>
      <w:r>
        <w:rPr>
          <w:rFonts w:hint="eastAsia" w:hAnsi="宋体" w:cs="宋体"/>
          <w:color w:val="auto"/>
          <w:highlight w:val="none"/>
          <w:u w:val="single"/>
        </w:rPr>
        <w:t>承包人项目经理必须与承包人投标时所承诺的人员一致，并在</w:t>
      </w:r>
      <w:r>
        <w:rPr>
          <w:color w:val="auto"/>
          <w:highlight w:val="none"/>
          <w:u w:val="single"/>
        </w:rPr>
        <w:t xml:space="preserve">  </w:t>
      </w:r>
      <w:r>
        <w:rPr>
          <w:rFonts w:hint="eastAsia" w:hAnsi="宋体" w:cs="宋体"/>
          <w:color w:val="auto"/>
          <w:highlight w:val="none"/>
          <w:u w:val="single"/>
        </w:rPr>
        <w:t>（开工日期）</w:t>
      </w:r>
      <w:r>
        <w:rPr>
          <w:color w:val="auto"/>
          <w:highlight w:val="none"/>
          <w:u w:val="single"/>
        </w:rPr>
        <w:t xml:space="preserve">  </w:t>
      </w:r>
      <w:r>
        <w:rPr>
          <w:rFonts w:hint="eastAsia" w:hAnsi="宋体" w:cs="宋体"/>
          <w:color w:val="auto"/>
          <w:highlight w:val="none"/>
          <w:u w:val="single"/>
        </w:rPr>
        <w:t>前到任。在监理人向承包人颁发</w:t>
      </w:r>
      <w:r>
        <w:rPr>
          <w:color w:val="auto"/>
          <w:highlight w:val="none"/>
          <w:u w:val="single"/>
        </w:rPr>
        <w:t xml:space="preserve">    </w:t>
      </w:r>
      <w:r>
        <w:rPr>
          <w:rFonts w:hint="eastAsia" w:hAnsi="宋体" w:cs="宋体"/>
          <w:color w:val="auto"/>
          <w:highlight w:val="none"/>
          <w:u w:val="single"/>
        </w:rPr>
        <w:t>（竣工证明材料名称）</w:t>
      </w:r>
      <w:r>
        <w:rPr>
          <w:color w:val="auto"/>
          <w:highlight w:val="none"/>
          <w:u w:val="single"/>
        </w:rPr>
        <w:t xml:space="preserve">    </w:t>
      </w:r>
      <w:r>
        <w:rPr>
          <w:rFonts w:hint="eastAsia" w:hAnsi="宋体" w:cs="宋体"/>
          <w:color w:val="auto"/>
          <w:highlight w:val="none"/>
          <w:u w:val="single"/>
        </w:rPr>
        <w:t>前，项目经理不得同时兼任其他任何项目的项目经理</w:t>
      </w:r>
      <w:r>
        <w:rPr>
          <w:rFonts w:hint="eastAsia" w:hAnsi="宋体" w:cs="宋体"/>
          <w:color w:val="auto"/>
          <w:kern w:val="0"/>
          <w:highlight w:val="none"/>
          <w:u w:val="single"/>
        </w:rPr>
        <w:t>（符合桂建管</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w:t>
      </w:r>
      <w:r>
        <w:rPr>
          <w:color w:val="auto"/>
          <w:kern w:val="0"/>
          <w:highlight w:val="none"/>
          <w:u w:val="single"/>
        </w:rPr>
        <w:t>17</w:t>
      </w:r>
      <w:r>
        <w:rPr>
          <w:rFonts w:hint="eastAsia" w:hAnsi="宋体" w:cs="宋体"/>
          <w:color w:val="auto"/>
          <w:kern w:val="0"/>
          <w:highlight w:val="none"/>
          <w:u w:val="single"/>
        </w:rPr>
        <w:t>号和</w:t>
      </w:r>
      <w:r>
        <w:rPr>
          <w:rFonts w:hint="eastAsia" w:hAnsi="宋体" w:cs="宋体"/>
          <w:color w:val="auto"/>
          <w:highlight w:val="none"/>
          <w:u w:val="single"/>
        </w:rPr>
        <w:t>桂建管﹝</w:t>
      </w:r>
      <w:r>
        <w:rPr>
          <w:color w:val="auto"/>
          <w:highlight w:val="none"/>
          <w:u w:val="single"/>
        </w:rPr>
        <w:t>2014</w:t>
      </w:r>
      <w:r>
        <w:rPr>
          <w:rFonts w:hint="eastAsia" w:hAnsi="宋体" w:cs="宋体"/>
          <w:color w:val="auto"/>
          <w:highlight w:val="none"/>
          <w:u w:val="single"/>
        </w:rPr>
        <w:t>﹞</w:t>
      </w:r>
      <w:r>
        <w:rPr>
          <w:color w:val="auto"/>
          <w:highlight w:val="none"/>
          <w:u w:val="single"/>
        </w:rPr>
        <w:t>25</w:t>
      </w:r>
      <w:r>
        <w:rPr>
          <w:rFonts w:hint="eastAsia" w:hAnsi="宋体" w:cs="宋体"/>
          <w:color w:val="auto"/>
          <w:highlight w:val="none"/>
          <w:u w:val="single"/>
        </w:rPr>
        <w:t>号</w:t>
      </w:r>
      <w:r>
        <w:rPr>
          <w:rFonts w:hint="eastAsia" w:hAnsi="宋体" w:cs="宋体"/>
          <w:color w:val="auto"/>
          <w:kern w:val="0"/>
          <w:highlight w:val="none"/>
          <w:u w:val="single"/>
        </w:rPr>
        <w:t>文除外）</w:t>
      </w:r>
      <w:r>
        <w:rPr>
          <w:rFonts w:hint="eastAsia" w:hAnsi="宋体" w:cs="宋体"/>
          <w:color w:val="auto"/>
          <w:highlight w:val="none"/>
          <w:u w:val="single"/>
        </w:rPr>
        <w:t>。未经发包人书面同意，承包人擅自更换项目经理的视为违约，违约金处</w:t>
      </w:r>
      <w:r>
        <w:rPr>
          <w:color w:val="auto"/>
          <w:highlight w:val="none"/>
          <w:u w:val="single"/>
        </w:rPr>
        <w:t xml:space="preserve"> </w:t>
      </w:r>
      <w:r>
        <w:rPr>
          <w:rFonts w:hint="eastAsia"/>
          <w:color w:val="auto"/>
          <w:highlight w:val="none"/>
          <w:u w:val="single"/>
          <w:lang w:val="en-US" w:eastAsia="zh-CN"/>
        </w:rPr>
        <w:t>200</w:t>
      </w:r>
      <w:r>
        <w:rPr>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color w:val="auto"/>
          <w:highlight w:val="none"/>
        </w:rPr>
        <w:t xml:space="preserve">3.2.4 </w:t>
      </w:r>
      <w:r>
        <w:rPr>
          <w:rFonts w:hint="eastAsia" w:hAnsi="宋体" w:cs="宋体"/>
          <w:color w:val="auto"/>
          <w:highlight w:val="none"/>
        </w:rPr>
        <w:t>承包人无正当理由拒绝更换项目经理的违约责任：</w:t>
      </w:r>
      <w:r>
        <w:rPr>
          <w:rFonts w:hint="eastAsia" w:hAnsi="宋体" w:cs="宋体"/>
          <w:color w:val="auto"/>
          <w:highlight w:val="none"/>
          <w:u w:val="single"/>
        </w:rPr>
        <w:t>因承包人项目经理不称职，发包人要求调换而未及时调换的，视为承包人违约，必须向发包人交纳处罚金</w:t>
      </w:r>
      <w:r>
        <w:rPr>
          <w:color w:val="auto"/>
          <w:highlight w:val="none"/>
          <w:u w:val="single"/>
        </w:rPr>
        <w:t xml:space="preserve"> </w:t>
      </w:r>
      <w:r>
        <w:rPr>
          <w:rFonts w:hint="eastAsia"/>
          <w:color w:val="auto"/>
          <w:highlight w:val="none"/>
          <w:u w:val="single"/>
          <w:lang w:val="en-US" w:eastAsia="zh-CN"/>
        </w:rPr>
        <w:t>100</w:t>
      </w:r>
      <w:r>
        <w:rPr>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370" w:name="_Toc23961"/>
      <w:bookmarkStart w:id="371" w:name="_Toc9850539"/>
      <w:bookmarkStart w:id="372" w:name="_Toc373227709"/>
      <w:bookmarkStart w:id="373" w:name="_Toc407135211"/>
      <w:bookmarkStart w:id="374" w:name="_Toc389065275"/>
      <w:bookmarkStart w:id="375" w:name="_Toc373478356"/>
      <w:bookmarkStart w:id="376" w:name="_Toc17721"/>
      <w:bookmarkStart w:id="377" w:name="_Toc20500"/>
      <w:bookmarkStart w:id="378" w:name="_Toc21370"/>
      <w:r>
        <w:rPr>
          <w:color w:val="auto"/>
          <w:highlight w:val="none"/>
        </w:rPr>
        <w:t xml:space="preserve">3.3 </w:t>
      </w:r>
      <w:r>
        <w:rPr>
          <w:rFonts w:hint="eastAsia" w:hAnsi="宋体" w:cs="黑体"/>
          <w:color w:val="auto"/>
          <w:highlight w:val="none"/>
        </w:rPr>
        <w:t>承包人人员</w:t>
      </w:r>
      <w:bookmarkEnd w:id="370"/>
      <w:bookmarkEnd w:id="371"/>
      <w:bookmarkEnd w:id="372"/>
      <w:bookmarkEnd w:id="373"/>
      <w:bookmarkEnd w:id="374"/>
      <w:bookmarkEnd w:id="375"/>
      <w:bookmarkEnd w:id="376"/>
      <w:bookmarkEnd w:id="377"/>
      <w:bookmarkEnd w:id="378"/>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color w:val="auto"/>
          <w:highlight w:val="none"/>
        </w:rPr>
        <w:t xml:space="preserve">3.3.1 </w:t>
      </w:r>
      <w:r>
        <w:rPr>
          <w:rFonts w:hint="eastAsia" w:hAnsi="宋体" w:cs="宋体"/>
          <w:color w:val="auto"/>
          <w:highlight w:val="none"/>
        </w:rPr>
        <w:t>承包人提交项目管理机构及施工现场管理人员安排报告（格式见合同附件</w:t>
      </w:r>
      <w:r>
        <w:rPr>
          <w:rFonts w:hint="eastAsia" w:hAnsi="宋体"/>
          <w:color w:val="auto"/>
          <w:highlight w:val="none"/>
        </w:rPr>
        <w:t>5</w:t>
      </w:r>
      <w:r>
        <w:rPr>
          <w:rFonts w:hint="eastAsia" w:hAnsi="宋体" w:cs="宋体"/>
          <w:color w:val="auto"/>
          <w:highlight w:val="none"/>
        </w:rPr>
        <w:t>）的期限：</w:t>
      </w:r>
      <w:r>
        <w:rPr>
          <w:color w:val="auto"/>
          <w:highlight w:val="none"/>
          <w:u w:val="single"/>
        </w:rPr>
        <w:t xml:space="preserve"> </w:t>
      </w:r>
      <w:r>
        <w:rPr>
          <w:rFonts w:hint="eastAsia"/>
          <w:color w:val="auto"/>
          <w:highlight w:val="none"/>
          <w:u w:val="single"/>
          <w:lang w:eastAsia="zh-CN"/>
        </w:rPr>
        <w:t>接到开工通知后</w:t>
      </w:r>
      <w:r>
        <w:rPr>
          <w:rFonts w:hint="eastAsia"/>
          <w:color w:val="auto"/>
          <w:highlight w:val="none"/>
          <w:u w:val="single"/>
          <w:lang w:val="en-US" w:eastAsia="zh-CN"/>
        </w:rPr>
        <w:t xml:space="preserve"> </w:t>
      </w:r>
      <w:r>
        <w:rPr>
          <w:rFonts w:hint="eastAsia"/>
          <w:color w:val="auto"/>
          <w:highlight w:val="none"/>
          <w:u w:val="single"/>
        </w:rPr>
        <w:t>7</w:t>
      </w:r>
      <w:r>
        <w:rPr>
          <w:rFonts w:hint="eastAsia"/>
          <w:color w:val="auto"/>
          <w:highlight w:val="none"/>
          <w:u w:val="single"/>
          <w:lang w:val="en-US" w:eastAsia="zh-CN"/>
        </w:rPr>
        <w:t xml:space="preserve"> </w:t>
      </w:r>
      <w:r>
        <w:rPr>
          <w:rFonts w:hint="eastAsia"/>
          <w:color w:val="auto"/>
          <w:highlight w:val="none"/>
          <w:u w:val="single"/>
        </w:rPr>
        <w:t>日内</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color w:val="auto"/>
          <w:highlight w:val="none"/>
        </w:rPr>
        <w:t xml:space="preserve">3.3.3 </w:t>
      </w:r>
      <w:r>
        <w:rPr>
          <w:rFonts w:hint="eastAsia" w:hAnsi="宋体" w:cs="宋体"/>
          <w:color w:val="auto"/>
          <w:highlight w:val="none"/>
        </w:rPr>
        <w:t>承包人无正当理由拒绝撤换主要施工管理人员的违约责任：</w:t>
      </w:r>
      <w:r>
        <w:rPr>
          <w:rFonts w:hint="eastAsia" w:hAnsi="宋体" w:cs="宋体"/>
          <w:color w:val="auto"/>
          <w:highlight w:val="none"/>
          <w:u w:val="single"/>
        </w:rPr>
        <w:t>因承包人主要施工管理人员不称职，发包人要求调换而无正当理由拒绝撤换或未及时调换的，视为承包人违约，必须向发包人交纳处罚金，处罚标准：技术负责人</w:t>
      </w:r>
      <w:r>
        <w:rPr>
          <w:color w:val="auto"/>
          <w:highlight w:val="none"/>
          <w:u w:val="single"/>
        </w:rPr>
        <w:t xml:space="preserve"> </w:t>
      </w:r>
      <w:r>
        <w:rPr>
          <w:rFonts w:hint="eastAsia"/>
          <w:color w:val="auto"/>
          <w:highlight w:val="none"/>
          <w:u w:val="single"/>
          <w:lang w:val="en-US" w:eastAsia="zh-CN"/>
        </w:rPr>
        <w:t>100</w:t>
      </w:r>
      <w:r>
        <w:rPr>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；专业工程师</w:t>
      </w:r>
      <w:r>
        <w:rPr>
          <w:color w:val="auto"/>
          <w:highlight w:val="none"/>
          <w:u w:val="single"/>
        </w:rPr>
        <w:t xml:space="preserve"> </w:t>
      </w:r>
      <w:r>
        <w:rPr>
          <w:rFonts w:hint="eastAsia"/>
          <w:color w:val="auto"/>
          <w:highlight w:val="none"/>
          <w:u w:val="single"/>
          <w:lang w:val="en-US" w:eastAsia="zh-CN"/>
        </w:rPr>
        <w:t>100</w:t>
      </w:r>
      <w:r>
        <w:rPr>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spacing w:line="360" w:lineRule="auto"/>
        <w:ind w:firstLine="440" w:firstLineChars="200"/>
        <w:rPr>
          <w:color w:val="auto"/>
          <w:highlight w:val="none"/>
          <w:u w:val="single"/>
        </w:rPr>
      </w:pPr>
      <w:r>
        <w:rPr>
          <w:color w:val="auto"/>
          <w:highlight w:val="none"/>
        </w:rPr>
        <w:t xml:space="preserve">3.3.4 </w:t>
      </w:r>
      <w:r>
        <w:rPr>
          <w:rFonts w:hint="eastAsia" w:hAnsi="宋体" w:cs="宋体"/>
          <w:color w:val="auto"/>
          <w:highlight w:val="none"/>
        </w:rPr>
        <w:t>承包人主要施工管理人员离开施工现场的批准要求：</w:t>
      </w:r>
      <w:r>
        <w:rPr>
          <w:color w:val="auto"/>
          <w:highlight w:val="none"/>
          <w:u w:val="single"/>
        </w:rPr>
        <w:t xml:space="preserve"> </w:t>
      </w:r>
      <w:r>
        <w:rPr>
          <w:rFonts w:hint="eastAsia"/>
          <w:color w:val="auto"/>
          <w:highlight w:val="none"/>
          <w:u w:val="single"/>
        </w:rPr>
        <w:t>书面报批发包人并经发包人同意</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color w:val="auto"/>
          <w:highlight w:val="none"/>
        </w:rPr>
        <w:t xml:space="preserve">3.3.5 </w:t>
      </w:r>
      <w:r>
        <w:rPr>
          <w:rFonts w:hint="eastAsia" w:hAnsi="宋体" w:cs="宋体"/>
          <w:color w:val="auto"/>
          <w:highlight w:val="none"/>
        </w:rPr>
        <w:t>承包人擅自更换主要施工管理人员的违约责任：</w:t>
      </w:r>
      <w:r>
        <w:rPr>
          <w:rFonts w:hint="eastAsia" w:hAnsi="宋体" w:cs="宋体"/>
          <w:color w:val="auto"/>
          <w:highlight w:val="none"/>
          <w:u w:val="single"/>
        </w:rPr>
        <w:t>项目技术负责人、专职安全生产管理人员及其承诺的其它在场管理人员未经发包人书面同意不准擅自更换，擅自更换项目技术负责人处</w:t>
      </w:r>
      <w:r>
        <w:rPr>
          <w:color w:val="auto"/>
          <w:highlight w:val="none"/>
          <w:u w:val="single"/>
        </w:rPr>
        <w:t xml:space="preserve"> </w:t>
      </w:r>
      <w:r>
        <w:rPr>
          <w:rFonts w:hint="eastAsia"/>
          <w:color w:val="auto"/>
          <w:highlight w:val="none"/>
          <w:u w:val="single"/>
          <w:lang w:val="en-US" w:eastAsia="zh-CN"/>
        </w:rPr>
        <w:t>100</w:t>
      </w:r>
      <w:r>
        <w:rPr>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违约金；擅自更换专职安全生产管理人员处</w:t>
      </w:r>
      <w:r>
        <w:rPr>
          <w:color w:val="auto"/>
          <w:highlight w:val="none"/>
          <w:u w:val="single"/>
        </w:rPr>
        <w:t xml:space="preserve"> </w:t>
      </w:r>
      <w:r>
        <w:rPr>
          <w:rFonts w:hint="eastAsia"/>
          <w:color w:val="auto"/>
          <w:highlight w:val="none"/>
          <w:u w:val="single"/>
          <w:lang w:val="en-US" w:eastAsia="zh-CN"/>
        </w:rPr>
        <w:t>100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违约金；擅自更换其它在场管理人员处</w:t>
      </w:r>
      <w:r>
        <w:rPr>
          <w:color w:val="auto"/>
          <w:highlight w:val="none"/>
          <w:u w:val="single"/>
        </w:rPr>
        <w:t xml:space="preserve"> </w:t>
      </w:r>
      <w:r>
        <w:rPr>
          <w:rFonts w:hint="eastAsia"/>
          <w:color w:val="auto"/>
          <w:highlight w:val="none"/>
          <w:u w:val="single"/>
          <w:lang w:val="en-US" w:eastAsia="zh-CN"/>
        </w:rPr>
        <w:t>100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违约金</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int="eastAsia" w:hAnsi="宋体" w:cs="宋体"/>
          <w:color w:val="auto"/>
          <w:highlight w:val="none"/>
        </w:rPr>
        <w:t>承包人主要施工管理人员擅自离开施工现场的违约责任：</w:t>
      </w:r>
      <w:r>
        <w:rPr>
          <w:rFonts w:hint="eastAsia" w:hAnsi="宋体" w:cs="宋体"/>
          <w:color w:val="auto"/>
          <w:highlight w:val="none"/>
          <w:u w:val="single"/>
        </w:rPr>
        <w:t>未经发包人同意，项目技术负责人擅自离岗的，视为承包人违约，发包人有权处违约金</w:t>
      </w:r>
      <w:r>
        <w:rPr>
          <w:color w:val="auto"/>
          <w:highlight w:val="none"/>
          <w:u w:val="single"/>
        </w:rPr>
        <w:t xml:space="preserve"> </w:t>
      </w:r>
      <w:r>
        <w:rPr>
          <w:rFonts w:hint="eastAsia"/>
          <w:color w:val="auto"/>
          <w:highlight w:val="none"/>
          <w:u w:val="single"/>
          <w:lang w:val="en-US" w:eastAsia="zh-CN"/>
        </w:rPr>
        <w:t>100</w:t>
      </w:r>
      <w:r>
        <w:rPr>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；未经发包人同意，专职安全生产管理人员擅自离岗的，视为承包人违约，发包人有权处违约金</w:t>
      </w:r>
      <w:r>
        <w:rPr>
          <w:color w:val="auto"/>
          <w:highlight w:val="none"/>
          <w:u w:val="single"/>
        </w:rPr>
        <w:t xml:space="preserve">  </w:t>
      </w:r>
      <w:r>
        <w:rPr>
          <w:rFonts w:hint="eastAsia"/>
          <w:color w:val="auto"/>
          <w:highlight w:val="none"/>
          <w:u w:val="single"/>
          <w:lang w:val="en-US" w:eastAsia="zh-CN"/>
        </w:rPr>
        <w:t>100</w:t>
      </w:r>
      <w:r>
        <w:rPr>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u w:val="single"/>
        </w:rPr>
        <w:t>；其它在场管理人员擅自离岗的，视为承包人违约，发包人有权处违约金</w:t>
      </w:r>
      <w:r>
        <w:rPr>
          <w:color w:val="auto"/>
          <w:highlight w:val="none"/>
          <w:u w:val="single"/>
        </w:rPr>
        <w:t xml:space="preserve"> </w:t>
      </w:r>
      <w:r>
        <w:rPr>
          <w:rFonts w:hint="eastAsia"/>
          <w:color w:val="auto"/>
          <w:highlight w:val="none"/>
          <w:u w:val="single"/>
          <w:lang w:val="en-US" w:eastAsia="zh-CN"/>
        </w:rPr>
        <w:t>100</w:t>
      </w:r>
      <w:r>
        <w:rPr>
          <w:color w:val="auto"/>
          <w:highlight w:val="none"/>
          <w:u w:val="single"/>
        </w:rPr>
        <w:t xml:space="preserve">  </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379" w:name="_Toc373227710"/>
      <w:bookmarkStart w:id="380" w:name="_Toc373478357"/>
      <w:bookmarkStart w:id="381" w:name="_Toc15894"/>
      <w:bookmarkStart w:id="382" w:name="_Toc30429"/>
      <w:bookmarkStart w:id="383" w:name="_Toc389065276"/>
      <w:bookmarkStart w:id="384" w:name="_Toc9850540"/>
      <w:bookmarkStart w:id="385" w:name="_Toc6201"/>
      <w:bookmarkStart w:id="386" w:name="_Toc3178"/>
      <w:bookmarkStart w:id="387" w:name="_Toc407135212"/>
      <w:r>
        <w:rPr>
          <w:color w:val="auto"/>
          <w:highlight w:val="none"/>
        </w:rPr>
        <w:t>3</w:t>
      </w:r>
      <w:bookmarkStart w:id="388" w:name="_Toc312677988"/>
      <w:bookmarkStart w:id="389" w:name="_Toc303539102"/>
      <w:bookmarkStart w:id="390" w:name="_Toc297123492"/>
      <w:bookmarkStart w:id="391" w:name="_Toc292559364"/>
      <w:bookmarkStart w:id="392" w:name="_Toc296944498"/>
      <w:bookmarkStart w:id="393" w:name="_Toc297120459"/>
      <w:bookmarkStart w:id="394" w:name="_Toc292559869"/>
      <w:bookmarkStart w:id="395" w:name="_Toc297216151"/>
      <w:bookmarkStart w:id="396" w:name="_Toc297048345"/>
      <w:bookmarkStart w:id="397" w:name="_Toc296346660"/>
      <w:bookmarkStart w:id="398" w:name="_Toc300934945"/>
      <w:bookmarkStart w:id="399" w:name="_Toc296890987"/>
      <w:bookmarkStart w:id="400" w:name="_Toc304295523"/>
      <w:bookmarkStart w:id="401" w:name="_Toc296347158"/>
      <w:bookmarkStart w:id="402" w:name="_Toc296503159"/>
      <w:bookmarkStart w:id="403" w:name="_Toc296891199"/>
      <w:r>
        <w:rPr>
          <w:color w:val="auto"/>
          <w:highlight w:val="none"/>
        </w:rPr>
        <w:t xml:space="preserve">.5 </w:t>
      </w:r>
      <w:r>
        <w:rPr>
          <w:rFonts w:hint="eastAsia" w:hAnsi="宋体" w:cs="黑体"/>
          <w:color w:val="auto"/>
          <w:highlight w:val="none"/>
        </w:rPr>
        <w:t>分包</w:t>
      </w:r>
      <w:bookmarkEnd w:id="379"/>
      <w:bookmarkEnd w:id="380"/>
      <w:bookmarkEnd w:id="381"/>
      <w:bookmarkEnd w:id="382"/>
      <w:bookmarkEnd w:id="383"/>
      <w:bookmarkEnd w:id="384"/>
      <w:bookmarkEnd w:id="385"/>
      <w:bookmarkEnd w:id="386"/>
      <w:bookmarkEnd w:id="387"/>
    </w:p>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color w:val="auto"/>
          <w:highlight w:val="none"/>
        </w:rPr>
        <w:t>3</w:t>
      </w:r>
      <w:bookmarkStart w:id="404" w:name="_Toc304295524"/>
      <w:bookmarkStart w:id="405" w:name="_Toc297216152"/>
      <w:bookmarkStart w:id="406" w:name="_Toc296347159"/>
      <w:bookmarkStart w:id="407" w:name="_Toc297120460"/>
      <w:bookmarkStart w:id="408" w:name="_Toc296891200"/>
      <w:bookmarkStart w:id="409" w:name="_Toc296944499"/>
      <w:bookmarkStart w:id="410" w:name="_Toc318581158"/>
      <w:bookmarkStart w:id="411" w:name="_Toc303539103"/>
      <w:bookmarkStart w:id="412" w:name="_Toc297048346"/>
      <w:bookmarkStart w:id="413" w:name="_Toc300934946"/>
      <w:bookmarkStart w:id="414" w:name="_Toc296503160"/>
      <w:bookmarkStart w:id="415" w:name="_Toc297123493"/>
      <w:bookmarkStart w:id="416" w:name="_Toc292559870"/>
      <w:bookmarkStart w:id="417" w:name="_Toc296890988"/>
      <w:bookmarkStart w:id="418" w:name="_Toc296346661"/>
      <w:bookmarkStart w:id="419" w:name="_Toc292559365"/>
      <w:bookmarkStart w:id="420" w:name="_Toc312677989"/>
      <w:r>
        <w:rPr>
          <w:color w:val="auto"/>
          <w:highlight w:val="none"/>
        </w:rPr>
        <w:t xml:space="preserve">.5.1 </w:t>
      </w:r>
      <w:r>
        <w:rPr>
          <w:rFonts w:hint="eastAsia" w:hAnsi="宋体" w:cs="宋体"/>
          <w:color w:val="auto"/>
          <w:highlight w:val="none"/>
        </w:rPr>
        <w:t>分包的一般约定</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禁止分包的工程包括：</w:t>
      </w:r>
      <w:r>
        <w:rPr>
          <w:color w:val="auto"/>
          <w:highlight w:val="none"/>
          <w:u w:val="single"/>
        </w:rPr>
        <w:t xml:space="preserve">  </w:t>
      </w:r>
      <w:r>
        <w:rPr>
          <w:rFonts w:hint="eastAsia"/>
          <w:color w:val="auto"/>
          <w:highlight w:val="none"/>
          <w:u w:val="single"/>
        </w:rPr>
        <w:t>本工程不允许分包</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olor w:val="auto"/>
          <w:highlight w:val="none"/>
        </w:rPr>
      </w:pPr>
      <w:r>
        <w:rPr>
          <w:rFonts w:hint="eastAsia" w:hAnsi="宋体" w:cs="宋体"/>
          <w:color w:val="auto"/>
          <w:highlight w:val="none"/>
        </w:rPr>
        <w:t>主体结构、关键性工作的范围：</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color w:val="auto"/>
          <w:highlight w:val="none"/>
        </w:rPr>
        <w:t>3</w:t>
      </w:r>
      <w:bookmarkStart w:id="421" w:name="_Toc318581159"/>
      <w:bookmarkStart w:id="422" w:name="_Toc312677990"/>
      <w:r>
        <w:rPr>
          <w:color w:val="auto"/>
          <w:highlight w:val="none"/>
        </w:rPr>
        <w:t xml:space="preserve">.5.2 </w:t>
      </w:r>
      <w:r>
        <w:rPr>
          <w:rFonts w:hint="eastAsia" w:hAnsi="宋体" w:cs="宋体"/>
          <w:color w:val="auto"/>
          <w:highlight w:val="none"/>
        </w:rPr>
        <w:t>分包的确定</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u w:val="single"/>
        </w:rPr>
      </w:pPr>
      <w:r>
        <w:rPr>
          <w:rFonts w:hint="eastAsia" w:hAnsi="宋体" w:cs="宋体"/>
          <w:color w:val="auto"/>
          <w:highlight w:val="none"/>
        </w:rPr>
        <w:t>允许分包的专业工程包括：</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int="eastAsia" w:hAnsi="宋体" w:cs="宋体"/>
          <w:color w:val="auto"/>
          <w:highlight w:val="none"/>
        </w:rPr>
        <w:t>其他关于分包的约定：</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hAnsi="宋体"/>
          <w:color w:val="auto"/>
          <w:highlight w:val="none"/>
        </w:rPr>
        <w:t>6</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u w:val="single"/>
        </w:rPr>
      </w:pPr>
      <w:r>
        <w:rPr>
          <w:rFonts w:hint="eastAsia" w:cs="宋体"/>
          <w:color w:val="auto"/>
          <w:highlight w:val="none"/>
        </w:rPr>
        <w:t>（</w:t>
      </w:r>
      <w:r>
        <w:rPr>
          <w:color w:val="auto"/>
          <w:highlight w:val="none"/>
        </w:rPr>
        <w:t>2</w:t>
      </w:r>
      <w:r>
        <w:rPr>
          <w:rFonts w:hint="eastAsia" w:cs="宋体"/>
          <w:color w:val="auto"/>
          <w:highlight w:val="none"/>
        </w:rPr>
        <w:t>）</w:t>
      </w:r>
      <w:r>
        <w:rPr>
          <w:rFonts w:hint="eastAsia" w:hAnsi="宋体" w:cs="宋体"/>
          <w:color w:val="auto"/>
          <w:highlight w:val="none"/>
        </w:rPr>
        <w:t>在相关分包合同签订并报送有关建设行政主管部门备案后</w:t>
      </w:r>
      <w:r>
        <w:rPr>
          <w:color w:val="auto"/>
          <w:highlight w:val="none"/>
        </w:rPr>
        <w:t>7</w:t>
      </w:r>
      <w:r>
        <w:rPr>
          <w:rFonts w:hint="eastAsia" w:hAnsi="宋体" w:cs="宋体"/>
          <w:color w:val="auto"/>
          <w:highlight w:val="none"/>
        </w:rPr>
        <w:t>天内，承包人应当将一份副本提交给监理人，承包人应保障分包工作不得再次分包。</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未经承包人和监理人审批同意的分包工程和分包人，承包人有权拒绝验收分包工程和支付相应款项，由此引起的发包人费用增加和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延误的工期由发包人承担。</w:t>
      </w:r>
    </w:p>
    <w:p>
      <w:pPr>
        <w:pStyle w:val="16"/>
        <w:keepNext w:val="0"/>
        <w:keepLines w:val="0"/>
        <w:pageBreakBefore w:val="0"/>
        <w:widowControl w:val="0"/>
        <w:kinsoku/>
        <w:wordWrap/>
        <w:overflowPunct/>
        <w:topLinePunct w:val="0"/>
        <w:autoSpaceDE w:val="0"/>
        <w:autoSpaceDN w:val="0"/>
        <w:bidi w:val="0"/>
        <w:snapToGrid/>
        <w:spacing w:line="360" w:lineRule="auto"/>
        <w:ind w:left="0" w:leftChars="0" w:right="0" w:firstLine="420" w:firstLineChars="200"/>
        <w:textAlignment w:val="auto"/>
        <w:rPr>
          <w:rFonts w:ascii="Times New Roman" w:hAnsi="Times New Roman"/>
          <w:color w:val="auto"/>
          <w:sz w:val="21"/>
          <w:szCs w:val="21"/>
          <w:highlight w:val="none"/>
        </w:rPr>
      </w:pPr>
      <w:r>
        <w:rPr>
          <w:rFonts w:hint="eastAsia" w:ascii="Times New Roman" w:hAnsi="Times New Roman"/>
          <w:color w:val="auto"/>
          <w:sz w:val="21"/>
          <w:szCs w:val="21"/>
          <w:highlight w:val="none"/>
        </w:rPr>
        <w:t>（</w:t>
      </w:r>
      <w:r>
        <w:rPr>
          <w:rFonts w:ascii="Times New Roman" w:hAnsi="Times New Roman"/>
          <w:color w:val="auto"/>
          <w:sz w:val="21"/>
          <w:szCs w:val="21"/>
          <w:highlight w:val="none"/>
        </w:rPr>
        <w:t>4</w:t>
      </w:r>
      <w:r>
        <w:rPr>
          <w:rFonts w:hint="eastAsia" w:ascii="Times New Roman" w:hAnsi="Times New Roman"/>
          <w:color w:val="auto"/>
          <w:sz w:val="21"/>
          <w:szCs w:val="21"/>
          <w:highlight w:val="none"/>
        </w:rPr>
        <w:t>）</w:t>
      </w:r>
      <w:r>
        <w:rPr>
          <w:rFonts w:hint="eastAsia" w:ascii="Times New Roman" w:hAnsi="宋体"/>
          <w:color w:val="auto"/>
          <w:sz w:val="21"/>
          <w:szCs w:val="21"/>
          <w:highlight w:val="none"/>
        </w:rPr>
        <w:t>承包人有以下情况之一者，发包人有权解除合同，并视情况扣除其履约保证金：</w:t>
      </w:r>
    </w:p>
    <w:p>
      <w:pPr>
        <w:pStyle w:val="16"/>
        <w:keepNext w:val="0"/>
        <w:keepLines w:val="0"/>
        <w:pageBreakBefore w:val="0"/>
        <w:widowControl w:val="0"/>
        <w:kinsoku/>
        <w:wordWrap/>
        <w:overflowPunct/>
        <w:topLinePunct w:val="0"/>
        <w:autoSpaceDE w:val="0"/>
        <w:autoSpaceDN w:val="0"/>
        <w:bidi w:val="0"/>
        <w:snapToGrid/>
        <w:spacing w:line="360" w:lineRule="auto"/>
        <w:ind w:left="0" w:leftChars="0" w:right="0" w:firstLine="441" w:firstLineChars="210"/>
        <w:textAlignment w:val="auto"/>
        <w:rPr>
          <w:rFonts w:ascii="Times New Roman" w:hAnsi="Times New Roman"/>
          <w:color w:val="auto"/>
          <w:sz w:val="21"/>
          <w:szCs w:val="21"/>
          <w:highlight w:val="none"/>
        </w:rPr>
      </w:pPr>
      <w:r>
        <w:rPr>
          <w:rFonts w:hint="eastAsia" w:ascii="Times New Roman" w:hAnsi="宋体"/>
          <w:color w:val="auto"/>
          <w:sz w:val="21"/>
          <w:szCs w:val="21"/>
          <w:highlight w:val="none"/>
        </w:rPr>
        <w:t>①个人承包工程，包括本人单位及外单位人员承包，发包人不承认其个人拥有任何资质等级及营业许可资格。没收全部履约保证金。</w:t>
      </w:r>
    </w:p>
    <w:p>
      <w:pPr>
        <w:pStyle w:val="16"/>
        <w:keepNext w:val="0"/>
        <w:keepLines w:val="0"/>
        <w:pageBreakBefore w:val="0"/>
        <w:widowControl w:val="0"/>
        <w:kinsoku/>
        <w:wordWrap/>
        <w:overflowPunct/>
        <w:topLinePunct w:val="0"/>
        <w:autoSpaceDE w:val="0"/>
        <w:autoSpaceDN w:val="0"/>
        <w:bidi w:val="0"/>
        <w:snapToGrid/>
        <w:spacing w:line="360" w:lineRule="auto"/>
        <w:ind w:left="0" w:leftChars="0" w:right="0" w:firstLine="441" w:firstLineChars="210"/>
        <w:textAlignment w:val="auto"/>
        <w:rPr>
          <w:rFonts w:ascii="Times New Roman" w:hAnsi="Times New Roman"/>
          <w:color w:val="auto"/>
          <w:sz w:val="21"/>
          <w:szCs w:val="21"/>
          <w:highlight w:val="none"/>
        </w:rPr>
      </w:pPr>
      <w:r>
        <w:rPr>
          <w:rFonts w:hint="eastAsia" w:ascii="Times New Roman" w:hAnsi="宋体"/>
          <w:color w:val="auto"/>
          <w:sz w:val="21"/>
          <w:szCs w:val="21"/>
          <w:highlight w:val="none"/>
        </w:rPr>
        <w:t>②几个人联合承包工程，就地组织暗分包队伍，不具备完成本工程的技术、机械能力，被发包人判定为没有能力履行的承包人。没收全部履约保证金。</w:t>
      </w:r>
    </w:p>
    <w:p>
      <w:pPr>
        <w:pStyle w:val="16"/>
        <w:keepNext w:val="0"/>
        <w:keepLines w:val="0"/>
        <w:pageBreakBefore w:val="0"/>
        <w:widowControl w:val="0"/>
        <w:kinsoku/>
        <w:wordWrap/>
        <w:overflowPunct/>
        <w:topLinePunct w:val="0"/>
        <w:autoSpaceDE w:val="0"/>
        <w:autoSpaceDN w:val="0"/>
        <w:bidi w:val="0"/>
        <w:snapToGrid/>
        <w:spacing w:line="360" w:lineRule="auto"/>
        <w:ind w:left="0" w:leftChars="0" w:right="0" w:firstLine="441" w:firstLineChars="210"/>
        <w:textAlignment w:val="auto"/>
        <w:rPr>
          <w:rFonts w:ascii="Times New Roman" w:hAnsi="Times New Roman"/>
          <w:color w:val="auto"/>
          <w:sz w:val="21"/>
          <w:szCs w:val="21"/>
          <w:highlight w:val="none"/>
        </w:rPr>
      </w:pPr>
      <w:r>
        <w:rPr>
          <w:rFonts w:hint="eastAsia" w:ascii="Times New Roman" w:hAnsi="宋体"/>
          <w:color w:val="auto"/>
          <w:sz w:val="21"/>
          <w:szCs w:val="21"/>
          <w:highlight w:val="none"/>
        </w:rPr>
        <w:t>③就地转包全部的工程，以谋取高额转让费、管理费的承包人。没收全部履约保证金。</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u w:val="single"/>
        </w:rPr>
      </w:pPr>
      <w:r>
        <w:rPr>
          <w:rFonts w:hint="eastAsia" w:hAnsi="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color w:val="auto"/>
          <w:highlight w:val="none"/>
        </w:rPr>
        <w:t xml:space="preserve">3.5.4 </w:t>
      </w:r>
      <w:r>
        <w:rPr>
          <w:rFonts w:hint="eastAsia" w:hAnsi="宋体" w:cs="宋体"/>
          <w:color w:val="auto"/>
          <w:highlight w:val="none"/>
        </w:rPr>
        <w:t>分包合同价款</w:t>
      </w:r>
    </w:p>
    <w:bookmarkEnd w:id="421"/>
    <w:bookmarkEnd w:id="422"/>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bookmarkStart w:id="423" w:name="_Toc373227711"/>
      <w:bookmarkStart w:id="424" w:name="_Toc373478358"/>
      <w:bookmarkStart w:id="425" w:name="_Toc389065277"/>
      <w:r>
        <w:rPr>
          <w:rFonts w:hint="eastAsia" w:hAnsi="宋体" w:cs="宋体"/>
          <w:color w:val="auto"/>
          <w:highlight w:val="none"/>
        </w:rPr>
        <w:t>关于分包合同价款支付的约定：</w:t>
      </w:r>
      <w:r>
        <w:rPr>
          <w:rFonts w:hint="eastAsia" w:hAnsi="宋体" w:cs="宋体"/>
          <w:color w:val="auto"/>
          <w:highlight w:val="none"/>
          <w:u w:val="single"/>
        </w:rPr>
        <w:t>分包工程价款由承包人与分包人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结算。发包人未经承包人同意不得以任何形式向分包人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支付相关分包合同项下的任何工程款项。因发包人未经承包人同意直接向分包人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支付相关分包合同项下的任何工程款项而影响承包人工作的，所造成的承包人费用增加和</w:t>
      </w:r>
      <w:r>
        <w:rPr>
          <w:rFonts w:hint="eastAsia" w:cs="宋体"/>
          <w:color w:val="auto"/>
          <w:highlight w:val="none"/>
          <w:u w:val="single"/>
        </w:rPr>
        <w:t>（</w:t>
      </w:r>
      <w:r>
        <w:rPr>
          <w:rFonts w:hint="eastAsia" w:hAnsi="宋体" w:cs="宋体"/>
          <w:color w:val="auto"/>
          <w:highlight w:val="none"/>
          <w:u w:val="single"/>
        </w:rPr>
        <w:t>或</w:t>
      </w:r>
      <w:r>
        <w:rPr>
          <w:rFonts w:hint="eastAsia" w:cs="宋体"/>
          <w:color w:val="auto"/>
          <w:highlight w:val="none"/>
          <w:u w:val="single"/>
        </w:rPr>
        <w:t>）</w:t>
      </w:r>
      <w:r>
        <w:rPr>
          <w:rFonts w:hint="eastAsia" w:hAnsi="宋体" w:cs="宋体"/>
          <w:color w:val="auto"/>
          <w:highlight w:val="none"/>
          <w:u w:val="single"/>
        </w:rPr>
        <w:t>延误的工期由发包人承担。</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426" w:name="_Toc407135213"/>
      <w:bookmarkStart w:id="427" w:name="_Toc21710"/>
      <w:bookmarkStart w:id="428" w:name="_Toc13259"/>
      <w:bookmarkStart w:id="429" w:name="_Toc26560"/>
      <w:bookmarkStart w:id="430" w:name="_Toc27705"/>
      <w:bookmarkStart w:id="431" w:name="_Toc9850541"/>
      <w:r>
        <w:rPr>
          <w:color w:val="auto"/>
          <w:highlight w:val="none"/>
        </w:rPr>
        <w:t xml:space="preserve">3.6 </w:t>
      </w:r>
      <w:r>
        <w:rPr>
          <w:rFonts w:hint="eastAsia" w:cs="黑体"/>
          <w:color w:val="auto"/>
          <w:highlight w:val="none"/>
        </w:rPr>
        <w:t>工程照管与成品、半成品保护</w:t>
      </w:r>
      <w:bookmarkEnd w:id="423"/>
      <w:bookmarkEnd w:id="424"/>
      <w:bookmarkEnd w:id="425"/>
      <w:bookmarkEnd w:id="426"/>
      <w:bookmarkEnd w:id="427"/>
      <w:bookmarkEnd w:id="428"/>
      <w:bookmarkEnd w:id="429"/>
      <w:bookmarkEnd w:id="430"/>
      <w:bookmarkEnd w:id="431"/>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kern w:val="0"/>
          <w:highlight w:val="none"/>
          <w:u w:val="single"/>
        </w:rPr>
      </w:pPr>
      <w:r>
        <w:rPr>
          <w:rFonts w:hint="eastAsia" w:hAnsi="宋体" w:cs="宋体"/>
          <w:color w:val="auto"/>
          <w:kern w:val="0"/>
          <w:highlight w:val="none"/>
        </w:rPr>
        <w:t>承包人负责照管工程及工程相关的材料、工程设备的起始时间：</w:t>
      </w:r>
      <w:r>
        <w:rPr>
          <w:color w:val="auto"/>
          <w:kern w:val="0"/>
          <w:highlight w:val="none"/>
          <w:u w:val="single"/>
        </w:rPr>
        <w:t xml:space="preserve">                   </w:t>
      </w:r>
      <w:r>
        <w:rPr>
          <w:rFonts w:hint="eastAsia" w:hAnsi="宋体" w:cs="宋体"/>
          <w:color w:val="auto"/>
          <w:kern w:val="0"/>
          <w:highlight w:val="none"/>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432" w:name="_Toc389065278"/>
      <w:bookmarkStart w:id="433" w:name="_Toc373478359"/>
      <w:bookmarkStart w:id="434" w:name="_Toc373227712"/>
      <w:bookmarkStart w:id="435" w:name="_Toc407135214"/>
      <w:bookmarkStart w:id="436" w:name="_Toc9602"/>
      <w:bookmarkStart w:id="437" w:name="_Toc10748"/>
      <w:bookmarkStart w:id="438" w:name="_Toc5084"/>
      <w:bookmarkStart w:id="439" w:name="_Toc5550"/>
      <w:bookmarkStart w:id="440" w:name="_Toc9850542"/>
      <w:r>
        <w:rPr>
          <w:color w:val="auto"/>
          <w:highlight w:val="none"/>
        </w:rPr>
        <w:t xml:space="preserve">3.7 </w:t>
      </w:r>
      <w:r>
        <w:rPr>
          <w:rFonts w:hint="eastAsia" w:hAnsi="宋体" w:cs="黑体"/>
          <w:color w:val="auto"/>
          <w:highlight w:val="none"/>
        </w:rPr>
        <w:t>履约</w:t>
      </w:r>
      <w:bookmarkEnd w:id="432"/>
      <w:bookmarkEnd w:id="433"/>
      <w:bookmarkEnd w:id="434"/>
      <w:r>
        <w:rPr>
          <w:rFonts w:hint="eastAsia" w:hAnsi="宋体" w:cs="黑体"/>
          <w:color w:val="auto"/>
          <w:highlight w:val="none"/>
        </w:rPr>
        <w:t>保证金</w:t>
      </w:r>
      <w:bookmarkEnd w:id="435"/>
      <w:bookmarkEnd w:id="436"/>
      <w:bookmarkEnd w:id="437"/>
      <w:bookmarkEnd w:id="438"/>
      <w:bookmarkEnd w:id="439"/>
      <w:bookmarkEnd w:id="440"/>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rFonts w:hint="eastAsia" w:ascii="宋体" w:hAnsi="宋体" w:eastAsia="宋体" w:cs="宋体"/>
          <w:color w:val="auto"/>
          <w:kern w:val="0"/>
          <w:highlight w:val="none"/>
        </w:rPr>
      </w:pPr>
      <w:bookmarkStart w:id="441" w:name="_Toc373478360"/>
      <w:bookmarkStart w:id="442" w:name="_Toc5483"/>
      <w:bookmarkStart w:id="443" w:name="_Toc24693"/>
      <w:bookmarkStart w:id="444" w:name="_Toc30848"/>
      <w:bookmarkStart w:id="445" w:name="_Toc373227713"/>
      <w:bookmarkStart w:id="446" w:name="_Toc351203636"/>
      <w:bookmarkStart w:id="447" w:name="_Toc407135215"/>
      <w:bookmarkStart w:id="448" w:name="_Toc9850543"/>
      <w:bookmarkStart w:id="449" w:name="_Toc13135"/>
      <w:bookmarkStart w:id="450" w:name="_Toc389065279"/>
      <w:r>
        <w:rPr>
          <w:rFonts w:hint="eastAsia" w:ascii="宋体" w:hAnsi="宋体" w:eastAsia="宋体" w:cs="宋体"/>
          <w:color w:val="auto"/>
          <w:kern w:val="0"/>
          <w:highlight w:val="none"/>
        </w:rPr>
        <w:t>本项目不收取履约保证金。</w:t>
      </w:r>
    </w:p>
    <w:p>
      <w:pPr>
        <w:pStyle w:val="5"/>
        <w:keepNext w:val="0"/>
        <w:keepLines w:val="0"/>
        <w:pageBreakBefore w:val="0"/>
        <w:widowControl w:val="0"/>
        <w:kinsoku/>
        <w:wordWrap/>
        <w:overflowPunct/>
        <w:topLinePunct w:val="0"/>
        <w:autoSpaceDE w:val="0"/>
        <w:autoSpaceDN w:val="0"/>
        <w:bidi w:val="0"/>
        <w:snapToGrid/>
        <w:spacing w:before="0" w:line="360" w:lineRule="auto"/>
        <w:ind w:left="0" w:leftChars="0" w:right="0"/>
        <w:textAlignment w:val="auto"/>
        <w:rPr>
          <w:color w:val="auto"/>
          <w:highlight w:val="none"/>
        </w:rPr>
      </w:pPr>
      <w:r>
        <w:rPr>
          <w:color w:val="auto"/>
          <w:highlight w:val="none"/>
        </w:rPr>
        <w:t>4</w:t>
      </w:r>
      <w:bookmarkStart w:id="451" w:name="_Toc296503162"/>
      <w:bookmarkStart w:id="452" w:name="_Toc297120462"/>
      <w:bookmarkStart w:id="453" w:name="_Toc296891202"/>
      <w:bookmarkStart w:id="454" w:name="_Toc296890990"/>
      <w:bookmarkStart w:id="455" w:name="_Toc292559871"/>
      <w:bookmarkStart w:id="456" w:name="_Toc267251413"/>
      <w:bookmarkStart w:id="457" w:name="_Toc296347161"/>
      <w:bookmarkStart w:id="458" w:name="_Toc297048348"/>
      <w:bookmarkStart w:id="459" w:name="_Toc296346663"/>
      <w:bookmarkStart w:id="460" w:name="_Toc292559366"/>
      <w:bookmarkStart w:id="461" w:name="_Toc296944501"/>
      <w:r>
        <w:rPr>
          <w:color w:val="auto"/>
          <w:highlight w:val="none"/>
        </w:rPr>
        <w:t xml:space="preserve">. </w:t>
      </w:r>
      <w:r>
        <w:rPr>
          <w:rFonts w:hint="eastAsia" w:hAnsi="宋体" w:cs="黑体"/>
          <w:color w:val="auto"/>
          <w:highlight w:val="none"/>
        </w:rPr>
        <w:t>监</w:t>
      </w:r>
      <w:bookmarkEnd w:id="451"/>
      <w:bookmarkEnd w:id="452"/>
      <w:bookmarkEnd w:id="453"/>
      <w:bookmarkEnd w:id="454"/>
      <w:bookmarkEnd w:id="455"/>
      <w:bookmarkEnd w:id="456"/>
      <w:bookmarkEnd w:id="457"/>
      <w:bookmarkEnd w:id="458"/>
      <w:bookmarkEnd w:id="459"/>
      <w:bookmarkEnd w:id="460"/>
      <w:bookmarkEnd w:id="461"/>
      <w:r>
        <w:rPr>
          <w:rFonts w:hint="eastAsia" w:hAnsi="宋体" w:cs="黑体"/>
          <w:color w:val="auto"/>
          <w:highlight w:val="none"/>
        </w:rPr>
        <w:t>理人</w:t>
      </w:r>
      <w:bookmarkEnd w:id="441"/>
      <w:bookmarkEnd w:id="442"/>
      <w:bookmarkEnd w:id="443"/>
      <w:bookmarkEnd w:id="444"/>
      <w:bookmarkEnd w:id="445"/>
      <w:bookmarkEnd w:id="446"/>
      <w:bookmarkEnd w:id="447"/>
      <w:bookmarkEnd w:id="448"/>
      <w:bookmarkEnd w:id="449"/>
      <w:bookmarkEnd w:id="450"/>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462" w:name="_Toc32660"/>
      <w:bookmarkStart w:id="463" w:name="_Toc8152"/>
      <w:bookmarkStart w:id="464" w:name="_Toc373227714"/>
      <w:bookmarkStart w:id="465" w:name="_Toc9850544"/>
      <w:bookmarkStart w:id="466" w:name="_Toc17019"/>
      <w:bookmarkStart w:id="467" w:name="_Toc389065280"/>
      <w:bookmarkStart w:id="468" w:name="_Toc237"/>
      <w:bookmarkStart w:id="469" w:name="_Toc373478361"/>
      <w:bookmarkStart w:id="470" w:name="_Toc407135216"/>
      <w:r>
        <w:rPr>
          <w:color w:val="auto"/>
          <w:highlight w:val="none"/>
        </w:rPr>
        <w:t xml:space="preserve">4.1 </w:t>
      </w:r>
      <w:r>
        <w:rPr>
          <w:rFonts w:hint="eastAsia" w:cs="黑体"/>
          <w:color w:val="auto"/>
          <w:highlight w:val="none"/>
        </w:rPr>
        <w:t>监理人的一般规定</w:t>
      </w:r>
      <w:bookmarkEnd w:id="462"/>
      <w:bookmarkEnd w:id="463"/>
      <w:bookmarkEnd w:id="464"/>
      <w:bookmarkEnd w:id="465"/>
      <w:bookmarkEnd w:id="466"/>
      <w:bookmarkEnd w:id="467"/>
      <w:bookmarkEnd w:id="468"/>
      <w:bookmarkEnd w:id="469"/>
      <w:bookmarkEnd w:id="470"/>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关于监理人的监理内容：</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关于监理人的监理权限：</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textAlignment w:val="auto"/>
        <w:rPr>
          <w:color w:val="auto"/>
          <w:highlight w:val="none"/>
        </w:rPr>
      </w:pPr>
      <w:r>
        <w:rPr>
          <w:rFonts w:hint="eastAsia" w:hAnsi="宋体" w:cs="宋体"/>
          <w:color w:val="auto"/>
          <w:highlight w:val="none"/>
        </w:rPr>
        <w:t>关于监理人在施工现场的办公场所、生活场所的提供和费用承担的约定：</w:t>
      </w:r>
      <w:r>
        <w:rPr>
          <w:color w:val="auto"/>
          <w:highlight w:val="none"/>
          <w:u w:val="single"/>
        </w:rPr>
        <w:t xml:space="preserve">    </w:t>
      </w:r>
      <w:r>
        <w:rPr>
          <w:rFonts w:hint="eastAsia" w:hAnsi="宋体" w:cs="宋体"/>
          <w:color w:val="auto"/>
          <w:highlight w:val="none"/>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471" w:name="_Toc13084"/>
      <w:bookmarkStart w:id="472" w:name="_Toc23108"/>
      <w:bookmarkStart w:id="473" w:name="_Toc9850545"/>
      <w:bookmarkStart w:id="474" w:name="_Toc1791"/>
      <w:bookmarkStart w:id="475" w:name="_Toc14838"/>
      <w:bookmarkStart w:id="476" w:name="_Toc389065281"/>
      <w:bookmarkStart w:id="477" w:name="_Toc373227715"/>
      <w:bookmarkStart w:id="478" w:name="_Toc407135217"/>
      <w:bookmarkStart w:id="479" w:name="_Toc373478362"/>
      <w:r>
        <w:rPr>
          <w:color w:val="auto"/>
          <w:highlight w:val="none"/>
        </w:rPr>
        <w:t xml:space="preserve">4.2 </w:t>
      </w:r>
      <w:r>
        <w:rPr>
          <w:rFonts w:hint="eastAsia" w:hAnsi="宋体" w:cs="黑体"/>
          <w:color w:val="auto"/>
          <w:highlight w:val="none"/>
        </w:rPr>
        <w:t>监理人员</w:t>
      </w:r>
      <w:bookmarkEnd w:id="471"/>
      <w:bookmarkEnd w:id="472"/>
      <w:bookmarkEnd w:id="473"/>
      <w:bookmarkEnd w:id="474"/>
      <w:bookmarkEnd w:id="475"/>
      <w:bookmarkEnd w:id="476"/>
      <w:bookmarkEnd w:id="477"/>
      <w:bookmarkEnd w:id="478"/>
      <w:bookmarkEnd w:id="479"/>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int="eastAsia" w:hAnsi="宋体" w:cs="宋体"/>
          <w:color w:val="auto"/>
          <w:highlight w:val="none"/>
        </w:rPr>
        <w:t>总监理工程师：</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rFonts w:hAnsi="宋体"/>
          <w:color w:val="auto"/>
          <w:highlight w:val="none"/>
        </w:rPr>
      </w:pPr>
      <w:r>
        <w:rPr>
          <w:rFonts w:hAnsi="宋体"/>
          <w:color w:val="auto"/>
          <w:highlight w:val="none"/>
        </w:rPr>
        <w:t>监理工程师</w:t>
      </w:r>
      <w:r>
        <w:rPr>
          <w:rFonts w:hint="eastAsia" w:hAnsi="宋体"/>
          <w:color w:val="auto"/>
          <w:highlight w:val="none"/>
        </w:rPr>
        <w:t>注册</w:t>
      </w:r>
      <w:r>
        <w:rPr>
          <w:rFonts w:hAnsi="宋体"/>
          <w:color w:val="auto"/>
          <w:highlight w:val="none"/>
        </w:rPr>
        <w:t>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Ansi="宋体"/>
          <w:color w:val="auto"/>
          <w:highlight w:val="none"/>
        </w:rPr>
        <w:t>关于监理人的其他约定：</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480" w:name="_Toc389065282"/>
      <w:bookmarkStart w:id="481" w:name="_Toc25849"/>
      <w:bookmarkStart w:id="482" w:name="_Toc407135218"/>
      <w:bookmarkStart w:id="483" w:name="_Toc9067"/>
      <w:bookmarkStart w:id="484" w:name="_Toc373227716"/>
      <w:bookmarkStart w:id="485" w:name="_Toc9850546"/>
      <w:bookmarkStart w:id="486" w:name="_Toc373478363"/>
      <w:bookmarkStart w:id="487" w:name="_Toc2697"/>
      <w:bookmarkStart w:id="488" w:name="_Toc19291"/>
      <w:r>
        <w:rPr>
          <w:color w:val="auto"/>
          <w:highlight w:val="none"/>
        </w:rPr>
        <w:t xml:space="preserve">4.4 </w:t>
      </w:r>
      <w:r>
        <w:rPr>
          <w:rFonts w:hint="eastAsia" w:hAnsi="宋体" w:cs="黑体"/>
          <w:color w:val="auto"/>
          <w:highlight w:val="none"/>
        </w:rPr>
        <w:t>商定或确定</w:t>
      </w:r>
      <w:bookmarkEnd w:id="480"/>
      <w:bookmarkEnd w:id="481"/>
      <w:bookmarkEnd w:id="482"/>
      <w:bookmarkEnd w:id="483"/>
      <w:bookmarkEnd w:id="484"/>
      <w:bookmarkEnd w:id="485"/>
      <w:bookmarkEnd w:id="486"/>
      <w:bookmarkEnd w:id="487"/>
      <w:bookmarkEnd w:id="488"/>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bookmarkStart w:id="489" w:name="_Toc267251418"/>
      <w:r>
        <w:rPr>
          <w:rFonts w:hint="eastAsia" w:hAnsi="宋体" w:cs="宋体"/>
          <w:color w:val="auto"/>
          <w:highlight w:val="none"/>
        </w:rPr>
        <w:t>在发包人和承包人不能通过协商达成一致意见时，发包人授权监理人对以下事项进行确定：</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w:t>
      </w:r>
      <w:r>
        <w:rPr>
          <w:color w:val="auto"/>
          <w:highlight w:val="none"/>
          <w:u w:val="single"/>
        </w:rPr>
        <w:t xml:space="preserve">                                   </w:t>
      </w:r>
      <w:r>
        <w:rPr>
          <w:rFonts w:hint="eastAsia" w:hAnsi="宋体" w:cs="宋体"/>
          <w:color w:val="auto"/>
          <w:highlight w:val="none"/>
        </w:rPr>
        <w:t>。</w:t>
      </w:r>
    </w:p>
    <w:p>
      <w:pPr>
        <w:pStyle w:val="5"/>
        <w:keepNext w:val="0"/>
        <w:keepLines w:val="0"/>
        <w:pageBreakBefore w:val="0"/>
        <w:widowControl w:val="0"/>
        <w:kinsoku/>
        <w:wordWrap/>
        <w:overflowPunct/>
        <w:topLinePunct w:val="0"/>
        <w:autoSpaceDE w:val="0"/>
        <w:autoSpaceDN w:val="0"/>
        <w:bidi w:val="0"/>
        <w:snapToGrid/>
        <w:spacing w:before="0" w:line="360" w:lineRule="auto"/>
        <w:ind w:left="0" w:leftChars="0" w:right="0"/>
        <w:textAlignment w:val="auto"/>
        <w:rPr>
          <w:color w:val="auto"/>
          <w:highlight w:val="none"/>
        </w:rPr>
      </w:pPr>
      <w:bookmarkStart w:id="490" w:name="_Toc939"/>
      <w:bookmarkStart w:id="491" w:name="_Toc20221"/>
      <w:bookmarkStart w:id="492" w:name="_Toc351203637"/>
      <w:bookmarkStart w:id="493" w:name="_Toc389065283"/>
      <w:bookmarkStart w:id="494" w:name="_Toc373227717"/>
      <w:bookmarkStart w:id="495" w:name="_Toc9850547"/>
      <w:bookmarkStart w:id="496" w:name="_Toc1891"/>
      <w:bookmarkStart w:id="497" w:name="_Toc16203"/>
      <w:bookmarkStart w:id="498" w:name="_Toc373478364"/>
      <w:bookmarkStart w:id="499" w:name="_Toc407135219"/>
      <w:r>
        <w:rPr>
          <w:color w:val="auto"/>
          <w:highlight w:val="none"/>
        </w:rPr>
        <w:t>5</w:t>
      </w:r>
      <w:bookmarkEnd w:id="489"/>
      <w:bookmarkStart w:id="500" w:name="_Toc296346664"/>
      <w:bookmarkStart w:id="501" w:name="_Toc297048349"/>
      <w:bookmarkStart w:id="502" w:name="_Toc296891203"/>
      <w:bookmarkStart w:id="503" w:name="_Toc296890991"/>
      <w:bookmarkStart w:id="504" w:name="_Toc292559367"/>
      <w:bookmarkStart w:id="505" w:name="_Toc292559872"/>
      <w:bookmarkStart w:id="506" w:name="_Toc296347162"/>
      <w:bookmarkStart w:id="507" w:name="_Toc297120463"/>
      <w:bookmarkStart w:id="508" w:name="_Toc296944502"/>
      <w:bookmarkStart w:id="509" w:name="_Toc296503163"/>
      <w:r>
        <w:rPr>
          <w:color w:val="auto"/>
          <w:highlight w:val="none"/>
        </w:rPr>
        <w:t xml:space="preserve">. </w:t>
      </w:r>
      <w:r>
        <w:rPr>
          <w:rFonts w:hint="eastAsia" w:hAnsi="宋体" w:cs="黑体"/>
          <w:color w:val="auto"/>
          <w:highlight w:val="none"/>
        </w:rPr>
        <w:t>工程质量</w:t>
      </w:r>
      <w:bookmarkEnd w:id="490"/>
      <w:bookmarkEnd w:id="491"/>
      <w:bookmarkEnd w:id="492"/>
      <w:bookmarkEnd w:id="493"/>
      <w:bookmarkEnd w:id="494"/>
      <w:bookmarkEnd w:id="495"/>
      <w:bookmarkEnd w:id="496"/>
      <w:bookmarkEnd w:id="497"/>
      <w:bookmarkEnd w:id="498"/>
      <w:bookmarkEnd w:id="499"/>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510" w:name="_Toc8746"/>
      <w:bookmarkStart w:id="511" w:name="_Toc373227718"/>
      <w:bookmarkStart w:id="512" w:name="_Toc9850548"/>
      <w:bookmarkStart w:id="513" w:name="_Toc16184"/>
      <w:bookmarkStart w:id="514" w:name="_Toc2824"/>
      <w:bookmarkStart w:id="515" w:name="_Toc5201"/>
      <w:bookmarkStart w:id="516" w:name="_Toc407135220"/>
      <w:bookmarkStart w:id="517" w:name="_Toc389065284"/>
      <w:bookmarkStart w:id="518" w:name="_Toc373478365"/>
      <w:r>
        <w:rPr>
          <w:color w:val="auto"/>
          <w:highlight w:val="none"/>
        </w:rPr>
        <w:t xml:space="preserve">5.1 </w:t>
      </w:r>
      <w:r>
        <w:rPr>
          <w:rFonts w:hint="eastAsia" w:hAnsi="宋体" w:cs="黑体"/>
          <w:color w:val="auto"/>
          <w:highlight w:val="none"/>
        </w:rPr>
        <w:t>质量要求</w:t>
      </w:r>
      <w:bookmarkEnd w:id="510"/>
      <w:bookmarkEnd w:id="511"/>
      <w:bookmarkEnd w:id="512"/>
      <w:bookmarkEnd w:id="513"/>
      <w:bookmarkEnd w:id="514"/>
      <w:bookmarkEnd w:id="515"/>
      <w:bookmarkEnd w:id="516"/>
      <w:bookmarkEnd w:id="517"/>
      <w:bookmarkEnd w:id="518"/>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szCs w:val="21"/>
          <w:highlight w:val="none"/>
          <w:u w:val="single"/>
        </w:rPr>
      </w:pPr>
      <w:r>
        <w:rPr>
          <w:color w:val="auto"/>
          <w:highlight w:val="none"/>
        </w:rPr>
        <w:t>5</w:t>
      </w:r>
      <w:bookmarkStart w:id="519" w:name="_Toc297123496"/>
      <w:bookmarkStart w:id="520" w:name="_Toc312677997"/>
      <w:bookmarkStart w:id="521" w:name="_Toc304295527"/>
      <w:bookmarkStart w:id="522" w:name="_Toc297216155"/>
      <w:bookmarkStart w:id="523" w:name="_Toc303539106"/>
      <w:bookmarkStart w:id="524" w:name="_Toc318581164"/>
      <w:bookmarkStart w:id="525" w:name="_Toc300934949"/>
      <w:r>
        <w:rPr>
          <w:color w:val="auto"/>
          <w:highlight w:val="none"/>
        </w:rPr>
        <w:t xml:space="preserve">.1.1 </w:t>
      </w:r>
      <w:r>
        <w:rPr>
          <w:rFonts w:hint="eastAsia" w:hAnsi="宋体" w:cs="宋体"/>
          <w:color w:val="auto"/>
          <w:highlight w:val="none"/>
        </w:rPr>
        <w:t>特殊质量标准和要求：</w:t>
      </w:r>
      <w:r>
        <w:rPr>
          <w:color w:val="auto"/>
          <w:highlight w:val="none"/>
          <w:u w:val="single"/>
        </w:rPr>
        <w:t xml:space="preserve">  </w:t>
      </w:r>
      <w:r>
        <w:rPr>
          <w:rFonts w:hint="eastAsia"/>
          <w:color w:val="auto"/>
          <w:szCs w:val="21"/>
          <w:highlight w:val="none"/>
          <w:u w:val="single"/>
        </w:rPr>
        <w:t>严格执行</w:t>
      </w:r>
      <w:r>
        <w:rPr>
          <w:color w:val="auto"/>
          <w:szCs w:val="21"/>
          <w:highlight w:val="none"/>
          <w:u w:val="single"/>
        </w:rPr>
        <w:t>广西壮族自治区住房和城乡建设厅</w:t>
      </w:r>
      <w:r>
        <w:rPr>
          <w:rFonts w:hint="eastAsia"/>
          <w:color w:val="auto"/>
          <w:szCs w:val="21"/>
          <w:highlight w:val="none"/>
          <w:u w:val="single"/>
        </w:rPr>
        <w:t>《</w:t>
      </w:r>
      <w:r>
        <w:rPr>
          <w:color w:val="auto"/>
          <w:szCs w:val="21"/>
          <w:highlight w:val="none"/>
          <w:u w:val="single"/>
        </w:rPr>
        <w:t>关于严格实行房屋建筑和市政基础设施工程质量终身责任承诺、永久性质量责任标牌、终身责任信息档案等制度的通知</w:t>
      </w:r>
      <w:r>
        <w:rPr>
          <w:rFonts w:hint="eastAsia"/>
          <w:color w:val="auto"/>
          <w:szCs w:val="21"/>
          <w:highlight w:val="none"/>
          <w:u w:val="single"/>
        </w:rPr>
        <w:t>》</w:t>
      </w:r>
      <w:r>
        <w:rPr>
          <w:color w:val="auto"/>
          <w:szCs w:val="21"/>
          <w:highlight w:val="none"/>
          <w:u w:val="single"/>
        </w:rPr>
        <w:t>(桂建管[2014]96号</w:t>
      </w:r>
      <w:r>
        <w:rPr>
          <w:rFonts w:hint="eastAsia"/>
          <w:color w:val="auto"/>
          <w:szCs w:val="21"/>
          <w:highlight w:val="none"/>
          <w:u w:val="single"/>
        </w:rPr>
        <w:t>)</w:t>
      </w:r>
      <w:r>
        <w:rPr>
          <w:rFonts w:hint="eastAsia"/>
          <w:color w:val="auto"/>
          <w:szCs w:val="21"/>
          <w:highlight w:val="none"/>
          <w:u w:val="single"/>
          <w:lang w:eastAsia="zh-CN"/>
        </w:rPr>
        <w:t>的</w:t>
      </w:r>
      <w:r>
        <w:rPr>
          <w:rFonts w:hint="eastAsia"/>
          <w:color w:val="auto"/>
          <w:szCs w:val="21"/>
          <w:highlight w:val="none"/>
          <w:u w:val="single"/>
        </w:rPr>
        <w:t>要求，落实建设工程质量终身责任。</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u w:val="single"/>
        </w:rPr>
      </w:pP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关于工程奖项的约定：</w:t>
      </w:r>
      <w:r>
        <w:rPr>
          <w:color w:val="auto"/>
          <w:highlight w:val="none"/>
        </w:rPr>
        <w:t xml:space="preserve"> </w:t>
      </w:r>
      <w:r>
        <w:rPr>
          <w:rFonts w:hint="eastAsia"/>
          <w:color w:val="auto"/>
          <w:highlight w:val="none"/>
        </w:rPr>
        <w:t>如果</w:t>
      </w:r>
      <w:r>
        <w:rPr>
          <w:color w:val="auto"/>
          <w:highlight w:val="none"/>
        </w:rPr>
        <w:t>工程获得</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（奖项名称）</w:t>
      </w:r>
      <w:r>
        <w:rPr>
          <w:rFonts w:hint="eastAsia"/>
          <w:color w:val="auto"/>
          <w:highlight w:val="none"/>
        </w:rPr>
        <w:t>，</w:t>
      </w:r>
      <w:r>
        <w:rPr>
          <w:color w:val="auto"/>
          <w:highlight w:val="none"/>
        </w:rPr>
        <w:t>给予</w:t>
      </w:r>
      <w:r>
        <w:rPr>
          <w:rFonts w:hint="eastAsia"/>
          <w:color w:val="auto"/>
          <w:highlight w:val="none"/>
        </w:rPr>
        <w:t>承包人</w:t>
      </w:r>
      <w:r>
        <w:rPr>
          <w:color w:val="auto"/>
          <w:highlight w:val="none"/>
        </w:rPr>
        <w:t>合同价</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color w:val="auto"/>
          <w:highlight w:val="none"/>
        </w:rPr>
        <w:t>%的奖励</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color w:val="auto"/>
          <w:highlight w:val="none"/>
        </w:rPr>
        <w:t xml:space="preserve">5.3 </w:t>
      </w:r>
      <w:r>
        <w:rPr>
          <w:rFonts w:hint="eastAsia" w:hAnsi="宋体" w:cs="宋体"/>
          <w:color w:val="auto"/>
          <w:highlight w:val="none"/>
        </w:rPr>
        <w:t>隐蔽工程检查</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u w:val="single"/>
        </w:rPr>
      </w:pPr>
      <w:r>
        <w:rPr>
          <w:color w:val="auto"/>
          <w:highlight w:val="none"/>
        </w:rPr>
        <w:t>5.3.2</w:t>
      </w:r>
      <w:r>
        <w:rPr>
          <w:rFonts w:hint="eastAsia" w:hAnsi="宋体" w:cs="宋体"/>
          <w:color w:val="auto"/>
          <w:highlight w:val="none"/>
        </w:rPr>
        <w:t>承包人提前通知监理人隐蔽工程检查的期限的约定：工程隐蔽或中间验收前</w:t>
      </w:r>
      <w:r>
        <w:rPr>
          <w:color w:val="auto"/>
          <w:highlight w:val="none"/>
        </w:rPr>
        <w:t>12</w:t>
      </w:r>
      <w:r>
        <w:rPr>
          <w:rFonts w:hint="eastAsia" w:hAnsi="宋体" w:cs="宋体"/>
          <w:color w:val="auto"/>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监理人不能按时进行检查时，应提前</w:t>
      </w:r>
      <w:r>
        <w:rPr>
          <w:color w:val="auto"/>
          <w:highlight w:val="none"/>
          <w:u w:val="single"/>
        </w:rPr>
        <w:t xml:space="preserve">    </w:t>
      </w:r>
      <w:r>
        <w:rPr>
          <w:rFonts w:hint="eastAsia"/>
          <w:color w:val="auto"/>
          <w:highlight w:val="none"/>
          <w:u w:val="single"/>
          <w:lang w:val="en-US" w:eastAsia="zh-CN"/>
        </w:rPr>
        <w:t>24</w:t>
      </w:r>
      <w:r>
        <w:rPr>
          <w:color w:val="auto"/>
          <w:highlight w:val="none"/>
          <w:u w:val="single"/>
        </w:rPr>
        <w:t xml:space="preserve">   </w:t>
      </w:r>
      <w:r>
        <w:rPr>
          <w:rFonts w:hint="eastAsia" w:hAnsi="宋体" w:cs="宋体"/>
          <w:color w:val="auto"/>
          <w:highlight w:val="none"/>
        </w:rPr>
        <w:t>小时提交书面延期要求。</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color w:val="auto"/>
          <w:highlight w:val="none"/>
          <w:u w:val="single"/>
          <w:lang w:val="en-US" w:eastAsia="zh-CN"/>
        </w:rPr>
        <w:t>48</w:t>
      </w:r>
      <w:r>
        <w:rPr>
          <w:color w:val="auto"/>
          <w:highlight w:val="none"/>
          <w:u w:val="single"/>
        </w:rPr>
        <w:t xml:space="preserve">    </w:t>
      </w:r>
      <w:r>
        <w:rPr>
          <w:rFonts w:hint="eastAsia" w:hAnsi="宋体" w:cs="宋体"/>
          <w:color w:val="auto"/>
          <w:highlight w:val="none"/>
        </w:rPr>
        <w:t>小时。</w:t>
      </w:r>
    </w:p>
    <w:p>
      <w:pPr>
        <w:pStyle w:val="5"/>
        <w:keepNext w:val="0"/>
        <w:keepLines w:val="0"/>
        <w:pageBreakBefore w:val="0"/>
        <w:widowControl w:val="0"/>
        <w:kinsoku/>
        <w:wordWrap/>
        <w:overflowPunct/>
        <w:topLinePunct w:val="0"/>
        <w:autoSpaceDE w:val="0"/>
        <w:autoSpaceDN w:val="0"/>
        <w:bidi w:val="0"/>
        <w:snapToGrid/>
        <w:spacing w:before="0" w:line="360" w:lineRule="auto"/>
        <w:ind w:left="0" w:leftChars="0" w:right="0"/>
        <w:textAlignment w:val="auto"/>
        <w:rPr>
          <w:color w:val="auto"/>
          <w:highlight w:val="none"/>
        </w:rPr>
      </w:pPr>
      <w:bookmarkStart w:id="526" w:name="_Toc373478366"/>
      <w:bookmarkStart w:id="527" w:name="_Toc10653"/>
      <w:bookmarkStart w:id="528" w:name="_Toc373227719"/>
      <w:bookmarkStart w:id="529" w:name="_Toc13670"/>
      <w:bookmarkStart w:id="530" w:name="_Toc389065285"/>
      <w:bookmarkStart w:id="531" w:name="_Toc31157"/>
      <w:bookmarkStart w:id="532" w:name="_Toc9850549"/>
      <w:bookmarkStart w:id="533" w:name="_Toc351203638"/>
      <w:bookmarkStart w:id="534" w:name="_Toc7266"/>
      <w:bookmarkStart w:id="535" w:name="_Toc407135221"/>
      <w:r>
        <w:rPr>
          <w:color w:val="auto"/>
          <w:highlight w:val="none"/>
        </w:rPr>
        <w:t xml:space="preserve">6. </w:t>
      </w:r>
      <w:r>
        <w:rPr>
          <w:rFonts w:hint="eastAsia" w:cs="黑体"/>
          <w:color w:val="auto"/>
          <w:highlight w:val="none"/>
        </w:rPr>
        <w:t>安全文明施工与环境保护</w:t>
      </w:r>
      <w:bookmarkEnd w:id="526"/>
      <w:bookmarkEnd w:id="527"/>
      <w:bookmarkEnd w:id="528"/>
      <w:bookmarkEnd w:id="529"/>
      <w:bookmarkEnd w:id="530"/>
      <w:bookmarkEnd w:id="531"/>
      <w:bookmarkEnd w:id="532"/>
      <w:bookmarkEnd w:id="533"/>
      <w:bookmarkEnd w:id="534"/>
      <w:bookmarkEnd w:id="535"/>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536" w:name="_Toc373478367"/>
      <w:bookmarkStart w:id="537" w:name="_Toc12895"/>
      <w:bookmarkStart w:id="538" w:name="_Toc9850550"/>
      <w:bookmarkStart w:id="539" w:name="_Toc10054"/>
      <w:bookmarkStart w:id="540" w:name="_Toc389065286"/>
      <w:bookmarkStart w:id="541" w:name="_Toc18476"/>
      <w:bookmarkStart w:id="542" w:name="_Toc407135222"/>
      <w:bookmarkStart w:id="543" w:name="_Toc373227720"/>
      <w:bookmarkStart w:id="544" w:name="_Toc6587"/>
      <w:r>
        <w:rPr>
          <w:color w:val="auto"/>
          <w:highlight w:val="none"/>
        </w:rPr>
        <w:t xml:space="preserve">6.1 </w:t>
      </w:r>
      <w:r>
        <w:rPr>
          <w:rFonts w:hint="eastAsia" w:cs="黑体"/>
          <w:color w:val="auto"/>
          <w:highlight w:val="none"/>
        </w:rPr>
        <w:t>安全文明施工</w:t>
      </w:r>
      <w:bookmarkEnd w:id="536"/>
      <w:bookmarkEnd w:id="537"/>
      <w:bookmarkEnd w:id="538"/>
      <w:bookmarkEnd w:id="539"/>
      <w:bookmarkEnd w:id="540"/>
      <w:bookmarkEnd w:id="541"/>
      <w:bookmarkEnd w:id="542"/>
      <w:bookmarkEnd w:id="543"/>
      <w:bookmarkEnd w:id="544"/>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olor w:val="auto"/>
          <w:highlight w:val="none"/>
        </w:rPr>
      </w:pPr>
      <w:r>
        <w:rPr>
          <w:color w:val="auto"/>
          <w:highlight w:val="none"/>
        </w:rPr>
        <w:t xml:space="preserve">6.1.1 </w:t>
      </w:r>
      <w:r>
        <w:rPr>
          <w:rFonts w:hint="eastAsia" w:hAnsi="宋体" w:cs="宋体"/>
          <w:color w:val="auto"/>
          <w:highlight w:val="none"/>
        </w:rPr>
        <w:t>项目安全生产的达标目标及相应事项的约定：</w:t>
      </w:r>
      <w:r>
        <w:rPr>
          <w:color w:val="auto"/>
          <w:highlight w:val="none"/>
          <w:u w:val="single"/>
        </w:rPr>
        <w:t xml:space="preserve">  </w:t>
      </w:r>
      <w:r>
        <w:rPr>
          <w:rFonts w:hint="eastAsia"/>
          <w:color w:val="auto"/>
          <w:highlight w:val="none"/>
          <w:u w:val="single"/>
        </w:rPr>
        <w:t>无安全生产事故</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关于安全文明施工奖项的约定：</w:t>
      </w:r>
      <w:r>
        <w:rPr>
          <w:color w:val="auto"/>
          <w:highlight w:val="none"/>
          <w:u w:val="single"/>
        </w:rPr>
        <w:t xml:space="preserve">       </w:t>
      </w:r>
      <w:r>
        <w:rPr>
          <w:rFonts w:hint="eastAsia"/>
          <w:color w:val="auto"/>
          <w:highlight w:val="none"/>
          <w:u w:val="single"/>
          <w:lang w:val="en-US" w:eastAsia="zh-CN"/>
        </w:rPr>
        <w:t>无</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u w:val="single"/>
        </w:rPr>
      </w:pPr>
      <w:r>
        <w:rPr>
          <w:color w:val="auto"/>
          <w:highlight w:val="none"/>
        </w:rPr>
        <w:t xml:space="preserve">6.1.4 </w:t>
      </w:r>
      <w:r>
        <w:rPr>
          <w:rFonts w:hint="eastAsia" w:hAnsi="宋体" w:cs="宋体"/>
          <w:color w:val="auto"/>
          <w:highlight w:val="none"/>
        </w:rPr>
        <w:t>关于治安保卫的特别约定：</w:t>
      </w:r>
      <w:r>
        <w:rPr>
          <w:rFonts w:hint="eastAsia" w:hAnsi="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关于编制施工场地治安管理计划的约定：</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color w:val="auto"/>
          <w:highlight w:val="none"/>
        </w:rPr>
        <w:t xml:space="preserve">6.1.5 </w:t>
      </w:r>
      <w:r>
        <w:rPr>
          <w:rFonts w:hint="eastAsia" w:hAnsi="宋体" w:cs="宋体"/>
          <w:color w:val="auto"/>
          <w:highlight w:val="none"/>
        </w:rPr>
        <w:t>文明施工</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b/>
          <w:bCs/>
          <w:color w:val="auto"/>
          <w:highlight w:val="none"/>
          <w:u w:val="single"/>
        </w:rPr>
      </w:pPr>
      <w:r>
        <w:rPr>
          <w:rFonts w:hint="eastAsia" w:hAnsi="宋体" w:cs="宋体"/>
          <w:color w:val="auto"/>
          <w:highlight w:val="none"/>
        </w:rPr>
        <w:t>合同当事人对文明施工的要求：</w:t>
      </w:r>
      <w:r>
        <w:rPr>
          <w:rFonts w:hint="eastAsia" w:hAnsi="宋体"/>
          <w:bCs/>
          <w:color w:val="auto"/>
          <w:szCs w:val="21"/>
          <w:highlight w:val="none"/>
        </w:rPr>
        <w:t>严格执行《大气污染防治法》（主席令第三十一号）的有关规定确保建设工程各项安全防护、文明施工措施及其费用在工地一线按标准落实到位。</w:t>
      </w:r>
      <w:r>
        <w:rPr>
          <w:color w:val="auto"/>
          <w:highlight w:val="none"/>
          <w:u w:val="none"/>
        </w:rPr>
        <w:t xml:space="preserve">     </w:t>
      </w:r>
      <w:r>
        <w:rPr>
          <w:color w:val="auto"/>
          <w:highlight w:val="none"/>
          <w:u w:val="single"/>
        </w:rPr>
        <w:t xml:space="preserve">                                    </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olor w:val="auto"/>
          <w:highlight w:val="none"/>
        </w:rPr>
      </w:pPr>
      <w:r>
        <w:rPr>
          <w:color w:val="auto"/>
          <w:highlight w:val="none"/>
        </w:rPr>
        <w:t>6.1.6</w:t>
      </w:r>
      <w:r>
        <w:rPr>
          <w:rFonts w:hAnsi="宋体" w:cs="宋体"/>
          <w:color w:val="auto"/>
          <w:kern w:val="0"/>
          <w:highlight w:val="none"/>
        </w:rPr>
        <w:t>关于安全</w:t>
      </w:r>
      <w:r>
        <w:rPr>
          <w:rFonts w:hint="eastAsia" w:hAnsi="宋体" w:cs="宋体"/>
          <w:color w:val="auto"/>
          <w:kern w:val="0"/>
          <w:highlight w:val="none"/>
        </w:rPr>
        <w:t>生产</w:t>
      </w:r>
      <w:r>
        <w:rPr>
          <w:rFonts w:hAnsi="宋体" w:cs="宋体"/>
          <w:color w:val="auto"/>
          <w:kern w:val="0"/>
          <w:highlight w:val="none"/>
        </w:rPr>
        <w:t>费</w:t>
      </w:r>
      <w:r>
        <w:rPr>
          <w:rFonts w:hint="eastAsia" w:hAnsi="宋体" w:cs="宋体"/>
          <w:color w:val="auto"/>
          <w:kern w:val="0"/>
          <w:highlight w:val="none"/>
        </w:rPr>
        <w:t>总额、</w:t>
      </w:r>
      <w:r>
        <w:rPr>
          <w:rFonts w:hAnsi="宋体" w:cs="宋体"/>
          <w:color w:val="auto"/>
          <w:kern w:val="0"/>
          <w:highlight w:val="none"/>
        </w:rPr>
        <w:t>支付比例</w:t>
      </w:r>
      <w:r>
        <w:rPr>
          <w:rFonts w:hint="eastAsia" w:hAnsi="宋体" w:cs="宋体"/>
          <w:color w:val="auto"/>
          <w:kern w:val="0"/>
          <w:highlight w:val="none"/>
        </w:rPr>
        <w:t>、</w:t>
      </w:r>
      <w:r>
        <w:rPr>
          <w:rFonts w:hAnsi="宋体" w:cs="宋体"/>
          <w:color w:val="auto"/>
          <w:kern w:val="0"/>
          <w:highlight w:val="none"/>
        </w:rPr>
        <w:t>支付期限</w:t>
      </w:r>
      <w:r>
        <w:rPr>
          <w:rFonts w:hint="eastAsia" w:hAnsi="宋体" w:cs="宋体"/>
          <w:color w:val="auto"/>
          <w:kern w:val="0"/>
          <w:highlight w:val="none"/>
        </w:rPr>
        <w:t>、转入和结余收回</w:t>
      </w:r>
      <w:r>
        <w:rPr>
          <w:rFonts w:hAnsi="宋体" w:cs="宋体"/>
          <w:color w:val="auto"/>
          <w:kern w:val="0"/>
          <w:highlight w:val="none"/>
        </w:rPr>
        <w:t>的约定：</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1</w:t>
      </w:r>
      <w:r>
        <w:rPr>
          <w:rFonts w:hint="eastAsia" w:hAnsi="宋体" w:cs="宋体"/>
          <w:color w:val="auto"/>
          <w:kern w:val="0"/>
          <w:highlight w:val="none"/>
        </w:rPr>
        <w:t>）本合同价款已包含安全文明施工费</w:t>
      </w:r>
      <w:r>
        <w:rPr>
          <w:rFonts w:hAnsi="宋体"/>
          <w:color w:val="auto"/>
          <w:kern w:val="0"/>
          <w:highlight w:val="none"/>
          <w:u w:val="single"/>
        </w:rPr>
        <w:t xml:space="preserve">           </w:t>
      </w:r>
      <w:r>
        <w:rPr>
          <w:rFonts w:hint="eastAsia" w:hAnsi="宋体" w:cs="宋体"/>
          <w:color w:val="auto"/>
          <w:kern w:val="0"/>
          <w:highlight w:val="none"/>
        </w:rPr>
        <w:t>元。</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2</w:t>
      </w:r>
      <w:r>
        <w:rPr>
          <w:rFonts w:hint="eastAsia" w:hAnsi="宋体" w:cs="宋体"/>
          <w:color w:val="auto"/>
          <w:kern w:val="0"/>
          <w:highlight w:val="none"/>
        </w:rPr>
        <w:t>）使用要求：专款专用。具体按</w:t>
      </w:r>
      <w:r>
        <w:rPr>
          <w:rFonts w:hint="eastAsia" w:hAnsi="宋体" w:cs="宋体"/>
          <w:color w:val="auto"/>
          <w:kern w:val="0"/>
          <w:highlight w:val="none"/>
          <w:u w:val="single"/>
        </w:rPr>
        <w:t>《广西壮族自治区建设工程安全文明施工费使用管理细则》（桂建质〔</w:t>
      </w:r>
      <w:r>
        <w:rPr>
          <w:rFonts w:hAnsi="宋体"/>
          <w:color w:val="auto"/>
          <w:kern w:val="0"/>
          <w:highlight w:val="none"/>
          <w:u w:val="single"/>
        </w:rPr>
        <w:t>2015</w:t>
      </w:r>
      <w:r>
        <w:rPr>
          <w:rFonts w:hint="eastAsia" w:hAnsi="宋体" w:cs="宋体"/>
          <w:color w:val="auto"/>
          <w:kern w:val="0"/>
          <w:highlight w:val="none"/>
          <w:u w:val="single"/>
        </w:rPr>
        <w:t>〕</w:t>
      </w:r>
      <w:r>
        <w:rPr>
          <w:rFonts w:hAnsi="宋体"/>
          <w:color w:val="auto"/>
          <w:kern w:val="0"/>
          <w:highlight w:val="none"/>
          <w:u w:val="single"/>
        </w:rPr>
        <w:t>16</w:t>
      </w:r>
      <w:r>
        <w:rPr>
          <w:rFonts w:hint="eastAsia" w:hAnsi="宋体" w:cs="宋体"/>
          <w:color w:val="auto"/>
          <w:kern w:val="0"/>
          <w:highlight w:val="none"/>
          <w:u w:val="single"/>
        </w:rPr>
        <w:t>号）</w:t>
      </w:r>
      <w:r>
        <w:rPr>
          <w:rFonts w:hint="eastAsia" w:hAnsi="宋体" w:cs="宋体"/>
          <w:color w:val="auto"/>
          <w:kern w:val="0"/>
          <w:highlight w:val="none"/>
        </w:rPr>
        <w:t>相关规定执行。</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rFonts w:hAnsi="宋体" w:cs="宋体"/>
          <w:color w:val="auto"/>
          <w:kern w:val="0"/>
          <w:highlight w:val="none"/>
        </w:rPr>
      </w:pPr>
      <w:r>
        <w:rPr>
          <w:rFonts w:hint="eastAsia" w:hAnsi="宋体" w:cs="宋体"/>
          <w:color w:val="auto"/>
          <w:kern w:val="0"/>
          <w:highlight w:val="none"/>
        </w:rPr>
        <w:t>（</w:t>
      </w:r>
      <w:r>
        <w:rPr>
          <w:rFonts w:hAnsi="宋体"/>
          <w:color w:val="auto"/>
          <w:kern w:val="0"/>
          <w:highlight w:val="none"/>
        </w:rPr>
        <w:t>3</w:t>
      </w:r>
      <w:r>
        <w:rPr>
          <w:rFonts w:hint="eastAsia" w:hAnsi="宋体" w:cs="宋体"/>
          <w:color w:val="auto"/>
          <w:kern w:val="0"/>
          <w:highlight w:val="none"/>
        </w:rPr>
        <w:t>）支付约定：</w:t>
      </w:r>
      <w:r>
        <w:rPr>
          <w:rFonts w:hint="eastAsia" w:cs="宋体"/>
          <w:color w:val="auto"/>
          <w:kern w:val="0"/>
          <w:highlight w:val="none"/>
        </w:rPr>
        <w:t>在本合同签订后</w:t>
      </w:r>
      <w:r>
        <w:rPr>
          <w:color w:val="auto"/>
          <w:kern w:val="0"/>
          <w:highlight w:val="none"/>
        </w:rPr>
        <w:t xml:space="preserve">    </w:t>
      </w:r>
      <w:r>
        <w:rPr>
          <w:rFonts w:hint="eastAsia" w:cs="宋体"/>
          <w:color w:val="auto"/>
          <w:kern w:val="0"/>
          <w:highlight w:val="none"/>
        </w:rPr>
        <w:t>个工作日内，预付安全文明施工费总额的   %，其余部分与进度款同期支付，安全文明施工费预付款在工程进度款累计金额超过合同价的   %时开始起扣，每月从支付给承包商的工程款内按安全文明预付款占合同总价的同一百分比扣回</w:t>
      </w:r>
      <w:r>
        <w:rPr>
          <w:rFonts w:hint="eastAsia" w:hAnsi="宋体" w:cs="宋体"/>
          <w:color w:val="auto"/>
          <w:kern w:val="0"/>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rFonts w:hint="eastAsia" w:hAnsi="宋体" w:cs="宋体"/>
          <w:color w:val="auto"/>
          <w:kern w:val="0"/>
          <w:highlight w:val="none"/>
        </w:rPr>
      </w:pPr>
      <w:r>
        <w:rPr>
          <w:rFonts w:hint="eastAsia" w:hAnsi="宋体" w:cs="宋体"/>
          <w:color w:val="auto"/>
          <w:kern w:val="0"/>
          <w:highlight w:val="none"/>
        </w:rPr>
        <w:t>（4）建设单位按规定将安全生产费用转入施工单位设立的安全生产费用专户。</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rFonts w:hint="eastAsia" w:hAnsi="宋体" w:cs="宋体"/>
          <w:color w:val="auto"/>
          <w:kern w:val="0"/>
          <w:highlight w:val="none"/>
        </w:rPr>
      </w:pPr>
      <w:r>
        <w:rPr>
          <w:rFonts w:hint="eastAsia" w:hAnsi="宋体" w:cs="宋体"/>
          <w:color w:val="auto"/>
          <w:kern w:val="0"/>
          <w:highlight w:val="none"/>
        </w:rPr>
        <w:t>（5）工程施工完成后安全生产费用尚有结余的，结余部分由建设单位收回。</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rFonts w:hint="eastAsia" w:hAnsi="宋体" w:cs="宋体"/>
          <w:color w:val="auto"/>
          <w:kern w:val="0"/>
          <w:highlight w:val="none"/>
        </w:rPr>
      </w:pPr>
      <w:r>
        <w:rPr>
          <w:rFonts w:hint="eastAsia" w:hAnsi="宋体" w:cs="宋体"/>
          <w:color w:val="auto"/>
          <w:kern w:val="0"/>
          <w:highlight w:val="none"/>
        </w:rPr>
        <w:t>（6）施工单位将安全生产费用使用情况定期报告建设单位和监理单位，并提供相应的材料接受建设行政主管部门对此事项监管。</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rFonts w:hint="eastAsia" w:hAnsi="宋体"/>
          <w:color w:val="auto"/>
          <w:kern w:val="0"/>
          <w:highlight w:val="none"/>
        </w:rPr>
      </w:pPr>
      <w:r>
        <w:rPr>
          <w:rFonts w:hint="eastAsia" w:hAnsi="宋体" w:cs="宋体"/>
          <w:color w:val="auto"/>
          <w:kern w:val="0"/>
          <w:highlight w:val="none"/>
        </w:rPr>
        <w:t>（7）安全生产费用专户：</w:t>
      </w:r>
      <w:r>
        <w:rPr>
          <w:rFonts w:hAnsi="宋体" w:cs="宋体"/>
          <w:color w:val="auto"/>
          <w:kern w:val="0"/>
          <w:highlight w:val="none"/>
        </w:rPr>
        <w:t>××××</w:t>
      </w:r>
      <w:r>
        <w:rPr>
          <w:rFonts w:hint="eastAsia" w:hAnsi="宋体" w:cs="宋体"/>
          <w:color w:val="auto"/>
          <w:kern w:val="0"/>
          <w:highlight w:val="none"/>
        </w:rPr>
        <w:t>公司安全生产费用专户。账号：</w:t>
      </w:r>
      <w:r>
        <w:rPr>
          <w:rFonts w:hAnsi="宋体" w:cs="宋体"/>
          <w:color w:val="auto"/>
          <w:kern w:val="0"/>
          <w:highlight w:val="none"/>
          <w:u w:val="single"/>
        </w:rPr>
        <w:t xml:space="preserve"> </w:t>
      </w:r>
      <w:r>
        <w:rPr>
          <w:rFonts w:hint="eastAsia" w:hAnsi="宋体" w:cs="宋体"/>
          <w:color w:val="auto"/>
          <w:kern w:val="0"/>
          <w:highlight w:val="none"/>
          <w:u w:val="single"/>
        </w:rPr>
        <w:t xml:space="preserve">               </w:t>
      </w:r>
      <w:r>
        <w:rPr>
          <w:rFonts w:hint="eastAsia" w:hAnsi="宋体" w:cs="宋体"/>
          <w:color w:val="auto"/>
          <w:kern w:val="0"/>
          <w:highlight w:val="none"/>
        </w:rPr>
        <w:t xml:space="preserve"> 。</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545" w:name="_Toc389065287"/>
      <w:bookmarkStart w:id="546" w:name="_Toc407135223"/>
      <w:bookmarkStart w:id="547" w:name="_Toc23461"/>
      <w:bookmarkStart w:id="548" w:name="_Toc373227721"/>
      <w:bookmarkStart w:id="549" w:name="_Toc30828"/>
      <w:bookmarkStart w:id="550" w:name="_Toc373478368"/>
      <w:bookmarkStart w:id="551" w:name="_Toc7361"/>
      <w:bookmarkStart w:id="552" w:name="_Toc9850551"/>
      <w:bookmarkStart w:id="553" w:name="_Toc8950"/>
      <w:r>
        <w:rPr>
          <w:color w:val="auto"/>
          <w:highlight w:val="none"/>
        </w:rPr>
        <w:t xml:space="preserve">6.3 </w:t>
      </w:r>
      <w:r>
        <w:rPr>
          <w:rFonts w:hint="eastAsia" w:hAnsi="宋体" w:cs="黑体"/>
          <w:color w:val="auto"/>
          <w:highlight w:val="none"/>
        </w:rPr>
        <w:t>环境保护</w:t>
      </w:r>
      <w:bookmarkEnd w:id="545"/>
      <w:bookmarkEnd w:id="546"/>
      <w:bookmarkEnd w:id="547"/>
      <w:bookmarkEnd w:id="548"/>
      <w:bookmarkEnd w:id="549"/>
      <w:bookmarkEnd w:id="550"/>
      <w:bookmarkEnd w:id="551"/>
      <w:bookmarkEnd w:id="552"/>
      <w:bookmarkEnd w:id="553"/>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u w:val="single"/>
        </w:rPr>
      </w:pPr>
      <w:r>
        <w:rPr>
          <w:rFonts w:hint="eastAsia" w:hAnsi="宋体" w:cs="宋体"/>
          <w:color w:val="auto"/>
          <w:highlight w:val="none"/>
          <w:u w:val="single"/>
        </w:rPr>
        <w:t>因施工需要，经发包人批准，由承包人办理有关施工场地交通、环卫和施工噪音管理等手续，费用由承包人负责。</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u w:val="single"/>
        </w:rPr>
      </w:pPr>
      <w:r>
        <w:rPr>
          <w:rFonts w:hint="eastAsia" w:hAnsi="宋体" w:cs="宋体"/>
          <w:color w:val="auto"/>
          <w:highlight w:val="none"/>
          <w:u w:val="single"/>
        </w:rPr>
        <w:t>经过城市道路的施工车辆，必须按交警、城管、运输等部门相关规定执行。由于施工车辆造成的道路、环境等污染，其责任和费用均由承包人承担。</w:t>
      </w:r>
    </w:p>
    <w:bookmarkEnd w:id="519"/>
    <w:bookmarkEnd w:id="520"/>
    <w:bookmarkEnd w:id="521"/>
    <w:bookmarkEnd w:id="522"/>
    <w:bookmarkEnd w:id="523"/>
    <w:bookmarkEnd w:id="524"/>
    <w:bookmarkEnd w:id="525"/>
    <w:p>
      <w:pPr>
        <w:pStyle w:val="5"/>
        <w:keepNext w:val="0"/>
        <w:keepLines w:val="0"/>
        <w:pageBreakBefore w:val="0"/>
        <w:widowControl w:val="0"/>
        <w:kinsoku/>
        <w:wordWrap/>
        <w:overflowPunct/>
        <w:topLinePunct w:val="0"/>
        <w:autoSpaceDE w:val="0"/>
        <w:autoSpaceDN w:val="0"/>
        <w:bidi w:val="0"/>
        <w:snapToGrid/>
        <w:spacing w:before="0" w:line="360" w:lineRule="auto"/>
        <w:ind w:left="0" w:leftChars="0" w:right="0"/>
        <w:textAlignment w:val="auto"/>
        <w:rPr>
          <w:color w:val="auto"/>
          <w:highlight w:val="none"/>
        </w:rPr>
      </w:pPr>
      <w:bookmarkStart w:id="554" w:name="_Toc389065288"/>
      <w:bookmarkStart w:id="555" w:name="_Toc28871"/>
      <w:bookmarkStart w:id="556" w:name="_Toc9850552"/>
      <w:bookmarkStart w:id="557" w:name="_Toc14352"/>
      <w:bookmarkStart w:id="558" w:name="_Toc19155"/>
      <w:bookmarkStart w:id="559" w:name="_Toc20989"/>
      <w:bookmarkStart w:id="560" w:name="_Toc407135224"/>
      <w:bookmarkStart w:id="561" w:name="_Toc373227722"/>
      <w:bookmarkStart w:id="562" w:name="_Toc373478369"/>
      <w:bookmarkStart w:id="563" w:name="_Toc351203639"/>
      <w:r>
        <w:rPr>
          <w:color w:val="auto"/>
          <w:highlight w:val="none"/>
        </w:rPr>
        <w:t xml:space="preserve">7. </w:t>
      </w:r>
      <w:r>
        <w:rPr>
          <w:rFonts w:hint="eastAsia" w:cs="黑体"/>
          <w:color w:val="auto"/>
          <w:highlight w:val="none"/>
        </w:rPr>
        <w:t>工期和进度</w:t>
      </w:r>
      <w:bookmarkEnd w:id="554"/>
      <w:bookmarkEnd w:id="555"/>
      <w:bookmarkEnd w:id="556"/>
      <w:bookmarkEnd w:id="557"/>
      <w:bookmarkEnd w:id="558"/>
      <w:bookmarkEnd w:id="559"/>
      <w:bookmarkEnd w:id="560"/>
      <w:bookmarkEnd w:id="561"/>
      <w:bookmarkEnd w:id="562"/>
      <w:bookmarkEnd w:id="563"/>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564" w:name="_Toc2643"/>
      <w:bookmarkStart w:id="565" w:name="_Toc407135225"/>
      <w:bookmarkStart w:id="566" w:name="_Toc373478370"/>
      <w:bookmarkStart w:id="567" w:name="_Toc9850553"/>
      <w:bookmarkStart w:id="568" w:name="_Toc389065289"/>
      <w:bookmarkStart w:id="569" w:name="_Toc30231"/>
      <w:bookmarkStart w:id="570" w:name="_Toc28118"/>
      <w:bookmarkStart w:id="571" w:name="_Toc373227723"/>
      <w:bookmarkStart w:id="572" w:name="_Toc23116"/>
      <w:r>
        <w:rPr>
          <w:color w:val="auto"/>
          <w:highlight w:val="none"/>
        </w:rPr>
        <w:t xml:space="preserve">7.1 </w:t>
      </w:r>
      <w:r>
        <w:rPr>
          <w:rFonts w:hint="eastAsia" w:cs="黑体"/>
          <w:color w:val="auto"/>
          <w:highlight w:val="none"/>
        </w:rPr>
        <w:t>施工组织设计</w:t>
      </w:r>
      <w:bookmarkEnd w:id="564"/>
      <w:bookmarkEnd w:id="565"/>
      <w:bookmarkEnd w:id="566"/>
      <w:bookmarkEnd w:id="567"/>
      <w:bookmarkEnd w:id="568"/>
      <w:bookmarkEnd w:id="569"/>
      <w:bookmarkEnd w:id="570"/>
      <w:bookmarkEnd w:id="571"/>
      <w:bookmarkEnd w:id="572"/>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color w:val="auto"/>
          <w:sz w:val="22"/>
          <w:szCs w:val="22"/>
          <w:highlight w:val="none"/>
          <w:u w:val="single"/>
        </w:rPr>
      </w:pPr>
      <w:r>
        <w:rPr>
          <w:color w:val="auto"/>
          <w:sz w:val="22"/>
          <w:szCs w:val="22"/>
          <w:highlight w:val="none"/>
        </w:rPr>
        <w:t xml:space="preserve">7.1.1 </w:t>
      </w:r>
      <w:r>
        <w:rPr>
          <w:rFonts w:hint="eastAsia" w:hAnsi="宋体" w:cs="宋体"/>
          <w:color w:val="auto"/>
          <w:sz w:val="22"/>
          <w:szCs w:val="22"/>
          <w:highlight w:val="none"/>
        </w:rPr>
        <w:t>合</w:t>
      </w:r>
      <w:r>
        <w:rPr>
          <w:rFonts w:hint="eastAsia" w:hAnsi="宋体" w:cs="宋体"/>
          <w:color w:val="auto"/>
          <w:kern w:val="0"/>
          <w:sz w:val="22"/>
          <w:szCs w:val="22"/>
          <w:highlight w:val="none"/>
        </w:rPr>
        <w:t>同当事人约定的施工组织设计应包括的其他内容：</w:t>
      </w:r>
      <w:r>
        <w:rPr>
          <w:color w:val="auto"/>
          <w:sz w:val="22"/>
          <w:szCs w:val="22"/>
          <w:highlight w:val="none"/>
          <w:u w:val="single"/>
        </w:rPr>
        <w:t xml:space="preserve"> </w:t>
      </w:r>
      <w:r>
        <w:rPr>
          <w:rStyle w:val="31"/>
          <w:rFonts w:hint="eastAsia" w:ascii="宋体" w:hAnsi="宋体" w:eastAsia="宋体" w:cs="Times New Roman"/>
          <w:color w:val="auto"/>
          <w:spacing w:val="-6"/>
          <w:sz w:val="22"/>
          <w:szCs w:val="22"/>
          <w:highlight w:val="none"/>
          <w:u w:val="single"/>
        </w:rPr>
        <w:t>按《通用合同条款》7.1.1条执行</w:t>
      </w:r>
      <w:r>
        <w:rPr>
          <w:rFonts w:hint="eastAsia" w:hAnsi="宋体" w:cs="宋体"/>
          <w:color w:val="auto"/>
          <w:sz w:val="22"/>
          <w:szCs w:val="22"/>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color w:val="auto"/>
          <w:kern w:val="0"/>
          <w:sz w:val="22"/>
          <w:szCs w:val="22"/>
          <w:highlight w:val="none"/>
        </w:rPr>
      </w:pPr>
      <w:r>
        <w:rPr>
          <w:color w:val="auto"/>
          <w:sz w:val="22"/>
          <w:szCs w:val="22"/>
          <w:highlight w:val="none"/>
        </w:rPr>
        <w:t xml:space="preserve">7.1.2 </w:t>
      </w:r>
      <w:r>
        <w:rPr>
          <w:rFonts w:hint="eastAsia" w:hAnsi="宋体" w:cs="宋体"/>
          <w:color w:val="auto"/>
          <w:kern w:val="0"/>
          <w:sz w:val="22"/>
          <w:szCs w:val="22"/>
          <w:highlight w:val="none"/>
        </w:rPr>
        <w:t>施工组织设计的提交和修改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color w:val="auto"/>
          <w:sz w:val="22"/>
          <w:szCs w:val="22"/>
          <w:highlight w:val="none"/>
          <w:u w:val="single"/>
        </w:rPr>
      </w:pPr>
      <w:r>
        <w:rPr>
          <w:rFonts w:hint="eastAsia" w:hAnsi="宋体" w:cs="宋体"/>
          <w:color w:val="auto"/>
          <w:kern w:val="0"/>
          <w:sz w:val="22"/>
          <w:szCs w:val="22"/>
          <w:highlight w:val="none"/>
        </w:rPr>
        <w:t>承包人提交详细施工组织设计的期限的约定：</w:t>
      </w:r>
      <w:r>
        <w:rPr>
          <w:color w:val="auto"/>
          <w:sz w:val="22"/>
          <w:szCs w:val="22"/>
          <w:highlight w:val="none"/>
          <w:u w:val="single"/>
        </w:rPr>
        <w:t xml:space="preserve">  </w:t>
      </w:r>
      <w:r>
        <w:rPr>
          <w:rStyle w:val="31"/>
          <w:rFonts w:hint="eastAsia" w:ascii="宋体" w:hAnsi="宋体" w:eastAsia="宋体" w:cs="Times New Roman"/>
          <w:color w:val="auto"/>
          <w:sz w:val="22"/>
          <w:szCs w:val="22"/>
          <w:highlight w:val="none"/>
          <w:u w:val="single"/>
        </w:rPr>
        <w:t>承包人应在合同签订后</w:t>
      </w:r>
      <w:r>
        <w:rPr>
          <w:rStyle w:val="31"/>
          <w:rFonts w:hint="eastAsia" w:ascii="宋体" w:hAnsi="宋体" w:eastAsia="宋体" w:cs="Times New Roman"/>
          <w:color w:val="auto"/>
          <w:sz w:val="22"/>
          <w:szCs w:val="22"/>
          <w:highlight w:val="none"/>
          <w:u w:val="single"/>
          <w:lang w:val="en-US" w:eastAsia="zh-CN"/>
        </w:rPr>
        <w:t>7</w:t>
      </w:r>
      <w:r>
        <w:rPr>
          <w:rStyle w:val="31"/>
          <w:rFonts w:hint="eastAsia" w:ascii="宋体" w:hAnsi="宋体" w:eastAsia="宋体" w:cs="Times New Roman"/>
          <w:color w:val="auto"/>
          <w:sz w:val="22"/>
          <w:szCs w:val="22"/>
          <w:highlight w:val="none"/>
          <w:u w:val="single"/>
        </w:rPr>
        <w:t>天内</w:t>
      </w:r>
      <w:r>
        <w:rPr>
          <w:color w:val="auto"/>
          <w:sz w:val="22"/>
          <w:szCs w:val="22"/>
          <w:highlight w:val="none"/>
          <w:u w:val="single"/>
        </w:rPr>
        <w:t xml:space="preserve">     </w:t>
      </w:r>
      <w:r>
        <w:rPr>
          <w:rFonts w:hint="eastAsia" w:hAnsi="宋体" w:cs="宋体"/>
          <w:color w:val="auto"/>
          <w:sz w:val="22"/>
          <w:szCs w:val="22"/>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sz w:val="22"/>
          <w:szCs w:val="22"/>
          <w:highlight w:val="none"/>
        </w:rPr>
      </w:pPr>
      <w:r>
        <w:rPr>
          <w:rFonts w:hint="eastAsia" w:hAnsi="宋体" w:cs="宋体"/>
          <w:color w:val="auto"/>
          <w:sz w:val="22"/>
          <w:szCs w:val="22"/>
          <w:highlight w:val="none"/>
        </w:rPr>
        <w:t>发包人和监理人在收到详细的施工组织设计后确认或提出修改意见的期限：</w:t>
      </w:r>
      <w:r>
        <w:rPr>
          <w:color w:val="auto"/>
          <w:sz w:val="22"/>
          <w:szCs w:val="22"/>
          <w:highlight w:val="none"/>
          <w:u w:val="single"/>
        </w:rPr>
        <w:t xml:space="preserve"> </w:t>
      </w:r>
      <w:r>
        <w:rPr>
          <w:rStyle w:val="31"/>
          <w:rFonts w:hint="eastAsia" w:ascii="宋体" w:hAnsi="宋体" w:eastAsia="宋体" w:cs="Times New Roman"/>
          <w:color w:val="auto"/>
          <w:sz w:val="22"/>
          <w:szCs w:val="22"/>
          <w:highlight w:val="none"/>
          <w:u w:val="single"/>
        </w:rPr>
        <w:t>收到施工组织设计后2天内确认或提出修改意见</w:t>
      </w:r>
      <w:r>
        <w:rPr>
          <w:color w:val="auto"/>
          <w:sz w:val="22"/>
          <w:szCs w:val="22"/>
          <w:highlight w:val="none"/>
          <w:u w:val="single"/>
        </w:rPr>
        <w:t xml:space="preserve">   </w:t>
      </w:r>
      <w:r>
        <w:rPr>
          <w:rFonts w:hint="eastAsia" w:hAnsi="宋体" w:cs="宋体"/>
          <w:color w:val="auto"/>
          <w:sz w:val="22"/>
          <w:szCs w:val="22"/>
          <w:highlight w:val="none"/>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573" w:name="_Toc7172"/>
      <w:bookmarkStart w:id="574" w:name="_Toc389065290"/>
      <w:bookmarkStart w:id="575" w:name="_Toc28883"/>
      <w:bookmarkStart w:id="576" w:name="_Toc373227724"/>
      <w:bookmarkStart w:id="577" w:name="_Toc24713"/>
      <w:bookmarkStart w:id="578" w:name="_Toc407135226"/>
      <w:bookmarkStart w:id="579" w:name="_Toc373478371"/>
      <w:bookmarkStart w:id="580" w:name="_Toc9850554"/>
      <w:bookmarkStart w:id="581" w:name="_Toc12343"/>
      <w:r>
        <w:rPr>
          <w:color w:val="auto"/>
          <w:highlight w:val="none"/>
        </w:rPr>
        <w:t>7</w:t>
      </w:r>
      <w:bookmarkStart w:id="582" w:name="_Toc300934966"/>
      <w:bookmarkStart w:id="583" w:name="_Toc304295541"/>
      <w:bookmarkStart w:id="584" w:name="_Toc312678005"/>
      <w:bookmarkStart w:id="585" w:name="_Toc303539123"/>
      <w:bookmarkStart w:id="586" w:name="_Toc297216173"/>
      <w:bookmarkStart w:id="587" w:name="_Toc312677479"/>
      <w:bookmarkStart w:id="588" w:name="_Toc297123514"/>
      <w:r>
        <w:rPr>
          <w:color w:val="auto"/>
          <w:highlight w:val="none"/>
        </w:rPr>
        <w:t xml:space="preserve">.2 </w:t>
      </w:r>
      <w:r>
        <w:rPr>
          <w:rFonts w:hint="eastAsia" w:cs="黑体"/>
          <w:color w:val="auto"/>
          <w:highlight w:val="none"/>
        </w:rPr>
        <w:t>施工进度计划</w:t>
      </w:r>
      <w:bookmarkEnd w:id="573"/>
      <w:bookmarkEnd w:id="574"/>
      <w:bookmarkEnd w:id="575"/>
      <w:bookmarkEnd w:id="576"/>
      <w:bookmarkEnd w:id="577"/>
      <w:bookmarkEnd w:id="578"/>
      <w:bookmarkEnd w:id="579"/>
      <w:bookmarkEnd w:id="580"/>
      <w:bookmarkEnd w:id="581"/>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color w:val="auto"/>
          <w:highlight w:val="none"/>
        </w:rPr>
        <w:t xml:space="preserve">7.2.2 </w:t>
      </w:r>
      <w:r>
        <w:rPr>
          <w:rFonts w:hint="eastAsia" w:hAnsi="宋体" w:cs="宋体"/>
          <w:color w:val="auto"/>
          <w:highlight w:val="none"/>
        </w:rPr>
        <w:t>施工进度计划的修订</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发包人和监理人在收到修订的施工进度计划后确认或提出修改意见的期限：</w:t>
      </w:r>
      <w:r>
        <w:rPr>
          <w:color w:val="auto"/>
          <w:highlight w:val="none"/>
          <w:u w:val="single"/>
        </w:rPr>
        <w:t xml:space="preserve"> </w:t>
      </w:r>
      <w:r>
        <w:rPr>
          <w:rStyle w:val="31"/>
          <w:rFonts w:hint="eastAsia" w:ascii="宋体" w:hAnsi="宋体" w:eastAsia="宋体" w:cs="Times New Roman"/>
          <w:color w:val="auto"/>
          <w:highlight w:val="none"/>
          <w:u w:val="single"/>
        </w:rPr>
        <w:t>收到修订的施工进度计划后2天内确认或提出修改意见</w:t>
      </w:r>
      <w:r>
        <w:rPr>
          <w:color w:val="auto"/>
          <w:highlight w:val="none"/>
          <w:u w:val="single"/>
        </w:rPr>
        <w:t xml:space="preserve">  </w:t>
      </w:r>
      <w:r>
        <w:rPr>
          <w:rFonts w:hint="eastAsia" w:hAnsi="宋体" w:cs="宋体"/>
          <w:color w:val="auto"/>
          <w:highlight w:val="none"/>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589" w:name="_Toc373478372"/>
      <w:bookmarkStart w:id="590" w:name="_Toc13608"/>
      <w:bookmarkStart w:id="591" w:name="_Toc9850555"/>
      <w:bookmarkStart w:id="592" w:name="_Toc5570"/>
      <w:bookmarkStart w:id="593" w:name="_Toc5686"/>
      <w:bookmarkStart w:id="594" w:name="_Toc407135227"/>
      <w:bookmarkStart w:id="595" w:name="_Toc373227725"/>
      <w:bookmarkStart w:id="596" w:name="_Toc11873"/>
      <w:bookmarkStart w:id="597" w:name="_Toc389065291"/>
      <w:r>
        <w:rPr>
          <w:color w:val="auto"/>
          <w:highlight w:val="none"/>
        </w:rPr>
        <w:t xml:space="preserve">7.3 </w:t>
      </w:r>
      <w:r>
        <w:rPr>
          <w:rFonts w:hint="eastAsia" w:cs="黑体"/>
          <w:color w:val="auto"/>
          <w:highlight w:val="none"/>
        </w:rPr>
        <w:t>开工</w:t>
      </w:r>
      <w:bookmarkEnd w:id="589"/>
      <w:bookmarkEnd w:id="590"/>
      <w:bookmarkEnd w:id="591"/>
      <w:bookmarkEnd w:id="592"/>
      <w:bookmarkEnd w:id="593"/>
      <w:bookmarkEnd w:id="594"/>
      <w:bookmarkEnd w:id="595"/>
      <w:bookmarkEnd w:id="596"/>
      <w:bookmarkEnd w:id="597"/>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color w:val="auto"/>
          <w:highlight w:val="none"/>
        </w:rPr>
        <w:t xml:space="preserve">7.3.1 </w:t>
      </w:r>
      <w:r>
        <w:rPr>
          <w:rFonts w:hint="eastAsia" w:hAnsi="宋体" w:cs="宋体"/>
          <w:color w:val="auto"/>
          <w:highlight w:val="none"/>
        </w:rPr>
        <w:t>开工准备</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26"/>
        <w:jc w:val="left"/>
        <w:textAlignment w:val="auto"/>
        <w:rPr>
          <w:color w:val="auto"/>
          <w:highlight w:val="none"/>
          <w:u w:val="single"/>
        </w:rPr>
      </w:pPr>
      <w:r>
        <w:rPr>
          <w:rFonts w:hint="eastAsia" w:hAnsi="宋体" w:cs="宋体"/>
          <w:color w:val="auto"/>
          <w:highlight w:val="none"/>
        </w:rPr>
        <w:t>关于承包人提交</w:t>
      </w:r>
      <w:r>
        <w:rPr>
          <w:rFonts w:hint="eastAsia" w:hAnsi="宋体" w:cs="宋体"/>
          <w:color w:val="auto"/>
          <w:kern w:val="0"/>
          <w:highlight w:val="none"/>
        </w:rPr>
        <w:t>工程开工报审表的期限：</w:t>
      </w:r>
      <w:r>
        <w:rPr>
          <w:color w:val="auto"/>
          <w:highlight w:val="none"/>
          <w:u w:val="single"/>
        </w:rPr>
        <w:t xml:space="preserve">  </w:t>
      </w:r>
      <w:r>
        <w:rPr>
          <w:rStyle w:val="31"/>
          <w:rFonts w:hint="eastAsia" w:ascii="宋体" w:hAnsi="宋体" w:eastAsia="宋体" w:cs="Times New Roman"/>
          <w:color w:val="auto"/>
          <w:highlight w:val="none"/>
          <w:u w:val="single"/>
        </w:rPr>
        <w:t>开工日期前7天</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26"/>
        <w:jc w:val="left"/>
        <w:textAlignment w:val="auto"/>
        <w:rPr>
          <w:color w:val="auto"/>
          <w:highlight w:val="none"/>
          <w:u w:val="single"/>
        </w:rPr>
      </w:pPr>
      <w:r>
        <w:rPr>
          <w:rFonts w:hint="eastAsia" w:hAnsi="宋体" w:cs="宋体"/>
          <w:color w:val="auto"/>
          <w:highlight w:val="none"/>
        </w:rPr>
        <w:t>关于发包人应完成的其他开工准备工作及期限：</w:t>
      </w:r>
      <w:r>
        <w:rPr>
          <w:color w:val="auto"/>
          <w:highlight w:val="none"/>
          <w:u w:val="single"/>
        </w:rPr>
        <w:t xml:space="preserve"> </w:t>
      </w:r>
      <w:r>
        <w:rPr>
          <w:rStyle w:val="31"/>
          <w:rFonts w:hint="eastAsia" w:ascii="宋体" w:hAnsi="宋体" w:eastAsia="宋体" w:cs="Times New Roman"/>
          <w:color w:val="auto"/>
          <w:highlight w:val="none"/>
          <w:u w:val="single"/>
        </w:rPr>
        <w:t>按《通用合同条款》条执行</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u w:val="single"/>
        </w:rPr>
      </w:pPr>
      <w:r>
        <w:rPr>
          <w:rFonts w:hint="eastAsia" w:hAnsi="宋体" w:cs="宋体"/>
          <w:color w:val="auto"/>
          <w:highlight w:val="none"/>
        </w:rPr>
        <w:t>关于承包人应完成的其他开工准备工作及期限：</w:t>
      </w:r>
      <w:r>
        <w:rPr>
          <w:color w:val="auto"/>
          <w:highlight w:val="none"/>
          <w:u w:val="single"/>
        </w:rPr>
        <w:t xml:space="preserve">  </w:t>
      </w:r>
      <w:r>
        <w:rPr>
          <w:rStyle w:val="31"/>
          <w:rFonts w:hint="eastAsia" w:ascii="宋体" w:hAnsi="宋体" w:eastAsia="宋体" w:cs="Times New Roman"/>
          <w:color w:val="auto"/>
          <w:highlight w:val="none"/>
          <w:u w:val="single"/>
        </w:rPr>
        <w:t>开工日期前7天</w:t>
      </w:r>
      <w:r>
        <w:rPr>
          <w:rStyle w:val="31"/>
          <w:rFonts w:hint="eastAsia" w:ascii="宋体" w:hAnsi="宋体" w:eastAsia="宋体" w:cs="Times New Roman"/>
          <w:color w:val="auto"/>
          <w:highlight w:val="none"/>
          <w:u w:val="single"/>
          <w:lang w:eastAsia="zh-CN"/>
        </w:rPr>
        <w:t>完成</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color w:val="auto"/>
          <w:highlight w:val="none"/>
        </w:rPr>
        <w:t xml:space="preserve">7.3.2 </w:t>
      </w:r>
      <w:r>
        <w:rPr>
          <w:rFonts w:hint="eastAsia" w:hAnsi="宋体" w:cs="宋体"/>
          <w:color w:val="auto"/>
          <w:highlight w:val="none"/>
        </w:rPr>
        <w:t>开工通知</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因发包人原因造成监理人未能在计划开工日期之日起</w:t>
      </w:r>
      <w:r>
        <w:rPr>
          <w:color w:val="auto"/>
          <w:highlight w:val="none"/>
          <w:u w:val="single"/>
        </w:rPr>
        <w:t xml:space="preserve">  </w:t>
      </w:r>
      <w:r>
        <w:rPr>
          <w:rFonts w:hint="eastAsia"/>
          <w:color w:val="auto"/>
          <w:highlight w:val="none"/>
          <w:u w:val="single"/>
          <w:lang w:val="en-US" w:eastAsia="zh-CN"/>
        </w:rPr>
        <w:t>90</w:t>
      </w:r>
      <w:r>
        <w:rPr>
          <w:color w:val="auto"/>
          <w:highlight w:val="none"/>
          <w:u w:val="single"/>
        </w:rPr>
        <w:t xml:space="preserve"> </w:t>
      </w:r>
      <w:r>
        <w:rPr>
          <w:rFonts w:hint="eastAsia" w:hAnsi="宋体" w:cs="宋体"/>
          <w:color w:val="auto"/>
          <w:highlight w:val="none"/>
        </w:rPr>
        <w:t>天内发出开工通知的，承包人有权提出价格调整要求，或者解除合同。</w:t>
      </w:r>
    </w:p>
    <w:bookmarkEnd w:id="582"/>
    <w:bookmarkEnd w:id="583"/>
    <w:bookmarkEnd w:id="584"/>
    <w:bookmarkEnd w:id="585"/>
    <w:bookmarkEnd w:id="586"/>
    <w:bookmarkEnd w:id="587"/>
    <w:bookmarkEnd w:id="588"/>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598" w:name="_Toc14766"/>
      <w:bookmarkStart w:id="599" w:name="_Toc9850556"/>
      <w:bookmarkStart w:id="600" w:name="_Toc958"/>
      <w:bookmarkStart w:id="601" w:name="_Toc373478373"/>
      <w:bookmarkStart w:id="602" w:name="_Toc407135228"/>
      <w:bookmarkStart w:id="603" w:name="_Toc389065292"/>
      <w:bookmarkStart w:id="604" w:name="_Toc7305"/>
      <w:bookmarkStart w:id="605" w:name="_Toc373227726"/>
      <w:bookmarkStart w:id="606" w:name="_Toc28150"/>
      <w:r>
        <w:rPr>
          <w:color w:val="auto"/>
          <w:highlight w:val="none"/>
        </w:rPr>
        <w:t xml:space="preserve">7.4 </w:t>
      </w:r>
      <w:r>
        <w:rPr>
          <w:rFonts w:hint="eastAsia" w:hAnsi="宋体" w:cs="黑体"/>
          <w:color w:val="auto"/>
          <w:highlight w:val="none"/>
        </w:rPr>
        <w:t>测量放线</w:t>
      </w:r>
      <w:bookmarkEnd w:id="598"/>
      <w:bookmarkEnd w:id="599"/>
      <w:bookmarkEnd w:id="600"/>
      <w:bookmarkEnd w:id="601"/>
      <w:bookmarkEnd w:id="602"/>
      <w:bookmarkEnd w:id="603"/>
      <w:bookmarkEnd w:id="604"/>
      <w:bookmarkEnd w:id="605"/>
      <w:bookmarkEnd w:id="606"/>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olor w:val="auto"/>
          <w:highlight w:val="none"/>
        </w:rPr>
      </w:pPr>
      <w:r>
        <w:rPr>
          <w:color w:val="auto"/>
          <w:highlight w:val="none"/>
        </w:rPr>
        <w:t>7.4.1</w:t>
      </w:r>
      <w:r>
        <w:rPr>
          <w:rFonts w:hint="eastAsia" w:hAnsi="宋体" w:cs="宋体"/>
          <w:color w:val="auto"/>
          <w:highlight w:val="none"/>
        </w:rPr>
        <w:t>发包人通过监理人向承包人提供测量基准点、基准线和水准点及其书面资料的期限：</w:t>
      </w:r>
    </w:p>
    <w:p>
      <w:pPr>
        <w:keepNext w:val="0"/>
        <w:keepLines w:val="0"/>
        <w:pageBreakBefore w:val="0"/>
        <w:widowControl w:val="0"/>
        <w:kinsoku/>
        <w:wordWrap/>
        <w:overflowPunct/>
        <w:topLinePunct w:val="0"/>
        <w:autoSpaceDE w:val="0"/>
        <w:autoSpaceDN w:val="0"/>
        <w:bidi w:val="0"/>
        <w:snapToGrid/>
        <w:spacing w:line="360" w:lineRule="auto"/>
        <w:ind w:left="0" w:leftChars="0" w:right="0"/>
        <w:jc w:val="left"/>
        <w:textAlignment w:val="auto"/>
        <w:rPr>
          <w:color w:val="auto"/>
          <w:highlight w:val="none"/>
          <w:u w:val="single"/>
        </w:rPr>
      </w:pPr>
      <w:r>
        <w:rPr>
          <w:color w:val="auto"/>
          <w:highlight w:val="none"/>
          <w:u w:val="single"/>
        </w:rPr>
        <w:t xml:space="preserve">  </w:t>
      </w:r>
      <w:r>
        <w:rPr>
          <w:rStyle w:val="31"/>
          <w:rFonts w:hint="eastAsia" w:ascii="宋体" w:hAnsi="宋体" w:eastAsia="宋体" w:cs="Times New Roman"/>
          <w:color w:val="auto"/>
          <w:highlight w:val="none"/>
          <w:u w:val="single"/>
        </w:rPr>
        <w:t>开工日期前7天</w:t>
      </w:r>
      <w:r>
        <w:rPr>
          <w:color w:val="auto"/>
          <w:highlight w:val="none"/>
          <w:u w:val="single"/>
        </w:rPr>
        <w:t xml:space="preserve">    </w:t>
      </w:r>
      <w:r>
        <w:rPr>
          <w:rFonts w:hint="eastAsia" w:hAnsi="宋体" w:cs="宋体"/>
          <w:color w:val="auto"/>
          <w:highlight w:val="none"/>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607" w:name="_Toc9850557"/>
      <w:bookmarkStart w:id="608" w:name="_Toc1729"/>
      <w:bookmarkStart w:id="609" w:name="_Toc373227727"/>
      <w:bookmarkStart w:id="610" w:name="_Toc373478374"/>
      <w:bookmarkStart w:id="611" w:name="_Toc389065293"/>
      <w:bookmarkStart w:id="612" w:name="_Toc13434"/>
      <w:bookmarkStart w:id="613" w:name="_Toc18058"/>
      <w:bookmarkStart w:id="614" w:name="_Toc407135229"/>
      <w:bookmarkStart w:id="615" w:name="_Toc20139"/>
      <w:r>
        <w:rPr>
          <w:color w:val="auto"/>
          <w:highlight w:val="none"/>
        </w:rPr>
        <w:t>7</w:t>
      </w:r>
      <w:bookmarkStart w:id="616" w:name="_Toc297123516"/>
      <w:bookmarkStart w:id="617" w:name="_Toc303539125"/>
      <w:bookmarkStart w:id="618" w:name="_Toc304295546"/>
      <w:bookmarkStart w:id="619" w:name="_Toc312677484"/>
      <w:bookmarkStart w:id="620" w:name="_Toc312678010"/>
      <w:bookmarkStart w:id="621" w:name="_Toc297216175"/>
      <w:bookmarkStart w:id="622" w:name="_Toc300934968"/>
      <w:r>
        <w:rPr>
          <w:color w:val="auto"/>
          <w:highlight w:val="none"/>
        </w:rPr>
        <w:t xml:space="preserve">.5 </w:t>
      </w:r>
      <w:r>
        <w:rPr>
          <w:rFonts w:hint="eastAsia" w:hAnsi="宋体" w:cs="黑体"/>
          <w:color w:val="auto"/>
          <w:highlight w:val="none"/>
        </w:rPr>
        <w:t>工期延误</w:t>
      </w:r>
      <w:bookmarkEnd w:id="607"/>
      <w:bookmarkEnd w:id="608"/>
      <w:bookmarkEnd w:id="609"/>
      <w:bookmarkEnd w:id="610"/>
      <w:bookmarkEnd w:id="611"/>
      <w:bookmarkEnd w:id="612"/>
      <w:bookmarkEnd w:id="613"/>
      <w:bookmarkEnd w:id="614"/>
      <w:bookmarkEnd w:id="615"/>
    </w:p>
    <w:bookmarkEnd w:id="616"/>
    <w:bookmarkEnd w:id="617"/>
    <w:bookmarkEnd w:id="618"/>
    <w:bookmarkEnd w:id="619"/>
    <w:bookmarkEnd w:id="620"/>
    <w:bookmarkEnd w:id="621"/>
    <w:bookmarkEnd w:id="622"/>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color w:val="auto"/>
          <w:highlight w:val="none"/>
        </w:rPr>
        <w:t xml:space="preserve">7.5.1 </w:t>
      </w:r>
      <w:r>
        <w:rPr>
          <w:rFonts w:hint="eastAsia" w:hAnsi="宋体" w:cs="宋体"/>
          <w:color w:val="auto"/>
          <w:highlight w:val="none"/>
        </w:rPr>
        <w:t>因发包人原因导致工期延误</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u w:val="single"/>
        </w:rPr>
      </w:pPr>
      <w:r>
        <w:rPr>
          <w:rFonts w:hint="eastAsia" w:hAnsi="宋体" w:cs="宋体"/>
          <w:color w:val="auto"/>
          <w:highlight w:val="none"/>
        </w:rPr>
        <w:t>（</w:t>
      </w:r>
      <w:r>
        <w:rPr>
          <w:color w:val="auto"/>
          <w:highlight w:val="none"/>
        </w:rPr>
        <w:t>7</w:t>
      </w:r>
      <w:r>
        <w:rPr>
          <w:rFonts w:hint="eastAsia" w:hAnsi="宋体" w:cs="宋体"/>
          <w:color w:val="auto"/>
          <w:highlight w:val="none"/>
        </w:rPr>
        <w:t>）因发包人原因导致工期延误的其他情形：</w:t>
      </w:r>
      <w:r>
        <w:rPr>
          <w:rFonts w:hint="eastAsia" w:ascii="宋体" w:hAnsi="宋体" w:cs="宋体"/>
          <w:color w:val="auto"/>
          <w:highlight w:val="none"/>
          <w:u w:val="single"/>
        </w:rPr>
        <w:t>①重大图纸变更影响关健线路工序施工；②施工期间如因停电、停水连续</w:t>
      </w:r>
      <w:r>
        <w:rPr>
          <w:rFonts w:ascii="宋体" w:hAnsi="宋体" w:cs="宋体"/>
          <w:color w:val="auto"/>
          <w:highlight w:val="none"/>
          <w:u w:val="single"/>
        </w:rPr>
        <w:t>8</w:t>
      </w:r>
      <w:r>
        <w:rPr>
          <w:rFonts w:hint="eastAsia" w:ascii="宋体" w:hAnsi="宋体" w:cs="宋体"/>
          <w:color w:val="auto"/>
          <w:highlight w:val="none"/>
          <w:u w:val="single"/>
        </w:rPr>
        <w:t>小时以上或一周内间歇性停水、停电累计</w:t>
      </w:r>
      <w:r>
        <w:rPr>
          <w:rFonts w:ascii="宋体" w:hAnsi="宋体" w:cs="宋体"/>
          <w:color w:val="auto"/>
          <w:highlight w:val="none"/>
          <w:u w:val="single"/>
        </w:rPr>
        <w:t>8</w:t>
      </w:r>
      <w:r>
        <w:rPr>
          <w:rFonts w:hint="eastAsia" w:ascii="宋体" w:hAnsi="宋体" w:cs="宋体"/>
          <w:color w:val="auto"/>
          <w:highlight w:val="none"/>
          <w:u w:val="single"/>
        </w:rPr>
        <w:t>小时（含</w:t>
      </w:r>
      <w:r>
        <w:rPr>
          <w:rFonts w:ascii="宋体" w:hAnsi="宋体" w:cs="宋体"/>
          <w:color w:val="auto"/>
          <w:highlight w:val="none"/>
          <w:u w:val="single"/>
        </w:rPr>
        <w:t>8</w:t>
      </w:r>
      <w:r>
        <w:rPr>
          <w:rFonts w:hint="eastAsia" w:ascii="宋体" w:hAnsi="宋体" w:cs="宋体"/>
          <w:color w:val="auto"/>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Ansi="宋体"/>
          <w:color w:val="auto"/>
          <w:highlight w:val="non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color w:val="auto"/>
          <w:highlight w:val="none"/>
        </w:rPr>
        <w:t>7</w:t>
      </w:r>
      <w:bookmarkStart w:id="623" w:name="_Toc312678012"/>
      <w:bookmarkStart w:id="624" w:name="_Toc318581169"/>
      <w:bookmarkStart w:id="625" w:name="_Toc312677486"/>
      <w:bookmarkStart w:id="626" w:name="_Toc297123518"/>
      <w:bookmarkStart w:id="627" w:name="_Toc303539127"/>
      <w:bookmarkStart w:id="628" w:name="_Toc304295548"/>
      <w:bookmarkStart w:id="629" w:name="_Toc300934970"/>
      <w:bookmarkStart w:id="630" w:name="_Toc297216177"/>
      <w:r>
        <w:rPr>
          <w:color w:val="auto"/>
          <w:highlight w:val="none"/>
        </w:rPr>
        <w:t xml:space="preserve">.5.2 </w:t>
      </w:r>
      <w:r>
        <w:rPr>
          <w:rFonts w:hint="eastAsia" w:hAnsi="宋体" w:cs="宋体"/>
          <w:color w:val="auto"/>
          <w:highlight w:val="none"/>
        </w:rPr>
        <w:t>因承包人原因导致工期延误</w:t>
      </w:r>
    </w:p>
    <w:bookmarkEnd w:id="623"/>
    <w:bookmarkEnd w:id="624"/>
    <w:bookmarkEnd w:id="625"/>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双方约定经监理工程师确认，工期相应顺延的情况：</w:t>
      </w:r>
      <w:r>
        <w:rPr>
          <w:color w:val="auto"/>
          <w:highlight w:val="none"/>
          <w:u w:val="single"/>
        </w:rPr>
        <w:t xml:space="preserve">  </w:t>
      </w:r>
      <w:r>
        <w:rPr>
          <w:rStyle w:val="31"/>
          <w:rFonts w:hint="eastAsia" w:ascii="宋体" w:hAnsi="宋体" w:eastAsia="宋体" w:cs="Times New Roman"/>
          <w:color w:val="auto"/>
          <w:highlight w:val="none"/>
          <w:u w:val="single"/>
        </w:rPr>
        <w:t>额外或附加的增加工程量超过合同造价的10%以上</w:t>
      </w:r>
      <w:r>
        <w:rPr>
          <w:rStyle w:val="31"/>
          <w:rFonts w:hint="eastAsia" w:ascii="宋体" w:hAnsi="宋体" w:eastAsia="宋体" w:cs="Times New Roman"/>
          <w:color w:val="auto"/>
          <w:highlight w:val="none"/>
          <w:u w:val="single"/>
          <w:lang w:eastAsia="zh-CN"/>
        </w:rPr>
        <w:t>；</w:t>
      </w:r>
      <w:r>
        <w:rPr>
          <w:rStyle w:val="31"/>
          <w:rFonts w:hint="eastAsia" w:ascii="宋体" w:hAnsi="宋体" w:eastAsia="宋体" w:cs="Times New Roman"/>
          <w:color w:val="auto"/>
          <w:highlight w:val="none"/>
          <w:u w:val="single"/>
        </w:rPr>
        <w:t>不能按时提供图纸、工程进度款等延误影响工程正常施工24小时以上的</w:t>
      </w:r>
      <w:r>
        <w:rPr>
          <w:rStyle w:val="31"/>
          <w:rFonts w:hint="eastAsia" w:ascii="宋体" w:hAnsi="宋体" w:eastAsia="宋体" w:cs="Times New Roman"/>
          <w:color w:val="auto"/>
          <w:highlight w:val="none"/>
          <w:u w:val="single"/>
          <w:lang w:eastAsia="zh-CN"/>
        </w:rPr>
        <w:t>；</w:t>
      </w:r>
      <w:r>
        <w:rPr>
          <w:rStyle w:val="31"/>
          <w:rFonts w:hint="eastAsia" w:ascii="宋体" w:hAnsi="宋体" w:eastAsia="宋体" w:cs="Times New Roman"/>
          <w:color w:val="auto"/>
          <w:highlight w:val="none"/>
          <w:u w:val="single"/>
        </w:rPr>
        <w:t>由于土地征用、其他非承包人原因造成等原因使承包方不能施工而延误工期</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因</w:t>
      </w:r>
      <w:bookmarkStart w:id="631" w:name="_Toc312678013"/>
      <w:bookmarkStart w:id="632" w:name="_Toc318581170"/>
      <w:bookmarkStart w:id="633" w:name="_Toc312677487"/>
      <w:r>
        <w:rPr>
          <w:rFonts w:hint="eastAsia" w:hAnsi="宋体" w:cs="宋体"/>
          <w:color w:val="auto"/>
          <w:highlight w:val="none"/>
        </w:rPr>
        <w:t>承包人原因造成工期延误，逾期竣工违约金的计算方法为：</w:t>
      </w:r>
      <w:r>
        <w:rPr>
          <w:rFonts w:hint="eastAsia" w:ascii="宋体" w:hAnsi="宋体" w:cs="宋体"/>
          <w:color w:val="auto"/>
          <w:highlight w:val="none"/>
          <w:u w:val="single"/>
        </w:rPr>
        <w:t>按逾期竣工的单项工程罚款，每延误一天</w:t>
      </w:r>
      <w:r>
        <w:rPr>
          <w:rFonts w:ascii="宋体" w:cs="宋体"/>
          <w:color w:val="auto"/>
          <w:highlight w:val="none"/>
          <w:u w:val="single"/>
        </w:rPr>
        <w:t>,</w:t>
      </w:r>
      <w:r>
        <w:rPr>
          <w:rFonts w:hint="eastAsia" w:ascii="宋体" w:hAnsi="宋体" w:cs="宋体"/>
          <w:color w:val="auto"/>
          <w:highlight w:val="none"/>
          <w:u w:val="single"/>
        </w:rPr>
        <w:t>按单项工程应支付给承包人的结算造价的万分之</w:t>
      </w:r>
      <w:r>
        <w:rPr>
          <w:rFonts w:hint="eastAsia" w:cs="宋体"/>
          <w:color w:val="auto"/>
          <w:highlight w:val="none"/>
          <w:u w:val="single"/>
          <w:lang w:eastAsia="zh-CN"/>
        </w:rPr>
        <w:t>一</w:t>
      </w:r>
      <w:r>
        <w:rPr>
          <w:rFonts w:hint="eastAsia" w:ascii="宋体" w:hAnsi="宋体" w:cs="宋体"/>
          <w:color w:val="auto"/>
          <w:highlight w:val="none"/>
          <w:u w:val="single"/>
        </w:rPr>
        <w:t>处罚</w:t>
      </w:r>
      <w:r>
        <w:rPr>
          <w:rFonts w:ascii="宋体" w:cs="宋体"/>
          <w:color w:val="auto"/>
          <w:highlight w:val="none"/>
          <w:u w:val="single"/>
        </w:rPr>
        <w:t>,</w:t>
      </w:r>
      <w:r>
        <w:rPr>
          <w:rFonts w:hint="eastAsia" w:ascii="宋体" w:hAnsi="宋体" w:cs="宋体"/>
          <w:color w:val="auto"/>
          <w:highlight w:val="none"/>
          <w:u w:val="single"/>
        </w:rPr>
        <w:t>罚款直接从结算款中扣除。</w:t>
      </w:r>
      <w:r>
        <w:rPr>
          <w:rFonts w:hint="eastAsia" w:hAnsi="宋体" w:cs="宋体"/>
          <w:color w:val="auto"/>
          <w:highlight w:val="none"/>
          <w:u w:val="single"/>
        </w:rPr>
        <w:t>误期时间从规定竣工日期起直到实际竣工日期的天数（扣除发包人批准顺延的工期）。</w:t>
      </w:r>
      <w:bookmarkEnd w:id="626"/>
      <w:bookmarkEnd w:id="627"/>
      <w:bookmarkEnd w:id="628"/>
      <w:bookmarkEnd w:id="629"/>
      <w:bookmarkEnd w:id="630"/>
      <w:bookmarkEnd w:id="631"/>
      <w:bookmarkEnd w:id="632"/>
      <w:bookmarkEnd w:id="633"/>
      <w:r>
        <w:rPr>
          <w:rFonts w:hint="eastAsia" w:hAnsi="宋体" w:cs="宋体"/>
          <w:color w:val="auto"/>
          <w:highlight w:val="none"/>
        </w:rPr>
        <w:t>因承包人原因造成工期延误，逾</w:t>
      </w:r>
      <w:bookmarkStart w:id="634" w:name="_Toc312678014"/>
      <w:bookmarkStart w:id="635" w:name="_Toc318581171"/>
      <w:r>
        <w:rPr>
          <w:rFonts w:hint="eastAsia" w:hAnsi="宋体" w:cs="宋体"/>
          <w:color w:val="auto"/>
          <w:highlight w:val="none"/>
        </w:rPr>
        <w:t>期竣工违约金的上限：</w:t>
      </w:r>
      <w:r>
        <w:rPr>
          <w:rFonts w:hint="eastAsia" w:ascii="宋体" w:hAnsi="宋体" w:cs="宋体"/>
          <w:color w:val="auto"/>
          <w:highlight w:val="none"/>
          <w:u w:val="single"/>
        </w:rPr>
        <w:t>逾期竣工的单项工程结算造价</w:t>
      </w:r>
      <w:r>
        <w:rPr>
          <w:rFonts w:hint="eastAsia" w:hAnsi="宋体" w:cs="宋体"/>
          <w:color w:val="auto"/>
          <w:highlight w:val="none"/>
          <w:u w:val="single"/>
        </w:rPr>
        <w:t>的</w:t>
      </w:r>
      <w:r>
        <w:rPr>
          <w:rFonts w:hint="eastAsia"/>
          <w:color w:val="auto"/>
          <w:highlight w:val="none"/>
          <w:u w:val="single"/>
          <w:lang w:val="en-US" w:eastAsia="zh-CN"/>
        </w:rPr>
        <w:t>0.1</w:t>
      </w:r>
      <w:r>
        <w:rPr>
          <w:color w:val="auto"/>
          <w:highlight w:val="none"/>
          <w:u w:val="single"/>
        </w:rPr>
        <w:t xml:space="preserve"> %</w:t>
      </w:r>
      <w:r>
        <w:rPr>
          <w:rFonts w:hint="eastAsia" w:hAnsi="宋体" w:cs="宋体"/>
          <w:color w:val="auto"/>
          <w:highlight w:val="none"/>
        </w:rPr>
        <w:t>。</w:t>
      </w:r>
    </w:p>
    <w:bookmarkEnd w:id="634"/>
    <w:bookmarkEnd w:id="635"/>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636" w:name="_Toc9850558"/>
      <w:bookmarkStart w:id="637" w:name="_Toc373227728"/>
      <w:bookmarkStart w:id="638" w:name="_Toc407135230"/>
      <w:bookmarkStart w:id="639" w:name="_Toc389065294"/>
      <w:bookmarkStart w:id="640" w:name="_Toc11477"/>
      <w:bookmarkStart w:id="641" w:name="_Toc29150"/>
      <w:bookmarkStart w:id="642" w:name="_Toc15816"/>
      <w:bookmarkStart w:id="643" w:name="_Toc373478375"/>
      <w:bookmarkStart w:id="644" w:name="_Toc12382"/>
      <w:r>
        <w:rPr>
          <w:color w:val="auto"/>
          <w:highlight w:val="none"/>
        </w:rPr>
        <w:t>7</w:t>
      </w:r>
      <w:bookmarkStart w:id="645" w:name="_Toc297123519"/>
      <w:bookmarkStart w:id="646" w:name="_Toc303539128"/>
      <w:bookmarkStart w:id="647" w:name="_Toc297216178"/>
      <w:bookmarkStart w:id="648" w:name="_Toc312678015"/>
      <w:bookmarkStart w:id="649" w:name="_Toc300934971"/>
      <w:bookmarkStart w:id="650" w:name="_Toc304295549"/>
      <w:r>
        <w:rPr>
          <w:color w:val="auto"/>
          <w:highlight w:val="none"/>
        </w:rPr>
        <w:t xml:space="preserve">.6 </w:t>
      </w:r>
      <w:r>
        <w:rPr>
          <w:rFonts w:hint="eastAsia" w:cs="黑体"/>
          <w:color w:val="auto"/>
          <w:highlight w:val="none"/>
        </w:rPr>
        <w:t>不</w:t>
      </w:r>
      <w:bookmarkEnd w:id="645"/>
      <w:bookmarkEnd w:id="646"/>
      <w:bookmarkEnd w:id="647"/>
      <w:bookmarkEnd w:id="648"/>
      <w:bookmarkEnd w:id="649"/>
      <w:bookmarkEnd w:id="650"/>
      <w:r>
        <w:rPr>
          <w:rFonts w:hint="eastAsia" w:cs="黑体"/>
          <w:color w:val="auto"/>
          <w:highlight w:val="none"/>
        </w:rPr>
        <w:t>利物质条件</w:t>
      </w:r>
      <w:bookmarkEnd w:id="636"/>
      <w:bookmarkEnd w:id="637"/>
      <w:bookmarkEnd w:id="638"/>
      <w:bookmarkEnd w:id="639"/>
      <w:bookmarkEnd w:id="640"/>
      <w:bookmarkEnd w:id="641"/>
      <w:bookmarkEnd w:id="642"/>
      <w:bookmarkEnd w:id="643"/>
      <w:bookmarkEnd w:id="644"/>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u w:val="single"/>
        </w:rPr>
      </w:pPr>
      <w:bookmarkStart w:id="651" w:name="_Toc297123520"/>
      <w:bookmarkStart w:id="652" w:name="_Toc304295550"/>
      <w:bookmarkStart w:id="653" w:name="_Toc297216179"/>
      <w:bookmarkStart w:id="654" w:name="_Toc312678016"/>
      <w:bookmarkStart w:id="655" w:name="_Toc303539129"/>
      <w:bookmarkStart w:id="656" w:name="_Toc300934972"/>
      <w:bookmarkStart w:id="657" w:name="_Toc318581172"/>
      <w:r>
        <w:rPr>
          <w:rFonts w:hint="eastAsia" w:hAnsi="宋体" w:cs="宋体"/>
          <w:color w:val="auto"/>
          <w:highlight w:val="none"/>
        </w:rPr>
        <w:t>不利物质条件的其他情形和有关约定：</w:t>
      </w:r>
      <w:r>
        <w:rPr>
          <w:color w:val="auto"/>
          <w:highlight w:val="none"/>
          <w:u w:val="single"/>
        </w:rPr>
        <w:t xml:space="preserve"> </w:t>
      </w:r>
      <w:r>
        <w:rPr>
          <w:rStyle w:val="31"/>
          <w:rFonts w:hint="eastAsia" w:ascii="宋体" w:hAnsi="宋体" w:eastAsia="宋体" w:cs="Times New Roman"/>
          <w:color w:val="auto"/>
          <w:highlight w:val="none"/>
          <w:u w:val="single"/>
        </w:rPr>
        <w:t>按《通用合同条款》7.6条执行</w:t>
      </w:r>
      <w:r>
        <w:rPr>
          <w:color w:val="auto"/>
          <w:highlight w:val="none"/>
          <w:u w:val="single"/>
        </w:rPr>
        <w:t xml:space="preserve">         </w:t>
      </w:r>
      <w:r>
        <w:rPr>
          <w:rFonts w:hint="eastAsia" w:hAnsi="宋体" w:cs="宋体"/>
          <w:color w:val="auto"/>
          <w:highlight w:val="none"/>
        </w:rPr>
        <w:t>。</w:t>
      </w:r>
    </w:p>
    <w:bookmarkEnd w:id="651"/>
    <w:bookmarkEnd w:id="652"/>
    <w:bookmarkEnd w:id="653"/>
    <w:bookmarkEnd w:id="654"/>
    <w:bookmarkEnd w:id="655"/>
    <w:bookmarkEnd w:id="656"/>
    <w:bookmarkEnd w:id="657"/>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658" w:name="_Toc373227729"/>
      <w:bookmarkStart w:id="659" w:name="_Toc373478376"/>
      <w:bookmarkStart w:id="660" w:name="_Toc5425"/>
      <w:bookmarkStart w:id="661" w:name="_Toc407135231"/>
      <w:bookmarkStart w:id="662" w:name="_Toc389065295"/>
      <w:bookmarkStart w:id="663" w:name="_Toc10169"/>
      <w:bookmarkStart w:id="664" w:name="_Toc8083"/>
      <w:bookmarkStart w:id="665" w:name="_Toc9850559"/>
      <w:bookmarkStart w:id="666" w:name="_Toc14193"/>
      <w:r>
        <w:rPr>
          <w:color w:val="auto"/>
          <w:highlight w:val="none"/>
        </w:rPr>
        <w:t>7</w:t>
      </w:r>
      <w:bookmarkStart w:id="667" w:name="_Toc304295551"/>
      <w:bookmarkStart w:id="668" w:name="_Toc303539130"/>
      <w:bookmarkStart w:id="669" w:name="_Toc297123521"/>
      <w:bookmarkStart w:id="670" w:name="_Toc297216180"/>
      <w:bookmarkStart w:id="671" w:name="_Toc300934973"/>
      <w:bookmarkStart w:id="672" w:name="_Toc312678017"/>
      <w:r>
        <w:rPr>
          <w:color w:val="auto"/>
          <w:highlight w:val="none"/>
        </w:rPr>
        <w:t xml:space="preserve">.7 </w:t>
      </w:r>
      <w:r>
        <w:rPr>
          <w:rFonts w:hint="eastAsia" w:cs="黑体"/>
          <w:color w:val="auto"/>
          <w:highlight w:val="none"/>
        </w:rPr>
        <w:t>异常恶劣的气候条件</w:t>
      </w:r>
      <w:bookmarkEnd w:id="658"/>
      <w:bookmarkEnd w:id="659"/>
      <w:bookmarkEnd w:id="660"/>
      <w:bookmarkEnd w:id="661"/>
      <w:bookmarkEnd w:id="662"/>
      <w:bookmarkEnd w:id="663"/>
      <w:bookmarkEnd w:id="664"/>
      <w:bookmarkEnd w:id="665"/>
      <w:bookmarkEnd w:id="666"/>
    </w:p>
    <w:bookmarkEnd w:id="667"/>
    <w:bookmarkEnd w:id="668"/>
    <w:bookmarkEnd w:id="669"/>
    <w:bookmarkEnd w:id="670"/>
    <w:bookmarkEnd w:id="671"/>
    <w:bookmarkEnd w:id="672"/>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发包人和承包人同意以下情形视为异常恶劣的气候条件：</w:t>
      </w:r>
    </w:p>
    <w:p>
      <w:pPr>
        <w:pStyle w:val="50"/>
        <w:shd w:val="clear" w:color="auto" w:fill="auto"/>
        <w:spacing w:line="360" w:lineRule="auto"/>
        <w:ind w:firstLine="420" w:firstLineChars="200"/>
        <w:jc w:val="left"/>
        <w:rPr>
          <w:rStyle w:val="31"/>
          <w:rFonts w:hint="eastAsia" w:ascii="宋体" w:hAnsi="宋体" w:eastAsia="宋体" w:cs="宋体"/>
          <w:color w:val="auto"/>
          <w:highlight w:val="none"/>
        </w:rPr>
      </w:pPr>
      <w:bookmarkStart w:id="673" w:name="_Toc17026"/>
      <w:bookmarkStart w:id="674" w:name="_Toc407135232"/>
      <w:bookmarkStart w:id="675" w:name="_Toc7679"/>
      <w:bookmarkStart w:id="676" w:name="_Toc373227730"/>
      <w:bookmarkStart w:id="677" w:name="_Toc22293"/>
      <w:bookmarkStart w:id="678" w:name="_Toc9850560"/>
      <w:bookmarkStart w:id="679" w:name="_Toc22380"/>
      <w:bookmarkStart w:id="680" w:name="_Toc373478377"/>
      <w:bookmarkStart w:id="681" w:name="_Toc389065296"/>
      <w:r>
        <w:rPr>
          <w:rStyle w:val="31"/>
          <w:rFonts w:hint="eastAsia" w:ascii="宋体" w:hAnsi="宋体" w:eastAsia="宋体" w:cs="宋体"/>
          <w:color w:val="auto"/>
          <w:highlight w:val="none"/>
        </w:rPr>
        <w:t>（1）</w:t>
      </w:r>
      <w:r>
        <w:rPr>
          <w:rStyle w:val="31"/>
          <w:rFonts w:hint="eastAsia" w:ascii="宋体" w:hAnsi="宋体" w:eastAsia="宋体" w:cs="宋体"/>
          <w:color w:val="auto"/>
          <w:highlight w:val="none"/>
          <w:u w:val="single"/>
          <w:lang w:val="en-US" w:eastAsia="zh-CN"/>
        </w:rPr>
        <w:t>6</w:t>
      </w:r>
      <w:r>
        <w:rPr>
          <w:rStyle w:val="31"/>
          <w:rFonts w:hint="eastAsia" w:ascii="宋体" w:hAnsi="宋体" w:eastAsia="宋体" w:cs="宋体"/>
          <w:color w:val="auto"/>
          <w:highlight w:val="none"/>
          <w:u w:val="single"/>
        </w:rPr>
        <w:t>级以上的持续3天的大风</w:t>
      </w:r>
      <w:r>
        <w:rPr>
          <w:rStyle w:val="31"/>
          <w:rFonts w:hint="eastAsia" w:ascii="宋体" w:hAnsi="宋体" w:eastAsia="宋体" w:cs="宋体"/>
          <w:color w:val="auto"/>
          <w:highlight w:val="none"/>
        </w:rPr>
        <w:t>；</w:t>
      </w:r>
    </w:p>
    <w:p>
      <w:pPr>
        <w:pStyle w:val="50"/>
        <w:shd w:val="clear" w:color="auto" w:fill="auto"/>
        <w:spacing w:line="360" w:lineRule="auto"/>
        <w:ind w:firstLine="420" w:firstLineChars="200"/>
        <w:jc w:val="lef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（2）</w:t>
      </w:r>
      <w:r>
        <w:rPr>
          <w:rStyle w:val="31"/>
          <w:rFonts w:hint="eastAsia" w:ascii="宋体" w:hAnsi="宋体" w:eastAsia="宋体" w:cs="宋体"/>
          <w:color w:val="auto"/>
          <w:highlight w:val="none"/>
          <w:u w:val="single"/>
        </w:rPr>
        <w:t>暴雨级以上的持续3天的大雨；20年以上未发生过的洪水</w:t>
      </w:r>
      <w:r>
        <w:rPr>
          <w:rStyle w:val="31"/>
          <w:rFonts w:hint="eastAsia" w:ascii="宋体" w:hAnsi="宋体" w:eastAsia="宋体" w:cs="宋体"/>
          <w:color w:val="auto"/>
          <w:highlight w:val="none"/>
        </w:rPr>
        <w:t>；</w:t>
      </w:r>
    </w:p>
    <w:p>
      <w:pPr>
        <w:pStyle w:val="50"/>
        <w:shd w:val="clear" w:color="auto" w:fill="auto"/>
        <w:spacing w:line="360" w:lineRule="auto"/>
        <w:ind w:firstLine="420" w:firstLineChars="200"/>
        <w:jc w:val="lef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（3）</w:t>
      </w:r>
      <w:r>
        <w:rPr>
          <w:rStyle w:val="31"/>
          <w:rFonts w:hint="eastAsia" w:ascii="宋体" w:hAnsi="宋体" w:eastAsia="宋体" w:cs="宋体"/>
          <w:color w:val="auto"/>
          <w:highlight w:val="none"/>
          <w:u w:val="single"/>
        </w:rPr>
        <w:t>持续 3 天38℃及以上的高温天气；持续 3 天2℃及以下的严寒天气</w:t>
      </w:r>
      <w:r>
        <w:rPr>
          <w:rStyle w:val="31"/>
          <w:rFonts w:hint="eastAsia" w:ascii="宋体" w:hAnsi="宋体" w:eastAsia="宋体" w:cs="宋体"/>
          <w:color w:val="auto"/>
          <w:spacing w:val="-6"/>
          <w:sz w:val="21"/>
          <w:highlight w:val="none"/>
        </w:rPr>
        <w:t>。</w:t>
      </w:r>
    </w:p>
    <w:p>
      <w:pPr>
        <w:pStyle w:val="51"/>
        <w:shd w:val="clear" w:color="auto" w:fill="auto"/>
        <w:spacing w:line="360" w:lineRule="auto"/>
        <w:ind w:firstLine="840" w:firstLineChars="400"/>
        <w:jc w:val="left"/>
        <w:rPr>
          <w:rStyle w:val="31"/>
          <w:rFonts w:hint="eastAsia" w:ascii="宋体" w:hAnsi="宋体" w:eastAsia="宋体" w:cs="宋体"/>
          <w:color w:val="auto"/>
          <w:highlight w:val="none"/>
          <w:lang w:eastAsia="zh-CN"/>
        </w:rPr>
      </w:pPr>
      <w:r>
        <w:rPr>
          <w:rStyle w:val="31"/>
          <w:rFonts w:hint="eastAsia" w:ascii="宋体" w:hAnsi="宋体" w:eastAsia="宋体" w:cs="宋体"/>
          <w:color w:val="auto"/>
          <w:highlight w:val="none"/>
          <w:u w:val="single"/>
        </w:rPr>
        <w:t>以上异常恶劣的气候的认定以当地气象部门出具的材料为准</w:t>
      </w:r>
      <w:r>
        <w:rPr>
          <w:rStyle w:val="31"/>
          <w:rFonts w:hint="eastAsia" w:ascii="宋体" w:hAnsi="宋体" w:eastAsia="宋体" w:cs="宋体"/>
          <w:color w:val="auto"/>
          <w:highlight w:val="none"/>
          <w:u w:val="single"/>
          <w:lang w:eastAsia="zh-CN"/>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lang w:val="en-US"/>
        </w:rPr>
      </w:pPr>
      <w:r>
        <w:rPr>
          <w:color w:val="auto"/>
          <w:highlight w:val="none"/>
          <w:lang w:val="en-US"/>
        </w:rPr>
        <w:t xml:space="preserve">7.9 </w:t>
      </w:r>
      <w:r>
        <w:rPr>
          <w:rFonts w:hint="eastAsia" w:hAnsi="宋体" w:cs="黑体"/>
          <w:color w:val="auto"/>
          <w:highlight w:val="none"/>
        </w:rPr>
        <w:t>提前竣工</w:t>
      </w:r>
      <w:bookmarkEnd w:id="673"/>
      <w:bookmarkEnd w:id="674"/>
      <w:bookmarkEnd w:id="675"/>
      <w:bookmarkEnd w:id="676"/>
      <w:bookmarkEnd w:id="677"/>
      <w:bookmarkEnd w:id="678"/>
      <w:bookmarkEnd w:id="679"/>
      <w:bookmarkEnd w:id="680"/>
      <w:bookmarkEnd w:id="681"/>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olor w:val="auto"/>
          <w:highlight w:val="none"/>
        </w:rPr>
      </w:pPr>
      <w:r>
        <w:rPr>
          <w:color w:val="auto"/>
          <w:highlight w:val="none"/>
        </w:rPr>
        <w:t>7.9.2</w:t>
      </w:r>
      <w:r>
        <w:rPr>
          <w:rFonts w:hint="eastAsia" w:hAnsi="宋体" w:cs="宋体"/>
          <w:color w:val="auto"/>
          <w:highlight w:val="none"/>
        </w:rPr>
        <w:t>提前竣工（赶工）增加费的计算方法：</w:t>
      </w:r>
      <w:r>
        <w:rPr>
          <w:color w:val="auto"/>
          <w:highlight w:val="none"/>
          <w:u w:val="single"/>
        </w:rPr>
        <w:t xml:space="preserve"> </w:t>
      </w:r>
      <w:r>
        <w:rPr>
          <w:rStyle w:val="31"/>
          <w:rFonts w:hint="eastAsia" w:ascii="宋体" w:hAnsi="宋体" w:eastAsia="宋体" w:cs="宋体"/>
          <w:b w:val="0"/>
          <w:bCs w:val="0"/>
          <w:color w:val="auto"/>
          <w:sz w:val="21"/>
          <w:szCs w:val="21"/>
          <w:highlight w:val="none"/>
          <w:u w:val="single"/>
        </w:rPr>
        <w:t>双方另议</w:t>
      </w:r>
      <w:r>
        <w:rPr>
          <w:color w:val="auto"/>
          <w:highlight w:val="none"/>
          <w:u w:val="single"/>
        </w:rPr>
        <w:t xml:space="preserve">  </w:t>
      </w:r>
      <w:r>
        <w:rPr>
          <w:rFonts w:hint="eastAsia" w:hAnsi="宋体" w:cs="宋体"/>
          <w:color w:val="auto"/>
          <w:highlight w:val="none"/>
        </w:rPr>
        <w:t>。</w:t>
      </w:r>
    </w:p>
    <w:p>
      <w:pPr>
        <w:pStyle w:val="5"/>
        <w:keepNext w:val="0"/>
        <w:keepLines w:val="0"/>
        <w:pageBreakBefore w:val="0"/>
        <w:widowControl w:val="0"/>
        <w:kinsoku/>
        <w:wordWrap/>
        <w:overflowPunct/>
        <w:topLinePunct w:val="0"/>
        <w:autoSpaceDE w:val="0"/>
        <w:autoSpaceDN w:val="0"/>
        <w:bidi w:val="0"/>
        <w:snapToGrid/>
        <w:spacing w:before="0" w:line="360" w:lineRule="auto"/>
        <w:ind w:left="0" w:leftChars="0" w:right="0"/>
        <w:textAlignment w:val="auto"/>
        <w:rPr>
          <w:color w:val="auto"/>
          <w:highlight w:val="none"/>
        </w:rPr>
      </w:pPr>
      <w:bookmarkStart w:id="682" w:name="_Toc351203640"/>
      <w:bookmarkStart w:id="683" w:name="_Toc3548"/>
      <w:bookmarkStart w:id="684" w:name="_Toc16287"/>
      <w:bookmarkStart w:id="685" w:name="_Toc31828"/>
      <w:bookmarkStart w:id="686" w:name="_Toc407135233"/>
      <w:bookmarkStart w:id="687" w:name="_Toc373478378"/>
      <w:bookmarkStart w:id="688" w:name="_Toc21318"/>
      <w:bookmarkStart w:id="689" w:name="_Toc373227731"/>
      <w:bookmarkStart w:id="690" w:name="_Toc9850561"/>
      <w:bookmarkStart w:id="691" w:name="_Toc389065297"/>
      <w:r>
        <w:rPr>
          <w:color w:val="auto"/>
          <w:highlight w:val="none"/>
        </w:rPr>
        <w:t xml:space="preserve">8. </w:t>
      </w:r>
      <w:r>
        <w:rPr>
          <w:rFonts w:hint="eastAsia" w:cs="黑体"/>
          <w:color w:val="auto"/>
          <w:highlight w:val="none"/>
        </w:rPr>
        <w:t>材料与设备</w:t>
      </w:r>
      <w:bookmarkEnd w:id="682"/>
      <w:bookmarkEnd w:id="683"/>
      <w:bookmarkEnd w:id="684"/>
      <w:bookmarkEnd w:id="685"/>
      <w:bookmarkEnd w:id="686"/>
      <w:bookmarkEnd w:id="687"/>
      <w:bookmarkEnd w:id="688"/>
      <w:bookmarkEnd w:id="689"/>
      <w:bookmarkEnd w:id="690"/>
      <w:bookmarkEnd w:id="691"/>
    </w:p>
    <w:bookmarkEnd w:id="500"/>
    <w:bookmarkEnd w:id="501"/>
    <w:bookmarkEnd w:id="502"/>
    <w:bookmarkEnd w:id="503"/>
    <w:bookmarkEnd w:id="504"/>
    <w:bookmarkEnd w:id="505"/>
    <w:bookmarkEnd w:id="506"/>
    <w:bookmarkEnd w:id="507"/>
    <w:bookmarkEnd w:id="508"/>
    <w:bookmarkEnd w:id="509"/>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692" w:name="_Toc373227732"/>
      <w:bookmarkStart w:id="693" w:name="_Toc9725"/>
      <w:bookmarkStart w:id="694" w:name="_Toc27324"/>
      <w:bookmarkStart w:id="695" w:name="_Toc1089"/>
      <w:bookmarkStart w:id="696" w:name="_Toc389065298"/>
      <w:bookmarkStart w:id="697" w:name="_Toc373478379"/>
      <w:bookmarkStart w:id="698" w:name="_Toc20268"/>
      <w:bookmarkStart w:id="699" w:name="_Toc9850562"/>
      <w:bookmarkStart w:id="700" w:name="_Toc407135234"/>
      <w:r>
        <w:rPr>
          <w:color w:val="auto"/>
          <w:highlight w:val="none"/>
        </w:rPr>
        <w:t xml:space="preserve">8.2 </w:t>
      </w:r>
      <w:r>
        <w:rPr>
          <w:rFonts w:hint="eastAsia" w:cs="黑体"/>
          <w:color w:val="auto"/>
          <w:highlight w:val="none"/>
        </w:rPr>
        <w:t>承包人采购材料与工程设备</w:t>
      </w:r>
      <w:bookmarkEnd w:id="692"/>
      <w:bookmarkEnd w:id="693"/>
      <w:bookmarkEnd w:id="694"/>
      <w:bookmarkEnd w:id="695"/>
      <w:bookmarkEnd w:id="696"/>
      <w:bookmarkEnd w:id="697"/>
      <w:bookmarkEnd w:id="698"/>
      <w:bookmarkEnd w:id="699"/>
      <w:bookmarkEnd w:id="700"/>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color w:val="auto"/>
          <w:kern w:val="0"/>
          <w:highlight w:val="none"/>
        </w:rPr>
      </w:pPr>
      <w:r>
        <w:rPr>
          <w:rFonts w:hint="eastAsia" w:cs="宋体"/>
          <w:color w:val="auto"/>
          <w:kern w:val="0"/>
          <w:highlight w:val="none"/>
        </w:rPr>
        <w:t>除已标价工程量清单《发包人提供主要材料和工程设备一览表》（表</w:t>
      </w:r>
      <w:r>
        <w:rPr>
          <w:color w:val="auto"/>
          <w:kern w:val="0"/>
          <w:highlight w:val="none"/>
        </w:rPr>
        <w:t>-21</w:t>
      </w:r>
      <w:r>
        <w:rPr>
          <w:rFonts w:hint="eastAsia" w:cs="宋体"/>
          <w:color w:val="auto"/>
          <w:kern w:val="0"/>
          <w:highlight w:val="none"/>
        </w:rPr>
        <w:t>）中明确的材料、工程设备外，由承包人负责材料和工程设备的采购、运输和保管。《</w:t>
      </w:r>
      <w:r>
        <w:rPr>
          <w:rFonts w:hint="eastAsia" w:cs="宋体"/>
          <w:color w:val="auto"/>
          <w:highlight w:val="none"/>
        </w:rPr>
        <w:t>承包人提供主要材料和工程设备一览表》</w:t>
      </w:r>
      <w:r>
        <w:rPr>
          <w:rFonts w:hint="eastAsia" w:cs="宋体"/>
          <w:color w:val="auto"/>
          <w:kern w:val="0"/>
          <w:highlight w:val="none"/>
        </w:rPr>
        <w:t>（表</w:t>
      </w:r>
      <w:r>
        <w:rPr>
          <w:color w:val="auto"/>
          <w:kern w:val="0"/>
          <w:highlight w:val="none"/>
        </w:rPr>
        <w:t>-22</w:t>
      </w:r>
      <w:r>
        <w:rPr>
          <w:rFonts w:hint="eastAsia" w:cs="宋体"/>
          <w:color w:val="auto"/>
          <w:kern w:val="0"/>
          <w:highlight w:val="none"/>
        </w:rPr>
        <w:t>）见已标价工程量清单。</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color w:val="auto"/>
          <w:highlight w:val="none"/>
        </w:rPr>
      </w:pPr>
      <w:bookmarkStart w:id="701" w:name="_Toc373478380"/>
      <w:bookmarkStart w:id="702" w:name="_Toc389065299"/>
      <w:bookmarkStart w:id="703" w:name="_Toc373227733"/>
      <w:r>
        <w:rPr>
          <w:rFonts w:hint="eastAsia" w:cs="宋体"/>
          <w:color w:val="auto"/>
          <w:highlight w:val="none"/>
        </w:rPr>
        <w:t>对发包人在招标时有“参照或相当于</w:t>
      </w:r>
      <w:r>
        <w:rPr>
          <w:color w:val="auto"/>
          <w:highlight w:val="none"/>
        </w:rPr>
        <w:t>**</w:t>
      </w:r>
      <w:r>
        <w:rPr>
          <w:rFonts w:hint="eastAsia" w:cs="宋体"/>
          <w:color w:val="auto"/>
          <w:highlight w:val="none"/>
        </w:rPr>
        <w:t>品牌、级别”约定的材料或设备，承包人采购时必须按类似于或优于所约定品牌、等级进行采购，施工期间该部分材料或设备如未超过招标约定的风险幅度的，结算时按投标单价支付，不得调整。</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704" w:name="_Toc27488"/>
      <w:bookmarkStart w:id="705" w:name="_Toc407135235"/>
      <w:bookmarkStart w:id="706" w:name="_Toc32553"/>
      <w:bookmarkStart w:id="707" w:name="_Toc9850563"/>
      <w:bookmarkStart w:id="708" w:name="_Toc1309"/>
      <w:bookmarkStart w:id="709" w:name="_Toc32181"/>
      <w:r>
        <w:rPr>
          <w:color w:val="auto"/>
          <w:highlight w:val="none"/>
        </w:rPr>
        <w:t>8</w:t>
      </w:r>
      <w:bookmarkStart w:id="710" w:name="_Toc296347166"/>
      <w:bookmarkStart w:id="711" w:name="_Toc304295556"/>
      <w:bookmarkStart w:id="712" w:name="_Toc280868654"/>
      <w:bookmarkStart w:id="713" w:name="_Toc292559877"/>
      <w:bookmarkStart w:id="714" w:name="_Toc297048353"/>
      <w:bookmarkStart w:id="715" w:name="_Toc296891207"/>
      <w:bookmarkStart w:id="716" w:name="_Toc300934979"/>
      <w:bookmarkStart w:id="717" w:name="_Toc297123527"/>
      <w:bookmarkStart w:id="718" w:name="_Toc312677493"/>
      <w:bookmarkStart w:id="719" w:name="_Toc296890995"/>
      <w:bookmarkStart w:id="720" w:name="_Toc297120467"/>
      <w:bookmarkStart w:id="721" w:name="_Toc296944506"/>
      <w:bookmarkStart w:id="722" w:name="_Toc303539136"/>
      <w:bookmarkStart w:id="723" w:name="_Toc296346668"/>
      <w:bookmarkStart w:id="724" w:name="_Toc292559372"/>
      <w:bookmarkStart w:id="725" w:name="_Toc312678019"/>
      <w:bookmarkStart w:id="726" w:name="_Toc297216186"/>
      <w:bookmarkStart w:id="727" w:name="_Toc296503167"/>
      <w:bookmarkStart w:id="728" w:name="_Toc280868655"/>
      <w:bookmarkStart w:id="729" w:name="_Toc267251424"/>
      <w:bookmarkStart w:id="730" w:name="_Toc280868656"/>
      <w:r>
        <w:rPr>
          <w:color w:val="auto"/>
          <w:highlight w:val="none"/>
        </w:rPr>
        <w:t xml:space="preserve">.4 </w:t>
      </w:r>
      <w:r>
        <w:rPr>
          <w:rFonts w:hint="eastAsia" w:cs="黑体"/>
          <w:color w:val="auto"/>
          <w:highlight w:val="none"/>
        </w:rPr>
        <w:t>材料与工程设备的保管与使用</w:t>
      </w:r>
      <w:bookmarkEnd w:id="701"/>
      <w:bookmarkEnd w:id="702"/>
      <w:bookmarkEnd w:id="703"/>
      <w:bookmarkEnd w:id="704"/>
      <w:bookmarkEnd w:id="705"/>
      <w:bookmarkEnd w:id="706"/>
      <w:bookmarkEnd w:id="707"/>
      <w:bookmarkEnd w:id="708"/>
      <w:bookmarkEnd w:id="709"/>
    </w:p>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u w:val="single"/>
        </w:rPr>
      </w:pPr>
      <w:r>
        <w:rPr>
          <w:color w:val="auto"/>
          <w:highlight w:val="none"/>
        </w:rPr>
        <w:t>8</w:t>
      </w:r>
      <w:bookmarkStart w:id="731" w:name="_Toc292559878"/>
      <w:bookmarkStart w:id="732" w:name="_Toc292559373"/>
      <w:bookmarkStart w:id="733" w:name="_Toc304295557"/>
      <w:bookmarkStart w:id="734" w:name="_Toc296944507"/>
      <w:bookmarkStart w:id="735" w:name="_Toc296891208"/>
      <w:bookmarkStart w:id="736" w:name="_Toc297216187"/>
      <w:bookmarkStart w:id="737" w:name="_Toc296890996"/>
      <w:bookmarkStart w:id="738" w:name="_Toc296503168"/>
      <w:bookmarkStart w:id="739" w:name="_Toc312677494"/>
      <w:bookmarkStart w:id="740" w:name="_Toc297120468"/>
      <w:bookmarkStart w:id="741" w:name="_Toc297123528"/>
      <w:bookmarkStart w:id="742" w:name="_Toc318581173"/>
      <w:bookmarkStart w:id="743" w:name="_Toc300934980"/>
      <w:bookmarkStart w:id="744" w:name="_Toc312678020"/>
      <w:bookmarkStart w:id="745" w:name="_Toc296347167"/>
      <w:bookmarkStart w:id="746" w:name="_Toc303539137"/>
      <w:bookmarkStart w:id="747" w:name="_Toc297048354"/>
      <w:bookmarkStart w:id="748" w:name="_Toc296346669"/>
      <w:r>
        <w:rPr>
          <w:color w:val="auto"/>
          <w:highlight w:val="none"/>
        </w:rPr>
        <w:t>.4.1</w:t>
      </w:r>
      <w:r>
        <w:rPr>
          <w:rFonts w:hint="eastAsia" w:hAnsi="宋体" w:cs="宋体"/>
          <w:color w:val="auto"/>
          <w:highlight w:val="none"/>
        </w:rPr>
        <w:t>发包人供应的材料设备的保管费用的承担：</w:t>
      </w:r>
      <w:r>
        <w:rPr>
          <w:color w:val="auto"/>
          <w:highlight w:val="none"/>
          <w:u w:val="single"/>
        </w:rPr>
        <w:t xml:space="preserve">  </w:t>
      </w:r>
      <w:r>
        <w:rPr>
          <w:rStyle w:val="31"/>
          <w:rFonts w:hint="eastAsia" w:ascii="Calibri" w:hAnsi="Calibri" w:eastAsia="宋体" w:cs="Times New Roman"/>
          <w:color w:val="auto"/>
          <w:highlight w:val="none"/>
          <w:u w:val="single"/>
        </w:rPr>
        <w:t>如有发包人供应的材料和工程设备须承包人代为保管的，承包人清点后由承包人妥善保管，保管期间产生的费用由发包人承担。监理人未通知承包人清点的，承包人不负责材料和工程设备的保管，由此导致丢失毁损的由发包人负责。发包人供应的材料和工程设备使用前，由承包人负责检验，检验费用由发包人承担，不合格的不得使用</w:t>
      </w:r>
      <w:r>
        <w:rPr>
          <w:color w:val="auto"/>
          <w:highlight w:val="none"/>
          <w:u w:val="single"/>
        </w:rPr>
        <w:t xml:space="preserve">     </w:t>
      </w:r>
      <w:r>
        <w:rPr>
          <w:rFonts w:hint="eastAsia" w:hAnsi="宋体" w:cs="宋体"/>
          <w:color w:val="auto"/>
          <w:highlight w:val="none"/>
        </w:rPr>
        <w:t>。</w:t>
      </w:r>
    </w:p>
    <w:bookmarkEnd w:id="731"/>
    <w:bookmarkEnd w:id="732"/>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749" w:name="_Toc26734"/>
      <w:bookmarkStart w:id="750" w:name="_Toc6556"/>
      <w:bookmarkStart w:id="751" w:name="_Toc373227734"/>
      <w:bookmarkStart w:id="752" w:name="_Toc9850564"/>
      <w:bookmarkStart w:id="753" w:name="_Toc27423"/>
      <w:bookmarkStart w:id="754" w:name="_Toc407135236"/>
      <w:bookmarkStart w:id="755" w:name="_Toc389065300"/>
      <w:bookmarkStart w:id="756" w:name="_Toc12952"/>
      <w:bookmarkStart w:id="757" w:name="_Toc373478381"/>
      <w:r>
        <w:rPr>
          <w:color w:val="auto"/>
          <w:highlight w:val="none"/>
        </w:rPr>
        <w:t xml:space="preserve">8.6 </w:t>
      </w:r>
      <w:r>
        <w:rPr>
          <w:rFonts w:hint="eastAsia" w:hAnsi="宋体" w:cs="黑体"/>
          <w:color w:val="auto"/>
          <w:highlight w:val="none"/>
        </w:rPr>
        <w:t>样品</w:t>
      </w:r>
      <w:bookmarkEnd w:id="749"/>
      <w:bookmarkEnd w:id="750"/>
      <w:bookmarkEnd w:id="751"/>
      <w:bookmarkEnd w:id="752"/>
      <w:bookmarkEnd w:id="753"/>
      <w:bookmarkEnd w:id="754"/>
      <w:bookmarkEnd w:id="755"/>
      <w:bookmarkEnd w:id="756"/>
      <w:bookmarkEnd w:id="757"/>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color w:val="auto"/>
          <w:kern w:val="0"/>
          <w:highlight w:val="none"/>
        </w:rPr>
      </w:pPr>
      <w:r>
        <w:rPr>
          <w:color w:val="auto"/>
          <w:kern w:val="0"/>
          <w:highlight w:val="none"/>
        </w:rPr>
        <w:t xml:space="preserve">8.6.1 </w:t>
      </w:r>
      <w:r>
        <w:rPr>
          <w:rFonts w:hint="eastAsia" w:hAnsi="宋体" w:cs="宋体"/>
          <w:color w:val="auto"/>
          <w:kern w:val="0"/>
          <w:highlight w:val="none"/>
        </w:rPr>
        <w:t>样品的报送与封存</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color w:val="auto"/>
          <w:highlight w:val="none"/>
          <w:u w:val="single"/>
        </w:rPr>
      </w:pPr>
      <w:r>
        <w:rPr>
          <w:rFonts w:hint="eastAsia" w:hAnsi="宋体" w:cs="宋体"/>
          <w:color w:val="auto"/>
          <w:kern w:val="0"/>
          <w:highlight w:val="none"/>
        </w:rPr>
        <w:t>需要承包人报送样品的材料或工程设备，样品的种类、名称、规格、数量要求：</w:t>
      </w:r>
      <w:r>
        <w:rPr>
          <w:rFonts w:hint="eastAsia" w:hAnsi="宋体" w:cs="宋体"/>
          <w:color w:val="auto"/>
          <w:highlight w:val="none"/>
          <w:u w:val="single"/>
        </w:rPr>
        <w:t>主要材料涉及品种、款式、颜色等方面内容的，承包人应提交准备合格的材料样品送发包人选定。</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758" w:name="_Toc373478382"/>
      <w:bookmarkStart w:id="759" w:name="_Toc13293"/>
      <w:bookmarkStart w:id="760" w:name="_Toc373227735"/>
      <w:bookmarkStart w:id="761" w:name="_Toc389065301"/>
      <w:bookmarkStart w:id="762" w:name="_Toc9850565"/>
      <w:bookmarkStart w:id="763" w:name="_Toc704"/>
      <w:bookmarkStart w:id="764" w:name="_Toc407135237"/>
      <w:bookmarkStart w:id="765" w:name="_Toc9619"/>
      <w:bookmarkStart w:id="766" w:name="_Toc1669"/>
      <w:r>
        <w:rPr>
          <w:color w:val="auto"/>
          <w:highlight w:val="none"/>
        </w:rPr>
        <w:t xml:space="preserve">8.8 </w:t>
      </w:r>
      <w:r>
        <w:rPr>
          <w:rFonts w:hint="eastAsia" w:cs="黑体"/>
          <w:color w:val="auto"/>
          <w:highlight w:val="none"/>
        </w:rPr>
        <w:t>施工设备和临时设施</w:t>
      </w:r>
      <w:bookmarkEnd w:id="758"/>
      <w:bookmarkEnd w:id="759"/>
      <w:bookmarkEnd w:id="760"/>
      <w:bookmarkEnd w:id="761"/>
      <w:bookmarkEnd w:id="762"/>
      <w:bookmarkEnd w:id="763"/>
      <w:bookmarkEnd w:id="764"/>
      <w:bookmarkEnd w:id="765"/>
      <w:bookmarkEnd w:id="766"/>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color w:val="auto"/>
          <w:highlight w:val="none"/>
        </w:rPr>
      </w:pPr>
      <w:r>
        <w:rPr>
          <w:color w:val="auto"/>
          <w:highlight w:val="none"/>
        </w:rPr>
        <w:t xml:space="preserve">8.8.1 </w:t>
      </w:r>
      <w:r>
        <w:rPr>
          <w:rFonts w:hint="eastAsia" w:hAnsi="宋体" w:cs="宋体"/>
          <w:color w:val="auto"/>
          <w:highlight w:val="none"/>
        </w:rPr>
        <w:t>承包人提供的施工设备和临时设施</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s="宋体"/>
          <w:color w:val="auto"/>
          <w:highlight w:val="none"/>
        </w:rPr>
        <w:t>承包人用于本工程的主要机械设备清单见合同附件4。</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关于修建临时设施费用承担的约定：</w:t>
      </w:r>
    </w:p>
    <w:p>
      <w:pPr>
        <w:pStyle w:val="54"/>
        <w:shd w:val="clear" w:color="auto" w:fill="auto"/>
        <w:autoSpaceDE w:val="0"/>
        <w:autoSpaceDN w:val="0"/>
        <w:adjustRightInd w:val="0"/>
        <w:spacing w:line="360" w:lineRule="auto"/>
        <w:ind w:firstLine="420" w:firstLineChars="200"/>
        <w:jc w:val="left"/>
        <w:rPr>
          <w:rStyle w:val="31"/>
          <w:rFonts w:ascii="宋体" w:hAnsi="宋体"/>
          <w:color w:val="auto"/>
          <w:highlight w:val="none"/>
          <w:u w:val="single"/>
        </w:rPr>
      </w:pPr>
      <w:r>
        <w:rPr>
          <w:rStyle w:val="31"/>
          <w:rFonts w:hint="eastAsia" w:ascii="宋体" w:hAnsi="宋体"/>
          <w:color w:val="auto"/>
          <w:highlight w:val="none"/>
          <w:u w:val="single"/>
        </w:rPr>
        <w:t xml:space="preserve"> ①承包人的临时用地（含项目部驻地等）租用费（含拆迁补偿）、临时用地的环保、恢复、临时用地的青苗补偿及地面附着物拆除等费用均由承包人负责，以上费用在投标报价中综合考虑。</w:t>
      </w:r>
    </w:p>
    <w:p>
      <w:pPr>
        <w:pStyle w:val="54"/>
        <w:shd w:val="clear" w:color="auto" w:fill="auto"/>
        <w:autoSpaceDE w:val="0"/>
        <w:autoSpaceDN w:val="0"/>
        <w:adjustRightInd w:val="0"/>
        <w:spacing w:line="360" w:lineRule="auto"/>
        <w:ind w:firstLine="420" w:firstLineChars="200"/>
        <w:jc w:val="left"/>
        <w:rPr>
          <w:rStyle w:val="31"/>
          <w:rFonts w:ascii="宋体" w:hAnsi="宋体"/>
          <w:color w:val="auto"/>
          <w:highlight w:val="none"/>
          <w:u w:val="single"/>
        </w:rPr>
      </w:pPr>
      <w:r>
        <w:rPr>
          <w:rStyle w:val="31"/>
          <w:rFonts w:hint="eastAsia" w:ascii="宋体" w:hAnsi="宋体"/>
          <w:color w:val="auto"/>
          <w:highlight w:val="none"/>
          <w:u w:val="single"/>
        </w:rPr>
        <w:t>②承包人负责合同实施期间其合同段内临时交通道路（含场内外连接公共交通道路）和交通设施的修建、维修、养护和交通管理工作，并承担一切费用。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rFonts w:hAnsi="宋体"/>
          <w:color w:val="auto"/>
          <w:highlight w:val="none"/>
          <w:u w:val="single"/>
        </w:rPr>
      </w:pPr>
      <w:r>
        <w:rPr>
          <w:rStyle w:val="31"/>
          <w:rFonts w:hint="eastAsia" w:ascii="宋体" w:hAnsi="宋体" w:eastAsia="宋体" w:cs="Times New Roman"/>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rFonts w:hAnsi="宋体"/>
          <w:color w:val="auto"/>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color w:val="auto"/>
          <w:highlight w:val="none"/>
        </w:rPr>
      </w:pPr>
      <w:r>
        <w:rPr>
          <w:color w:val="auto"/>
          <w:highlight w:val="none"/>
        </w:rPr>
        <w:t xml:space="preserve">8.8.2 </w:t>
      </w:r>
      <w:r>
        <w:rPr>
          <w:rFonts w:hint="eastAsia" w:hAnsi="宋体" w:cs="宋体"/>
          <w:color w:val="auto"/>
          <w:highlight w:val="none"/>
        </w:rPr>
        <w:t>发包人提供的施工设备和临时设施</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发包人提供的施工设备和临时设施：</w:t>
      </w:r>
      <w:r>
        <w:rPr>
          <w:color w:val="auto"/>
          <w:highlight w:val="none"/>
          <w:u w:val="single"/>
        </w:rPr>
        <w:t xml:space="preserve"> </w:t>
      </w:r>
      <w:r>
        <w:rPr>
          <w:rStyle w:val="31"/>
          <w:rFonts w:hint="eastAsia" w:ascii="宋体" w:hAnsi="宋体" w:eastAsia="宋体" w:cs="Times New Roman"/>
          <w:color w:val="auto"/>
          <w:highlight w:val="none"/>
          <w:u w:val="single"/>
          <w:lang w:val="en-US" w:eastAsia="zh-CN"/>
        </w:rPr>
        <w:t>（</w:t>
      </w:r>
      <w:r>
        <w:rPr>
          <w:rStyle w:val="31"/>
          <w:rFonts w:hint="default" w:ascii="宋体" w:hAnsi="宋体" w:eastAsia="宋体" w:cs="Times New Roman"/>
          <w:color w:val="auto"/>
          <w:highlight w:val="none"/>
          <w:u w:val="single"/>
          <w:lang w:val="en-US" w:eastAsia="zh-CN"/>
        </w:rPr>
        <w:t>1</w:t>
      </w:r>
      <w:r>
        <w:rPr>
          <w:rStyle w:val="31"/>
          <w:rFonts w:hint="eastAsia" w:ascii="宋体" w:hAnsi="宋体" w:eastAsia="宋体" w:cs="Times New Roman"/>
          <w:color w:val="auto"/>
          <w:highlight w:val="none"/>
          <w:u w:val="single"/>
          <w:lang w:val="en-US" w:eastAsia="zh-CN"/>
        </w:rPr>
        <w:t xml:space="preserve">）发包人按承包人的施工现场总平面布置图的要求于开工前 </w:t>
      </w:r>
      <w:r>
        <w:rPr>
          <w:rStyle w:val="31"/>
          <w:rFonts w:hint="default" w:ascii="宋体" w:hAnsi="宋体" w:eastAsia="宋体" w:cs="Times New Roman"/>
          <w:color w:val="auto"/>
          <w:highlight w:val="none"/>
          <w:u w:val="single"/>
          <w:lang w:val="en-US" w:eastAsia="zh-CN"/>
        </w:rPr>
        <w:t>7</w:t>
      </w:r>
      <w:r>
        <w:rPr>
          <w:rStyle w:val="31"/>
          <w:rFonts w:hint="eastAsia" w:ascii="宋体" w:hAnsi="宋体" w:eastAsia="宋体" w:cs="Times New Roman"/>
          <w:color w:val="auto"/>
          <w:highlight w:val="none"/>
          <w:u w:val="single"/>
          <w:lang w:val="en-US" w:eastAsia="zh-CN"/>
        </w:rPr>
        <w:t>天将水、电接至施工现场围墙内。若发包人未将以上管线外端接口接至承包人指定的位置，则由承包人将水、电、电讯线路延长接至施工现场，费用由发包人承担。（</w:t>
      </w:r>
      <w:r>
        <w:rPr>
          <w:rStyle w:val="31"/>
          <w:rFonts w:hint="default" w:ascii="宋体" w:hAnsi="宋体" w:eastAsia="宋体" w:cs="Times New Roman"/>
          <w:color w:val="auto"/>
          <w:highlight w:val="none"/>
          <w:u w:val="single"/>
          <w:lang w:val="en-US" w:eastAsia="zh-CN"/>
        </w:rPr>
        <w:t>2</w:t>
      </w:r>
      <w:r>
        <w:rPr>
          <w:rStyle w:val="31"/>
          <w:rFonts w:hint="eastAsia" w:ascii="宋体" w:hAnsi="宋体" w:eastAsia="宋体" w:cs="Times New Roman"/>
          <w:color w:val="auto"/>
          <w:highlight w:val="none"/>
          <w:u w:val="single"/>
          <w:lang w:val="en-US" w:eastAsia="zh-CN"/>
        </w:rPr>
        <w:t>）开工前</w:t>
      </w:r>
      <w:r>
        <w:rPr>
          <w:rStyle w:val="31"/>
          <w:rFonts w:hint="default" w:ascii="宋体" w:hAnsi="宋体" w:eastAsia="宋体" w:cs="Times New Roman"/>
          <w:color w:val="auto"/>
          <w:highlight w:val="none"/>
          <w:u w:val="single"/>
          <w:lang w:val="en-US" w:eastAsia="zh-CN"/>
        </w:rPr>
        <w:t>5</w:t>
      </w:r>
      <w:r>
        <w:rPr>
          <w:rStyle w:val="31"/>
          <w:rFonts w:hint="eastAsia" w:ascii="宋体" w:hAnsi="宋体" w:eastAsia="宋体" w:cs="Times New Roman"/>
          <w:color w:val="auto"/>
          <w:highlight w:val="none"/>
          <w:u w:val="single"/>
          <w:lang w:val="en-US" w:eastAsia="zh-CN"/>
        </w:rPr>
        <w:t>天将施工场地公共道路的通道通至施工场地，保证施工期间的畅通，并满足施工运输的需要</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发包人提供的施工设备和临时设施的运行、维护、拆除、清运费用的承担人：</w:t>
      </w:r>
      <w:r>
        <w:rPr>
          <w:rStyle w:val="31"/>
          <w:rFonts w:hint="eastAsia" w:ascii="Calibri" w:hAnsi="Calibri" w:eastAsia="宋体" w:cs="Times New Roman"/>
          <w:color w:val="auto"/>
          <w:highlight w:val="none"/>
          <w:u w:val="single"/>
          <w:lang w:val="en-US" w:eastAsia="zh-CN"/>
        </w:rPr>
        <w:t>发包人</w:t>
      </w:r>
      <w:r>
        <w:rPr>
          <w:color w:val="auto"/>
          <w:highlight w:val="none"/>
          <w:u w:val="single"/>
        </w:rPr>
        <w:t xml:space="preserve">  </w:t>
      </w:r>
      <w:r>
        <w:rPr>
          <w:rFonts w:hint="eastAsia" w:hAnsi="宋体" w:cs="宋体"/>
          <w:color w:val="auto"/>
          <w:highlight w:val="none"/>
        </w:rPr>
        <w:t>。</w:t>
      </w:r>
    </w:p>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Pr>
        <w:pStyle w:val="5"/>
        <w:keepNext w:val="0"/>
        <w:keepLines w:val="0"/>
        <w:pageBreakBefore w:val="0"/>
        <w:widowControl w:val="0"/>
        <w:kinsoku/>
        <w:wordWrap/>
        <w:overflowPunct/>
        <w:topLinePunct w:val="0"/>
        <w:autoSpaceDE w:val="0"/>
        <w:autoSpaceDN w:val="0"/>
        <w:bidi w:val="0"/>
        <w:snapToGrid/>
        <w:spacing w:before="0" w:line="360" w:lineRule="auto"/>
        <w:ind w:left="0" w:leftChars="0" w:right="0"/>
        <w:textAlignment w:val="auto"/>
        <w:rPr>
          <w:color w:val="auto"/>
          <w:highlight w:val="none"/>
        </w:rPr>
      </w:pPr>
      <w:bookmarkStart w:id="767" w:name="_Toc389065302"/>
      <w:bookmarkStart w:id="768" w:name="_Toc407135238"/>
      <w:bookmarkStart w:id="769" w:name="_Toc373478383"/>
      <w:bookmarkStart w:id="770" w:name="_Toc373227736"/>
      <w:bookmarkStart w:id="771" w:name="_Toc15722"/>
      <w:bookmarkStart w:id="772" w:name="_Toc3610"/>
      <w:bookmarkStart w:id="773" w:name="_Toc9850566"/>
      <w:bookmarkStart w:id="774" w:name="_Toc23892"/>
      <w:bookmarkStart w:id="775" w:name="_Toc5506"/>
      <w:bookmarkStart w:id="776" w:name="_Toc351203641"/>
      <w:r>
        <w:rPr>
          <w:color w:val="auto"/>
          <w:highlight w:val="none"/>
        </w:rPr>
        <w:t>9</w:t>
      </w:r>
      <w:bookmarkEnd w:id="728"/>
      <w:bookmarkEnd w:id="729"/>
      <w:bookmarkEnd w:id="730"/>
      <w:bookmarkStart w:id="777" w:name="_Toc312677495"/>
      <w:bookmarkStart w:id="778" w:name="_Toc304295559"/>
      <w:bookmarkStart w:id="779" w:name="_Toc297123533"/>
      <w:bookmarkStart w:id="780" w:name="_Toc297216192"/>
      <w:bookmarkStart w:id="781" w:name="_Toc312678021"/>
      <w:bookmarkStart w:id="782" w:name="_Toc303539139"/>
      <w:bookmarkStart w:id="783" w:name="_Toc300934982"/>
      <w:bookmarkStart w:id="784" w:name="_Toc292559378"/>
      <w:bookmarkStart w:id="785" w:name="_Toc297048359"/>
      <w:bookmarkStart w:id="786" w:name="_Toc267251427"/>
      <w:bookmarkStart w:id="787" w:name="_Toc296347172"/>
      <w:bookmarkStart w:id="788" w:name="_Toc296891001"/>
      <w:bookmarkStart w:id="789" w:name="_Toc292559883"/>
      <w:bookmarkStart w:id="790" w:name="_Toc296346674"/>
      <w:bookmarkStart w:id="791" w:name="_Toc297120473"/>
      <w:bookmarkStart w:id="792" w:name="_Toc296891213"/>
      <w:bookmarkStart w:id="793" w:name="_Toc296503173"/>
      <w:bookmarkStart w:id="794" w:name="_Toc296944512"/>
      <w:bookmarkStart w:id="795" w:name="_Toc267251428"/>
      <w:r>
        <w:rPr>
          <w:color w:val="auto"/>
          <w:highlight w:val="none"/>
        </w:rPr>
        <w:t xml:space="preserve">. </w:t>
      </w:r>
      <w:r>
        <w:rPr>
          <w:rFonts w:hint="eastAsia" w:cs="黑体"/>
          <w:color w:val="auto"/>
          <w:highlight w:val="none"/>
        </w:rPr>
        <w:t>试验与检验</w:t>
      </w:r>
      <w:bookmarkEnd w:id="767"/>
      <w:bookmarkEnd w:id="768"/>
      <w:bookmarkEnd w:id="769"/>
      <w:bookmarkEnd w:id="770"/>
      <w:bookmarkEnd w:id="771"/>
      <w:bookmarkEnd w:id="772"/>
      <w:bookmarkEnd w:id="773"/>
      <w:bookmarkEnd w:id="774"/>
      <w:bookmarkEnd w:id="775"/>
      <w:bookmarkEnd w:id="776"/>
    </w:p>
    <w:bookmarkEnd w:id="777"/>
    <w:bookmarkEnd w:id="778"/>
    <w:bookmarkEnd w:id="779"/>
    <w:bookmarkEnd w:id="780"/>
    <w:bookmarkEnd w:id="781"/>
    <w:bookmarkEnd w:id="782"/>
    <w:bookmarkEnd w:id="783"/>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796" w:name="_Toc389065303"/>
      <w:bookmarkStart w:id="797" w:name="_Toc8719"/>
      <w:bookmarkStart w:id="798" w:name="_Toc9850567"/>
      <w:bookmarkStart w:id="799" w:name="_Toc407135239"/>
      <w:bookmarkStart w:id="800" w:name="_Toc30554"/>
      <w:bookmarkStart w:id="801" w:name="_Toc1802"/>
      <w:bookmarkStart w:id="802" w:name="_Toc373227737"/>
      <w:bookmarkStart w:id="803" w:name="_Toc892"/>
      <w:bookmarkStart w:id="804" w:name="_Toc373478384"/>
      <w:r>
        <w:rPr>
          <w:color w:val="auto"/>
          <w:highlight w:val="none"/>
        </w:rPr>
        <w:t>9</w:t>
      </w:r>
      <w:bookmarkStart w:id="805" w:name="_Toc297123534"/>
      <w:bookmarkStart w:id="806" w:name="_Toc297216193"/>
      <w:bookmarkStart w:id="807" w:name="_Toc304295560"/>
      <w:bookmarkStart w:id="808" w:name="_Toc303539140"/>
      <w:bookmarkStart w:id="809" w:name="_Toc300934983"/>
      <w:bookmarkStart w:id="810" w:name="_Toc312678022"/>
      <w:bookmarkStart w:id="811" w:name="_Toc312677496"/>
      <w:r>
        <w:rPr>
          <w:color w:val="auto"/>
          <w:highlight w:val="none"/>
        </w:rPr>
        <w:t xml:space="preserve">.1 </w:t>
      </w:r>
      <w:r>
        <w:rPr>
          <w:rFonts w:hint="eastAsia" w:cs="黑体"/>
          <w:color w:val="auto"/>
          <w:highlight w:val="none"/>
        </w:rPr>
        <w:t>试验设备与试验人员</w:t>
      </w:r>
      <w:bookmarkEnd w:id="796"/>
      <w:bookmarkEnd w:id="797"/>
      <w:bookmarkEnd w:id="798"/>
      <w:bookmarkEnd w:id="799"/>
      <w:bookmarkEnd w:id="800"/>
      <w:bookmarkEnd w:id="801"/>
      <w:bookmarkEnd w:id="802"/>
      <w:bookmarkEnd w:id="803"/>
      <w:bookmarkEnd w:id="804"/>
    </w:p>
    <w:bookmarkEnd w:id="805"/>
    <w:bookmarkEnd w:id="806"/>
    <w:bookmarkEnd w:id="807"/>
    <w:bookmarkEnd w:id="808"/>
    <w:bookmarkEnd w:id="809"/>
    <w:bookmarkEnd w:id="810"/>
    <w:bookmarkEnd w:id="811"/>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color w:val="auto"/>
          <w:highlight w:val="none"/>
        </w:rPr>
        <w:t>9</w:t>
      </w:r>
      <w:bookmarkStart w:id="812" w:name="_Toc312678023"/>
      <w:bookmarkStart w:id="813" w:name="_Toc297123535"/>
      <w:bookmarkStart w:id="814" w:name="_Toc304295561"/>
      <w:bookmarkStart w:id="815" w:name="_Toc312677497"/>
      <w:bookmarkStart w:id="816" w:name="_Toc300934984"/>
      <w:bookmarkStart w:id="817" w:name="_Toc303539141"/>
      <w:bookmarkStart w:id="818" w:name="_Toc297216194"/>
      <w:bookmarkStart w:id="819" w:name="_Toc318581174"/>
      <w:r>
        <w:rPr>
          <w:color w:val="auto"/>
          <w:highlight w:val="none"/>
        </w:rPr>
        <w:t xml:space="preserve">.1.2 </w:t>
      </w:r>
      <w:r>
        <w:rPr>
          <w:rFonts w:hint="eastAsia" w:hAnsi="宋体" w:cs="宋体"/>
          <w:color w:val="auto"/>
          <w:highlight w:val="none"/>
        </w:rPr>
        <w:t>试验设备</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u w:val="single"/>
        </w:rPr>
      </w:pPr>
      <w:r>
        <w:rPr>
          <w:rFonts w:hint="eastAsia" w:hAnsi="宋体" w:cs="宋体"/>
          <w:color w:val="auto"/>
          <w:highlight w:val="none"/>
        </w:rPr>
        <w:t>施工现场需要配置的试验场所：</w:t>
      </w:r>
      <w:bookmarkEnd w:id="812"/>
      <w:bookmarkEnd w:id="813"/>
      <w:bookmarkEnd w:id="814"/>
      <w:bookmarkEnd w:id="815"/>
      <w:bookmarkEnd w:id="816"/>
      <w:bookmarkEnd w:id="817"/>
      <w:bookmarkEnd w:id="818"/>
      <w:bookmarkStart w:id="820" w:name="_Toc312677498"/>
      <w:bookmarkStart w:id="821" w:name="_Toc303539142"/>
      <w:bookmarkStart w:id="822" w:name="_Toc312678024"/>
      <w:bookmarkStart w:id="823" w:name="_Toc300934985"/>
      <w:bookmarkStart w:id="824" w:name="_Toc304295562"/>
      <w:bookmarkStart w:id="825" w:name="_Toc297123536"/>
      <w:bookmarkStart w:id="826" w:name="_Toc297216195"/>
      <w:r>
        <w:rPr>
          <w:color w:val="auto"/>
          <w:highlight w:val="none"/>
          <w:u w:val="single"/>
        </w:rPr>
        <w:t xml:space="preserve"> </w:t>
      </w:r>
      <w:r>
        <w:rPr>
          <w:rStyle w:val="31"/>
          <w:rFonts w:hint="eastAsia" w:ascii="宋体" w:hAnsi="宋体" w:eastAsia="宋体" w:cs="Times New Roman"/>
          <w:color w:val="auto"/>
          <w:highlight w:val="none"/>
          <w:u w:val="single"/>
        </w:rPr>
        <w:t>按《通用合同条款》</w:t>
      </w:r>
      <w:r>
        <w:rPr>
          <w:rStyle w:val="31"/>
          <w:rFonts w:hint="eastAsia" w:ascii="宋体" w:hAnsi="宋体" w:eastAsia="宋体" w:cs="Times New Roman"/>
          <w:color w:val="auto"/>
          <w:highlight w:val="none"/>
          <w:u w:val="single"/>
          <w:lang w:val="en-US" w:eastAsia="zh-CN"/>
        </w:rPr>
        <w:t>9.1.2</w:t>
      </w:r>
      <w:r>
        <w:rPr>
          <w:rStyle w:val="31"/>
          <w:rFonts w:hint="eastAsia" w:ascii="宋体" w:hAnsi="宋体" w:eastAsia="宋体" w:cs="Times New Roman"/>
          <w:color w:val="auto"/>
          <w:highlight w:val="none"/>
          <w:u w:val="single"/>
        </w:rPr>
        <w:t>条执行，由承包人提供</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u w:val="single"/>
        </w:rPr>
      </w:pPr>
      <w:r>
        <w:rPr>
          <w:rFonts w:hint="eastAsia" w:hAnsi="宋体" w:cs="宋体"/>
          <w:color w:val="auto"/>
          <w:highlight w:val="none"/>
        </w:rPr>
        <w:t>施工现场需要配备的试验设备：</w:t>
      </w:r>
      <w:r>
        <w:rPr>
          <w:color w:val="auto"/>
          <w:highlight w:val="none"/>
          <w:u w:val="single"/>
        </w:rPr>
        <w:t xml:space="preserve"> </w:t>
      </w:r>
      <w:r>
        <w:rPr>
          <w:rStyle w:val="31"/>
          <w:rFonts w:hint="eastAsia" w:ascii="宋体" w:hAnsi="宋体" w:eastAsia="宋体" w:cs="Times New Roman"/>
          <w:color w:val="auto"/>
          <w:highlight w:val="none"/>
          <w:u w:val="single"/>
        </w:rPr>
        <w:t>按《通用合同条款》</w:t>
      </w:r>
      <w:r>
        <w:rPr>
          <w:rStyle w:val="31"/>
          <w:rFonts w:hint="eastAsia" w:ascii="宋体" w:hAnsi="宋体" w:eastAsia="宋体" w:cs="Times New Roman"/>
          <w:color w:val="auto"/>
          <w:highlight w:val="none"/>
          <w:u w:val="single"/>
          <w:lang w:val="en-US" w:eastAsia="zh-CN"/>
        </w:rPr>
        <w:t>9.1.2</w:t>
      </w:r>
      <w:r>
        <w:rPr>
          <w:rStyle w:val="31"/>
          <w:rFonts w:hint="eastAsia" w:ascii="宋体" w:hAnsi="宋体" w:eastAsia="宋体" w:cs="Times New Roman"/>
          <w:color w:val="auto"/>
          <w:highlight w:val="none"/>
          <w:u w:val="single"/>
        </w:rPr>
        <w:t>条条执行，由承包人提供</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u w:val="single"/>
        </w:rPr>
      </w:pPr>
      <w:r>
        <w:rPr>
          <w:rFonts w:hint="eastAsia" w:hAnsi="宋体" w:cs="宋体"/>
          <w:color w:val="auto"/>
          <w:highlight w:val="none"/>
        </w:rPr>
        <w:t>施工现场需要具备的其他试验条件：</w:t>
      </w:r>
      <w:r>
        <w:rPr>
          <w:color w:val="auto"/>
          <w:highlight w:val="none"/>
          <w:u w:val="single"/>
        </w:rPr>
        <w:t xml:space="preserve"> </w:t>
      </w:r>
      <w:r>
        <w:rPr>
          <w:rStyle w:val="31"/>
          <w:rFonts w:hint="eastAsia" w:ascii="宋体" w:hAnsi="宋体" w:eastAsia="宋体" w:cs="Times New Roman"/>
          <w:color w:val="auto"/>
          <w:highlight w:val="none"/>
          <w:u w:val="single"/>
        </w:rPr>
        <w:t>按《通用合同条款》</w:t>
      </w:r>
      <w:r>
        <w:rPr>
          <w:rStyle w:val="31"/>
          <w:rFonts w:hint="eastAsia" w:ascii="宋体" w:hAnsi="宋体" w:eastAsia="宋体" w:cs="Times New Roman"/>
          <w:color w:val="auto"/>
          <w:highlight w:val="none"/>
          <w:u w:val="single"/>
          <w:lang w:val="en-US" w:eastAsia="zh-CN"/>
        </w:rPr>
        <w:t>9.1.2</w:t>
      </w:r>
      <w:r>
        <w:rPr>
          <w:rStyle w:val="31"/>
          <w:rFonts w:hint="eastAsia" w:ascii="宋体" w:hAnsi="宋体" w:eastAsia="宋体" w:cs="Times New Roman"/>
          <w:color w:val="auto"/>
          <w:highlight w:val="none"/>
          <w:u w:val="single"/>
        </w:rPr>
        <w:t>条条执行，由承包人提供</w:t>
      </w:r>
      <w:r>
        <w:rPr>
          <w:color w:val="auto"/>
          <w:highlight w:val="none"/>
          <w:u w:val="single"/>
        </w:rPr>
        <w:t xml:space="preserve"> </w:t>
      </w:r>
      <w:r>
        <w:rPr>
          <w:rFonts w:hint="eastAsia" w:hAnsi="宋体" w:cs="宋体"/>
          <w:color w:val="auto"/>
          <w:highlight w:val="none"/>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827" w:name="_Toc373478385"/>
      <w:bookmarkStart w:id="828" w:name="_Toc22064"/>
      <w:bookmarkStart w:id="829" w:name="_Toc9850568"/>
      <w:bookmarkStart w:id="830" w:name="_Toc407135240"/>
      <w:bookmarkStart w:id="831" w:name="_Toc389065304"/>
      <w:bookmarkStart w:id="832" w:name="_Toc24562"/>
      <w:bookmarkStart w:id="833" w:name="_Toc373227738"/>
      <w:bookmarkStart w:id="834" w:name="_Toc13693"/>
      <w:bookmarkStart w:id="835" w:name="_Toc27612"/>
      <w:r>
        <w:rPr>
          <w:color w:val="auto"/>
          <w:highlight w:val="none"/>
        </w:rPr>
        <w:t xml:space="preserve">9.4 </w:t>
      </w:r>
      <w:r>
        <w:rPr>
          <w:rFonts w:hint="eastAsia" w:hAnsi="宋体" w:cs="黑体"/>
          <w:color w:val="auto"/>
          <w:highlight w:val="none"/>
        </w:rPr>
        <w:t>现场工艺试验</w:t>
      </w:r>
      <w:bookmarkEnd w:id="827"/>
      <w:bookmarkEnd w:id="828"/>
      <w:bookmarkEnd w:id="829"/>
      <w:bookmarkEnd w:id="830"/>
      <w:bookmarkEnd w:id="831"/>
      <w:bookmarkEnd w:id="832"/>
      <w:bookmarkEnd w:id="833"/>
      <w:bookmarkEnd w:id="834"/>
      <w:bookmarkEnd w:id="835"/>
      <w:r>
        <w:rPr>
          <w:color w:val="auto"/>
          <w:highlight w:val="none"/>
        </w:rPr>
        <w:t xml:space="preserve"> </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现场工艺试验的有关约定：</w:t>
      </w:r>
      <w:r>
        <w:rPr>
          <w:color w:val="auto"/>
          <w:highlight w:val="none"/>
          <w:u w:val="single"/>
        </w:rPr>
        <w:t xml:space="preserve"> </w:t>
      </w:r>
      <w:r>
        <w:rPr>
          <w:rStyle w:val="31"/>
          <w:rFonts w:hint="eastAsia" w:ascii="宋体" w:hAnsi="宋体" w:eastAsia="宋体" w:cs="Times New Roman"/>
          <w:color w:val="auto"/>
          <w:highlight w:val="none"/>
          <w:u w:val="single"/>
        </w:rPr>
        <w:t>按《通用合同条款》9.4条执行</w:t>
      </w:r>
      <w:r>
        <w:rPr>
          <w:color w:val="auto"/>
          <w:highlight w:val="none"/>
          <w:u w:val="single"/>
        </w:rPr>
        <w:t xml:space="preserve">   </w:t>
      </w:r>
      <w:r>
        <w:rPr>
          <w:rFonts w:hint="eastAsia" w:hAnsi="宋体" w:cs="宋体"/>
          <w:color w:val="auto"/>
          <w:highlight w:val="none"/>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836" w:name="_Toc17994"/>
      <w:bookmarkStart w:id="837" w:name="_Toc9850569"/>
      <w:bookmarkStart w:id="838" w:name="_Toc3073"/>
      <w:bookmarkStart w:id="839" w:name="_Toc10690"/>
      <w:bookmarkStart w:id="840" w:name="_Toc407135241"/>
      <w:bookmarkStart w:id="841" w:name="_Toc11306"/>
      <w:r>
        <w:rPr>
          <w:color w:val="auto"/>
          <w:highlight w:val="none"/>
        </w:rPr>
        <w:t xml:space="preserve">9.5 </w:t>
      </w:r>
      <w:r>
        <w:rPr>
          <w:rFonts w:hint="eastAsia" w:hAnsi="宋体" w:cs="黑体"/>
          <w:color w:val="auto"/>
          <w:highlight w:val="none"/>
        </w:rPr>
        <w:t>检验费用</w:t>
      </w:r>
      <w:bookmarkEnd w:id="836"/>
      <w:bookmarkEnd w:id="837"/>
      <w:bookmarkEnd w:id="838"/>
      <w:bookmarkEnd w:id="839"/>
      <w:bookmarkEnd w:id="840"/>
      <w:bookmarkEnd w:id="841"/>
    </w:p>
    <w:p>
      <w:pPr>
        <w:keepNext w:val="0"/>
        <w:keepLines w:val="0"/>
        <w:pageBreakBefore w:val="0"/>
        <w:widowControl w:val="0"/>
        <w:kinsoku/>
        <w:wordWrap/>
        <w:overflowPunct/>
        <w:topLinePunct w:val="0"/>
        <w:autoSpaceDE w:val="0"/>
        <w:autoSpaceDN w:val="0"/>
        <w:bidi w:val="0"/>
        <w:snapToGrid/>
        <w:spacing w:line="360" w:lineRule="auto"/>
        <w:ind w:left="0" w:leftChars="0" w:right="0" w:firstLine="431" w:firstLineChars="196"/>
        <w:textAlignment w:val="auto"/>
        <w:rPr>
          <w:color w:val="auto"/>
          <w:highlight w:val="none"/>
        </w:rPr>
      </w:pPr>
      <w:r>
        <w:rPr>
          <w:rFonts w:hint="eastAsia" w:hAnsi="宋体" w:cs="宋体"/>
          <w:color w:val="auto"/>
          <w:highlight w:val="none"/>
        </w:rPr>
        <w:t>根据《建设工程质量检测管理办法》（建设部令第</w:t>
      </w:r>
      <w:r>
        <w:rPr>
          <w:color w:val="auto"/>
          <w:highlight w:val="none"/>
        </w:rPr>
        <w:t>141</w:t>
      </w:r>
      <w:r>
        <w:rPr>
          <w:rFonts w:hint="eastAsia" w:hAnsi="宋体" w:cs="宋体"/>
          <w:color w:val="auto"/>
          <w:highlight w:val="none"/>
        </w:rPr>
        <w:t>号）以及《广西壮族自治区建设工程质量检测管理规定》</w:t>
      </w:r>
      <w:r>
        <w:rPr>
          <w:rFonts w:hint="eastAsia" w:cs="宋体"/>
          <w:color w:val="auto"/>
          <w:highlight w:val="none"/>
        </w:rPr>
        <w:t>（</w:t>
      </w:r>
      <w:r>
        <w:rPr>
          <w:rFonts w:hint="eastAsia" w:hAnsi="宋体" w:cs="宋体"/>
          <w:color w:val="auto"/>
          <w:highlight w:val="none"/>
        </w:rPr>
        <w:t>桂建管</w:t>
      </w:r>
      <w:r>
        <w:rPr>
          <w:rFonts w:hint="eastAsia" w:cs="宋体"/>
          <w:color w:val="auto"/>
          <w:highlight w:val="none"/>
        </w:rPr>
        <w:t>〔</w:t>
      </w:r>
      <w:r>
        <w:rPr>
          <w:color w:val="auto"/>
          <w:highlight w:val="none"/>
        </w:rPr>
        <w:t>2013</w:t>
      </w:r>
      <w:r>
        <w:rPr>
          <w:rFonts w:hint="eastAsia" w:cs="宋体"/>
          <w:color w:val="auto"/>
          <w:highlight w:val="none"/>
        </w:rPr>
        <w:t>〕</w:t>
      </w:r>
      <w:r>
        <w:rPr>
          <w:color w:val="auto"/>
          <w:highlight w:val="none"/>
        </w:rPr>
        <w:t>11</w:t>
      </w:r>
      <w:r>
        <w:rPr>
          <w:rFonts w:hint="eastAsia" w:hAnsi="宋体" w:cs="宋体"/>
          <w:color w:val="auto"/>
          <w:highlight w:val="none"/>
        </w:rPr>
        <w:t>号</w:t>
      </w:r>
      <w:r>
        <w:rPr>
          <w:rFonts w:hint="eastAsia" w:cs="宋体"/>
          <w:color w:val="auto"/>
          <w:highlight w:val="none"/>
        </w:rPr>
        <w:t>）</w:t>
      </w:r>
      <w:r>
        <w:rPr>
          <w:rFonts w:hint="eastAsia" w:hAnsi="宋体" w:cs="宋体"/>
          <w:color w:val="auto"/>
          <w:highlight w:val="none"/>
        </w:rPr>
        <w:t>规定，工程质量检测业务由发包人委托有相应资质的检测机构检测。费用从发包人的项目建设经费中支出并直接支付给检测机构，不计入合同价款内。</w:t>
      </w:r>
    </w:p>
    <w:bookmarkEnd w:id="819"/>
    <w:bookmarkEnd w:id="820"/>
    <w:bookmarkEnd w:id="821"/>
    <w:bookmarkEnd w:id="822"/>
    <w:bookmarkEnd w:id="823"/>
    <w:bookmarkEnd w:id="824"/>
    <w:bookmarkEnd w:id="825"/>
    <w:bookmarkEnd w:id="826"/>
    <w:p>
      <w:pPr>
        <w:pStyle w:val="5"/>
        <w:keepNext w:val="0"/>
        <w:keepLines w:val="0"/>
        <w:pageBreakBefore w:val="0"/>
        <w:widowControl w:val="0"/>
        <w:kinsoku/>
        <w:wordWrap/>
        <w:overflowPunct/>
        <w:topLinePunct w:val="0"/>
        <w:autoSpaceDE w:val="0"/>
        <w:autoSpaceDN w:val="0"/>
        <w:bidi w:val="0"/>
        <w:snapToGrid/>
        <w:spacing w:before="0" w:line="360" w:lineRule="auto"/>
        <w:ind w:left="0" w:leftChars="0" w:right="0"/>
        <w:textAlignment w:val="auto"/>
        <w:rPr>
          <w:color w:val="auto"/>
          <w:highlight w:val="none"/>
        </w:rPr>
      </w:pPr>
      <w:bookmarkStart w:id="842" w:name="_Toc373227739"/>
      <w:bookmarkStart w:id="843" w:name="_Toc29651"/>
      <w:bookmarkStart w:id="844" w:name="_Toc407135242"/>
      <w:bookmarkStart w:id="845" w:name="_Toc373478386"/>
      <w:bookmarkStart w:id="846" w:name="_Toc7594"/>
      <w:bookmarkStart w:id="847" w:name="_Toc8459"/>
      <w:bookmarkStart w:id="848" w:name="_Toc389065305"/>
      <w:bookmarkStart w:id="849" w:name="_Toc351203642"/>
      <w:bookmarkStart w:id="850" w:name="_Toc30860"/>
      <w:bookmarkStart w:id="851" w:name="_Toc9850570"/>
      <w:r>
        <w:rPr>
          <w:color w:val="auto"/>
          <w:highlight w:val="none"/>
        </w:rPr>
        <w:t>1</w:t>
      </w:r>
      <w:bookmarkEnd w:id="784"/>
      <w:bookmarkEnd w:id="785"/>
      <w:bookmarkEnd w:id="786"/>
      <w:bookmarkEnd w:id="787"/>
      <w:bookmarkEnd w:id="788"/>
      <w:bookmarkEnd w:id="789"/>
      <w:bookmarkEnd w:id="790"/>
      <w:bookmarkEnd w:id="791"/>
      <w:bookmarkEnd w:id="792"/>
      <w:bookmarkEnd w:id="793"/>
      <w:bookmarkEnd w:id="794"/>
      <w:bookmarkEnd w:id="795"/>
      <w:bookmarkStart w:id="852" w:name="_Toc292559903"/>
      <w:bookmarkStart w:id="853" w:name="_Toc297216199"/>
      <w:bookmarkStart w:id="854" w:name="_Toc296944532"/>
      <w:bookmarkStart w:id="855" w:name="_Toc296347192"/>
      <w:bookmarkStart w:id="856" w:name="_Toc304295566"/>
      <w:bookmarkStart w:id="857" w:name="_Toc300934989"/>
      <w:bookmarkStart w:id="858" w:name="_Toc296346694"/>
      <w:bookmarkStart w:id="859" w:name="_Toc297120493"/>
      <w:bookmarkStart w:id="860" w:name="_Toc296891021"/>
      <w:bookmarkStart w:id="861" w:name="_Toc303539146"/>
      <w:bookmarkStart w:id="862" w:name="_Toc296503193"/>
      <w:bookmarkStart w:id="863" w:name="_Toc297048379"/>
      <w:bookmarkStart w:id="864" w:name="_Toc296891233"/>
      <w:bookmarkStart w:id="865" w:name="_Toc297123540"/>
      <w:bookmarkStart w:id="866" w:name="_Toc292559398"/>
      <w:bookmarkStart w:id="867" w:name="_Toc312678025"/>
      <w:bookmarkStart w:id="868" w:name="_Toc312677499"/>
      <w:bookmarkStart w:id="869" w:name="_Toc267251437"/>
      <w:bookmarkStart w:id="870" w:name="_Toc267251433"/>
      <w:bookmarkStart w:id="871" w:name="_Toc267251435"/>
      <w:bookmarkStart w:id="872" w:name="_Toc267251441"/>
      <w:bookmarkStart w:id="873" w:name="_Toc267251439"/>
      <w:bookmarkStart w:id="874" w:name="_Toc267251440"/>
      <w:bookmarkStart w:id="875" w:name="_Toc267251442"/>
      <w:r>
        <w:rPr>
          <w:color w:val="auto"/>
          <w:highlight w:val="none"/>
        </w:rPr>
        <w:t xml:space="preserve">0. </w:t>
      </w:r>
      <w:r>
        <w:rPr>
          <w:rFonts w:hint="eastAsia" w:hAnsi="宋体" w:cs="黑体"/>
          <w:color w:val="auto"/>
          <w:highlight w:val="none"/>
        </w:rPr>
        <w:t>变更</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bookmarkEnd w:id="867"/>
    <w:bookmarkEnd w:id="868"/>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876" w:name="_Toc373227740"/>
      <w:bookmarkStart w:id="877" w:name="_Toc13367"/>
      <w:bookmarkStart w:id="878" w:name="_Toc373478387"/>
      <w:bookmarkStart w:id="879" w:name="_Toc389065306"/>
      <w:bookmarkStart w:id="880" w:name="_Toc9850571"/>
      <w:bookmarkStart w:id="881" w:name="_Toc26756"/>
      <w:bookmarkStart w:id="882" w:name="_Toc407135243"/>
      <w:bookmarkStart w:id="883" w:name="_Toc18482"/>
      <w:bookmarkStart w:id="884" w:name="_Toc14494"/>
      <w:r>
        <w:rPr>
          <w:color w:val="auto"/>
          <w:highlight w:val="none"/>
        </w:rPr>
        <w:t>1</w:t>
      </w:r>
      <w:bookmarkStart w:id="885" w:name="_Toc297216200"/>
      <w:bookmarkStart w:id="886" w:name="_Toc296891234"/>
      <w:bookmarkStart w:id="887" w:name="_Toc292559399"/>
      <w:bookmarkStart w:id="888" w:name="_Toc292559904"/>
      <w:bookmarkStart w:id="889" w:name="_Toc296891022"/>
      <w:bookmarkStart w:id="890" w:name="_Toc303539147"/>
      <w:bookmarkStart w:id="891" w:name="_Toc296503194"/>
      <w:bookmarkStart w:id="892" w:name="_Toc300934990"/>
      <w:bookmarkStart w:id="893" w:name="_Toc312678026"/>
      <w:bookmarkStart w:id="894" w:name="_Toc304295567"/>
      <w:bookmarkStart w:id="895" w:name="_Toc296944533"/>
      <w:bookmarkStart w:id="896" w:name="_Toc297048380"/>
      <w:bookmarkStart w:id="897" w:name="_Toc297120494"/>
      <w:bookmarkStart w:id="898" w:name="_Toc296346695"/>
      <w:bookmarkStart w:id="899" w:name="_Toc297123541"/>
      <w:bookmarkStart w:id="900" w:name="_Toc296347193"/>
      <w:bookmarkStart w:id="901" w:name="_Toc312677500"/>
      <w:r>
        <w:rPr>
          <w:color w:val="auto"/>
          <w:highlight w:val="none"/>
        </w:rPr>
        <w:t xml:space="preserve">0.1 </w:t>
      </w:r>
      <w:r>
        <w:rPr>
          <w:rFonts w:hint="eastAsia" w:hAnsi="宋体" w:cs="黑体"/>
          <w:color w:val="auto"/>
          <w:highlight w:val="none"/>
        </w:rPr>
        <w:t>变更的范围</w:t>
      </w:r>
      <w:bookmarkEnd w:id="876"/>
      <w:bookmarkEnd w:id="877"/>
      <w:bookmarkEnd w:id="878"/>
      <w:bookmarkEnd w:id="879"/>
      <w:bookmarkEnd w:id="880"/>
      <w:bookmarkEnd w:id="881"/>
      <w:bookmarkEnd w:id="882"/>
      <w:bookmarkEnd w:id="883"/>
      <w:bookmarkEnd w:id="884"/>
    </w:p>
    <w:p>
      <w:pPr>
        <w:keepNext w:val="0"/>
        <w:keepLines w:val="0"/>
        <w:pageBreakBefore w:val="0"/>
        <w:widowControl w:val="0"/>
        <w:kinsoku/>
        <w:wordWrap/>
        <w:overflowPunct/>
        <w:topLinePunct w:val="0"/>
        <w:autoSpaceDE w:val="0"/>
        <w:autoSpaceDN w:val="0"/>
        <w:bidi w:val="0"/>
        <w:snapToGrid/>
        <w:spacing w:line="360" w:lineRule="auto"/>
        <w:ind w:left="0" w:leftChars="0" w:right="0" w:firstLine="426"/>
        <w:jc w:val="left"/>
        <w:textAlignment w:val="auto"/>
        <w:rPr>
          <w:color w:val="auto"/>
          <w:highlight w:val="none"/>
        </w:rPr>
      </w:pPr>
      <w:r>
        <w:rPr>
          <w:rFonts w:hint="eastAsia" w:hAnsi="宋体" w:cs="宋体"/>
          <w:color w:val="auto"/>
          <w:highlight w:val="none"/>
        </w:rPr>
        <w:t>关于变更的范围的约定：</w:t>
      </w:r>
      <w:r>
        <w:rPr>
          <w:color w:val="auto"/>
          <w:highlight w:val="none"/>
          <w:u w:val="single"/>
        </w:rPr>
        <w:t xml:space="preserve"> </w:t>
      </w:r>
      <w:r>
        <w:rPr>
          <w:rStyle w:val="31"/>
          <w:rFonts w:hint="eastAsia" w:ascii="宋体" w:hAnsi="宋体" w:eastAsia="宋体" w:cs="Times New Roman"/>
          <w:b/>
          <w:color w:val="auto"/>
          <w:sz w:val="21"/>
          <w:szCs w:val="21"/>
          <w:highlight w:val="none"/>
          <w:u w:val="single"/>
        </w:rPr>
        <w:t>缺项、漏项、设计变更等和政策性调整</w:t>
      </w:r>
      <w:r>
        <w:rPr>
          <w:color w:val="auto"/>
          <w:highlight w:val="none"/>
          <w:u w:val="single"/>
        </w:rPr>
        <w:t xml:space="preserve">  </w:t>
      </w:r>
      <w:r>
        <w:rPr>
          <w:rFonts w:hint="eastAsia" w:hAnsi="宋体" w:cs="宋体"/>
          <w:color w:val="auto"/>
          <w:highlight w:val="none"/>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902" w:name="_Toc6420"/>
      <w:bookmarkStart w:id="903" w:name="_Toc9850572"/>
      <w:bookmarkStart w:id="904" w:name="_Toc932"/>
      <w:bookmarkStart w:id="905" w:name="_Toc32213"/>
      <w:bookmarkStart w:id="906" w:name="_Toc11191"/>
      <w:bookmarkStart w:id="907" w:name="_Toc373478388"/>
      <w:bookmarkStart w:id="908" w:name="_Toc407135244"/>
      <w:bookmarkStart w:id="909" w:name="_Toc373227741"/>
      <w:bookmarkStart w:id="910" w:name="_Toc389065307"/>
      <w:r>
        <w:rPr>
          <w:color w:val="auto"/>
          <w:highlight w:val="none"/>
        </w:rPr>
        <w:t xml:space="preserve">10.3 </w:t>
      </w:r>
      <w:r>
        <w:rPr>
          <w:rFonts w:hint="eastAsia" w:hAnsi="宋体" w:cs="黑体"/>
          <w:color w:val="auto"/>
          <w:highlight w:val="none"/>
        </w:rPr>
        <w:t>变更程序</w:t>
      </w:r>
      <w:bookmarkEnd w:id="902"/>
      <w:bookmarkEnd w:id="903"/>
      <w:bookmarkEnd w:id="904"/>
      <w:bookmarkEnd w:id="905"/>
      <w:bookmarkEnd w:id="906"/>
      <w:bookmarkEnd w:id="907"/>
      <w:bookmarkEnd w:id="908"/>
      <w:bookmarkEnd w:id="909"/>
      <w:bookmarkEnd w:id="910"/>
    </w:p>
    <w:p>
      <w:pPr>
        <w:pStyle w:val="16"/>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10.3.1国有投资项目：</w:t>
      </w:r>
    </w:p>
    <w:p>
      <w:pPr>
        <w:pStyle w:val="16"/>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⑴设计变更和工程签证，按</w:t>
      </w:r>
      <w:r>
        <w:rPr>
          <w:rFonts w:hint="eastAsia" w:ascii="宋体" w:hAnsi="宋体" w:eastAsia="宋体" w:cs="宋体"/>
          <w:bCs/>
          <w:color w:val="auto"/>
          <w:sz w:val="22"/>
          <w:szCs w:val="22"/>
          <w:highlight w:val="none"/>
          <w:lang w:eastAsia="zh-CN"/>
        </w:rPr>
        <w:t>贵港</w:t>
      </w:r>
      <w:r>
        <w:rPr>
          <w:rFonts w:hint="eastAsia" w:ascii="宋体" w:hAnsi="宋体" w:eastAsia="宋体" w:cs="宋体"/>
          <w:bCs/>
          <w:color w:val="auto"/>
          <w:sz w:val="22"/>
          <w:szCs w:val="22"/>
          <w:highlight w:val="none"/>
        </w:rPr>
        <w:t>市政府或相关部门的规定办理。属不可抗力（自然灾害、突发事件等）造成变更的，按特事特办原则予以办理。</w:t>
      </w:r>
    </w:p>
    <w:p>
      <w:pPr>
        <w:pStyle w:val="16"/>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⑵建设单位在实施项目过程中，若发生单价变动，由发包人、承包人、监理或造价咨询等单位共同商定并签字确认，并按规定办理相关手续。</w:t>
      </w:r>
    </w:p>
    <w:p>
      <w:pPr>
        <w:pStyle w:val="16"/>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⑶ 当合同规定的合同价款调整情况发生后，承包人未在规定时间内通知发包人，或者未在规定时间内提出调整报告，发包人可以根据有关资料，决定是否调整和调整的金额，并书面通知承包人。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10.3.2 非国有投资项目：</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911" w:name="_Toc373227742"/>
      <w:bookmarkStart w:id="912" w:name="_Toc389065308"/>
      <w:bookmarkStart w:id="913" w:name="_Toc9561"/>
      <w:bookmarkStart w:id="914" w:name="_Toc2029"/>
      <w:bookmarkStart w:id="915" w:name="_Toc16524"/>
      <w:bookmarkStart w:id="916" w:name="_Toc24284"/>
      <w:bookmarkStart w:id="917" w:name="_Toc373478389"/>
      <w:bookmarkStart w:id="918" w:name="_Toc9850573"/>
      <w:bookmarkStart w:id="919" w:name="_Toc407135245"/>
      <w:r>
        <w:rPr>
          <w:color w:val="auto"/>
          <w:highlight w:val="none"/>
        </w:rPr>
        <w:t xml:space="preserve">10.4 </w:t>
      </w:r>
      <w:r>
        <w:rPr>
          <w:rFonts w:hint="eastAsia" w:hAnsi="宋体" w:cs="黑体"/>
          <w:color w:val="auto"/>
          <w:highlight w:val="none"/>
        </w:rPr>
        <w:t>变更估价</w:t>
      </w:r>
      <w:bookmarkEnd w:id="911"/>
      <w:bookmarkEnd w:id="912"/>
      <w:bookmarkEnd w:id="913"/>
      <w:bookmarkEnd w:id="914"/>
      <w:bookmarkEnd w:id="915"/>
      <w:bookmarkEnd w:id="916"/>
      <w:bookmarkEnd w:id="917"/>
      <w:bookmarkEnd w:id="918"/>
      <w:bookmarkEnd w:id="919"/>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color w:val="auto"/>
          <w:highlight w:val="none"/>
        </w:rPr>
        <w:t xml:space="preserve">10.4.1 </w:t>
      </w:r>
      <w:r>
        <w:rPr>
          <w:rFonts w:hint="eastAsia" w:hAnsi="宋体" w:cs="宋体"/>
          <w:color w:val="auto"/>
          <w:highlight w:val="none"/>
        </w:rPr>
        <w:t>变更估价原则</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olor w:val="auto"/>
          <w:highlight w:val="none"/>
        </w:rPr>
      </w:pPr>
      <w:r>
        <w:rPr>
          <w:rFonts w:hint="eastAsia" w:hAnsi="宋体" w:cs="宋体"/>
          <w:color w:val="auto"/>
          <w:highlight w:val="none"/>
        </w:rPr>
        <w:t>关于变更估价的约定</w:t>
      </w:r>
      <w:r>
        <w:rPr>
          <w:color w:val="auto"/>
          <w:highlight w:val="none"/>
        </w:rPr>
        <w:t xml:space="preserve">: </w:t>
      </w:r>
      <w:bookmarkStart w:id="920" w:name="_Toc251051742"/>
      <w:r>
        <w:rPr>
          <w:rFonts w:hint="eastAsia" w:hAnsi="宋体" w:cs="宋体"/>
          <w:color w:val="auto"/>
          <w:highlight w:val="none"/>
          <w:u w:val="single"/>
        </w:rPr>
        <w:t>工程变更合同价款按下列方法进行：（</w:t>
      </w:r>
      <w:r>
        <w:rPr>
          <w:color w:val="auto"/>
          <w:highlight w:val="none"/>
          <w:u w:val="single"/>
        </w:rPr>
        <w:t>1</w:t>
      </w:r>
      <w:r>
        <w:rPr>
          <w:rFonts w:hint="eastAsia" w:hAnsi="宋体" w:cs="宋体"/>
          <w:color w:val="auto"/>
          <w:highlight w:val="none"/>
          <w:u w:val="single"/>
        </w:rPr>
        <w:t>）合同中已有相同清单项目的，按合同该清单项目价格进行计算；（</w:t>
      </w:r>
      <w:r>
        <w:rPr>
          <w:color w:val="auto"/>
          <w:highlight w:val="none"/>
          <w:u w:val="single"/>
        </w:rPr>
        <w:t>2</w:t>
      </w:r>
      <w:r>
        <w:rPr>
          <w:rFonts w:hint="eastAsia" w:hAnsi="宋体" w:cs="宋体"/>
          <w:color w:val="auto"/>
          <w:highlight w:val="none"/>
          <w:u w:val="single"/>
        </w:rPr>
        <w:t>）合同中只有类似清单项目的，参照该类似清单项目价格进行计算；（</w:t>
      </w:r>
      <w:r>
        <w:rPr>
          <w:color w:val="auto"/>
          <w:highlight w:val="none"/>
          <w:u w:val="single"/>
        </w:rPr>
        <w:t>3</w:t>
      </w:r>
      <w:r>
        <w:rPr>
          <w:rFonts w:hint="eastAsia" w:hAnsi="宋体" w:cs="宋体"/>
          <w:color w:val="auto"/>
          <w:highlight w:val="none"/>
          <w:u w:val="single"/>
        </w:rPr>
        <w:t>）合同中没有适用或类似清单项目的价格计算方法：有定额的套定额，并（</w:t>
      </w:r>
      <w:r>
        <w:rPr>
          <w:rFonts w:hint="eastAsia" w:cs="宋体"/>
          <w:b/>
          <w:bCs/>
          <w:color w:val="auto"/>
          <w:highlight w:val="none"/>
        </w:rPr>
        <w:t>□</w:t>
      </w:r>
      <w:r>
        <w:rPr>
          <w:rFonts w:hint="eastAsia" w:hAnsi="宋体" w:cs="宋体"/>
          <w:color w:val="auto"/>
          <w:highlight w:val="none"/>
          <w:u w:val="single"/>
        </w:rPr>
        <w:t>乘以下浮系数</w:t>
      </w:r>
      <w:r>
        <w:rPr>
          <w:color w:val="auto"/>
          <w:highlight w:val="none"/>
          <w:u w:val="single"/>
        </w:rPr>
        <w:t xml:space="preserve">      %</w:t>
      </w:r>
      <w:r>
        <w:rPr>
          <w:rFonts w:hint="eastAsia" w:cs="宋体"/>
          <w:color w:val="auto"/>
          <w:highlight w:val="none"/>
          <w:u w:val="single"/>
        </w:rPr>
        <w:t>，</w:t>
      </w:r>
      <w:r>
        <w:rPr>
          <w:rFonts w:hint="eastAsia" w:cs="宋体"/>
          <w:b/>
          <w:bCs/>
          <w:color w:val="auto"/>
          <w:highlight w:val="none"/>
        </w:rPr>
        <w:sym w:font="Wingdings 2" w:char="0052"/>
      </w:r>
      <w:r>
        <w:rPr>
          <w:rFonts w:hint="eastAsia" w:hAnsi="宋体" w:cs="宋体"/>
          <w:color w:val="auto"/>
          <w:highlight w:val="none"/>
          <w:u w:val="single"/>
        </w:rPr>
        <w:t>不乘下浮系数）计算，其中：材料设备价格按施工期间的《</w:t>
      </w:r>
      <w:r>
        <w:rPr>
          <w:color w:val="auto"/>
          <w:highlight w:val="none"/>
          <w:u w:val="single"/>
        </w:rPr>
        <w:t xml:space="preserve">    </w:t>
      </w:r>
      <w:r>
        <w:rPr>
          <w:rFonts w:hint="eastAsia" w:hAnsi="宋体" w:cs="宋体"/>
          <w:color w:val="auto"/>
          <w:highlight w:val="none"/>
          <w:u w:val="single"/>
        </w:rPr>
        <w:t>市建设工程造价信息》相应信息价的加权平均值计算，《</w:t>
      </w:r>
      <w:r>
        <w:rPr>
          <w:color w:val="auto"/>
          <w:highlight w:val="none"/>
          <w:u w:val="single"/>
        </w:rPr>
        <w:t xml:space="preserve">    </w:t>
      </w:r>
      <w:r>
        <w:rPr>
          <w:rFonts w:hint="eastAsia" w:hAnsi="宋体" w:cs="宋体"/>
          <w:color w:val="auto"/>
          <w:highlight w:val="none"/>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920"/>
      <w:r>
        <w:rPr>
          <w:rFonts w:hint="eastAsia" w:hAnsi="宋体" w:cs="宋体"/>
          <w:color w:val="auto"/>
          <w:highlight w:val="none"/>
        </w:rPr>
        <w:t>。以上约定同时适用于招标工程量清单缺项以及工程量清单项目特征与图纸不符时的价款确定。</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cs="宋体"/>
          <w:color w:val="auto"/>
          <w:highlight w:val="none"/>
          <w:u w:val="single"/>
        </w:rPr>
      </w:pPr>
      <w:r>
        <w:rPr>
          <w:rFonts w:hint="eastAsia" w:cs="宋体"/>
          <w:color w:val="auto"/>
          <w:highlight w:val="none"/>
          <w:u w:val="single"/>
        </w:rPr>
        <w:t>工程变更导致实际完成的变更工程量与已标价清单或预算书中列明的该项目工程量有偏差时，其综合单价的确定按专用条款“</w:t>
      </w:r>
      <w:r>
        <w:rPr>
          <w:color w:val="auto"/>
          <w:highlight w:val="none"/>
          <w:u w:val="single"/>
        </w:rPr>
        <w:t>1.13</w:t>
      </w:r>
      <w:r>
        <w:rPr>
          <w:rFonts w:hint="eastAsia" w:cs="宋体"/>
          <w:color w:val="auto"/>
          <w:highlight w:val="none"/>
          <w:u w:val="single"/>
        </w:rPr>
        <w:t>工程量清单错误的修正”执行。</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921" w:name="_Toc7911"/>
      <w:bookmarkStart w:id="922" w:name="_Toc373478390"/>
      <w:bookmarkStart w:id="923" w:name="_Toc373227743"/>
      <w:bookmarkStart w:id="924" w:name="_Toc407135246"/>
      <w:bookmarkStart w:id="925" w:name="_Toc389065309"/>
      <w:bookmarkStart w:id="926" w:name="_Toc12909"/>
      <w:bookmarkStart w:id="927" w:name="_Toc29688"/>
      <w:bookmarkStart w:id="928" w:name="_Toc9850574"/>
      <w:bookmarkStart w:id="929" w:name="_Toc29552"/>
      <w:r>
        <w:rPr>
          <w:color w:val="auto"/>
          <w:highlight w:val="none"/>
        </w:rPr>
        <w:t>1</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Start w:id="930" w:name="_Toc296347196"/>
      <w:bookmarkStart w:id="931" w:name="_Toc296891025"/>
      <w:bookmarkStart w:id="932" w:name="_Toc296346698"/>
      <w:bookmarkStart w:id="933" w:name="_Toc296503197"/>
      <w:bookmarkStart w:id="934" w:name="_Toc297123544"/>
      <w:bookmarkStart w:id="935" w:name="_Toc300934993"/>
      <w:bookmarkStart w:id="936" w:name="_Toc292559907"/>
      <w:bookmarkStart w:id="937" w:name="_Toc292559402"/>
      <w:bookmarkStart w:id="938" w:name="_Toc303539150"/>
      <w:bookmarkStart w:id="939" w:name="_Toc297048383"/>
      <w:bookmarkStart w:id="940" w:name="_Toc296944536"/>
      <w:bookmarkStart w:id="941" w:name="_Toc297120497"/>
      <w:bookmarkStart w:id="942" w:name="_Toc297216203"/>
      <w:bookmarkStart w:id="943" w:name="_Toc296891237"/>
      <w:bookmarkStart w:id="944" w:name="_Toc312678029"/>
      <w:bookmarkStart w:id="945" w:name="_Toc304295570"/>
      <w:bookmarkStart w:id="946" w:name="_Toc312677503"/>
      <w:r>
        <w:rPr>
          <w:color w:val="auto"/>
          <w:highlight w:val="none"/>
        </w:rPr>
        <w:t xml:space="preserve">0.5 </w:t>
      </w:r>
      <w:r>
        <w:rPr>
          <w:rFonts w:hint="eastAsia" w:cs="黑体"/>
          <w:color w:val="auto"/>
          <w:highlight w:val="none"/>
        </w:rPr>
        <w:t>承</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Start w:id="947" w:name="_Toc296944542"/>
      <w:bookmarkStart w:id="948" w:name="_Toc296346704"/>
      <w:bookmarkStart w:id="949" w:name="_Toc297048389"/>
      <w:bookmarkStart w:id="950" w:name="_Toc296891031"/>
      <w:bookmarkStart w:id="951" w:name="_Toc297123545"/>
      <w:bookmarkStart w:id="952" w:name="_Toc292559913"/>
      <w:bookmarkStart w:id="953" w:name="_Toc296347202"/>
      <w:bookmarkStart w:id="954" w:name="_Toc297216204"/>
      <w:bookmarkStart w:id="955" w:name="_Toc297120503"/>
      <w:bookmarkStart w:id="956" w:name="_Toc300934994"/>
      <w:bookmarkStart w:id="957" w:name="_Toc296891243"/>
      <w:bookmarkStart w:id="958" w:name="_Toc303539151"/>
      <w:bookmarkStart w:id="959" w:name="_Toc292559408"/>
      <w:bookmarkStart w:id="960" w:name="_Toc296503203"/>
      <w:r>
        <w:rPr>
          <w:rFonts w:hint="eastAsia" w:cs="黑体"/>
          <w:color w:val="auto"/>
          <w:highlight w:val="none"/>
        </w:rPr>
        <w:t>包人的合理化建议</w:t>
      </w:r>
      <w:bookmarkEnd w:id="921"/>
      <w:bookmarkEnd w:id="922"/>
      <w:bookmarkEnd w:id="923"/>
      <w:bookmarkEnd w:id="924"/>
      <w:bookmarkEnd w:id="925"/>
      <w:bookmarkEnd w:id="926"/>
      <w:bookmarkEnd w:id="927"/>
      <w:bookmarkEnd w:id="928"/>
      <w:bookmarkEnd w:id="929"/>
    </w:p>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监理人审查承包人合理化建议的期限：</w:t>
      </w:r>
      <w:r>
        <w:rPr>
          <w:color w:val="auto"/>
          <w:highlight w:val="none"/>
          <w:u w:val="single"/>
        </w:rPr>
        <w:t xml:space="preserve"> </w:t>
      </w:r>
      <w:r>
        <w:rPr>
          <w:rStyle w:val="31"/>
          <w:rFonts w:hint="eastAsia" w:ascii="宋体" w:hAnsi="宋体" w:eastAsia="宋体" w:cs="Times New Roman"/>
          <w:color w:val="auto"/>
          <w:highlight w:val="none"/>
          <w:u w:val="single"/>
        </w:rPr>
        <w:t>3天内审查完毕并报发包人</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发包人审批承包人合理化建议的期限：</w:t>
      </w:r>
      <w:r>
        <w:rPr>
          <w:color w:val="auto"/>
          <w:highlight w:val="none"/>
          <w:u w:val="single"/>
        </w:rPr>
        <w:t xml:space="preserve"> </w:t>
      </w:r>
      <w:r>
        <w:rPr>
          <w:rStyle w:val="31"/>
          <w:rFonts w:hint="eastAsia" w:ascii="宋体" w:hAnsi="宋体" w:eastAsia="宋体" w:cs="Times New Roman"/>
          <w:color w:val="auto"/>
          <w:highlight w:val="none"/>
          <w:u w:val="single"/>
        </w:rPr>
        <w:t>收到监理人报送的合理化建议后3天内审批完毕</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cs="宋体"/>
          <w:color w:val="auto"/>
          <w:highlight w:val="none"/>
          <w:lang w:val="en-US" w:eastAsia="zh-CN"/>
        </w:rPr>
      </w:pPr>
      <w:r>
        <w:rPr>
          <w:rFonts w:hint="eastAsia" w:hAnsi="宋体" w:cs="宋体"/>
          <w:color w:val="auto"/>
          <w:highlight w:val="none"/>
        </w:rPr>
        <w:t>承</w:t>
      </w:r>
      <w:bookmarkStart w:id="961" w:name="_Toc296347203"/>
      <w:bookmarkStart w:id="962" w:name="_Toc297216205"/>
      <w:bookmarkStart w:id="963" w:name="_Toc297048390"/>
      <w:bookmarkStart w:id="964" w:name="_Toc297123546"/>
      <w:bookmarkStart w:id="965" w:name="_Toc312678030"/>
      <w:bookmarkStart w:id="966" w:name="_Toc296891244"/>
      <w:bookmarkStart w:id="967" w:name="_Toc296346705"/>
      <w:bookmarkStart w:id="968" w:name="_Toc304295571"/>
      <w:bookmarkStart w:id="969" w:name="_Toc296503204"/>
      <w:bookmarkStart w:id="970" w:name="_Toc292559914"/>
      <w:bookmarkStart w:id="971" w:name="_Toc292559409"/>
      <w:bookmarkStart w:id="972" w:name="_Toc303539152"/>
      <w:bookmarkStart w:id="973" w:name="_Toc318581175"/>
      <w:bookmarkStart w:id="974" w:name="_Toc312677504"/>
      <w:bookmarkStart w:id="975" w:name="_Toc300934995"/>
      <w:bookmarkStart w:id="976" w:name="_Toc296944543"/>
      <w:bookmarkStart w:id="977" w:name="_Toc296891032"/>
      <w:bookmarkStart w:id="978" w:name="_Toc297120504"/>
      <w:r>
        <w:rPr>
          <w:rFonts w:hint="eastAsia" w:hAnsi="宋体" w:cs="宋体"/>
          <w:color w:val="auto"/>
          <w:highlight w:val="none"/>
        </w:rPr>
        <w:t>包人提出的合理化建议降低了合同价格或者提高了工程经济效益的奖励的方法和金额为：</w:t>
      </w:r>
      <w:r>
        <w:rPr>
          <w:rFonts w:hint="eastAsia" w:cs="宋体"/>
          <w:color w:val="auto"/>
          <w:highlight w:val="none"/>
          <w:lang w:val="en-US" w:eastAsia="zh-CN"/>
        </w:rPr>
        <w:t xml:space="preserve">   </w:t>
      </w:r>
    </w:p>
    <w:p>
      <w:pPr>
        <w:keepNext w:val="0"/>
        <w:keepLines w:val="0"/>
        <w:pageBreakBefore w:val="0"/>
        <w:widowControl w:val="0"/>
        <w:kinsoku/>
        <w:wordWrap/>
        <w:overflowPunct/>
        <w:topLinePunct w:val="0"/>
        <w:autoSpaceDE w:val="0"/>
        <w:autoSpaceDN w:val="0"/>
        <w:bidi w:val="0"/>
        <w:snapToGrid/>
        <w:spacing w:line="360" w:lineRule="auto"/>
        <w:ind w:right="0"/>
        <w:jc w:val="left"/>
        <w:textAlignment w:val="auto"/>
        <w:rPr>
          <w:color w:val="auto"/>
          <w:highlight w:val="none"/>
          <w:u w:val="single"/>
        </w:rPr>
      </w:pPr>
      <w:r>
        <w:rPr>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lang w:eastAsia="zh-CN"/>
        </w:rPr>
        <w:t>无</w:t>
      </w:r>
      <w:r>
        <w:rPr>
          <w:color w:val="auto"/>
          <w:highlight w:val="none"/>
          <w:u w:val="single"/>
        </w:rPr>
        <w:t xml:space="preserve">   </w:t>
      </w:r>
      <w:r>
        <w:rPr>
          <w:rFonts w:hint="eastAsia" w:hAnsi="宋体" w:cs="宋体"/>
          <w:color w:val="auto"/>
          <w:highlight w:val="none"/>
        </w:rPr>
        <w:t>。</w:t>
      </w:r>
    </w:p>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979" w:name="_Toc750"/>
      <w:bookmarkStart w:id="980" w:name="_Toc6020"/>
      <w:bookmarkStart w:id="981" w:name="_Toc373227744"/>
      <w:bookmarkStart w:id="982" w:name="_Toc407135247"/>
      <w:bookmarkStart w:id="983" w:name="_Toc8561"/>
      <w:bookmarkStart w:id="984" w:name="_Toc389065310"/>
      <w:bookmarkStart w:id="985" w:name="_Toc8510"/>
      <w:bookmarkStart w:id="986" w:name="_Toc9850575"/>
      <w:bookmarkStart w:id="987" w:name="_Toc373478391"/>
      <w:r>
        <w:rPr>
          <w:color w:val="auto"/>
          <w:highlight w:val="none"/>
        </w:rPr>
        <w:t>1</w:t>
      </w:r>
      <w:bookmarkStart w:id="988" w:name="_Toc296891027"/>
      <w:bookmarkStart w:id="989" w:name="_Toc312677507"/>
      <w:bookmarkStart w:id="990" w:name="_Toc297048385"/>
      <w:bookmarkStart w:id="991" w:name="_Toc297216207"/>
      <w:bookmarkStart w:id="992" w:name="_Toc297123548"/>
      <w:bookmarkStart w:id="993" w:name="_Toc292559404"/>
      <w:bookmarkStart w:id="994" w:name="_Toc296346700"/>
      <w:bookmarkStart w:id="995" w:name="_Toc292559909"/>
      <w:bookmarkStart w:id="996" w:name="_Toc303539154"/>
      <w:bookmarkStart w:id="997" w:name="_Toc296891239"/>
      <w:bookmarkStart w:id="998" w:name="_Toc304295574"/>
      <w:bookmarkStart w:id="999" w:name="_Toc296944538"/>
      <w:bookmarkStart w:id="1000" w:name="_Toc296503199"/>
      <w:bookmarkStart w:id="1001" w:name="_Toc296347198"/>
      <w:bookmarkStart w:id="1002" w:name="_Toc297120499"/>
      <w:bookmarkStart w:id="1003" w:name="_Toc300934997"/>
      <w:bookmarkStart w:id="1004" w:name="_Toc312678033"/>
      <w:r>
        <w:rPr>
          <w:color w:val="auto"/>
          <w:highlight w:val="none"/>
        </w:rPr>
        <w:t xml:space="preserve">0.7 </w:t>
      </w:r>
      <w:r>
        <w:rPr>
          <w:rFonts w:hint="eastAsia" w:hAnsi="宋体" w:cs="黑体"/>
          <w:color w:val="auto"/>
          <w:highlight w:val="none"/>
        </w:rPr>
        <w:t>暂估价</w:t>
      </w:r>
      <w:bookmarkEnd w:id="979"/>
      <w:bookmarkEnd w:id="980"/>
      <w:bookmarkEnd w:id="981"/>
      <w:bookmarkEnd w:id="982"/>
      <w:bookmarkEnd w:id="983"/>
      <w:bookmarkEnd w:id="984"/>
      <w:bookmarkEnd w:id="985"/>
      <w:bookmarkEnd w:id="986"/>
      <w:bookmarkEnd w:id="987"/>
    </w:p>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kern w:val="0"/>
          <w:highlight w:val="none"/>
        </w:rPr>
        <w:t>暂</w:t>
      </w:r>
      <w:bookmarkStart w:id="1005" w:name="_Toc312677508"/>
      <w:bookmarkStart w:id="1006" w:name="_Toc312678034"/>
      <w:bookmarkStart w:id="1007" w:name="_Toc318581176"/>
      <w:r>
        <w:rPr>
          <w:rFonts w:hint="eastAsia" w:hAnsi="宋体" w:cs="宋体"/>
          <w:color w:val="auto"/>
          <w:kern w:val="0"/>
          <w:highlight w:val="none"/>
        </w:rPr>
        <w:t>估价材料和工程设备的明细详见已标价工程量清单《</w:t>
      </w:r>
      <w:r>
        <w:rPr>
          <w:rFonts w:hint="eastAsia" w:cs="宋体"/>
          <w:color w:val="auto"/>
          <w:highlight w:val="none"/>
        </w:rPr>
        <w:t>材料（工程设备）暂估价格及调整表》</w:t>
      </w:r>
      <w:r>
        <w:rPr>
          <w:rFonts w:hint="eastAsia" w:hAnsi="宋体" w:cs="宋体"/>
          <w:color w:val="auto"/>
          <w:kern w:val="0"/>
          <w:highlight w:val="none"/>
        </w:rPr>
        <w:t>（表</w:t>
      </w:r>
      <w:r>
        <w:rPr>
          <w:rFonts w:hAnsi="宋体"/>
          <w:color w:val="auto"/>
          <w:kern w:val="0"/>
          <w:highlight w:val="none"/>
        </w:rPr>
        <w:t>12-2</w:t>
      </w:r>
      <w:r>
        <w:rPr>
          <w:rFonts w:hint="eastAsia" w:hAnsi="宋体" w:cs="宋体"/>
          <w:color w:val="auto"/>
          <w:kern w:val="0"/>
          <w:highlight w:val="none"/>
        </w:rPr>
        <w:t>）和《</w:t>
      </w:r>
      <w:r>
        <w:rPr>
          <w:rFonts w:hint="eastAsia" w:cs="宋体"/>
          <w:color w:val="auto"/>
          <w:highlight w:val="none"/>
        </w:rPr>
        <w:t>专业工程暂估价表》（</w:t>
      </w:r>
      <w:r>
        <w:rPr>
          <w:rFonts w:hint="eastAsia" w:hAnsi="宋体" w:cs="宋体"/>
          <w:color w:val="auto"/>
          <w:kern w:val="0"/>
          <w:highlight w:val="none"/>
        </w:rPr>
        <w:t>表</w:t>
      </w:r>
      <w:r>
        <w:rPr>
          <w:rFonts w:hAnsi="宋体"/>
          <w:color w:val="auto"/>
          <w:kern w:val="0"/>
          <w:highlight w:val="none"/>
        </w:rPr>
        <w:t>12-3</w:t>
      </w:r>
      <w:r>
        <w:rPr>
          <w:rFonts w:hint="eastAsia" w:hAnsi="宋体" w:cs="宋体"/>
          <w:color w:val="auto"/>
          <w:kern w:val="0"/>
          <w:highlight w:val="none"/>
        </w:rPr>
        <w:t>）。</w:t>
      </w:r>
    </w:p>
    <w:bookmarkEnd w:id="1005"/>
    <w:bookmarkEnd w:id="1006"/>
    <w:bookmarkEnd w:id="1007"/>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color w:val="auto"/>
          <w:highlight w:val="none"/>
        </w:rPr>
        <w:t>1</w:t>
      </w:r>
      <w:bookmarkStart w:id="1008" w:name="_Toc318581177"/>
      <w:bookmarkStart w:id="1009" w:name="_Toc312678035"/>
      <w:bookmarkStart w:id="1010" w:name="_Toc312677509"/>
      <w:r>
        <w:rPr>
          <w:color w:val="auto"/>
          <w:highlight w:val="none"/>
        </w:rPr>
        <w:t xml:space="preserve">0.7.1 </w:t>
      </w:r>
      <w:r>
        <w:rPr>
          <w:rFonts w:hint="eastAsia" w:hAnsi="宋体" w:cs="宋体"/>
          <w:color w:val="auto"/>
          <w:highlight w:val="none"/>
        </w:rPr>
        <w:t>依法必须招标的暂估价项目</w:t>
      </w:r>
    </w:p>
    <w:bookmarkEnd w:id="1008"/>
    <w:bookmarkEnd w:id="1009"/>
    <w:bookmarkEnd w:id="1010"/>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对于依法必须招标的暂估价项目的确认和批准采取第</w:t>
      </w:r>
      <w:r>
        <w:rPr>
          <w:color w:val="auto"/>
          <w:highlight w:val="none"/>
          <w:u w:val="single"/>
        </w:rPr>
        <w:t xml:space="preserve">    </w:t>
      </w:r>
      <w:r>
        <w:rPr>
          <w:rFonts w:hint="eastAsia" w:hAnsi="宋体" w:cs="宋体"/>
          <w:color w:val="auto"/>
          <w:highlight w:val="none"/>
        </w:rPr>
        <w:t>种方式确定。</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color w:val="auto"/>
          <w:highlight w:val="none"/>
        </w:rPr>
        <w:t xml:space="preserve">10.7.2 </w:t>
      </w:r>
      <w:r>
        <w:rPr>
          <w:rFonts w:hint="eastAsia" w:hAnsi="宋体" w:cs="宋体"/>
          <w:color w:val="auto"/>
          <w:highlight w:val="none"/>
        </w:rPr>
        <w:t>不属于依法必须招标的暂估价项目</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对于不属于依法必须招标的暂估价项目的确认和批准采取第</w:t>
      </w:r>
      <w:r>
        <w:rPr>
          <w:color w:val="auto"/>
          <w:highlight w:val="none"/>
          <w:u w:val="single"/>
        </w:rPr>
        <w:t xml:space="preserve">   </w:t>
      </w:r>
      <w:r>
        <w:rPr>
          <w:color w:val="auto"/>
          <w:highlight w:val="none"/>
        </w:rPr>
        <w:t xml:space="preserve"> </w:t>
      </w:r>
      <w:r>
        <w:rPr>
          <w:rFonts w:hint="eastAsia" w:hAnsi="宋体" w:cs="宋体"/>
          <w:color w:val="auto"/>
          <w:highlight w:val="none"/>
        </w:rPr>
        <w:t>种方式确定。</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kern w:val="0"/>
          <w:highlight w:val="none"/>
        </w:rPr>
      </w:pPr>
      <w:r>
        <w:rPr>
          <w:rFonts w:hint="eastAsia" w:hAnsi="宋体" w:cs="宋体"/>
          <w:color w:val="auto"/>
          <w:highlight w:val="none"/>
        </w:rPr>
        <w:t>第</w:t>
      </w:r>
      <w:r>
        <w:rPr>
          <w:color w:val="auto"/>
          <w:highlight w:val="none"/>
        </w:rPr>
        <w:t>3</w:t>
      </w:r>
      <w:r>
        <w:rPr>
          <w:rFonts w:hint="eastAsia" w:hAnsi="宋体" w:cs="宋体"/>
          <w:color w:val="auto"/>
          <w:highlight w:val="none"/>
        </w:rPr>
        <w:t>种方式：</w:t>
      </w:r>
      <w:r>
        <w:rPr>
          <w:rFonts w:hint="eastAsia" w:hAnsi="宋体" w:cs="宋体"/>
          <w:color w:val="auto"/>
          <w:kern w:val="0"/>
          <w:highlight w:val="none"/>
        </w:rPr>
        <w:t>承包人直接实施的暂估价项目</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承包人直接实施的暂估价项目的约定：</w:t>
      </w:r>
      <w:r>
        <w:rPr>
          <w:color w:val="auto"/>
          <w:highlight w:val="none"/>
          <w:u w:val="single"/>
        </w:rPr>
        <w:t xml:space="preserve">                     </w:t>
      </w:r>
      <w:r>
        <w:rPr>
          <w:rFonts w:hint="eastAsia" w:hAnsi="宋体" w:cs="宋体"/>
          <w:color w:val="auto"/>
          <w:highlight w:val="none"/>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1011" w:name="_Toc373227745"/>
      <w:bookmarkStart w:id="1012" w:name="_Toc388"/>
      <w:bookmarkStart w:id="1013" w:name="_Toc14654"/>
      <w:bookmarkStart w:id="1014" w:name="_Toc373478392"/>
      <w:bookmarkStart w:id="1015" w:name="_Toc389065311"/>
      <w:bookmarkStart w:id="1016" w:name="_Toc27118"/>
      <w:bookmarkStart w:id="1017" w:name="_Toc9850576"/>
      <w:bookmarkStart w:id="1018" w:name="_Toc23569"/>
      <w:bookmarkStart w:id="1019" w:name="_Toc407135248"/>
      <w:r>
        <w:rPr>
          <w:color w:val="auto"/>
          <w:highlight w:val="none"/>
        </w:rPr>
        <w:t xml:space="preserve">10.8 </w:t>
      </w:r>
      <w:r>
        <w:rPr>
          <w:rFonts w:hint="eastAsia" w:hAnsi="宋体" w:cs="黑体"/>
          <w:color w:val="auto"/>
          <w:highlight w:val="none"/>
        </w:rPr>
        <w:t>暂列金额</w:t>
      </w:r>
      <w:bookmarkEnd w:id="1011"/>
      <w:bookmarkEnd w:id="1012"/>
      <w:bookmarkEnd w:id="1013"/>
      <w:bookmarkEnd w:id="1014"/>
      <w:bookmarkEnd w:id="1015"/>
      <w:bookmarkEnd w:id="1016"/>
      <w:bookmarkEnd w:id="1017"/>
      <w:bookmarkEnd w:id="1018"/>
      <w:bookmarkEnd w:id="1019"/>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color w:val="auto"/>
          <w:highlight w:val="none"/>
          <w:u w:val="single"/>
        </w:rPr>
      </w:pPr>
      <w:r>
        <w:rPr>
          <w:rFonts w:hint="eastAsia" w:hAnsi="宋体" w:cs="宋体"/>
          <w:color w:val="auto"/>
          <w:kern w:val="0"/>
          <w:highlight w:val="none"/>
        </w:rPr>
        <w:t>合同当事人关于暂列金额使用的约定：</w:t>
      </w:r>
      <w:r>
        <w:rPr>
          <w:color w:val="auto"/>
          <w:highlight w:val="none"/>
          <w:u w:val="single"/>
        </w:rPr>
        <w:t xml:space="preserve"> </w:t>
      </w:r>
      <w:r>
        <w:rPr>
          <w:rStyle w:val="31"/>
          <w:rFonts w:hint="eastAsia" w:ascii="宋体" w:hAnsi="宋体" w:eastAsia="宋体" w:cs="Times New Roman"/>
          <w:color w:val="auto"/>
          <w:kern w:val="0"/>
          <w:highlight w:val="none"/>
          <w:u w:val="single"/>
        </w:rPr>
        <w:t>（1）已签约合同价中的暂列金额由发包人掌握使用。 （2）发包人按照规定所作支付后，暂列金额如有余额归发包人</w:t>
      </w:r>
      <w:r>
        <w:rPr>
          <w:color w:val="auto"/>
          <w:highlight w:val="none"/>
          <w:u w:val="single"/>
        </w:rPr>
        <w:t xml:space="preserve">   </w:t>
      </w:r>
      <w:r>
        <w:rPr>
          <w:rFonts w:hint="eastAsia" w:hAnsi="宋体" w:cs="宋体"/>
          <w:color w:val="auto"/>
          <w:kern w:val="0"/>
          <w:highlight w:val="none"/>
        </w:rPr>
        <w:t>。</w:t>
      </w:r>
    </w:p>
    <w:p>
      <w:pPr>
        <w:pStyle w:val="5"/>
        <w:keepNext w:val="0"/>
        <w:keepLines w:val="0"/>
        <w:pageBreakBefore w:val="0"/>
        <w:widowControl w:val="0"/>
        <w:numPr>
          <w:ilvl w:val="0"/>
          <w:numId w:val="31"/>
        </w:numPr>
        <w:kinsoku/>
        <w:wordWrap/>
        <w:overflowPunct/>
        <w:topLinePunct w:val="0"/>
        <w:autoSpaceDE w:val="0"/>
        <w:autoSpaceDN w:val="0"/>
        <w:bidi w:val="0"/>
        <w:snapToGrid/>
        <w:spacing w:before="0" w:line="360" w:lineRule="auto"/>
        <w:ind w:left="0" w:leftChars="0" w:right="0"/>
        <w:textAlignment w:val="auto"/>
        <w:rPr>
          <w:color w:val="auto"/>
          <w:highlight w:val="none"/>
        </w:rPr>
      </w:pPr>
      <w:bookmarkStart w:id="1020" w:name="_Toc407135249"/>
      <w:bookmarkStart w:id="1021" w:name="_Toc17023"/>
      <w:bookmarkStart w:id="1022" w:name="_Toc373227746"/>
      <w:bookmarkStart w:id="1023" w:name="_Toc373478393"/>
      <w:bookmarkStart w:id="1024" w:name="_Toc25228"/>
      <w:bookmarkStart w:id="1025" w:name="_Toc9850577"/>
      <w:bookmarkStart w:id="1026" w:name="_Toc389065312"/>
      <w:bookmarkStart w:id="1027" w:name="_Toc26866"/>
      <w:bookmarkStart w:id="1028" w:name="_Toc30201"/>
      <w:bookmarkStart w:id="1029" w:name="_Toc351203643"/>
      <w:r>
        <w:rPr>
          <w:rFonts w:hint="eastAsia" w:hAnsi="宋体" w:cs="黑体"/>
          <w:color w:val="auto"/>
          <w:highlight w:val="none"/>
        </w:rPr>
        <w:t>价格调整</w:t>
      </w:r>
      <w:bookmarkEnd w:id="1020"/>
      <w:bookmarkEnd w:id="1021"/>
      <w:bookmarkEnd w:id="1022"/>
      <w:bookmarkEnd w:id="1023"/>
      <w:bookmarkEnd w:id="1024"/>
      <w:bookmarkEnd w:id="1025"/>
      <w:bookmarkEnd w:id="1026"/>
      <w:bookmarkEnd w:id="1027"/>
      <w:bookmarkEnd w:id="1028"/>
      <w:bookmarkEnd w:id="1029"/>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1030" w:name="_Toc373478394"/>
      <w:bookmarkStart w:id="1031" w:name="_Toc17365"/>
      <w:bookmarkStart w:id="1032" w:name="_Toc19338"/>
      <w:bookmarkStart w:id="1033" w:name="_Toc9850578"/>
      <w:bookmarkStart w:id="1034" w:name="_Toc30492"/>
      <w:bookmarkStart w:id="1035" w:name="_Toc373227747"/>
      <w:bookmarkStart w:id="1036" w:name="_Toc18460"/>
      <w:bookmarkStart w:id="1037" w:name="_Toc407135250"/>
      <w:bookmarkStart w:id="1038" w:name="_Toc389065313"/>
      <w:bookmarkStart w:id="1039" w:name="_Toc303539157"/>
      <w:bookmarkStart w:id="1040" w:name="_Toc300935000"/>
      <w:bookmarkStart w:id="1041" w:name="_Toc297048387"/>
      <w:bookmarkStart w:id="1042" w:name="_Toc312678039"/>
      <w:bookmarkStart w:id="1043" w:name="_Toc292559406"/>
      <w:bookmarkStart w:id="1044" w:name="_Toc296346702"/>
      <w:bookmarkStart w:id="1045" w:name="_Toc297216209"/>
      <w:bookmarkStart w:id="1046" w:name="_Toc296891029"/>
      <w:bookmarkStart w:id="1047" w:name="_Toc296891241"/>
      <w:bookmarkStart w:id="1048" w:name="_Toc304295577"/>
      <w:bookmarkStart w:id="1049" w:name="_Toc296503201"/>
      <w:bookmarkStart w:id="1050" w:name="_Toc297123550"/>
      <w:bookmarkStart w:id="1051" w:name="_Toc297120501"/>
      <w:bookmarkStart w:id="1052" w:name="_Toc292559911"/>
      <w:bookmarkStart w:id="1053" w:name="_Toc296944540"/>
      <w:bookmarkStart w:id="1054" w:name="_Toc296347200"/>
      <w:r>
        <w:rPr>
          <w:color w:val="auto"/>
          <w:highlight w:val="none"/>
        </w:rPr>
        <w:t xml:space="preserve">11.1 </w:t>
      </w:r>
      <w:r>
        <w:rPr>
          <w:rFonts w:hint="eastAsia" w:cs="黑体"/>
          <w:color w:val="auto"/>
          <w:highlight w:val="none"/>
        </w:rPr>
        <w:t>市场价格波动引起的调整</w:t>
      </w:r>
      <w:bookmarkEnd w:id="1030"/>
      <w:bookmarkEnd w:id="1031"/>
      <w:bookmarkEnd w:id="1032"/>
      <w:bookmarkEnd w:id="1033"/>
      <w:bookmarkEnd w:id="1034"/>
      <w:bookmarkEnd w:id="1035"/>
      <w:bookmarkEnd w:id="1036"/>
      <w:bookmarkEnd w:id="1037"/>
      <w:bookmarkEnd w:id="1038"/>
    </w:p>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kern w:val="0"/>
          <w:highlight w:val="none"/>
        </w:rPr>
        <w:t>市场价格波动是否调整合同价格的约定：</w:t>
      </w:r>
      <w:r>
        <w:rPr>
          <w:color w:val="auto"/>
          <w:highlight w:val="none"/>
          <w:u w:val="single"/>
        </w:rPr>
        <w:t xml:space="preserve"> </w:t>
      </w:r>
      <w:r>
        <w:rPr>
          <w:rStyle w:val="31"/>
          <w:rFonts w:hint="eastAsia" w:ascii="Calibri" w:hAnsi="Calibri" w:eastAsia="宋体" w:cs="Times New Roman"/>
          <w:color w:val="auto"/>
          <w:highlight w:val="none"/>
          <w:u w:val="single"/>
        </w:rPr>
        <w:t>非施工单位原因造成的主要材料价差在5%以内（含 5%）的，由施工单位承担；超过 5%部分的价差，由建设单位承担</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因市场价格波动调整合同价格，采用以下第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s="宋体"/>
          <w:color w:val="auto"/>
          <w:highlight w:val="none"/>
        </w:rPr>
        <w:t>种方式对合同价格进行调整：</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第</w:t>
      </w:r>
      <w:r>
        <w:rPr>
          <w:color w:val="auto"/>
          <w:highlight w:val="none"/>
        </w:rPr>
        <w:t>1</w:t>
      </w:r>
      <w:r>
        <w:rPr>
          <w:rFonts w:hint="eastAsia" w:hAnsi="宋体" w:cs="宋体"/>
          <w:color w:val="auto"/>
          <w:highlight w:val="none"/>
        </w:rPr>
        <w:t>种方式：采用价格指数进行价格调整。</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u w:val="single"/>
        </w:rPr>
      </w:pPr>
      <w:r>
        <w:rPr>
          <w:rFonts w:hint="eastAsia" w:hAnsi="宋体" w:cs="宋体"/>
          <w:color w:val="auto"/>
          <w:highlight w:val="none"/>
        </w:rPr>
        <w:t>关于各可调因子、定值和变值权重，以及基本价格指数及其来源的约定：</w:t>
      </w:r>
      <w:r>
        <w:rPr>
          <w:color w:val="auto"/>
          <w:highlight w:val="none"/>
          <w:u w:val="single"/>
        </w:rPr>
        <w:t xml:space="preserve"> </w:t>
      </w:r>
      <w:r>
        <w:rPr>
          <w:rFonts w:hint="eastAsia"/>
          <w:color w:val="auto"/>
          <w:highlight w:val="none"/>
          <w:u w:val="single"/>
          <w:lang w:eastAsia="zh-CN"/>
        </w:rPr>
        <w:t>无</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olor w:val="auto"/>
          <w:highlight w:val="none"/>
        </w:rPr>
      </w:pPr>
      <w:r>
        <w:rPr>
          <w:rFonts w:hint="eastAsia" w:hAnsi="宋体" w:cs="宋体"/>
          <w:color w:val="auto"/>
          <w:highlight w:val="none"/>
        </w:rPr>
        <w:t>第</w:t>
      </w:r>
      <w:r>
        <w:rPr>
          <w:color w:val="auto"/>
          <w:highlight w:val="none"/>
        </w:rPr>
        <w:t>2</w:t>
      </w:r>
      <w:r>
        <w:rPr>
          <w:rFonts w:hint="eastAsia" w:hAnsi="宋体" w:cs="宋体"/>
          <w:color w:val="auto"/>
          <w:highlight w:val="none"/>
        </w:rPr>
        <w:t>种方式：采用造价信息进行价格调整。</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）允许调整的主要材料和设备、基期价格、风险系数、投标报价详见《允许调整主要材料和工程设备一览表》（表-22）,价</w:t>
      </w:r>
      <w:r>
        <w:rPr>
          <w:rFonts w:hAnsi="宋体" w:cs="宋体"/>
          <w:color w:val="auto"/>
          <w:highlight w:val="none"/>
        </w:rPr>
        <w:t>差</w:t>
      </w:r>
      <w:r>
        <w:rPr>
          <w:rFonts w:hint="eastAsia" w:ascii="Calibri" w:hAnsi="宋体" w:cs="宋体"/>
          <w:color w:val="auto"/>
          <w:highlight w:val="none"/>
        </w:rPr>
        <w:t>调整部分仅计算税金，除此表列明的材料、设备外，其余材料设备价差原则上不予调整。</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）主要材料和设备确认价：</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按施工期间《</w:t>
      </w:r>
      <w:r>
        <w:rPr>
          <w:color w:val="auto"/>
          <w:highlight w:val="none"/>
          <w:u w:val="single"/>
        </w:rPr>
        <w:t xml:space="preserve">  </w:t>
      </w:r>
      <w:r>
        <w:rPr>
          <w:rStyle w:val="31"/>
          <w:rFonts w:hint="eastAsia" w:ascii="Calibri" w:hAnsi="Calibri" w:eastAsia="宋体" w:cs="Times New Roman"/>
          <w:color w:val="auto"/>
          <w:highlight w:val="none"/>
          <w:u w:val="single"/>
          <w:lang w:val="en-US" w:eastAsia="zh-CN"/>
        </w:rPr>
        <w:t>贵港</w:t>
      </w:r>
      <w:r>
        <w:rPr>
          <w:color w:val="auto"/>
          <w:highlight w:val="none"/>
          <w:u w:val="single"/>
        </w:rPr>
        <w:t xml:space="preserve">  </w:t>
      </w:r>
      <w:r>
        <w:rPr>
          <w:rFonts w:hint="eastAsia" w:hAnsi="宋体" w:cs="宋体"/>
          <w:color w:val="auto"/>
          <w:highlight w:val="none"/>
        </w:rPr>
        <w:t>市建设工程造价信息》材料信息价的加权平均价计算，信息价没有的按通用条款规定确定。</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）价差计算方法：</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olor w:val="auto"/>
          <w:highlight w:val="none"/>
        </w:rPr>
      </w:pPr>
      <w:r>
        <w:rPr>
          <w:rFonts w:hint="eastAsia" w:hAnsi="宋体" w:cs="宋体"/>
          <w:color w:val="auto"/>
          <w:highlight w:val="none"/>
        </w:rPr>
        <w:t>①《允许调整主要材料和工程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olor w:val="auto"/>
          <w:highlight w:val="none"/>
        </w:rPr>
      </w:pPr>
      <w:r>
        <w:rPr>
          <w:rFonts w:hint="eastAsia" w:hAnsi="宋体" w:cs="宋体"/>
          <w:color w:val="auto"/>
          <w:highlight w:val="none"/>
        </w:rPr>
        <w:t>②承包人在《允许调整主要材料和工程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③承包人在《允许调整主要材料和工程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645"/>
        <w:jc w:val="left"/>
        <w:textAlignment w:val="auto"/>
        <w:rPr>
          <w:color w:val="auto"/>
          <w:highlight w:val="none"/>
        </w:rPr>
      </w:pPr>
      <w:r>
        <w:rPr>
          <w:rFonts w:hint="eastAsia" w:hAnsi="宋体" w:cs="宋体"/>
          <w:color w:val="auto"/>
          <w:highlight w:val="none"/>
        </w:rPr>
        <w:t>第</w:t>
      </w:r>
      <w:r>
        <w:rPr>
          <w:rFonts w:hAnsi="宋体"/>
          <w:color w:val="auto"/>
          <w:highlight w:val="none"/>
        </w:rPr>
        <w:t>3</w:t>
      </w:r>
      <w:r>
        <w:rPr>
          <w:rFonts w:hint="eastAsia" w:hAnsi="宋体" w:cs="宋体"/>
          <w:color w:val="auto"/>
          <w:highlight w:val="none"/>
        </w:rPr>
        <w:t>种方式：</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color w:val="auto"/>
          <w:highlight w:val="none"/>
        </w:rPr>
        <w:t xml:space="preserve"> </w:t>
      </w:r>
      <w:r>
        <w:rPr>
          <w:rFonts w:hint="eastAsia" w:cs="宋体"/>
          <w:color w:val="auto"/>
          <w:highlight w:val="none"/>
        </w:rPr>
        <w:t>。</w:t>
      </w:r>
    </w:p>
    <w:bookmarkEnd w:id="869"/>
    <w:bookmarkEnd w:id="870"/>
    <w:bookmarkEnd w:id="871"/>
    <w:bookmarkEnd w:id="872"/>
    <w:bookmarkEnd w:id="873"/>
    <w:bookmarkEnd w:id="874"/>
    <w:p>
      <w:pPr>
        <w:pStyle w:val="5"/>
        <w:keepNext w:val="0"/>
        <w:keepLines w:val="0"/>
        <w:pageBreakBefore w:val="0"/>
        <w:widowControl w:val="0"/>
        <w:kinsoku/>
        <w:wordWrap/>
        <w:overflowPunct/>
        <w:topLinePunct w:val="0"/>
        <w:autoSpaceDE w:val="0"/>
        <w:autoSpaceDN w:val="0"/>
        <w:bidi w:val="0"/>
        <w:snapToGrid/>
        <w:spacing w:before="0" w:line="360" w:lineRule="auto"/>
        <w:ind w:left="0" w:leftChars="0" w:right="0"/>
        <w:textAlignment w:val="auto"/>
        <w:rPr>
          <w:color w:val="auto"/>
          <w:highlight w:val="none"/>
        </w:rPr>
      </w:pPr>
      <w:bookmarkStart w:id="1055" w:name="_Toc296891033"/>
      <w:bookmarkStart w:id="1056" w:name="_Toc296347204"/>
      <w:bookmarkStart w:id="1057" w:name="_Toc296346706"/>
      <w:bookmarkStart w:id="1058" w:name="_Toc296503205"/>
      <w:bookmarkStart w:id="1059" w:name="_Toc296944544"/>
      <w:bookmarkStart w:id="1060" w:name="_Toc297048391"/>
      <w:bookmarkStart w:id="1061" w:name="_Toc292559915"/>
      <w:bookmarkStart w:id="1062" w:name="_Toc292559410"/>
      <w:bookmarkStart w:id="1063" w:name="_Toc297120505"/>
      <w:bookmarkStart w:id="1064" w:name="_Toc296891245"/>
      <w:bookmarkStart w:id="1065" w:name="_Toc10586"/>
      <w:bookmarkStart w:id="1066" w:name="_Toc23734"/>
      <w:bookmarkStart w:id="1067" w:name="_Toc373478395"/>
      <w:bookmarkStart w:id="1068" w:name="_Toc373227748"/>
      <w:bookmarkStart w:id="1069" w:name="_Toc407135251"/>
      <w:bookmarkStart w:id="1070" w:name="_Toc8107"/>
      <w:bookmarkStart w:id="1071" w:name="_Toc351203644"/>
      <w:bookmarkStart w:id="1072" w:name="_Toc28860"/>
      <w:bookmarkStart w:id="1073" w:name="_Toc9850579"/>
      <w:bookmarkStart w:id="1074" w:name="_Toc300935002"/>
      <w:bookmarkStart w:id="1075" w:name="_Toc312678040"/>
      <w:bookmarkStart w:id="1076" w:name="_Toc304295579"/>
      <w:bookmarkStart w:id="1077" w:name="_Toc297216211"/>
      <w:bookmarkStart w:id="1078" w:name="_Toc303539159"/>
      <w:bookmarkStart w:id="1079" w:name="_Toc297123552"/>
      <w:r>
        <w:rPr>
          <w:color w:val="auto"/>
          <w:highlight w:val="none"/>
        </w:rPr>
        <w:t xml:space="preserve">12. </w:t>
      </w:r>
      <w:bookmarkEnd w:id="1055"/>
      <w:bookmarkEnd w:id="1056"/>
      <w:bookmarkEnd w:id="1057"/>
      <w:bookmarkEnd w:id="1058"/>
      <w:bookmarkEnd w:id="1059"/>
      <w:bookmarkEnd w:id="1060"/>
      <w:bookmarkEnd w:id="1061"/>
      <w:bookmarkEnd w:id="1062"/>
      <w:bookmarkEnd w:id="1063"/>
      <w:bookmarkEnd w:id="1064"/>
      <w:r>
        <w:rPr>
          <w:rFonts w:hint="eastAsia" w:cs="黑体"/>
          <w:color w:val="auto"/>
          <w:highlight w:val="none"/>
        </w:rPr>
        <w:t>合同价格、计量与支付</w:t>
      </w:r>
      <w:bookmarkEnd w:id="1065"/>
      <w:bookmarkEnd w:id="1066"/>
      <w:bookmarkEnd w:id="1067"/>
      <w:bookmarkEnd w:id="1068"/>
      <w:bookmarkEnd w:id="1069"/>
      <w:bookmarkEnd w:id="1070"/>
      <w:bookmarkEnd w:id="1071"/>
      <w:bookmarkEnd w:id="1072"/>
      <w:bookmarkEnd w:id="1073"/>
    </w:p>
    <w:bookmarkEnd w:id="1074"/>
    <w:bookmarkEnd w:id="1075"/>
    <w:bookmarkEnd w:id="1076"/>
    <w:bookmarkEnd w:id="1077"/>
    <w:bookmarkEnd w:id="1078"/>
    <w:bookmarkEnd w:id="1079"/>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1080" w:name="_Toc267251461"/>
      <w:bookmarkStart w:id="1081" w:name="_Toc292559916"/>
      <w:bookmarkStart w:id="1082" w:name="_Toc292559411"/>
      <w:bookmarkStart w:id="1083" w:name="_Toc296347205"/>
      <w:bookmarkStart w:id="1084" w:name="_Toc296891246"/>
      <w:bookmarkStart w:id="1085" w:name="_Toc296346707"/>
      <w:bookmarkStart w:id="1086" w:name="_Toc297120506"/>
      <w:bookmarkStart w:id="1087" w:name="_Toc297048392"/>
      <w:bookmarkStart w:id="1088" w:name="_Toc296944545"/>
      <w:bookmarkStart w:id="1089" w:name="_Toc296503206"/>
      <w:bookmarkStart w:id="1090" w:name="_Toc296891034"/>
      <w:bookmarkStart w:id="1091" w:name="_Toc407135252"/>
      <w:bookmarkStart w:id="1092" w:name="_Toc389065314"/>
      <w:bookmarkStart w:id="1093" w:name="_Toc4944"/>
      <w:bookmarkStart w:id="1094" w:name="_Toc373478396"/>
      <w:bookmarkStart w:id="1095" w:name="_Toc19234"/>
      <w:bookmarkStart w:id="1096" w:name="_Toc7891"/>
      <w:bookmarkStart w:id="1097" w:name="_Toc23753"/>
      <w:bookmarkStart w:id="1098" w:name="_Toc9850580"/>
      <w:bookmarkStart w:id="1099" w:name="_Toc373227749"/>
      <w:bookmarkStart w:id="1100" w:name="_Toc304295580"/>
      <w:bookmarkStart w:id="1101" w:name="_Toc312678041"/>
      <w:bookmarkStart w:id="1102" w:name="_Toc297216212"/>
      <w:bookmarkStart w:id="1103" w:name="_Toc300935003"/>
      <w:bookmarkStart w:id="1104" w:name="_Toc303539160"/>
      <w:bookmarkStart w:id="1105" w:name="_Toc297123553"/>
      <w:r>
        <w:rPr>
          <w:color w:val="auto"/>
          <w:highlight w:val="none"/>
        </w:rPr>
        <w:t xml:space="preserve">12.1 </w:t>
      </w:r>
      <w:r>
        <w:rPr>
          <w:rFonts w:hint="eastAsia" w:hAnsi="宋体" w:cs="黑体"/>
          <w:color w:val="auto"/>
          <w:highlight w:val="none"/>
        </w:rPr>
        <w:t>合</w:t>
      </w:r>
      <w:bookmarkEnd w:id="1080"/>
      <w:bookmarkEnd w:id="1081"/>
      <w:bookmarkEnd w:id="1082"/>
      <w:r>
        <w:rPr>
          <w:rFonts w:hint="eastAsia" w:hAnsi="宋体" w:cs="黑体"/>
          <w:color w:val="auto"/>
          <w:highlight w:val="none"/>
        </w:rPr>
        <w:t>同价</w:t>
      </w:r>
      <w:bookmarkEnd w:id="1083"/>
      <w:bookmarkEnd w:id="1084"/>
      <w:bookmarkEnd w:id="1085"/>
      <w:bookmarkEnd w:id="1086"/>
      <w:bookmarkEnd w:id="1087"/>
      <w:bookmarkEnd w:id="1088"/>
      <w:bookmarkEnd w:id="1089"/>
      <w:bookmarkEnd w:id="1090"/>
      <w:r>
        <w:rPr>
          <w:rFonts w:hint="eastAsia" w:hAnsi="宋体" w:cs="黑体"/>
          <w:color w:val="auto"/>
          <w:highlight w:val="none"/>
        </w:rPr>
        <w:t>格形式</w:t>
      </w:r>
      <w:bookmarkEnd w:id="1091"/>
      <w:bookmarkEnd w:id="1092"/>
      <w:bookmarkEnd w:id="1093"/>
      <w:bookmarkEnd w:id="1094"/>
      <w:bookmarkEnd w:id="1095"/>
      <w:bookmarkEnd w:id="1096"/>
      <w:bookmarkEnd w:id="1097"/>
      <w:bookmarkEnd w:id="1098"/>
      <w:bookmarkEnd w:id="1099"/>
    </w:p>
    <w:bookmarkEnd w:id="1100"/>
    <w:bookmarkEnd w:id="1101"/>
    <w:bookmarkEnd w:id="1102"/>
    <w:bookmarkEnd w:id="1103"/>
    <w:bookmarkEnd w:id="1104"/>
    <w:bookmarkEnd w:id="1105"/>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olor w:val="auto"/>
          <w:highlight w:val="none"/>
        </w:rPr>
      </w:pPr>
      <w:bookmarkStart w:id="1106" w:name="_Toc389065315"/>
      <w:bookmarkStart w:id="1107" w:name="_Toc373227750"/>
      <w:bookmarkStart w:id="1108" w:name="_Toc373478397"/>
      <w:bookmarkStart w:id="1109" w:name="_Toc304295581"/>
      <w:bookmarkStart w:id="1110" w:name="_Toc303539161"/>
      <w:bookmarkStart w:id="1111" w:name="_Toc297123554"/>
      <w:bookmarkStart w:id="1112" w:name="_Toc312678042"/>
      <w:bookmarkStart w:id="1113" w:name="_Toc300935004"/>
      <w:bookmarkStart w:id="1114" w:name="_Toc297216213"/>
      <w:bookmarkStart w:id="1115" w:name="_Toc296346708"/>
      <w:bookmarkStart w:id="1116" w:name="_Toc292559917"/>
      <w:bookmarkStart w:id="1117" w:name="_Toc296891035"/>
      <w:bookmarkStart w:id="1118" w:name="_Toc296347206"/>
      <w:bookmarkStart w:id="1119" w:name="_Toc296503207"/>
      <w:bookmarkStart w:id="1120" w:name="_Toc292559412"/>
      <w:bookmarkStart w:id="1121" w:name="_Toc296891247"/>
      <w:bookmarkStart w:id="1122" w:name="_Toc296944546"/>
      <w:bookmarkStart w:id="1123" w:name="_Toc297048393"/>
      <w:bookmarkStart w:id="1124" w:name="_Toc297120507"/>
      <w:r>
        <w:rPr>
          <w:rFonts w:hint="eastAsia" w:hAnsi="宋体" w:cs="宋体"/>
          <w:color w:val="auto"/>
          <w:highlight w:val="none"/>
        </w:rPr>
        <w:t>本工程采用</w:t>
      </w:r>
      <w:r>
        <w:rPr>
          <w:rFonts w:hAnsi="宋体"/>
          <w:color w:val="auto"/>
          <w:highlight w:val="none"/>
          <w:u w:val="single"/>
        </w:rPr>
        <w:t xml:space="preserve">  </w:t>
      </w:r>
      <w:r>
        <w:rPr>
          <w:rFonts w:hint="eastAsia"/>
          <w:color w:val="auto"/>
          <w:highlight w:val="none"/>
          <w:u w:val="single"/>
          <w:lang w:eastAsia="zh-CN"/>
        </w:rPr>
        <w:t>固定</w:t>
      </w:r>
      <w:r>
        <w:rPr>
          <w:rFonts w:hint="eastAsia" w:hAnsi="宋体"/>
          <w:color w:val="auto"/>
          <w:highlight w:val="none"/>
          <w:u w:val="single"/>
          <w:lang w:val="en-US" w:eastAsia="zh-CN"/>
        </w:rPr>
        <w:t>综合单价</w:t>
      </w:r>
      <w:r>
        <w:rPr>
          <w:rFonts w:hAnsi="宋体"/>
          <w:color w:val="auto"/>
          <w:highlight w:val="none"/>
          <w:u w:val="single"/>
        </w:rPr>
        <w:t xml:space="preserve">  </w:t>
      </w:r>
      <w:r>
        <w:rPr>
          <w:rFonts w:hint="eastAsia" w:hAnsi="宋体" w:cs="宋体"/>
          <w:color w:val="auto"/>
          <w:highlight w:val="none"/>
        </w:rPr>
        <w:t>合同价格形式，合同价格包含增值税，本工程计价时采用的增值税计税方法为：</w:t>
      </w:r>
      <w:r>
        <w:rPr>
          <w:rFonts w:hint="eastAsia" w:cs="宋体"/>
          <w:color w:val="auto"/>
          <w:highlight w:val="none"/>
          <w:lang w:eastAsia="zh-CN"/>
        </w:rPr>
        <w:t>□</w:t>
      </w:r>
      <w:r>
        <w:rPr>
          <w:rFonts w:hint="eastAsia" w:hAnsi="宋体" w:cs="宋体"/>
          <w:color w:val="auto"/>
          <w:highlight w:val="none"/>
        </w:rPr>
        <w:t xml:space="preserve">一般计税法   </w:t>
      </w:r>
      <w:r>
        <w:rPr>
          <w:rFonts w:hint="eastAsia" w:cs="宋体"/>
          <w:color w:val="auto"/>
          <w:highlight w:val="none"/>
          <w:lang w:eastAsia="zh-CN"/>
        </w:rPr>
        <w:t>☑</w:t>
      </w:r>
      <w:r>
        <w:rPr>
          <w:rFonts w:hint="eastAsia" w:hAnsi="宋体" w:cs="宋体"/>
          <w:color w:val="auto"/>
          <w:highlight w:val="none"/>
        </w:rPr>
        <w:t>简易计税法。</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）单价合同。</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olor w:val="auto"/>
          <w:highlight w:val="none"/>
        </w:rPr>
      </w:pPr>
      <w:r>
        <w:rPr>
          <w:rFonts w:hint="eastAsia" w:hAnsi="宋体" w:cs="宋体"/>
          <w:color w:val="auto"/>
          <w:highlight w:val="none"/>
        </w:rPr>
        <w:t>采用综合单价合同方式时，工程量按建设单位、监理单位、施工单位三方确认的竣工图结算。</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olor w:val="auto"/>
          <w:highlight w:val="none"/>
        </w:rPr>
      </w:pPr>
      <w:r>
        <w:rPr>
          <w:rFonts w:hint="eastAsia" w:hAnsi="宋体" w:cs="宋体"/>
          <w:color w:val="auto"/>
          <w:highlight w:val="none"/>
        </w:rPr>
        <w:t>综合单价包含的风险范围：</w:t>
      </w:r>
      <w:r>
        <w:rPr>
          <w:rFonts w:hint="eastAsia" w:hAnsi="宋体" w:cs="宋体"/>
          <w:color w:val="auto"/>
          <w:highlight w:val="none"/>
          <w:u w:val="single"/>
        </w:rPr>
        <w:t>除工程变更、项目特征不符、工程量清单缺项、工程量偏差、政策性调整、本工程</w:t>
      </w:r>
      <w:r>
        <w:rPr>
          <w:rFonts w:hint="eastAsia" w:cs="宋体"/>
          <w:color w:val="auto"/>
          <w:highlight w:val="none"/>
          <w:u w:val="single"/>
          <w:lang w:eastAsia="zh-CN"/>
        </w:rPr>
        <w:t>《允许调整主要材料和工程设备一览表》</w:t>
      </w:r>
      <w:r>
        <w:rPr>
          <w:rFonts w:hint="eastAsia" w:hAnsi="宋体" w:cs="宋体"/>
          <w:color w:val="auto"/>
          <w:highlight w:val="none"/>
          <w:u w:val="single"/>
        </w:rPr>
        <w:t>中约定的材料和设备价格变动风险以外的其他风险因素。</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s="宋体"/>
          <w:color w:val="auto"/>
          <w:highlight w:val="none"/>
        </w:rPr>
      </w:pPr>
      <w:r>
        <w:rPr>
          <w:rFonts w:hint="eastAsia" w:hAnsi="宋体" w:cs="宋体"/>
          <w:color w:val="auto"/>
          <w:highlight w:val="none"/>
        </w:rPr>
        <w:t>风险范围以外合同价格的调整方法：</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hAnsi="宋体" w:cs="宋体"/>
          <w:color w:val="auto"/>
          <w:highlight w:val="none"/>
        </w:rPr>
      </w:pPr>
      <w:r>
        <w:rPr>
          <w:rFonts w:hint="eastAsia" w:hAnsi="宋体" w:cs="宋体"/>
          <w:color w:val="auto"/>
          <w:highlight w:val="none"/>
        </w:rPr>
        <w:t>①工程变更</w:t>
      </w:r>
      <w:r>
        <w:rPr>
          <w:rFonts w:hint="eastAsia" w:ascii="Calibri" w:hAnsi="宋体" w:cs="宋体"/>
          <w:color w:val="auto"/>
          <w:highlight w:val="none"/>
        </w:rPr>
        <w:t>、项目特征不符、工程量清单缺项</w:t>
      </w:r>
      <w:r>
        <w:rPr>
          <w:rFonts w:hint="eastAsia" w:hAnsi="宋体" w:cs="宋体"/>
          <w:color w:val="auto"/>
          <w:highlight w:val="none"/>
        </w:rPr>
        <w:t>：按</w:t>
      </w:r>
      <w:r>
        <w:rPr>
          <w:rFonts w:hAnsi="宋体" w:cs="宋体"/>
          <w:color w:val="auto"/>
          <w:highlight w:val="none"/>
        </w:rPr>
        <w:t>10.4.1</w:t>
      </w:r>
      <w:r>
        <w:rPr>
          <w:rFonts w:hint="eastAsia" w:hAnsi="宋体" w:cs="宋体"/>
          <w:color w:val="auto"/>
          <w:highlight w:val="none"/>
        </w:rPr>
        <w:t>变更估价原则的约定调整。</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hAnsi="宋体" w:cs="宋体"/>
          <w:color w:val="auto"/>
          <w:highlight w:val="none"/>
        </w:rPr>
      </w:pPr>
      <w:r>
        <w:rPr>
          <w:rFonts w:hint="eastAsia" w:hAnsi="宋体" w:cs="宋体"/>
          <w:color w:val="auto"/>
          <w:highlight w:val="none"/>
        </w:rPr>
        <w:t>②</w:t>
      </w:r>
      <w:r>
        <w:rPr>
          <w:rFonts w:hint="eastAsia" w:ascii="Calibri" w:hAnsi="宋体" w:cs="宋体"/>
          <w:color w:val="auto"/>
          <w:highlight w:val="none"/>
        </w:rPr>
        <w:t>工程量偏差：按1.13工程量清单错误修正的约定调整。</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s="宋体"/>
          <w:color w:val="auto"/>
          <w:highlight w:val="none"/>
        </w:rPr>
      </w:pPr>
      <w:r>
        <w:rPr>
          <w:rFonts w:hint="eastAsia" w:hAnsi="宋体" w:cs="宋体"/>
          <w:color w:val="auto"/>
          <w:highlight w:val="none"/>
        </w:rPr>
        <w:t>③政策性调整：</w:t>
      </w:r>
      <w:r>
        <w:rPr>
          <w:rFonts w:hint="eastAsia" w:ascii="仿宋_GB2312" w:hAnsi="宋体"/>
          <w:color w:val="auto"/>
          <w:highlight w:val="none"/>
        </w:rPr>
        <w:t>按自治区住房城乡建设厅或工程所在地住房城乡建设主管部门颁布的文件执行</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s="宋体"/>
          <w:color w:val="auto"/>
          <w:highlight w:val="none"/>
        </w:rPr>
      </w:pPr>
      <w:r>
        <w:rPr>
          <w:rFonts w:hint="eastAsia" w:hAnsi="宋体" w:cs="宋体"/>
          <w:color w:val="auto"/>
          <w:highlight w:val="none"/>
        </w:rPr>
        <w:t>④材料价格风险：按</w:t>
      </w:r>
      <w:r>
        <w:rPr>
          <w:rFonts w:hAnsi="宋体" w:cs="宋体"/>
          <w:color w:val="auto"/>
          <w:highlight w:val="none"/>
        </w:rPr>
        <w:t>11.1</w:t>
      </w:r>
      <w:r>
        <w:rPr>
          <w:rFonts w:hint="eastAsia" w:hAnsi="宋体" w:cs="宋体"/>
          <w:color w:val="auto"/>
          <w:highlight w:val="none"/>
        </w:rPr>
        <w:t>的约定调整。</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olor w:val="auto"/>
          <w:highlight w:val="none"/>
        </w:rPr>
      </w:pPr>
      <w:r>
        <w:rPr>
          <w:rFonts w:hint="eastAsia" w:hAnsi="宋体" w:cs="宋体"/>
          <w:color w:val="auto"/>
          <w:highlight w:val="none"/>
        </w:rPr>
        <w:t>⑤其它：</w:t>
      </w:r>
      <w:r>
        <w:rPr>
          <w:rFonts w:hAnsi="宋体"/>
          <w:color w:val="auto"/>
          <w:highlight w:val="none"/>
          <w:u w:val="single"/>
        </w:rPr>
        <w:t xml:space="preserve">                        </w:t>
      </w:r>
      <w:r>
        <w:rPr>
          <w:rFonts w:hint="eastAsia" w:hAnsi="宋体"/>
          <w:color w:val="auto"/>
          <w:highlight w:val="none"/>
          <w:u w:val="single"/>
          <w:lang w:val="en-US" w:eastAsia="zh-CN"/>
        </w:rPr>
        <w:t>/</w:t>
      </w:r>
      <w:r>
        <w:rPr>
          <w:rFonts w:hAnsi="宋体"/>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olor w:val="auto"/>
          <w:highlight w:val="none"/>
        </w:rPr>
      </w:pPr>
      <w:r>
        <w:rPr>
          <w:rFonts w:hint="eastAsia" w:hAnsi="宋体" w:cs="宋体"/>
          <w:color w:val="auto"/>
          <w:highlight w:val="none"/>
        </w:rPr>
        <w:t>（</w:t>
      </w:r>
      <w:r>
        <w:rPr>
          <w:rFonts w:hAnsi="宋体"/>
          <w:color w:val="auto"/>
          <w:highlight w:val="none"/>
        </w:rPr>
        <w:t>2</w:t>
      </w:r>
      <w:r>
        <w:rPr>
          <w:rFonts w:hint="eastAsia" w:hAnsi="宋体" w:cs="宋体"/>
          <w:color w:val="auto"/>
          <w:highlight w:val="none"/>
        </w:rPr>
        <w:t>）总价合同。</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olor w:val="auto"/>
          <w:highlight w:val="none"/>
        </w:rPr>
      </w:pPr>
      <w:r>
        <w:rPr>
          <w:rFonts w:hint="eastAsia" w:hAnsi="宋体" w:cs="宋体"/>
          <w:color w:val="auto"/>
          <w:highlight w:val="none"/>
        </w:rPr>
        <w:t>总价包含的风险范围：包含除工程变更、政策性调整、</w:t>
      </w:r>
      <w:r>
        <w:rPr>
          <w:rFonts w:hint="eastAsia" w:hAnsi="宋体" w:cs="宋体"/>
          <w:color w:val="auto"/>
          <w:highlight w:val="none"/>
          <w:u w:val="single"/>
        </w:rPr>
        <w:t>本工程</w:t>
      </w:r>
      <w:r>
        <w:rPr>
          <w:rFonts w:hint="eastAsia" w:cs="宋体"/>
          <w:color w:val="auto"/>
          <w:highlight w:val="none"/>
          <w:u w:val="single"/>
          <w:lang w:eastAsia="zh-CN"/>
        </w:rPr>
        <w:t>《允许调整主要材料和工程设备一览表》</w:t>
      </w:r>
      <w:r>
        <w:rPr>
          <w:rFonts w:hint="eastAsia" w:hAnsi="宋体" w:cs="宋体"/>
          <w:color w:val="auto"/>
          <w:highlight w:val="none"/>
          <w:u w:val="single"/>
        </w:rPr>
        <w:t>中约定的材料和设备价格变动风险以外的其他风险。除工程变更外，结算时不再对招标施工图对应的工程量重新计量</w:t>
      </w:r>
      <w:r>
        <w:rPr>
          <w:rFonts w:hAnsi="宋体"/>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cs="宋体"/>
          <w:color w:val="auto"/>
          <w:highlight w:val="none"/>
        </w:rPr>
      </w:pPr>
      <w:r>
        <w:rPr>
          <w:rFonts w:hint="eastAsia" w:cs="宋体"/>
          <w:color w:val="auto"/>
          <w:highlight w:val="none"/>
        </w:rPr>
        <w:t>风险范围以外合同价格的调整方法：</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hAnsi="宋体" w:cs="宋体"/>
          <w:color w:val="auto"/>
          <w:highlight w:val="none"/>
        </w:rPr>
      </w:pPr>
      <w:r>
        <w:rPr>
          <w:color w:val="auto"/>
          <w:highlight w:val="none"/>
        </w:rPr>
        <w:t xml:space="preserve"> </w:t>
      </w:r>
      <w:r>
        <w:rPr>
          <w:rFonts w:hint="eastAsia" w:hAnsi="宋体" w:cs="宋体"/>
          <w:color w:val="auto"/>
          <w:highlight w:val="none"/>
        </w:rPr>
        <w:t>①工程变更：按</w:t>
      </w:r>
      <w:r>
        <w:rPr>
          <w:rFonts w:hAnsi="宋体" w:cs="宋体"/>
          <w:color w:val="auto"/>
          <w:highlight w:val="none"/>
        </w:rPr>
        <w:t>10.4.1</w:t>
      </w:r>
      <w:r>
        <w:rPr>
          <w:rFonts w:hint="eastAsia" w:hAnsi="宋体" w:cs="宋体"/>
          <w:color w:val="auto"/>
          <w:highlight w:val="none"/>
        </w:rPr>
        <w:t>变更估价原则的约定调整。</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s="宋体"/>
          <w:color w:val="auto"/>
          <w:highlight w:val="none"/>
        </w:rPr>
      </w:pPr>
      <w:r>
        <w:rPr>
          <w:rFonts w:hint="eastAsia" w:hAnsi="宋体" w:cs="宋体"/>
          <w:color w:val="auto"/>
          <w:highlight w:val="none"/>
        </w:rPr>
        <w:t>②政策性调整：</w:t>
      </w:r>
      <w:r>
        <w:rPr>
          <w:rFonts w:hint="eastAsia" w:ascii="仿宋_GB2312" w:hAnsi="宋体"/>
          <w:color w:val="auto"/>
          <w:highlight w:val="none"/>
        </w:rPr>
        <w:t>按自治区住房城乡建设厅或工程所在地住房城乡建设主管部门颁布的文件执行</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s="宋体"/>
          <w:color w:val="auto"/>
          <w:highlight w:val="none"/>
        </w:rPr>
      </w:pPr>
      <w:r>
        <w:rPr>
          <w:rFonts w:hint="eastAsia" w:hAnsi="宋体" w:cs="宋体"/>
          <w:color w:val="auto"/>
          <w:highlight w:val="none"/>
        </w:rPr>
        <w:t>③材料价格风险：按</w:t>
      </w:r>
      <w:r>
        <w:rPr>
          <w:rFonts w:hAnsi="宋体" w:cs="宋体"/>
          <w:color w:val="auto"/>
          <w:highlight w:val="none"/>
        </w:rPr>
        <w:t>11.1</w:t>
      </w:r>
      <w:r>
        <w:rPr>
          <w:rFonts w:hint="eastAsia" w:hAnsi="宋体" w:cs="宋体"/>
          <w:color w:val="auto"/>
          <w:highlight w:val="none"/>
        </w:rPr>
        <w:t>的约定调整。</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olor w:val="auto"/>
          <w:highlight w:val="none"/>
        </w:rPr>
      </w:pPr>
      <w:r>
        <w:rPr>
          <w:rFonts w:hAnsi="宋体" w:cs="宋体"/>
          <w:color w:val="auto"/>
          <w:highlight w:val="none"/>
        </w:rPr>
        <w:fldChar w:fldCharType="begin"/>
      </w:r>
      <w:r>
        <w:rPr>
          <w:rFonts w:hAnsi="宋体" w:cs="宋体"/>
          <w:color w:val="auto"/>
          <w:highlight w:val="none"/>
        </w:rPr>
        <w:instrText xml:space="preserve"> </w:instrText>
      </w:r>
      <w:r>
        <w:rPr>
          <w:rFonts w:hint="eastAsia" w:hAnsi="宋体" w:cs="宋体"/>
          <w:color w:val="auto"/>
          <w:highlight w:val="none"/>
        </w:rPr>
        <w:instrText xml:space="preserve">= 4 \* GB3</w:instrText>
      </w:r>
      <w:r>
        <w:rPr>
          <w:rFonts w:hAnsi="宋体" w:cs="宋体"/>
          <w:color w:val="auto"/>
          <w:highlight w:val="none"/>
        </w:rPr>
        <w:instrText xml:space="preserve"> </w:instrText>
      </w:r>
      <w:r>
        <w:rPr>
          <w:rFonts w:hAnsi="宋体" w:cs="宋体"/>
          <w:color w:val="auto"/>
          <w:highlight w:val="none"/>
        </w:rPr>
        <w:fldChar w:fldCharType="separate"/>
      </w:r>
      <w:r>
        <w:rPr>
          <w:rFonts w:hint="eastAsia" w:hAnsi="宋体" w:cs="宋体"/>
          <w:color w:val="auto"/>
          <w:highlight w:val="none"/>
        </w:rPr>
        <w:t>④</w:t>
      </w:r>
      <w:r>
        <w:rPr>
          <w:rFonts w:hAnsi="宋体" w:cs="宋体"/>
          <w:color w:val="auto"/>
          <w:highlight w:val="none"/>
        </w:rPr>
        <w:fldChar w:fldCharType="end"/>
      </w:r>
      <w:r>
        <w:rPr>
          <w:rFonts w:hint="eastAsia" w:hAnsi="宋体" w:cs="宋体"/>
          <w:color w:val="auto"/>
          <w:highlight w:val="none"/>
        </w:rPr>
        <w:t>其它：</w:t>
      </w:r>
      <w:r>
        <w:rPr>
          <w:rFonts w:hAnsi="宋体"/>
          <w:color w:val="auto"/>
          <w:highlight w:val="none"/>
          <w:u w:val="single"/>
        </w:rPr>
        <w:t xml:space="preserve">                        </w:t>
      </w:r>
      <w:r>
        <w:rPr>
          <w:rFonts w:hint="eastAsia" w:hAnsi="宋体"/>
          <w:color w:val="auto"/>
          <w:highlight w:val="none"/>
          <w:u w:val="single"/>
          <w:lang w:val="en-US" w:eastAsia="zh-CN"/>
        </w:rPr>
        <w:t>/</w:t>
      </w:r>
      <w:r>
        <w:rPr>
          <w:rFonts w:hAnsi="宋体"/>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）其他价格方式：</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cs="宋体"/>
          <w:color w:val="auto"/>
          <w:highlight w:val="none"/>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1125" w:name="_Toc12604"/>
      <w:bookmarkStart w:id="1126" w:name="_Toc9850581"/>
      <w:bookmarkStart w:id="1127" w:name="_Toc7432"/>
      <w:bookmarkStart w:id="1128" w:name="_Toc21343"/>
      <w:bookmarkStart w:id="1129" w:name="_Toc407135253"/>
      <w:bookmarkStart w:id="1130" w:name="_Toc25725"/>
      <w:r>
        <w:rPr>
          <w:color w:val="auto"/>
          <w:highlight w:val="none"/>
        </w:rPr>
        <w:t xml:space="preserve">12.2 </w:t>
      </w:r>
      <w:r>
        <w:rPr>
          <w:rFonts w:hint="eastAsia" w:hAnsi="宋体" w:cs="黑体"/>
          <w:color w:val="auto"/>
          <w:highlight w:val="none"/>
        </w:rPr>
        <w:t>预付款</w:t>
      </w:r>
      <w:bookmarkEnd w:id="1106"/>
      <w:bookmarkEnd w:id="1107"/>
      <w:bookmarkEnd w:id="1108"/>
      <w:bookmarkEnd w:id="1125"/>
      <w:bookmarkEnd w:id="1126"/>
      <w:bookmarkEnd w:id="1127"/>
      <w:bookmarkEnd w:id="1128"/>
      <w:bookmarkEnd w:id="1129"/>
      <w:bookmarkEnd w:id="1130"/>
    </w:p>
    <w:bookmarkEnd w:id="1109"/>
    <w:bookmarkEnd w:id="1110"/>
    <w:bookmarkEnd w:id="1111"/>
    <w:bookmarkEnd w:id="1112"/>
    <w:bookmarkEnd w:id="1113"/>
    <w:bookmarkEnd w:id="1114"/>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color w:val="auto"/>
          <w:highlight w:val="none"/>
        </w:rPr>
        <w:t xml:space="preserve">12.2.1 </w:t>
      </w:r>
      <w:r>
        <w:rPr>
          <w:rFonts w:hint="eastAsia" w:hAnsi="宋体" w:cs="宋体"/>
          <w:color w:val="auto"/>
          <w:highlight w:val="none"/>
        </w:rPr>
        <w:t>预付款的支付</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hAnsi="宋体" w:cs="宋体"/>
          <w:color w:val="auto"/>
          <w:highlight w:val="none"/>
        </w:rPr>
      </w:pPr>
      <w:r>
        <w:rPr>
          <w:rFonts w:hint="eastAsia" w:hAnsi="宋体" w:cs="宋体"/>
          <w:color w:val="auto"/>
          <w:highlight w:val="none"/>
        </w:rPr>
        <w:t>预付款支付比例或金额：</w:t>
      </w:r>
      <w:r>
        <w:rPr>
          <w:color w:val="auto"/>
          <w:highlight w:val="none"/>
          <w:u w:val="single"/>
        </w:rPr>
        <w:t xml:space="preserve"> </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u w:val="single"/>
          <w:lang w:val="en-US" w:eastAsia="zh-CN"/>
        </w:rPr>
        <w:t>30%</w:t>
      </w:r>
      <w:r>
        <w:rPr>
          <w:rFonts w:ascii="Times New Roman" w:hAnsi="Times New Roman" w:eastAsia="宋体" w:cs="Times New Roman"/>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ascii="Times New Roman" w:hAnsi="宋体" w:eastAsia="宋体" w:cs="宋体"/>
          <w:b/>
          <w:bCs/>
          <w:color w:val="auto"/>
          <w:highlight w:val="none"/>
        </w:rPr>
      </w:pPr>
      <w:r>
        <w:rPr>
          <w:rFonts w:hint="eastAsia" w:ascii="Times New Roman" w:hAnsi="宋体" w:eastAsia="宋体" w:cs="宋体"/>
          <w:b/>
          <w:bCs/>
          <w:color w:val="auto"/>
          <w:highlight w:val="none"/>
        </w:rPr>
        <w:t>注：如采购人在签订合同时，供应商明确表示无需预付款或者主动要求降低预付款比例的，采购人可不适用前述规定。</w:t>
      </w:r>
    </w:p>
    <w:bookmarkEnd w:id="1115"/>
    <w:bookmarkEnd w:id="1116"/>
    <w:bookmarkEnd w:id="1117"/>
    <w:bookmarkEnd w:id="1118"/>
    <w:bookmarkEnd w:id="1119"/>
    <w:bookmarkEnd w:id="1120"/>
    <w:bookmarkEnd w:id="1121"/>
    <w:bookmarkEnd w:id="1122"/>
    <w:bookmarkEnd w:id="1123"/>
    <w:bookmarkEnd w:id="1124"/>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1131" w:name="_Toc298"/>
      <w:bookmarkStart w:id="1132" w:name="_Toc29621"/>
      <w:bookmarkStart w:id="1133" w:name="_Toc407135254"/>
      <w:bookmarkStart w:id="1134" w:name="_Toc373227751"/>
      <w:bookmarkStart w:id="1135" w:name="_Toc9850582"/>
      <w:bookmarkStart w:id="1136" w:name="_Toc19182"/>
      <w:bookmarkStart w:id="1137" w:name="_Toc1050"/>
      <w:bookmarkStart w:id="1138" w:name="_Toc373478398"/>
      <w:bookmarkStart w:id="1139" w:name="_Toc389065316"/>
      <w:r>
        <w:rPr>
          <w:color w:val="auto"/>
          <w:highlight w:val="none"/>
        </w:rPr>
        <w:t xml:space="preserve">12.3 </w:t>
      </w:r>
      <w:r>
        <w:rPr>
          <w:rFonts w:hint="eastAsia" w:hAnsi="宋体" w:cs="黑体"/>
          <w:color w:val="auto"/>
          <w:highlight w:val="none"/>
        </w:rPr>
        <w:t>计量</w:t>
      </w:r>
      <w:bookmarkEnd w:id="1131"/>
      <w:bookmarkEnd w:id="1132"/>
      <w:bookmarkEnd w:id="1133"/>
      <w:bookmarkEnd w:id="1134"/>
      <w:bookmarkEnd w:id="1135"/>
      <w:bookmarkEnd w:id="1136"/>
      <w:bookmarkEnd w:id="1137"/>
      <w:bookmarkEnd w:id="1138"/>
      <w:bookmarkEnd w:id="1139"/>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color w:val="auto"/>
          <w:highlight w:val="none"/>
        </w:rPr>
        <w:t xml:space="preserve">12.3.1 </w:t>
      </w:r>
      <w:r>
        <w:rPr>
          <w:rFonts w:hint="eastAsia" w:hAnsi="宋体" w:cs="宋体"/>
          <w:color w:val="auto"/>
          <w:highlight w:val="none"/>
        </w:rPr>
        <w:t>计量原则</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工程量计算规则：</w:t>
      </w:r>
      <w:r>
        <w:rPr>
          <w:rFonts w:hint="eastAsia" w:hAnsi="宋体" w:cs="宋体"/>
          <w:color w:val="auto"/>
          <w:highlight w:val="none"/>
          <w:u w:val="single"/>
        </w:rPr>
        <w:t>工程的计量均以《建设工程工程量清单计价规范》（</w:t>
      </w:r>
      <w:r>
        <w:rPr>
          <w:color w:val="auto"/>
          <w:highlight w:val="none"/>
          <w:u w:val="single"/>
        </w:rPr>
        <w:t>GB50500</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）和及其广西壮族自治区实施细则、《建设工程工程量清单计算规范》（</w:t>
      </w:r>
      <w:r>
        <w:rPr>
          <w:color w:val="auto"/>
          <w:highlight w:val="none"/>
          <w:u w:val="single"/>
        </w:rPr>
        <w:t>GB50854~50862</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）及其广西实施细则、本工程补充项目清单为准。</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color w:val="auto"/>
          <w:highlight w:val="none"/>
        </w:rPr>
        <w:t xml:space="preserve">12.3.2 </w:t>
      </w:r>
      <w:r>
        <w:rPr>
          <w:rFonts w:hint="eastAsia" w:hAnsi="宋体" w:cs="宋体"/>
          <w:color w:val="auto"/>
          <w:highlight w:val="none"/>
        </w:rPr>
        <w:t>计量周期</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关于计量周期的约定：</w:t>
      </w:r>
      <w:r>
        <w:rPr>
          <w:rFonts w:hint="eastAsia" w:hAnsi="宋体" w:cs="宋体"/>
          <w:color w:val="auto"/>
          <w:highlight w:val="none"/>
          <w:u w:val="single"/>
        </w:rPr>
        <w:t>每月</w:t>
      </w:r>
      <w:r>
        <w:rPr>
          <w:rFonts w:hint="eastAsia"/>
          <w:color w:val="auto"/>
          <w:highlight w:val="none"/>
          <w:u w:val="single"/>
        </w:rPr>
        <w:t xml:space="preserve">  </w:t>
      </w:r>
      <w:r>
        <w:rPr>
          <w:rFonts w:hint="eastAsia" w:hAnsi="宋体" w:cs="宋体"/>
          <w:color w:val="auto"/>
          <w:highlight w:val="none"/>
          <w:u w:val="single"/>
        </w:rPr>
        <w:t>日前</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outlineLvl w:val="0"/>
        <w:rPr>
          <w:color w:val="auto"/>
          <w:highlight w:val="none"/>
        </w:rPr>
      </w:pPr>
      <w:bookmarkStart w:id="1140" w:name="_Toc2507"/>
      <w:bookmarkStart w:id="1141" w:name="_Toc597"/>
      <w:bookmarkStart w:id="1142" w:name="_Toc25842"/>
      <w:bookmarkStart w:id="1143" w:name="_Toc18788"/>
      <w:bookmarkStart w:id="1144" w:name="_Toc31652"/>
      <w:r>
        <w:rPr>
          <w:color w:val="auto"/>
          <w:highlight w:val="none"/>
        </w:rPr>
        <w:t xml:space="preserve">12.3.3 </w:t>
      </w:r>
      <w:r>
        <w:rPr>
          <w:rFonts w:hint="eastAsia" w:hAnsi="宋体" w:cs="宋体"/>
          <w:color w:val="auto"/>
          <w:highlight w:val="none"/>
        </w:rPr>
        <w:t>单价合同的计量</w:t>
      </w:r>
      <w:bookmarkEnd w:id="1140"/>
      <w:bookmarkEnd w:id="1141"/>
      <w:bookmarkEnd w:id="1142"/>
      <w:bookmarkEnd w:id="1143"/>
      <w:bookmarkEnd w:id="1144"/>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关于单价合同计量的约定：</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62" w:firstLineChars="210"/>
        <w:textAlignment w:val="auto"/>
        <w:rPr>
          <w:color w:val="auto"/>
          <w:highlight w:val="none"/>
        </w:rPr>
      </w:pPr>
      <w:r>
        <w:rPr>
          <w:color w:val="auto"/>
          <w:highlight w:val="none"/>
        </w:rPr>
        <w:t xml:space="preserve">(1) </w:t>
      </w:r>
      <w:r>
        <w:rPr>
          <w:rFonts w:hint="eastAsia" w:hAnsi="宋体" w:cs="宋体"/>
          <w:color w:val="auto"/>
          <w:highlight w:val="none"/>
        </w:rPr>
        <w:t>工程量清单所列的工程量，不能作为承包人按合同履行其责任依据，实际施工中发生的工程量增加或减少并不影响承包人履行合同的责任，工程结算以完成的实际工程量为准。</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62" w:firstLineChars="210"/>
        <w:textAlignment w:val="auto"/>
        <w:rPr>
          <w:color w:val="auto"/>
          <w:highlight w:val="none"/>
        </w:rPr>
      </w:pPr>
      <w:r>
        <w:rPr>
          <w:color w:val="auto"/>
          <w:highlight w:val="none"/>
        </w:rPr>
        <w:t xml:space="preserve">(2) </w:t>
      </w:r>
      <w:r>
        <w:rPr>
          <w:rFonts w:hint="eastAsia" w:hAnsi="宋体" w:cs="宋体"/>
          <w:color w:val="auto"/>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color w:val="auto"/>
          <w:highlight w:val="none"/>
        </w:rPr>
        <w:t xml:space="preserve">12.3.4 </w:t>
      </w:r>
      <w:r>
        <w:rPr>
          <w:rFonts w:hint="eastAsia" w:hAnsi="宋体" w:cs="宋体"/>
          <w:color w:val="auto"/>
          <w:highlight w:val="none"/>
        </w:rPr>
        <w:t>总价合同的计量</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cs="宋体"/>
          <w:color w:val="auto"/>
          <w:highlight w:val="none"/>
        </w:rPr>
      </w:pPr>
      <w:r>
        <w:rPr>
          <w:rFonts w:hint="eastAsia" w:ascii="Calibri" w:hAnsi="宋体" w:cs="宋体"/>
          <w:color w:val="auto"/>
          <w:highlight w:val="none"/>
        </w:rPr>
        <w:t>（1）总价合同计量约定：</w:t>
      </w:r>
      <w:r>
        <w:rPr>
          <w:rFonts w:hint="eastAsia" w:hAnsi="宋体" w:cs="宋体"/>
          <w:color w:val="auto"/>
          <w:highlight w:val="none"/>
        </w:rPr>
        <w:t>进度款按支付分解表支付</w:t>
      </w:r>
      <w:r>
        <w:rPr>
          <w:rFonts w:hint="eastAsia" w:ascii="宋体" w:hAnsi="宋体" w:cs="宋体"/>
          <w:color w:val="auto"/>
          <w:kern w:val="0"/>
          <w:highlight w:val="none"/>
        </w:rPr>
        <w:t>，</w:t>
      </w:r>
      <w:r>
        <w:rPr>
          <w:rFonts w:hint="eastAsia" w:cs="宋体"/>
          <w:color w:val="auto"/>
          <w:highlight w:val="none"/>
        </w:rPr>
        <w:t>支付分解表在招标完成后签合同之前制定，具体详见本专用合同条款12.4.6。</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color w:val="auto"/>
          <w:highlight w:val="none"/>
        </w:rPr>
        <w:t xml:space="preserve">12.3.6 </w:t>
      </w:r>
      <w:r>
        <w:rPr>
          <w:rFonts w:hint="eastAsia" w:hAnsi="宋体" w:cs="宋体"/>
          <w:color w:val="auto"/>
          <w:highlight w:val="none"/>
        </w:rPr>
        <w:t>其他价格形式合同的计量</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u w:val="single"/>
        </w:rPr>
      </w:pPr>
      <w:r>
        <w:rPr>
          <w:rFonts w:hint="eastAsia" w:hAnsi="宋体" w:cs="宋体"/>
          <w:color w:val="auto"/>
          <w:highlight w:val="none"/>
        </w:rPr>
        <w:t>其他价格形式的计量方式和程序：</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1145" w:name="_Toc389065317"/>
      <w:bookmarkStart w:id="1146" w:name="_Toc18852"/>
      <w:bookmarkStart w:id="1147" w:name="_Toc31058"/>
      <w:bookmarkStart w:id="1148" w:name="_Toc373478399"/>
      <w:bookmarkStart w:id="1149" w:name="_Toc373227752"/>
      <w:bookmarkStart w:id="1150" w:name="_Toc5249"/>
      <w:bookmarkStart w:id="1151" w:name="_Toc407135255"/>
      <w:bookmarkStart w:id="1152" w:name="_Toc9850583"/>
      <w:bookmarkStart w:id="1153" w:name="_Toc22703"/>
      <w:r>
        <w:rPr>
          <w:color w:val="auto"/>
          <w:highlight w:val="none"/>
        </w:rPr>
        <w:t xml:space="preserve">12.4 </w:t>
      </w:r>
      <w:r>
        <w:rPr>
          <w:rFonts w:hint="eastAsia" w:cs="黑体"/>
          <w:color w:val="auto"/>
          <w:highlight w:val="none"/>
        </w:rPr>
        <w:t>工程进度款支付</w:t>
      </w:r>
      <w:bookmarkEnd w:id="1145"/>
      <w:bookmarkEnd w:id="1146"/>
      <w:bookmarkEnd w:id="1147"/>
      <w:bookmarkEnd w:id="1148"/>
      <w:bookmarkEnd w:id="1149"/>
      <w:bookmarkEnd w:id="1150"/>
      <w:bookmarkEnd w:id="1151"/>
      <w:bookmarkEnd w:id="1152"/>
      <w:bookmarkEnd w:id="1153"/>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bookmarkStart w:id="1154" w:name="_Toc297216215"/>
      <w:bookmarkStart w:id="1155" w:name="_Toc292559416"/>
      <w:bookmarkStart w:id="1156" w:name="_Toc296503211"/>
      <w:bookmarkStart w:id="1157" w:name="_Toc297123556"/>
      <w:bookmarkStart w:id="1158" w:name="_Toc297120511"/>
      <w:bookmarkStart w:id="1159" w:name="_Toc296944550"/>
      <w:bookmarkStart w:id="1160" w:name="_Toc292559921"/>
      <w:bookmarkStart w:id="1161" w:name="_Toc296891251"/>
      <w:bookmarkStart w:id="1162" w:name="_Toc297048397"/>
      <w:bookmarkStart w:id="1163" w:name="_Toc296891039"/>
      <w:bookmarkStart w:id="1164" w:name="_Toc296347210"/>
      <w:bookmarkStart w:id="1165" w:name="_Toc300935006"/>
      <w:bookmarkStart w:id="1166" w:name="_Toc296346712"/>
      <w:bookmarkStart w:id="1167" w:name="_Toc303539163"/>
      <w:r>
        <w:rPr>
          <w:color w:val="auto"/>
          <w:highlight w:val="none"/>
        </w:rPr>
        <w:t xml:space="preserve">12.4.1 </w:t>
      </w:r>
      <w:r>
        <w:rPr>
          <w:rFonts w:hint="eastAsia" w:hAnsi="宋体" w:cs="宋体"/>
          <w:color w:val="auto"/>
          <w:highlight w:val="none"/>
        </w:rPr>
        <w:t>付款周期</w:t>
      </w:r>
    </w:p>
    <w:p>
      <w:pPr>
        <w:keepNext w:val="0"/>
        <w:keepLines w:val="0"/>
        <w:pageBreakBefore w:val="0"/>
        <w:widowControl w:val="0"/>
        <w:kinsoku/>
        <w:wordWrap/>
        <w:overflowPunct/>
        <w:topLinePunct w:val="0"/>
        <w:autoSpaceDE w:val="0"/>
        <w:autoSpaceDN w:val="0"/>
        <w:bidi w:val="0"/>
        <w:snapToGrid/>
        <w:spacing w:line="360" w:lineRule="auto"/>
        <w:ind w:left="220" w:leftChars="100" w:right="0" w:firstLine="220" w:firstLineChars="100"/>
        <w:jc w:val="left"/>
        <w:textAlignment w:val="auto"/>
        <w:rPr>
          <w:rFonts w:hint="eastAsia" w:hAnsi="宋体" w:cs="宋体"/>
          <w:color w:val="auto"/>
          <w:highlight w:val="none"/>
          <w:u w:val="single"/>
        </w:rPr>
      </w:pPr>
      <w:r>
        <w:rPr>
          <w:rFonts w:hAnsi="宋体" w:cs="宋体"/>
          <w:color w:val="auto"/>
          <w:highlight w:val="none"/>
        </w:rPr>
        <w:fldChar w:fldCharType="begin"/>
      </w:r>
      <w:r>
        <w:rPr>
          <w:rFonts w:hAnsi="宋体" w:cs="宋体"/>
          <w:color w:val="auto"/>
          <w:highlight w:val="none"/>
        </w:rPr>
        <w:instrText xml:space="preserve"> </w:instrText>
      </w:r>
      <w:r>
        <w:rPr>
          <w:rFonts w:hint="eastAsia" w:hAnsi="宋体" w:cs="宋体"/>
          <w:color w:val="auto"/>
          <w:highlight w:val="none"/>
        </w:rPr>
        <w:instrText xml:space="preserve">= 1 \* GB3</w:instrText>
      </w:r>
      <w:r>
        <w:rPr>
          <w:rFonts w:hAnsi="宋体" w:cs="宋体"/>
          <w:color w:val="auto"/>
          <w:highlight w:val="none"/>
        </w:rPr>
        <w:instrText xml:space="preserve"> </w:instrText>
      </w:r>
      <w:r>
        <w:rPr>
          <w:rFonts w:hAnsi="宋体" w:cs="宋体"/>
          <w:color w:val="auto"/>
          <w:highlight w:val="none"/>
        </w:rPr>
        <w:fldChar w:fldCharType="separate"/>
      </w:r>
      <w:r>
        <w:rPr>
          <w:rFonts w:hint="eastAsia" w:hAnsi="宋体" w:cs="宋体"/>
          <w:color w:val="auto"/>
          <w:highlight w:val="none"/>
        </w:rPr>
        <w:t>①</w:t>
      </w:r>
      <w:r>
        <w:rPr>
          <w:rFonts w:hAnsi="宋体" w:cs="宋体"/>
          <w:color w:val="auto"/>
          <w:highlight w:val="none"/>
        </w:rPr>
        <w:fldChar w:fldCharType="end"/>
      </w:r>
      <w:r>
        <w:rPr>
          <w:rFonts w:hint="eastAsia" w:hAnsi="宋体" w:cs="宋体"/>
          <w:color w:val="auto"/>
          <w:highlight w:val="none"/>
          <w:lang w:eastAsia="zh-CN"/>
        </w:rPr>
        <w:t>本项目</w:t>
      </w:r>
      <w:r>
        <w:rPr>
          <w:rFonts w:hint="eastAsia" w:hAnsi="宋体" w:cs="宋体"/>
          <w:color w:val="auto"/>
          <w:highlight w:val="none"/>
          <w:lang w:val="en-US" w:eastAsia="zh-CN"/>
        </w:rPr>
        <w:t>预付款为</w:t>
      </w:r>
      <w:r>
        <w:rPr>
          <w:rFonts w:hint="eastAsia" w:ascii="Times New Roman" w:hAnsi="宋体" w:eastAsia="宋体" w:cs="宋体"/>
          <w:color w:val="auto"/>
          <w:highlight w:val="none"/>
          <w:u w:val="single"/>
          <w:lang w:val="en-US" w:eastAsia="zh-CN"/>
        </w:rPr>
        <w:t>30%</w:t>
      </w:r>
      <w:r>
        <w:rPr>
          <w:rFonts w:hint="eastAsia" w:ascii="Times New Roman" w:hAnsi="宋体" w:eastAsia="宋体" w:cs="宋体"/>
          <w:color w:val="auto"/>
          <w:highlight w:val="none"/>
          <w:u w:val="singl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ascii="Calibri" w:hAnsi="宋体" w:eastAsia="宋体" w:cs="宋体"/>
          <w:color w:val="auto"/>
          <w:highlight w:val="none"/>
          <w:u w:val="single"/>
        </w:rPr>
      </w:pPr>
      <w:r>
        <w:rPr>
          <w:rFonts w:hint="eastAsia" w:ascii="Calibri" w:hAnsi="宋体" w:eastAsia="宋体" w:cs="宋体"/>
          <w:color w:val="auto"/>
          <w:highlight w:val="none"/>
        </w:rPr>
        <w:fldChar w:fldCharType="begin"/>
      </w:r>
      <w:r>
        <w:rPr>
          <w:rFonts w:hint="eastAsia" w:ascii="Calibri" w:hAnsi="宋体" w:eastAsia="宋体" w:cs="宋体"/>
          <w:color w:val="auto"/>
          <w:highlight w:val="none"/>
        </w:rPr>
        <w:instrText xml:space="preserve"> = 2 \* GB3 </w:instrText>
      </w:r>
      <w:r>
        <w:rPr>
          <w:rFonts w:hint="eastAsia" w:ascii="Calibri" w:hAnsi="宋体" w:eastAsia="宋体" w:cs="宋体"/>
          <w:color w:val="auto"/>
          <w:highlight w:val="none"/>
        </w:rPr>
        <w:fldChar w:fldCharType="separate"/>
      </w:r>
      <w:r>
        <w:rPr>
          <w:rFonts w:hint="eastAsia" w:ascii="Calibri" w:hAnsi="宋体" w:eastAsia="宋体" w:cs="宋体"/>
          <w:color w:val="auto"/>
          <w:highlight w:val="none"/>
        </w:rPr>
        <w:t>②</w:t>
      </w:r>
      <w:r>
        <w:rPr>
          <w:rFonts w:hint="eastAsia" w:ascii="Calibri" w:hAnsi="宋体" w:eastAsia="宋体" w:cs="宋体"/>
          <w:color w:val="auto"/>
          <w:highlight w:val="none"/>
        </w:rPr>
        <w:fldChar w:fldCharType="end"/>
      </w:r>
      <w:r>
        <w:rPr>
          <w:rFonts w:hint="eastAsia" w:ascii="Calibri" w:hAnsi="宋体" w:eastAsia="宋体" w:cs="宋体"/>
          <w:color w:val="auto"/>
          <w:highlight w:val="none"/>
          <w:u w:val="single"/>
        </w:rPr>
        <w:t>合同签订后承包人进场施工后5个工作日内，支付合同价款的30%，</w:t>
      </w:r>
      <w:r>
        <w:rPr>
          <w:rFonts w:hint="eastAsia" w:ascii="Calibri" w:hAnsi="宋体" w:eastAsia="宋体" w:cs="宋体"/>
          <w:color w:val="auto"/>
          <w:highlight w:val="none"/>
          <w:u w:val="single"/>
          <w:lang w:eastAsia="zh-CN"/>
        </w:rPr>
        <w:t>工程款原则上按月支付，工程进度款支付限额为已完成工程量的80%</w:t>
      </w:r>
      <w:r>
        <w:rPr>
          <w:rFonts w:hint="eastAsia" w:ascii="Calibri" w:hAnsi="宋体" w:eastAsia="宋体" w:cs="宋体"/>
          <w:color w:val="auto"/>
          <w:highlight w:val="none"/>
          <w:u w:val="singl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ascii="Calibri" w:hAnsi="宋体" w:eastAsia="宋体" w:cs="宋体"/>
          <w:color w:val="auto"/>
          <w:highlight w:val="none"/>
        </w:rPr>
      </w:pPr>
      <w:r>
        <w:rPr>
          <w:rFonts w:hint="eastAsia" w:ascii="Calibri" w:hAnsi="宋体" w:eastAsia="宋体" w:cs="宋体"/>
          <w:color w:val="auto"/>
          <w:highlight w:val="none"/>
        </w:rPr>
        <w:fldChar w:fldCharType="begin"/>
      </w:r>
      <w:r>
        <w:rPr>
          <w:rFonts w:hint="eastAsia" w:ascii="Calibri" w:hAnsi="宋体" w:eastAsia="宋体" w:cs="宋体"/>
          <w:color w:val="auto"/>
          <w:highlight w:val="none"/>
        </w:rPr>
        <w:instrText xml:space="preserve"> = 3 \* GB3 </w:instrText>
      </w:r>
      <w:r>
        <w:rPr>
          <w:rFonts w:hint="eastAsia" w:ascii="Calibri" w:hAnsi="宋体" w:eastAsia="宋体" w:cs="宋体"/>
          <w:color w:val="auto"/>
          <w:highlight w:val="none"/>
        </w:rPr>
        <w:fldChar w:fldCharType="separate"/>
      </w:r>
      <w:r>
        <w:rPr>
          <w:rFonts w:hint="eastAsia" w:ascii="Calibri" w:hAnsi="宋体" w:eastAsia="宋体" w:cs="宋体"/>
          <w:color w:val="auto"/>
          <w:highlight w:val="none"/>
        </w:rPr>
        <w:t>③</w:t>
      </w:r>
      <w:r>
        <w:rPr>
          <w:rFonts w:hint="eastAsia" w:ascii="Calibri" w:hAnsi="宋体" w:eastAsia="宋体" w:cs="宋体"/>
          <w:color w:val="auto"/>
          <w:highlight w:val="none"/>
        </w:rPr>
        <w:fldChar w:fldCharType="end"/>
      </w:r>
      <w:r>
        <w:rPr>
          <w:rFonts w:hint="eastAsia" w:ascii="Calibri" w:hAnsi="宋体" w:eastAsia="宋体" w:cs="宋体"/>
          <w:color w:val="auto"/>
          <w:highlight w:val="none"/>
          <w:u w:val="single"/>
        </w:rPr>
        <w:t>合同约定的工程质量缺陷责任期</w:t>
      </w:r>
      <w:r>
        <w:rPr>
          <w:rFonts w:hint="eastAsia" w:ascii="Calibri" w:hAnsi="宋体" w:eastAsia="宋体" w:cs="宋体"/>
          <w:color w:val="auto"/>
          <w:highlight w:val="none"/>
          <w:u w:val="single"/>
          <w:lang w:val="en-US" w:eastAsia="zh-CN"/>
        </w:rPr>
        <w:t>为壹年</w:t>
      </w:r>
      <w:r>
        <w:rPr>
          <w:rFonts w:hint="eastAsia" w:ascii="Calibri" w:hAnsi="宋体" w:eastAsia="宋体" w:cs="宋体"/>
          <w:color w:val="auto"/>
          <w:highlight w:val="none"/>
          <w:u w:val="single"/>
          <w:lang w:eastAsia="zh-CN"/>
        </w:rPr>
        <w:t>，</w:t>
      </w:r>
      <w:r>
        <w:rPr>
          <w:rFonts w:hint="eastAsia" w:ascii="Calibri" w:hAnsi="宋体" w:eastAsia="宋体" w:cs="宋体"/>
          <w:color w:val="auto"/>
          <w:highlight w:val="none"/>
          <w:u w:val="single"/>
        </w:rPr>
        <w:t>满后由承包人向发包人提出返还保证金的申请，发包人在接到承包人返还保证金申请后，于14天内会同承包人按照合同约定的内容进行核实。如无异议，发包人在核实后14天内将保证金返还承包人，逾期未返还的，依法承担违约责任。发包人在接到承包人返还保证金申请后14天内不予答复，经催告后14天内仍不予答复，视同认可承包人的返还保证金申请。</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color w:val="auto"/>
          <w:highlight w:val="none"/>
        </w:rPr>
        <w:t xml:space="preserve">12.4.2 </w:t>
      </w:r>
      <w:r>
        <w:rPr>
          <w:rFonts w:hint="eastAsia" w:hAnsi="宋体" w:cs="宋体"/>
          <w:color w:val="auto"/>
          <w:highlight w:val="none"/>
        </w:rPr>
        <w:t>进度付款申请单的编制</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u w:val="single"/>
        </w:rPr>
      </w:pPr>
      <w:r>
        <w:rPr>
          <w:rFonts w:hint="eastAsia" w:hAnsi="宋体" w:cs="宋体"/>
          <w:color w:val="auto"/>
          <w:highlight w:val="none"/>
        </w:rPr>
        <w:t>关于进度付款申请单编制的约定：</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color w:val="auto"/>
          <w:highlight w:val="none"/>
        </w:rPr>
        <w:t>1</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r>
        <w:rPr>
          <w:color w:val="auto"/>
          <w:highlight w:val="none"/>
        </w:rPr>
        <w:t xml:space="preserve">2.4.3 </w:t>
      </w:r>
      <w:r>
        <w:rPr>
          <w:rFonts w:hint="eastAsia" w:hAnsi="宋体" w:cs="宋体"/>
          <w:color w:val="auto"/>
          <w:highlight w:val="none"/>
        </w:rPr>
        <w:t>进度付款申请单的提交</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b/>
          <w:bCs/>
          <w:color w:val="auto"/>
          <w:highlight w:val="none"/>
          <w:u w:val="single"/>
        </w:rPr>
      </w:pPr>
      <w:r>
        <w:rPr>
          <w:rFonts w:hint="eastAsia" w:hAnsi="宋体" w:cs="宋体"/>
          <w:color w:val="auto"/>
          <w:highlight w:val="none"/>
        </w:rPr>
        <w:t>（</w:t>
      </w:r>
      <w:r>
        <w:rPr>
          <w:color w:val="auto"/>
          <w:highlight w:val="none"/>
        </w:rPr>
        <w:t>1</w:t>
      </w:r>
      <w:r>
        <w:rPr>
          <w:rFonts w:hint="eastAsia" w:hAnsi="宋体" w:cs="宋体"/>
          <w:color w:val="auto"/>
          <w:highlight w:val="none"/>
        </w:rPr>
        <w:t>）单价合同进度付款申请单提交的约定：</w:t>
      </w:r>
    </w:p>
    <w:p>
      <w:pPr>
        <w:keepNext w:val="0"/>
        <w:keepLines w:val="0"/>
        <w:pageBreakBefore w:val="0"/>
        <w:widowControl w:val="0"/>
        <w:kinsoku/>
        <w:wordWrap/>
        <w:overflowPunct/>
        <w:topLinePunct w:val="0"/>
        <w:autoSpaceDE w:val="0"/>
        <w:autoSpaceDN w:val="0"/>
        <w:bidi w:val="0"/>
        <w:snapToGrid/>
        <w:spacing w:line="360" w:lineRule="auto"/>
        <w:ind w:left="0" w:leftChars="0" w:right="0"/>
        <w:jc w:val="left"/>
        <w:textAlignment w:val="auto"/>
        <w:rPr>
          <w:rFonts w:hint="eastAsia" w:eastAsia="宋体"/>
          <w:color w:val="auto"/>
          <w:highlight w:val="none"/>
          <w:lang w:eastAsia="zh-CN"/>
        </w:rPr>
      </w:pP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color w:val="auto"/>
          <w:highlight w:val="none"/>
          <w:u w:val="single"/>
          <w:lang w:eastAsia="zh-CN"/>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）总价合同进度付款申请单提交的约定：</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u w:val="single"/>
        </w:rPr>
      </w:pPr>
      <w:r>
        <w:rPr>
          <w:rFonts w:hint="eastAsia" w:hAnsi="宋体" w:cs="宋体"/>
          <w:color w:val="auto"/>
          <w:highlight w:val="none"/>
        </w:rPr>
        <w:t>（</w:t>
      </w:r>
      <w:r>
        <w:rPr>
          <w:color w:val="auto"/>
          <w:highlight w:val="none"/>
        </w:rPr>
        <w:t>3</w:t>
      </w:r>
      <w:r>
        <w:rPr>
          <w:rFonts w:hint="eastAsia" w:hAnsi="宋体" w:cs="宋体"/>
          <w:color w:val="auto"/>
          <w:highlight w:val="none"/>
        </w:rPr>
        <w:t>）其他价格形式合同进度付款申请单提交的约定：</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color w:val="auto"/>
          <w:highlight w:val="none"/>
        </w:rPr>
        <w:t xml:space="preserve">12.4.4 </w:t>
      </w:r>
      <w:r>
        <w:rPr>
          <w:rFonts w:hint="eastAsia" w:hAnsi="宋体" w:cs="宋体"/>
          <w:color w:val="auto"/>
          <w:highlight w:val="none"/>
        </w:rPr>
        <w:t>进度款审核和支付</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u w:val="single"/>
        </w:rPr>
      </w:pPr>
      <w:r>
        <w:rPr>
          <w:rFonts w:hint="eastAsia" w:hAnsi="宋体" w:cs="宋体"/>
          <w:color w:val="auto"/>
          <w:highlight w:val="none"/>
        </w:rPr>
        <w:t>（</w:t>
      </w:r>
      <w:r>
        <w:rPr>
          <w:color w:val="auto"/>
          <w:highlight w:val="none"/>
        </w:rPr>
        <w:t>1</w:t>
      </w:r>
      <w:r>
        <w:rPr>
          <w:rFonts w:hint="eastAsia" w:hAnsi="宋体" w:cs="宋体"/>
          <w:color w:val="auto"/>
          <w:highlight w:val="none"/>
        </w:rPr>
        <w:t>）监理人审查并报送发包人的期限：</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u w:val="single"/>
        </w:rPr>
      </w:pPr>
      <w:r>
        <w:rPr>
          <w:rFonts w:hint="eastAsia" w:hAnsi="宋体" w:cs="宋体"/>
          <w:color w:val="auto"/>
          <w:highlight w:val="none"/>
        </w:rPr>
        <w:t>发包人完成审批并签发进度款支付证书的期限：</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）发包人支付进度款的期限：</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550" w:firstLineChars="250"/>
        <w:jc w:val="left"/>
        <w:textAlignment w:val="auto"/>
        <w:rPr>
          <w:color w:val="auto"/>
          <w:highlight w:val="none"/>
        </w:rPr>
      </w:pPr>
      <w:r>
        <w:rPr>
          <w:rFonts w:hint="eastAsia" w:hAnsi="宋体" w:cs="宋体"/>
          <w:color w:val="auto"/>
          <w:highlight w:val="none"/>
        </w:rPr>
        <w:t>发包人逾期支付进度款的违约金的计算方式：</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660" w:firstLineChars="300"/>
        <w:textAlignment w:val="auto"/>
        <w:rPr>
          <w:rFonts w:hAnsi="宋体" w:cs="宋体"/>
          <w:color w:val="auto"/>
          <w:highlight w:val="none"/>
        </w:rPr>
      </w:pPr>
      <w:r>
        <w:rPr>
          <w:rFonts w:hint="eastAsia" w:hAnsi="宋体" w:cs="宋体"/>
          <w:color w:val="auto"/>
          <w:highlight w:val="none"/>
        </w:rPr>
        <w:t>进度款支付方式：</w:t>
      </w:r>
      <w:r>
        <w:rPr>
          <w:rFonts w:hint="eastAsia" w:hAnsi="宋体" w:cs="宋体"/>
          <w:color w:val="auto"/>
          <w:highlight w:val="none"/>
          <w:u w:val="single"/>
        </w:rPr>
        <w:t>银行转账</w:t>
      </w:r>
      <w:r>
        <w:rPr>
          <w:rFonts w:hint="eastAsia" w:hAnsi="宋体" w:cs="宋体"/>
          <w:color w:val="auto"/>
          <w:highlight w:val="none"/>
        </w:rPr>
        <w:t>。</w:t>
      </w:r>
      <w:r>
        <w:rPr>
          <w:rFonts w:hint="eastAsia"/>
          <w:color w:val="auto"/>
          <w:highlight w:val="none"/>
        </w:rPr>
        <w:t>进度款支付申请（核准）表见合同附件11。</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550" w:firstLineChars="250"/>
        <w:jc w:val="left"/>
        <w:textAlignment w:val="auto"/>
        <w:rPr>
          <w:rFonts w:hint="eastAsia" w:hAnsi="宋体"/>
          <w:color w:val="auto"/>
          <w:highlight w:val="none"/>
        </w:rPr>
      </w:pPr>
      <w:r>
        <w:rPr>
          <w:rFonts w:hint="eastAsia" w:hAnsi="宋体"/>
          <w:color w:val="auto"/>
          <w:highlight w:val="none"/>
        </w:rPr>
        <w:t>（3） 农民工工资支付</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rFonts w:hint="eastAsia" w:hAnsi="宋体"/>
          <w:color w:val="auto"/>
          <w:highlight w:val="none"/>
        </w:rPr>
      </w:pPr>
      <w:r>
        <w:rPr>
          <w:rFonts w:hint="eastAsia" w:hAnsi="宋体" w:cs="宋体"/>
          <w:color w:val="auto"/>
          <w:kern w:val="0"/>
          <w:highlight w:val="none"/>
        </w:rPr>
        <w:t>1）农民工工资应与其它工程进度款分帐管理。农民工工资必须按时足额支付，农民工费用拨付周期不得超过1个月，最</w:t>
      </w:r>
      <w:r>
        <w:rPr>
          <w:rFonts w:hAnsi="宋体" w:cs="宋体"/>
          <w:color w:val="auto"/>
          <w:kern w:val="0"/>
          <w:highlight w:val="none"/>
        </w:rPr>
        <w:t>少每月支付一次</w:t>
      </w:r>
      <w:r>
        <w:rPr>
          <w:rFonts w:hint="eastAsia" w:hAnsi="宋体" w:cs="宋体"/>
          <w:color w:val="auto"/>
          <w:kern w:val="0"/>
          <w:highlight w:val="none"/>
        </w:rPr>
        <w:t>，</w:t>
      </w:r>
      <w:r>
        <w:rPr>
          <w:rFonts w:hAnsi="宋体" w:cs="宋体"/>
          <w:color w:val="auto"/>
          <w:kern w:val="0"/>
          <w:highlight w:val="none"/>
        </w:rPr>
        <w:t>无工程款申请的月份</w:t>
      </w:r>
      <w:r>
        <w:rPr>
          <w:rFonts w:hint="eastAsia" w:hAnsi="宋体" w:cs="宋体"/>
          <w:color w:val="auto"/>
          <w:kern w:val="0"/>
          <w:highlight w:val="none"/>
        </w:rPr>
        <w:t>，</w:t>
      </w:r>
      <w:r>
        <w:rPr>
          <w:rFonts w:hAnsi="宋体" w:cs="宋体"/>
          <w:color w:val="auto"/>
          <w:kern w:val="0"/>
          <w:highlight w:val="none"/>
        </w:rPr>
        <w:t>承包人单独上</w:t>
      </w:r>
      <w:r>
        <w:rPr>
          <w:rFonts w:hint="eastAsia" w:hAnsi="宋体" w:cs="宋体"/>
          <w:color w:val="auto"/>
          <w:kern w:val="0"/>
          <w:highlight w:val="none"/>
        </w:rPr>
        <w:t>报</w:t>
      </w:r>
      <w:r>
        <w:rPr>
          <w:rFonts w:hAnsi="宋体" w:cs="宋体"/>
          <w:color w:val="auto"/>
          <w:kern w:val="0"/>
          <w:highlight w:val="none"/>
        </w:rPr>
        <w:t>农</w:t>
      </w:r>
      <w:r>
        <w:rPr>
          <w:rFonts w:hint="eastAsia" w:hAnsi="宋体" w:cs="宋体"/>
          <w:color w:val="auto"/>
          <w:kern w:val="0"/>
          <w:highlight w:val="none"/>
        </w:rPr>
        <w:t>民</w:t>
      </w:r>
      <w:r>
        <w:rPr>
          <w:rFonts w:hAnsi="宋体" w:cs="宋体"/>
          <w:color w:val="auto"/>
          <w:kern w:val="0"/>
          <w:highlight w:val="none"/>
        </w:rPr>
        <w:t>工工资</w:t>
      </w:r>
      <w:r>
        <w:rPr>
          <w:rFonts w:hint="eastAsia" w:hAnsi="宋体" w:cs="宋体"/>
          <w:color w:val="auto"/>
          <w:kern w:val="0"/>
          <w:highlight w:val="none"/>
        </w:rPr>
        <w:t>申请；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550" w:firstLineChars="250"/>
        <w:jc w:val="left"/>
        <w:textAlignment w:val="auto"/>
        <w:rPr>
          <w:rFonts w:hint="eastAsia" w:hAnsi="宋体"/>
          <w:color w:val="auto"/>
          <w:highlight w:val="none"/>
        </w:rPr>
      </w:pPr>
      <w:r>
        <w:rPr>
          <w:rFonts w:hint="eastAsia" w:hAnsi="宋体"/>
          <w:color w:val="auto"/>
          <w:highlight w:val="none"/>
        </w:rPr>
        <w:t>2）发包人依据工程进度，按与承包人约定的农民工支付比例，将工程人工费分账支付到承包人的农民工工资专户，工程完工时发包人向承包人农民工工资专户支付的完工工程量的人工费支付比例不低于   %，其余工程进度款项由发包人支付到承包人的单位基本户。</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550" w:firstLineChars="250"/>
        <w:jc w:val="left"/>
        <w:textAlignment w:val="auto"/>
        <w:rPr>
          <w:rFonts w:hint="eastAsia" w:hAnsi="宋体"/>
          <w:color w:val="auto"/>
          <w:highlight w:val="none"/>
        </w:rPr>
      </w:pPr>
      <w:r>
        <w:rPr>
          <w:rFonts w:hint="eastAsia" w:hAnsi="宋体"/>
          <w:color w:val="auto"/>
          <w:highlight w:val="none"/>
        </w:rPr>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   %。其余分包工程进度款项由承包人支付到分包人的单位基本户。</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550" w:firstLineChars="250"/>
        <w:jc w:val="left"/>
        <w:textAlignment w:val="auto"/>
        <w:rPr>
          <w:rFonts w:hint="eastAsia" w:hAnsi="宋体"/>
          <w:color w:val="auto"/>
          <w:highlight w:val="none"/>
        </w:rPr>
      </w:pPr>
      <w:r>
        <w:rPr>
          <w:rFonts w:hint="eastAsia" w:hAnsi="宋体"/>
          <w:color w:val="auto"/>
          <w:highlight w:val="none"/>
        </w:rPr>
        <w:t>4）凡未向付款单位提供农民工工资专户的，或者请款单位在申请工程进度款时未将人工费单列的，付款单位有权拒绝支付工程进度款。</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rFonts w:hint="eastAsia" w:hAnsi="宋体" w:cs="宋体"/>
          <w:color w:val="auto"/>
          <w:kern w:val="0"/>
          <w:highlight w:val="none"/>
        </w:rPr>
      </w:pPr>
      <w:r>
        <w:rPr>
          <w:rFonts w:hint="eastAsia" w:hAnsi="宋体" w:cs="宋体"/>
          <w:color w:val="auto"/>
          <w:kern w:val="0"/>
          <w:highlight w:val="none"/>
        </w:rPr>
        <w:t>5）农民工工资使用要求：专款专用，除发放工人工资外，不得用于其他用途。</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rFonts w:hint="eastAsia" w:hAnsi="宋体" w:cs="宋体"/>
          <w:color w:val="auto"/>
          <w:kern w:val="0"/>
          <w:highlight w:val="none"/>
        </w:rPr>
      </w:pPr>
      <w:r>
        <w:rPr>
          <w:rFonts w:hint="eastAsia" w:hAnsi="宋体" w:cs="宋体"/>
          <w:color w:val="auto"/>
          <w:kern w:val="0"/>
          <w:highlight w:val="none"/>
        </w:rPr>
        <w:t>6）承包人将农民工工资</w:t>
      </w:r>
      <w:r>
        <w:rPr>
          <w:rFonts w:hAnsi="宋体" w:cs="宋体"/>
          <w:color w:val="auto"/>
          <w:kern w:val="0"/>
          <w:highlight w:val="none"/>
        </w:rPr>
        <w:t>支付</w:t>
      </w:r>
      <w:r>
        <w:rPr>
          <w:rFonts w:hint="eastAsia" w:hAnsi="宋体" w:cs="宋体"/>
          <w:color w:val="auto"/>
          <w:kern w:val="0"/>
          <w:highlight w:val="none"/>
        </w:rPr>
        <w:t>情况定期报告发包人和监理单位，并提供相应的材料接受建设行政主管部门和劳动保障行政主管部门对此事项监管。</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jc w:val="left"/>
        <w:textAlignment w:val="auto"/>
        <w:rPr>
          <w:rFonts w:hint="eastAsia" w:hAnsi="宋体" w:cs="宋体"/>
          <w:color w:val="auto"/>
          <w:kern w:val="0"/>
          <w:highlight w:val="none"/>
        </w:rPr>
      </w:pPr>
      <w:r>
        <w:rPr>
          <w:rFonts w:hint="eastAsia" w:hAnsi="宋体" w:cs="宋体"/>
          <w:color w:val="auto"/>
          <w:kern w:val="0"/>
          <w:highlight w:val="none"/>
        </w:rPr>
        <w:t>（4）农民工工资支付专用账户：</w:t>
      </w:r>
      <w:r>
        <w:rPr>
          <w:rFonts w:hAnsi="宋体" w:cs="宋体"/>
          <w:color w:val="auto"/>
          <w:kern w:val="0"/>
          <w:highlight w:val="none"/>
        </w:rPr>
        <w:t>××××</w:t>
      </w:r>
      <w:r>
        <w:rPr>
          <w:rFonts w:hint="eastAsia" w:hAnsi="宋体" w:cs="宋体"/>
          <w:color w:val="auto"/>
          <w:kern w:val="0"/>
          <w:highlight w:val="none"/>
        </w:rPr>
        <w:t>公司农民工工资支付专用账户</w:t>
      </w:r>
      <w:r>
        <w:rPr>
          <w:rFonts w:hAnsi="宋体" w:cs="宋体"/>
          <w:color w:val="auto"/>
          <w:kern w:val="0"/>
          <w:highlight w:val="none"/>
        </w:rPr>
        <w:t xml:space="preserve"> </w:t>
      </w:r>
      <w:r>
        <w:rPr>
          <w:rFonts w:hint="eastAsia" w:hAnsi="宋体" w:cs="宋体"/>
          <w:color w:val="auto"/>
          <w:kern w:val="0"/>
          <w:highlight w:val="none"/>
        </w:rPr>
        <w:t>。账号：</w:t>
      </w:r>
      <w:r>
        <w:rPr>
          <w:rFonts w:hint="eastAsia" w:hAnsi="宋体" w:cs="宋体"/>
          <w:color w:val="auto"/>
          <w:kern w:val="0"/>
          <w:highlight w:val="none"/>
          <w:u w:val="single"/>
        </w:rPr>
        <w:t xml:space="preserve">      。</w:t>
      </w:r>
      <w:r>
        <w:rPr>
          <w:rFonts w:hint="eastAsia" w:hAnsi="宋体" w:cs="宋体"/>
          <w:color w:val="auto"/>
          <w:kern w:val="0"/>
          <w:highlight w:val="none"/>
        </w:rPr>
        <w:t xml:space="preserve"> （5）</w:t>
      </w:r>
      <w:r>
        <w:rPr>
          <w:rFonts w:hint="eastAsia" w:hAnsi="宋体"/>
          <w:color w:val="auto"/>
          <w:szCs w:val="21"/>
          <w:highlight w:val="none"/>
        </w:rPr>
        <w:t>外地企业在申请工程款（含预付款）项时，必须提供增值税预缴凭证。</w:t>
      </w:r>
    </w:p>
    <w:p>
      <w:pPr>
        <w:keepNext w:val="0"/>
        <w:keepLines w:val="0"/>
        <w:pageBreakBefore w:val="0"/>
        <w:widowControl w:val="0"/>
        <w:kinsoku/>
        <w:wordWrap/>
        <w:overflowPunct/>
        <w:topLinePunct w:val="0"/>
        <w:autoSpaceDE w:val="0"/>
        <w:autoSpaceDN w:val="0"/>
        <w:bidi w:val="0"/>
        <w:snapToGrid/>
        <w:spacing w:line="360" w:lineRule="auto"/>
        <w:ind w:left="0" w:leftChars="0" w:right="0"/>
        <w:jc w:val="left"/>
        <w:textAlignment w:val="auto"/>
        <w:rPr>
          <w:rFonts w:hAnsi="宋体"/>
          <w:color w:val="auto"/>
          <w:highlight w:val="none"/>
        </w:rPr>
      </w:pPr>
      <w:r>
        <w:rPr>
          <w:color w:val="auto"/>
          <w:highlight w:val="none"/>
        </w:rPr>
        <w:t xml:space="preserve">12.4.6 </w:t>
      </w:r>
      <w:r>
        <w:rPr>
          <w:rFonts w:hint="eastAsia" w:hAnsi="宋体" w:cs="宋体"/>
          <w:color w:val="auto"/>
          <w:highlight w:val="none"/>
        </w:rPr>
        <w:t>支付分解表的编制</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550" w:firstLineChars="250"/>
        <w:jc w:val="left"/>
        <w:textAlignment w:val="auto"/>
        <w:rPr>
          <w:color w:val="auto"/>
          <w:highlight w:val="none"/>
          <w:u w:val="single"/>
        </w:rPr>
      </w:pPr>
      <w:r>
        <w:rPr>
          <w:rFonts w:hint="eastAsia"/>
          <w:color w:val="auto"/>
          <w:highlight w:val="none"/>
        </w:rPr>
        <w:t>（</w:t>
      </w:r>
      <w:r>
        <w:rPr>
          <w:color w:val="auto"/>
          <w:highlight w:val="none"/>
        </w:rPr>
        <w:t>1</w:t>
      </w:r>
      <w:r>
        <w:rPr>
          <w:rFonts w:hint="eastAsia"/>
          <w:color w:val="auto"/>
          <w:highlight w:val="none"/>
        </w:rPr>
        <w:t>）</w:t>
      </w:r>
      <w:r>
        <w:rPr>
          <w:rFonts w:hAnsi="宋体"/>
          <w:color w:val="auto"/>
          <w:highlight w:val="none"/>
        </w:rPr>
        <w:t xml:space="preserve"> </w:t>
      </w:r>
      <w:r>
        <w:rPr>
          <w:rFonts w:hint="eastAsia" w:hAnsi="宋体" w:cs="宋体"/>
          <w:color w:val="auto"/>
          <w:highlight w:val="none"/>
        </w:rPr>
        <w:t>总价合同支付分解表的编制与审批：</w:t>
      </w:r>
      <w:r>
        <w:rPr>
          <w:color w:val="auto"/>
          <w:highlight w:val="none"/>
          <w:u w:val="single"/>
        </w:rPr>
        <w:t xml:space="preserve">  </w:t>
      </w:r>
      <w:r>
        <w:rPr>
          <w:rFonts w:hint="eastAsia"/>
          <w:color w:val="auto"/>
          <w:highlight w:val="none"/>
          <w:u w:val="single"/>
        </w:rPr>
        <w:t>总价合同支付分分解表在招标完成后由发包人和承包人共同编制，发包人审批，并作为本合同内容，具体详见合同附件14。</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550" w:firstLineChars="250"/>
        <w:jc w:val="left"/>
        <w:textAlignment w:val="auto"/>
        <w:rPr>
          <w:color w:val="auto"/>
          <w:highlight w:val="none"/>
          <w:u w:val="single"/>
        </w:rPr>
      </w:pPr>
      <w:r>
        <w:rPr>
          <w:rFonts w:hint="eastAsia"/>
          <w:color w:val="auto"/>
          <w:highlight w:val="none"/>
        </w:rPr>
        <w:t>（2）</w:t>
      </w:r>
      <w:r>
        <w:rPr>
          <w:rFonts w:hint="eastAsia" w:hAnsi="宋体" w:cs="宋体"/>
          <w:color w:val="auto"/>
          <w:highlight w:val="none"/>
        </w:rPr>
        <w:t>单价合同的总价项目支付分解表的编制与审批：总价项目不采用支付分解表的方式计算，而按《建设工程工程量清单计价规范（</w:t>
      </w:r>
      <w:r>
        <w:rPr>
          <w:rFonts w:hAnsi="宋体"/>
          <w:color w:val="auto"/>
          <w:highlight w:val="none"/>
        </w:rPr>
        <w:t>GB50500-2013</w:t>
      </w:r>
      <w:r>
        <w:rPr>
          <w:rFonts w:hint="eastAsia" w:hAnsi="宋体" w:cs="宋体"/>
          <w:color w:val="auto"/>
          <w:highlight w:val="none"/>
        </w:rPr>
        <w:t>）广西壮族自治区实施细则》的规定执行。</w:t>
      </w:r>
    </w:p>
    <w:bookmarkEnd w:id="875"/>
    <w:p>
      <w:pPr>
        <w:pStyle w:val="5"/>
        <w:keepNext w:val="0"/>
        <w:keepLines w:val="0"/>
        <w:pageBreakBefore w:val="0"/>
        <w:widowControl w:val="0"/>
        <w:kinsoku/>
        <w:wordWrap/>
        <w:overflowPunct/>
        <w:topLinePunct w:val="0"/>
        <w:autoSpaceDE w:val="0"/>
        <w:autoSpaceDN w:val="0"/>
        <w:bidi w:val="0"/>
        <w:snapToGrid/>
        <w:spacing w:before="0" w:line="360" w:lineRule="auto"/>
        <w:ind w:left="0" w:leftChars="0" w:right="0"/>
        <w:textAlignment w:val="auto"/>
        <w:rPr>
          <w:color w:val="auto"/>
          <w:highlight w:val="none"/>
        </w:rPr>
      </w:pPr>
      <w:bookmarkStart w:id="1168" w:name="_Toc373227753"/>
      <w:bookmarkStart w:id="1169" w:name="_Toc32202"/>
      <w:bookmarkStart w:id="1170" w:name="_Toc20784"/>
      <w:bookmarkStart w:id="1171" w:name="_Toc407135256"/>
      <w:bookmarkStart w:id="1172" w:name="_Toc14001"/>
      <w:bookmarkStart w:id="1173" w:name="_Toc389065318"/>
      <w:bookmarkStart w:id="1174" w:name="_Toc373478400"/>
      <w:bookmarkStart w:id="1175" w:name="_Toc9850584"/>
      <w:bookmarkStart w:id="1176" w:name="_Toc351203645"/>
      <w:bookmarkStart w:id="1177" w:name="_Toc27068"/>
      <w:bookmarkStart w:id="1178" w:name="_Toc296891047"/>
      <w:bookmarkStart w:id="1179" w:name="_Toc296347218"/>
      <w:bookmarkStart w:id="1180" w:name="_Toc303539172"/>
      <w:bookmarkStart w:id="1181" w:name="_Toc297216223"/>
      <w:bookmarkStart w:id="1182" w:name="_Toc296891259"/>
      <w:bookmarkStart w:id="1183" w:name="_Toc296503219"/>
      <w:bookmarkStart w:id="1184" w:name="_Toc297120519"/>
      <w:bookmarkStart w:id="1185" w:name="_Toc312678053"/>
      <w:bookmarkStart w:id="1186" w:name="_Toc300935015"/>
      <w:bookmarkStart w:id="1187" w:name="_Toc304295593"/>
      <w:bookmarkStart w:id="1188" w:name="_Toc296346720"/>
      <w:bookmarkStart w:id="1189" w:name="_Toc297048405"/>
      <w:bookmarkStart w:id="1190" w:name="_Toc292559929"/>
      <w:bookmarkStart w:id="1191" w:name="_Toc297123564"/>
      <w:bookmarkStart w:id="1192" w:name="_Toc296944558"/>
      <w:bookmarkStart w:id="1193" w:name="_Toc292559424"/>
      <w:r>
        <w:rPr>
          <w:color w:val="auto"/>
          <w:highlight w:val="none"/>
        </w:rPr>
        <w:t xml:space="preserve">13. </w:t>
      </w:r>
      <w:r>
        <w:rPr>
          <w:rFonts w:hint="eastAsia" w:cs="黑体"/>
          <w:color w:val="auto"/>
          <w:highlight w:val="none"/>
        </w:rPr>
        <w:t>验收和工程试车</w:t>
      </w:r>
      <w:bookmarkEnd w:id="1168"/>
      <w:bookmarkEnd w:id="1169"/>
      <w:bookmarkEnd w:id="1170"/>
      <w:bookmarkEnd w:id="1171"/>
      <w:bookmarkEnd w:id="1172"/>
      <w:bookmarkEnd w:id="1173"/>
      <w:bookmarkEnd w:id="1174"/>
      <w:bookmarkEnd w:id="1175"/>
      <w:bookmarkEnd w:id="1176"/>
      <w:bookmarkEnd w:id="1177"/>
    </w:p>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1194" w:name="_Toc389065319"/>
      <w:bookmarkStart w:id="1195" w:name="_Toc12559"/>
      <w:bookmarkStart w:id="1196" w:name="_Toc9850585"/>
      <w:bookmarkStart w:id="1197" w:name="_Toc2071"/>
      <w:bookmarkStart w:id="1198" w:name="_Toc373478401"/>
      <w:bookmarkStart w:id="1199" w:name="_Toc373227754"/>
      <w:bookmarkStart w:id="1200" w:name="_Toc407135257"/>
      <w:bookmarkStart w:id="1201" w:name="_Toc21817"/>
      <w:bookmarkStart w:id="1202" w:name="_Toc15639"/>
      <w:r>
        <w:rPr>
          <w:color w:val="auto"/>
          <w:highlight w:val="none"/>
        </w:rPr>
        <w:t xml:space="preserve">13.1 </w:t>
      </w:r>
      <w:r>
        <w:rPr>
          <w:rFonts w:hint="eastAsia" w:cs="黑体"/>
          <w:color w:val="auto"/>
          <w:highlight w:val="none"/>
        </w:rPr>
        <w:t>分部分项工程验收</w:t>
      </w:r>
      <w:bookmarkEnd w:id="1194"/>
      <w:bookmarkEnd w:id="1195"/>
      <w:bookmarkEnd w:id="1196"/>
      <w:bookmarkEnd w:id="1197"/>
      <w:bookmarkEnd w:id="1198"/>
      <w:bookmarkEnd w:id="1199"/>
      <w:bookmarkEnd w:id="1200"/>
      <w:bookmarkEnd w:id="1201"/>
      <w:bookmarkEnd w:id="1202"/>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color w:val="auto"/>
          <w:highlight w:val="none"/>
        </w:rPr>
        <w:t>13.1.2</w:t>
      </w:r>
      <w:r>
        <w:rPr>
          <w:rFonts w:hint="eastAsia" w:hAnsi="宋体" w:cs="宋体"/>
          <w:color w:val="auto"/>
          <w:highlight w:val="none"/>
        </w:rPr>
        <w:t>监理人不能按时进行验收时，应提前</w:t>
      </w:r>
      <w:r>
        <w:rPr>
          <w:color w:val="auto"/>
          <w:highlight w:val="none"/>
          <w:u w:val="single"/>
        </w:rPr>
        <w:t xml:space="preserve">   </w:t>
      </w:r>
      <w:r>
        <w:rPr>
          <w:rFonts w:hint="eastAsia"/>
          <w:color w:val="auto"/>
          <w:highlight w:val="none"/>
          <w:u w:val="single"/>
          <w:lang w:val="en-US" w:eastAsia="zh-CN"/>
        </w:rPr>
        <w:t>12</w:t>
      </w:r>
      <w:r>
        <w:rPr>
          <w:color w:val="auto"/>
          <w:highlight w:val="none"/>
          <w:u w:val="single"/>
        </w:rPr>
        <w:t xml:space="preserve">   </w:t>
      </w:r>
      <w:r>
        <w:rPr>
          <w:rFonts w:hint="eastAsia" w:hAnsi="宋体" w:cs="宋体"/>
          <w:color w:val="auto"/>
          <w:highlight w:val="none"/>
        </w:rPr>
        <w:t>小时提交书面延期要求。</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b/>
          <w:bCs/>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color w:val="auto"/>
          <w:highlight w:val="none"/>
          <w:u w:val="single"/>
          <w:lang w:val="en-US" w:eastAsia="zh-CN"/>
        </w:rPr>
        <w:t>48</w:t>
      </w:r>
      <w:r>
        <w:rPr>
          <w:color w:val="auto"/>
          <w:highlight w:val="none"/>
          <w:u w:val="single"/>
        </w:rPr>
        <w:t xml:space="preserve">   </w:t>
      </w:r>
      <w:r>
        <w:rPr>
          <w:rFonts w:hint="eastAsia" w:hAnsi="宋体" w:cs="宋体"/>
          <w:color w:val="auto"/>
          <w:highlight w:val="none"/>
        </w:rPr>
        <w:t>小时。</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1203" w:name="_Toc26123"/>
      <w:bookmarkStart w:id="1204" w:name="_Toc7395"/>
      <w:bookmarkStart w:id="1205" w:name="_Toc373227755"/>
      <w:bookmarkStart w:id="1206" w:name="_Toc9850586"/>
      <w:bookmarkStart w:id="1207" w:name="_Toc373478402"/>
      <w:bookmarkStart w:id="1208" w:name="_Toc389065320"/>
      <w:bookmarkStart w:id="1209" w:name="_Toc407135258"/>
      <w:bookmarkStart w:id="1210" w:name="_Toc12082"/>
      <w:bookmarkStart w:id="1211" w:name="_Toc11309"/>
      <w:bookmarkStart w:id="1212" w:name="_Toc312678056"/>
      <w:bookmarkStart w:id="1213" w:name="_Toc292559933"/>
      <w:bookmarkStart w:id="1214" w:name="_Toc297048409"/>
      <w:bookmarkStart w:id="1215" w:name="_Toc296944562"/>
      <w:bookmarkStart w:id="1216" w:name="_Toc303539173"/>
      <w:bookmarkStart w:id="1217" w:name="_Toc292559428"/>
      <w:bookmarkStart w:id="1218" w:name="_Toc296347222"/>
      <w:bookmarkStart w:id="1219" w:name="_Toc297216224"/>
      <w:bookmarkStart w:id="1220" w:name="_Toc296503223"/>
      <w:bookmarkStart w:id="1221" w:name="_Toc296891263"/>
      <w:bookmarkStart w:id="1222" w:name="_Toc304295596"/>
      <w:bookmarkStart w:id="1223" w:name="_Toc300935016"/>
      <w:bookmarkStart w:id="1224" w:name="_Toc296346724"/>
      <w:bookmarkStart w:id="1225" w:name="_Toc296891051"/>
      <w:bookmarkStart w:id="1226" w:name="_Toc297123565"/>
      <w:bookmarkStart w:id="1227" w:name="_Toc297120523"/>
      <w:bookmarkStart w:id="1228" w:name="_Toc267251474"/>
      <w:bookmarkStart w:id="1229" w:name="_Toc267251476"/>
      <w:bookmarkStart w:id="1230" w:name="_Toc267251473"/>
      <w:bookmarkStart w:id="1231" w:name="_Toc267251475"/>
      <w:bookmarkStart w:id="1232" w:name="_Toc267251470"/>
      <w:bookmarkStart w:id="1233" w:name="_Toc267251472"/>
      <w:bookmarkStart w:id="1234" w:name="_Toc267251471"/>
      <w:r>
        <w:rPr>
          <w:color w:val="auto"/>
          <w:highlight w:val="none"/>
        </w:rPr>
        <w:t xml:space="preserve">13.2 </w:t>
      </w:r>
      <w:r>
        <w:rPr>
          <w:rFonts w:hint="eastAsia" w:hAnsi="宋体" w:cs="黑体"/>
          <w:color w:val="auto"/>
          <w:highlight w:val="none"/>
        </w:rPr>
        <w:t>竣工验收</w:t>
      </w:r>
      <w:bookmarkEnd w:id="1203"/>
      <w:bookmarkEnd w:id="1204"/>
      <w:bookmarkEnd w:id="1205"/>
      <w:bookmarkEnd w:id="1206"/>
      <w:bookmarkEnd w:id="1207"/>
      <w:bookmarkEnd w:id="1208"/>
      <w:bookmarkEnd w:id="1209"/>
      <w:bookmarkEnd w:id="1210"/>
      <w:bookmarkEnd w:id="1211"/>
    </w:p>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bookmarkStart w:id="1235" w:name="_Toc280868704"/>
      <w:bookmarkStart w:id="1236" w:name="_Toc280868705"/>
      <w:bookmarkStart w:id="1237" w:name="_Toc280868706"/>
      <w:bookmarkStart w:id="1238" w:name="_Toc280868707"/>
      <w:bookmarkStart w:id="1239" w:name="_Toc280868708"/>
      <w:bookmarkStart w:id="1240" w:name="_Toc280868709"/>
      <w:r>
        <w:rPr>
          <w:color w:val="auto"/>
          <w:highlight w:val="none"/>
        </w:rPr>
        <w:t>13.2.1</w:t>
      </w:r>
      <w:r>
        <w:rPr>
          <w:rFonts w:hint="eastAsia" w:hAnsi="宋体" w:cs="宋体"/>
          <w:color w:val="auto"/>
          <w:highlight w:val="none"/>
        </w:rPr>
        <w:t>竣工验收条件</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承包人负责整理和提交的竣工验收资料应当符合工程所在地建设行政主管部门和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城市建设档案管理机构有关施工资料的要求，具体内容包括：</w:t>
      </w:r>
      <w:r>
        <w:rPr>
          <w:color w:val="auto"/>
          <w:highlight w:val="none"/>
          <w:u w:val="single"/>
        </w:rPr>
        <w:t xml:space="preserve">  </w:t>
      </w:r>
      <w:r>
        <w:rPr>
          <w:rStyle w:val="31"/>
          <w:rFonts w:hint="eastAsia" w:ascii="宋体" w:hAnsi="宋体" w:eastAsia="宋体" w:cs="宋体"/>
          <w:b w:val="0"/>
          <w:bCs w:val="0"/>
          <w:color w:val="auto"/>
          <w:sz w:val="21"/>
          <w:szCs w:val="21"/>
          <w:highlight w:val="none"/>
          <w:u w:val="single"/>
        </w:rPr>
        <w:t>按通用条款第 13.2.1 款执行并满足发包人要求</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int="eastAsia" w:hAnsi="宋体" w:cs="宋体"/>
          <w:color w:val="auto"/>
          <w:highlight w:val="none"/>
        </w:rPr>
        <w:t>竣工验收资料的份数：</w:t>
      </w:r>
      <w:r>
        <w:rPr>
          <w:color w:val="auto"/>
          <w:highlight w:val="none"/>
          <w:u w:val="single"/>
        </w:rPr>
        <w:t xml:space="preserve">  </w:t>
      </w:r>
      <w:r>
        <w:rPr>
          <w:rStyle w:val="31"/>
          <w:rFonts w:hint="eastAsia" w:ascii="宋体" w:hAnsi="宋体" w:eastAsia="宋体" w:cs="宋体"/>
          <w:b w:val="0"/>
          <w:bCs w:val="0"/>
          <w:color w:val="auto"/>
          <w:sz w:val="21"/>
          <w:szCs w:val="21"/>
          <w:highlight w:val="none"/>
          <w:u w:val="single"/>
          <w:lang w:val="en-US" w:eastAsia="zh-CN"/>
        </w:rPr>
        <w:t>肆</w:t>
      </w:r>
      <w:r>
        <w:rPr>
          <w:rStyle w:val="31"/>
          <w:rFonts w:hint="eastAsia" w:ascii="宋体" w:hAnsi="宋体" w:eastAsia="宋体" w:cs="宋体"/>
          <w:b w:val="0"/>
          <w:bCs w:val="0"/>
          <w:color w:val="auto"/>
          <w:sz w:val="21"/>
          <w:szCs w:val="21"/>
          <w:highlight w:val="none"/>
          <w:u w:val="single"/>
        </w:rPr>
        <w:t>套</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承包人提供竣工图的约定：</w:t>
      </w:r>
      <w:r>
        <w:rPr>
          <w:rFonts w:hint="eastAsia" w:hAnsi="宋体" w:cs="宋体"/>
          <w:color w:val="auto"/>
          <w:highlight w:val="none"/>
          <w:u w:val="single"/>
        </w:rPr>
        <w:t>竣工验收正式通过后</w:t>
      </w:r>
      <w:r>
        <w:rPr>
          <w:color w:val="auto"/>
          <w:highlight w:val="none"/>
          <w:u w:val="single"/>
        </w:rPr>
        <w:t>5</w:t>
      </w:r>
      <w:r>
        <w:rPr>
          <w:rFonts w:hint="eastAsia" w:hAnsi="宋体" w:cs="宋体"/>
          <w:color w:val="auto"/>
          <w:highlight w:val="none"/>
          <w:u w:val="single"/>
        </w:rPr>
        <w:t>天（工程造价在</w:t>
      </w:r>
      <w:r>
        <w:rPr>
          <w:color w:val="auto"/>
          <w:highlight w:val="none"/>
          <w:u w:val="single"/>
        </w:rPr>
        <w:t>500</w:t>
      </w:r>
      <w:r>
        <w:rPr>
          <w:rFonts w:hint="eastAsia" w:hAnsi="宋体" w:cs="宋体"/>
          <w:color w:val="auto"/>
          <w:highlight w:val="none"/>
          <w:u w:val="single"/>
        </w:rPr>
        <w:t>万元以下含</w:t>
      </w:r>
      <w:r>
        <w:rPr>
          <w:color w:val="auto"/>
          <w:highlight w:val="none"/>
          <w:u w:val="single"/>
        </w:rPr>
        <w:t>500</w:t>
      </w:r>
      <w:r>
        <w:rPr>
          <w:rFonts w:hint="eastAsia" w:hAnsi="宋体" w:cs="宋体"/>
          <w:color w:val="auto"/>
          <w:highlight w:val="none"/>
          <w:u w:val="single"/>
        </w:rPr>
        <w:t>万元）、</w:t>
      </w:r>
      <w:r>
        <w:rPr>
          <w:color w:val="auto"/>
          <w:highlight w:val="none"/>
          <w:u w:val="single"/>
        </w:rPr>
        <w:t>10</w:t>
      </w:r>
      <w:r>
        <w:rPr>
          <w:rFonts w:hint="eastAsia" w:hAnsi="宋体" w:cs="宋体"/>
          <w:color w:val="auto"/>
          <w:highlight w:val="none"/>
          <w:u w:val="single"/>
        </w:rPr>
        <w:t>天（工程造价在</w:t>
      </w:r>
      <w:r>
        <w:rPr>
          <w:color w:val="auto"/>
          <w:highlight w:val="none"/>
          <w:u w:val="single"/>
        </w:rPr>
        <w:t>500</w:t>
      </w:r>
      <w:r>
        <w:rPr>
          <w:rFonts w:hint="eastAsia" w:hAnsi="宋体" w:cs="宋体"/>
          <w:color w:val="auto"/>
          <w:highlight w:val="none"/>
          <w:u w:val="single"/>
        </w:rPr>
        <w:t>万元至</w:t>
      </w:r>
      <w:r>
        <w:rPr>
          <w:color w:val="auto"/>
          <w:highlight w:val="none"/>
          <w:u w:val="single"/>
        </w:rPr>
        <w:t>1000</w:t>
      </w:r>
      <w:r>
        <w:rPr>
          <w:rFonts w:hint="eastAsia" w:hAnsi="宋体" w:cs="宋体"/>
          <w:color w:val="auto"/>
          <w:highlight w:val="none"/>
          <w:u w:val="single"/>
        </w:rPr>
        <w:t>万元之间含</w:t>
      </w:r>
      <w:r>
        <w:rPr>
          <w:color w:val="auto"/>
          <w:highlight w:val="none"/>
          <w:u w:val="single"/>
        </w:rPr>
        <w:t>1000</w:t>
      </w:r>
      <w:r>
        <w:rPr>
          <w:rFonts w:hint="eastAsia" w:hAnsi="宋体" w:cs="宋体"/>
          <w:color w:val="auto"/>
          <w:highlight w:val="none"/>
          <w:u w:val="single"/>
        </w:rPr>
        <w:t>万元）、</w:t>
      </w:r>
      <w:r>
        <w:rPr>
          <w:color w:val="auto"/>
          <w:highlight w:val="none"/>
          <w:u w:val="single"/>
        </w:rPr>
        <w:t>15</w:t>
      </w:r>
      <w:r>
        <w:rPr>
          <w:rFonts w:hint="eastAsia" w:hAnsi="宋体" w:cs="宋体"/>
          <w:color w:val="auto"/>
          <w:highlight w:val="none"/>
          <w:u w:val="single"/>
        </w:rPr>
        <w:t>天（工程造价在</w:t>
      </w:r>
      <w:r>
        <w:rPr>
          <w:color w:val="auto"/>
          <w:highlight w:val="none"/>
          <w:u w:val="single"/>
        </w:rPr>
        <w:t>1000</w:t>
      </w:r>
      <w:r>
        <w:rPr>
          <w:rFonts w:hint="eastAsia" w:hAnsi="宋体" w:cs="宋体"/>
          <w:color w:val="auto"/>
          <w:highlight w:val="none"/>
          <w:u w:val="single"/>
        </w:rPr>
        <w:t>万元以上），提供竣工图的数量分别为</w:t>
      </w:r>
      <w:r>
        <w:rPr>
          <w:color w:val="auto"/>
          <w:highlight w:val="none"/>
          <w:u w:val="single"/>
        </w:rPr>
        <w:t>2</w:t>
      </w:r>
      <w:r>
        <w:rPr>
          <w:rFonts w:hint="eastAsia" w:hAnsi="宋体" w:cs="宋体"/>
          <w:color w:val="auto"/>
          <w:highlight w:val="none"/>
          <w:u w:val="single"/>
        </w:rPr>
        <w:t>套、</w:t>
      </w:r>
      <w:r>
        <w:rPr>
          <w:color w:val="auto"/>
          <w:highlight w:val="none"/>
          <w:u w:val="single"/>
        </w:rPr>
        <w:t>4</w:t>
      </w:r>
      <w:r>
        <w:rPr>
          <w:rFonts w:hint="eastAsia" w:hAnsi="宋体" w:cs="宋体"/>
          <w:color w:val="auto"/>
          <w:highlight w:val="none"/>
          <w:u w:val="single"/>
        </w:rPr>
        <w:t>套、</w:t>
      </w:r>
      <w:r>
        <w:rPr>
          <w:color w:val="auto"/>
          <w:highlight w:val="none"/>
          <w:u w:val="single"/>
        </w:rPr>
        <w:t>6</w:t>
      </w:r>
      <w:r>
        <w:rPr>
          <w:rFonts w:hint="eastAsia" w:hAnsi="宋体" w:cs="宋体"/>
          <w:color w:val="auto"/>
          <w:highlight w:val="none"/>
          <w:u w:val="single"/>
        </w:rPr>
        <w:t>套。</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color w:val="auto"/>
          <w:highlight w:val="none"/>
        </w:rPr>
        <w:t>13.2.2</w:t>
      </w:r>
      <w:r>
        <w:rPr>
          <w:rFonts w:hint="eastAsia" w:hAnsi="宋体" w:cs="宋体"/>
          <w:color w:val="auto"/>
          <w:highlight w:val="none"/>
        </w:rPr>
        <w:t>竣工验收程序</w:t>
      </w:r>
    </w:p>
    <w:bookmarkEnd w:id="1235"/>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jc w:val="left"/>
        <w:textAlignment w:val="auto"/>
        <w:rPr>
          <w:color w:val="auto"/>
          <w:sz w:val="22"/>
          <w:szCs w:val="22"/>
          <w:highlight w:val="none"/>
          <w:u w:val="single"/>
        </w:rPr>
      </w:pPr>
      <w:r>
        <w:rPr>
          <w:rFonts w:hint="eastAsia" w:hAnsi="宋体" w:cs="宋体"/>
          <w:color w:val="auto"/>
          <w:kern w:val="0"/>
          <w:sz w:val="22"/>
          <w:szCs w:val="22"/>
          <w:highlight w:val="none"/>
        </w:rPr>
        <w:t>关于竣工验收程序的约定：</w:t>
      </w:r>
      <w:r>
        <w:rPr>
          <w:color w:val="auto"/>
          <w:sz w:val="22"/>
          <w:szCs w:val="22"/>
          <w:highlight w:val="none"/>
          <w:u w:val="single"/>
        </w:rPr>
        <w:t xml:space="preserve">   </w:t>
      </w:r>
      <w:r>
        <w:rPr>
          <w:rStyle w:val="31"/>
          <w:rFonts w:hint="eastAsia" w:ascii="宋体" w:hAnsi="宋体" w:eastAsia="宋体" w:cs="宋体"/>
          <w:b w:val="0"/>
          <w:bCs w:val="0"/>
          <w:color w:val="auto"/>
          <w:kern w:val="2"/>
          <w:sz w:val="22"/>
          <w:szCs w:val="22"/>
          <w:highlight w:val="none"/>
          <w:u w:val="single"/>
          <w:lang w:val="en-US" w:eastAsia="zh-CN" w:bidi="ar-SA"/>
        </w:rPr>
        <w:t>按工程所在地建设行政主管部门和城市建设档案管理机构有关验收程序的要求进行</w:t>
      </w:r>
      <w:r>
        <w:rPr>
          <w:color w:val="auto"/>
          <w:sz w:val="22"/>
          <w:szCs w:val="22"/>
          <w:highlight w:val="none"/>
          <w:u w:val="single"/>
        </w:rPr>
        <w:t xml:space="preserve">    </w:t>
      </w:r>
      <w:r>
        <w:rPr>
          <w:rFonts w:hint="eastAsia" w:hAnsi="宋体" w:cs="宋体"/>
          <w:color w:val="auto"/>
          <w:sz w:val="22"/>
          <w:szCs w:val="22"/>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jc w:val="left"/>
        <w:textAlignment w:val="auto"/>
        <w:rPr>
          <w:color w:val="auto"/>
          <w:sz w:val="22"/>
          <w:szCs w:val="22"/>
          <w:highlight w:val="none"/>
        </w:rPr>
      </w:pPr>
      <w:r>
        <w:rPr>
          <w:rFonts w:hint="eastAsia" w:hAnsi="宋体" w:cs="宋体"/>
          <w:color w:val="auto"/>
          <w:kern w:val="0"/>
          <w:sz w:val="22"/>
          <w:szCs w:val="22"/>
          <w:highlight w:val="none"/>
        </w:rPr>
        <w:t>发包人不按照本项约定组织竣工验收、颁发工程接收证书的违约金的计算方法：</w:t>
      </w:r>
      <w:r>
        <w:rPr>
          <w:color w:val="auto"/>
          <w:sz w:val="22"/>
          <w:szCs w:val="22"/>
          <w:highlight w:val="none"/>
          <w:u w:val="single"/>
        </w:rPr>
        <w:t xml:space="preserve">  </w:t>
      </w:r>
      <w:r>
        <w:rPr>
          <w:rStyle w:val="31"/>
          <w:rFonts w:hint="eastAsia" w:ascii="宋体" w:hAnsi="宋体" w:eastAsia="宋体" w:cs="宋体"/>
          <w:b w:val="0"/>
          <w:bCs w:val="0"/>
          <w:color w:val="auto"/>
          <w:kern w:val="2"/>
          <w:sz w:val="22"/>
          <w:szCs w:val="22"/>
          <w:highlight w:val="none"/>
          <w:u w:val="single"/>
          <w:lang w:val="en-US" w:eastAsia="zh-CN" w:bidi="ar-SA"/>
        </w:rPr>
        <w:t>按《通用合同条款》13.2.2条执行</w:t>
      </w:r>
      <w:r>
        <w:rPr>
          <w:color w:val="auto"/>
          <w:sz w:val="22"/>
          <w:szCs w:val="22"/>
          <w:highlight w:val="none"/>
          <w:u w:val="single"/>
        </w:rPr>
        <w:t xml:space="preserve">     </w:t>
      </w:r>
      <w:r>
        <w:rPr>
          <w:rFonts w:hint="eastAsia" w:hAnsi="宋体" w:cs="宋体"/>
          <w:color w:val="auto"/>
          <w:sz w:val="22"/>
          <w:szCs w:val="22"/>
          <w:highlight w:val="none"/>
        </w:rPr>
        <w:t>。</w:t>
      </w:r>
    </w:p>
    <w:bookmarkEnd w:id="1236"/>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jc w:val="left"/>
        <w:textAlignment w:val="auto"/>
        <w:rPr>
          <w:color w:val="auto"/>
          <w:sz w:val="22"/>
          <w:szCs w:val="22"/>
          <w:highlight w:val="none"/>
        </w:rPr>
      </w:pPr>
      <w:r>
        <w:rPr>
          <w:color w:val="auto"/>
          <w:sz w:val="22"/>
          <w:szCs w:val="22"/>
          <w:highlight w:val="none"/>
        </w:rPr>
        <w:t>13.2.5</w:t>
      </w:r>
      <w:r>
        <w:rPr>
          <w:rFonts w:hint="eastAsia" w:hAnsi="宋体" w:cs="宋体"/>
          <w:color w:val="auto"/>
          <w:sz w:val="22"/>
          <w:szCs w:val="22"/>
          <w:highlight w:val="none"/>
        </w:rPr>
        <w:t>移交、接收全部与部分工程</w:t>
      </w:r>
    </w:p>
    <w:bookmarkEnd w:id="1237"/>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kern w:val="0"/>
          <w:highlight w:val="none"/>
        </w:rPr>
      </w:pPr>
      <w:r>
        <w:rPr>
          <w:rFonts w:hint="eastAsia" w:hAnsi="宋体" w:cs="宋体"/>
          <w:color w:val="auto"/>
          <w:kern w:val="0"/>
          <w:highlight w:val="none"/>
        </w:rPr>
        <w:t>承包人向发包人移交工程的期限：</w:t>
      </w:r>
      <w:r>
        <w:rPr>
          <w:color w:val="auto"/>
          <w:highlight w:val="none"/>
          <w:u w:val="single"/>
        </w:rPr>
        <w:t xml:space="preserve">  </w:t>
      </w:r>
      <w:r>
        <w:rPr>
          <w:rStyle w:val="31"/>
          <w:rFonts w:hint="eastAsia" w:hAnsi="宋体" w:eastAsia="宋体" w:cs="Times New Roman"/>
          <w:color w:val="auto"/>
          <w:kern w:val="0"/>
          <w:highlight w:val="none"/>
          <w:u w:val="single"/>
        </w:rPr>
        <w:t>颁发工程接收证书后</w:t>
      </w:r>
      <w:r>
        <w:rPr>
          <w:rStyle w:val="31"/>
          <w:rFonts w:hAnsi="宋体" w:eastAsia="宋体" w:cs="Times New Roman"/>
          <w:color w:val="auto"/>
          <w:kern w:val="0"/>
          <w:highlight w:val="none"/>
          <w:u w:val="single"/>
        </w:rPr>
        <w:t>7</w:t>
      </w:r>
      <w:r>
        <w:rPr>
          <w:rStyle w:val="31"/>
          <w:rFonts w:hint="eastAsia" w:hAnsi="宋体" w:eastAsia="宋体" w:cs="Times New Roman"/>
          <w:color w:val="auto"/>
          <w:kern w:val="0"/>
          <w:highlight w:val="none"/>
          <w:u w:val="single"/>
        </w:rPr>
        <w:t>天内完成工程的移交</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u w:val="single"/>
        </w:rPr>
      </w:pPr>
      <w:r>
        <w:rPr>
          <w:rFonts w:hint="eastAsia" w:hAnsi="宋体" w:cs="宋体"/>
          <w:color w:val="auto"/>
          <w:kern w:val="0"/>
          <w:highlight w:val="none"/>
        </w:rPr>
        <w:t>发包人未按本合同约定接收全部或部分工程的，违约金的计算方法为：</w:t>
      </w:r>
      <w:r>
        <w:rPr>
          <w:color w:val="auto"/>
          <w:highlight w:val="none"/>
          <w:u w:val="single"/>
        </w:rPr>
        <w:t xml:space="preserve">  </w:t>
      </w:r>
      <w:r>
        <w:rPr>
          <w:rStyle w:val="31"/>
          <w:rFonts w:hint="eastAsia" w:hAnsi="宋体" w:eastAsia="宋体" w:cs="宋体"/>
          <w:color w:val="auto"/>
          <w:highlight w:val="none"/>
          <w:u w:val="single"/>
        </w:rPr>
        <w:t>发包人无正当理由不接收工程的，发包人自应当接收工程之日起，承担工程照管、成品保护、保管等与工程有关的各项费用，且每延误一天，向承包人支付 150元/天的违约金</w:t>
      </w:r>
      <w:r>
        <w:rPr>
          <w:color w:val="auto"/>
          <w:highlight w:val="none"/>
          <w:u w:val="single"/>
        </w:rPr>
        <w:t xml:space="preserve">  </w:t>
      </w:r>
      <w:r>
        <w:rPr>
          <w:rFonts w:hint="eastAsia" w:hAnsi="宋体" w:cs="宋体"/>
          <w:color w:val="auto"/>
          <w:highlight w:val="none"/>
        </w:rPr>
        <w:t>。</w:t>
      </w:r>
    </w:p>
    <w:bookmarkEnd w:id="1238"/>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u w:val="single"/>
        </w:rPr>
      </w:pPr>
      <w:r>
        <w:rPr>
          <w:rFonts w:hint="eastAsia" w:hAnsi="宋体" w:cs="宋体"/>
          <w:color w:val="auto"/>
          <w:highlight w:val="none"/>
        </w:rPr>
        <w:t>承包人未按时移交工程的，违约金的计算方法为：</w:t>
      </w:r>
      <w:r>
        <w:rPr>
          <w:color w:val="auto"/>
          <w:highlight w:val="none"/>
          <w:u w:val="single"/>
        </w:rPr>
        <w:t xml:space="preserve"> </w:t>
      </w:r>
      <w:r>
        <w:rPr>
          <w:rStyle w:val="31"/>
          <w:rFonts w:hint="eastAsia" w:hAnsi="宋体" w:eastAsia="宋体" w:cs="Times New Roman"/>
          <w:color w:val="auto"/>
          <w:highlight w:val="none"/>
          <w:u w:val="single"/>
        </w:rPr>
        <w:t>因承包人原因未按时移交工程的，</w:t>
      </w:r>
      <w:r>
        <w:rPr>
          <w:rStyle w:val="31"/>
          <w:rFonts w:hint="eastAsia" w:ascii="宋体" w:hAnsi="宋体" w:eastAsia="宋体" w:cs="Times New Roman"/>
          <w:color w:val="auto"/>
          <w:kern w:val="0"/>
          <w:highlight w:val="none"/>
          <w:u w:val="single"/>
        </w:rPr>
        <w:t>承包人应采取措施确保相关工程的正常使用，承包人应承担工程照管、成品保护、保管等与工程有关的各项费用，且</w:t>
      </w:r>
      <w:r>
        <w:rPr>
          <w:rStyle w:val="31"/>
          <w:rFonts w:hint="eastAsia" w:hAnsi="宋体" w:eastAsia="宋体" w:cs="Times New Roman"/>
          <w:color w:val="auto"/>
          <w:highlight w:val="none"/>
          <w:u w:val="single"/>
        </w:rPr>
        <w:t>每延误一天，扣除</w:t>
      </w:r>
      <w:r>
        <w:rPr>
          <w:rStyle w:val="31"/>
          <w:rFonts w:hAnsi="宋体" w:eastAsia="宋体" w:cs="Times New Roman"/>
          <w:color w:val="auto"/>
          <w:highlight w:val="none"/>
          <w:u w:val="single"/>
        </w:rPr>
        <w:t>150</w:t>
      </w:r>
      <w:r>
        <w:rPr>
          <w:rStyle w:val="31"/>
          <w:rFonts w:hint="eastAsia" w:hAnsi="宋体" w:eastAsia="宋体" w:cs="Times New Roman"/>
          <w:color w:val="auto"/>
          <w:highlight w:val="none"/>
          <w:u w:val="single"/>
        </w:rPr>
        <w:t>元</w:t>
      </w:r>
      <w:r>
        <w:rPr>
          <w:rStyle w:val="31"/>
          <w:rFonts w:hAnsi="宋体" w:eastAsia="宋体" w:cs="Times New Roman"/>
          <w:color w:val="auto"/>
          <w:highlight w:val="none"/>
          <w:u w:val="single"/>
        </w:rPr>
        <w:t>/</w:t>
      </w:r>
      <w:r>
        <w:rPr>
          <w:rStyle w:val="31"/>
          <w:rFonts w:hint="eastAsia" w:hAnsi="宋体" w:eastAsia="宋体" w:cs="Times New Roman"/>
          <w:color w:val="auto"/>
          <w:highlight w:val="none"/>
          <w:u w:val="single"/>
        </w:rPr>
        <w:t>天的质保金</w:t>
      </w:r>
      <w:r>
        <w:rPr>
          <w:rStyle w:val="31"/>
          <w:rFonts w:hint="eastAsia" w:ascii="宋体" w:hAnsi="宋体" w:eastAsia="宋体" w:cs="Times New Roman"/>
          <w:color w:val="auto"/>
          <w:highlight w:val="none"/>
          <w:u w:val="single"/>
        </w:rPr>
        <w:t>。</w:t>
      </w:r>
      <w:r>
        <w:rPr>
          <w:color w:val="auto"/>
          <w:highlight w:val="none"/>
          <w:u w:val="single"/>
        </w:rPr>
        <w:t xml:space="preserve"> </w:t>
      </w:r>
      <w:r>
        <w:rPr>
          <w:rFonts w:hint="eastAsia" w:hAnsi="宋体" w:cs="宋体"/>
          <w:color w:val="auto"/>
          <w:highlight w:val="none"/>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1241" w:name="_Toc9850587"/>
      <w:bookmarkStart w:id="1242" w:name="_Toc12647"/>
      <w:bookmarkStart w:id="1243" w:name="_Toc24176"/>
      <w:bookmarkStart w:id="1244" w:name="_Toc373478403"/>
      <w:bookmarkStart w:id="1245" w:name="_Toc373227756"/>
      <w:bookmarkStart w:id="1246" w:name="_Toc27687"/>
      <w:bookmarkStart w:id="1247" w:name="_Toc22327"/>
      <w:bookmarkStart w:id="1248" w:name="_Toc389065321"/>
      <w:bookmarkStart w:id="1249" w:name="_Toc407135259"/>
      <w:r>
        <w:rPr>
          <w:color w:val="auto"/>
          <w:highlight w:val="none"/>
        </w:rPr>
        <w:t xml:space="preserve">13.3 </w:t>
      </w:r>
      <w:r>
        <w:rPr>
          <w:rFonts w:hint="eastAsia" w:hAnsi="宋体" w:cs="黑体"/>
          <w:color w:val="auto"/>
          <w:highlight w:val="none"/>
        </w:rPr>
        <w:t>工程试车</w:t>
      </w:r>
      <w:bookmarkEnd w:id="1241"/>
      <w:bookmarkEnd w:id="1242"/>
      <w:bookmarkEnd w:id="1243"/>
      <w:bookmarkEnd w:id="1244"/>
      <w:bookmarkEnd w:id="1245"/>
      <w:bookmarkEnd w:id="1246"/>
      <w:bookmarkEnd w:id="1247"/>
      <w:bookmarkEnd w:id="1248"/>
      <w:bookmarkEnd w:id="1249"/>
    </w:p>
    <w:bookmarkEnd w:id="1239"/>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kern w:val="0"/>
          <w:highlight w:val="none"/>
        </w:rPr>
      </w:pPr>
      <w:r>
        <w:rPr>
          <w:color w:val="auto"/>
          <w:kern w:val="0"/>
          <w:highlight w:val="none"/>
        </w:rPr>
        <w:t xml:space="preserve">13.3.1 </w:t>
      </w:r>
      <w:r>
        <w:rPr>
          <w:rFonts w:hint="eastAsia" w:hAnsi="宋体" w:cs="宋体"/>
          <w:color w:val="auto"/>
          <w:kern w:val="0"/>
          <w:highlight w:val="none"/>
        </w:rPr>
        <w:t>试车程序</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u w:val="single"/>
        </w:rPr>
      </w:pPr>
      <w:r>
        <w:rPr>
          <w:rFonts w:hint="eastAsia" w:hAnsi="宋体" w:cs="宋体"/>
          <w:color w:val="auto"/>
          <w:kern w:val="0"/>
          <w:highlight w:val="none"/>
        </w:rPr>
        <w:t>工程试车内容：</w:t>
      </w:r>
      <w:r>
        <w:rPr>
          <w:color w:val="auto"/>
          <w:highlight w:val="none"/>
          <w:u w:val="single"/>
        </w:rPr>
        <w:t xml:space="preserve">   </w:t>
      </w:r>
      <w:r>
        <w:rPr>
          <w:rStyle w:val="31"/>
          <w:rFonts w:hint="eastAsia" w:ascii="宋体" w:hAnsi="宋体" w:eastAsia="宋体" w:cs="Times New Roman"/>
          <w:color w:val="auto"/>
          <w:highlight w:val="none"/>
          <w:u w:val="single"/>
        </w:rPr>
        <w:t>按《通用合同条款》13.3.1条执行</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）单机无负荷试车费用由</w:t>
      </w:r>
      <w:r>
        <w:rPr>
          <w:color w:val="auto"/>
          <w:highlight w:val="none"/>
          <w:u w:val="single"/>
        </w:rPr>
        <w:t xml:space="preserve"> </w:t>
      </w:r>
      <w:r>
        <w:rPr>
          <w:rStyle w:val="31"/>
          <w:rFonts w:hint="eastAsia" w:ascii="宋体" w:hAnsi="宋体" w:eastAsia="宋体" w:cs="Times New Roman"/>
          <w:color w:val="auto"/>
          <w:highlight w:val="none"/>
          <w:u w:val="single"/>
        </w:rPr>
        <w:t xml:space="preserve">按《通用合同条款》13.3.1条执行 </w:t>
      </w:r>
      <w:r>
        <w:rPr>
          <w:color w:val="auto"/>
          <w:highlight w:val="none"/>
          <w:u w:val="single"/>
        </w:rPr>
        <w:t xml:space="preserve">  </w:t>
      </w:r>
      <w:r>
        <w:rPr>
          <w:rFonts w:hint="eastAsia" w:hAnsi="宋体" w:cs="宋体"/>
          <w:color w:val="auto"/>
          <w:kern w:val="0"/>
          <w:highlight w:val="none"/>
        </w:rPr>
        <w:t>承担；</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）无负荷联动试车费用由</w:t>
      </w:r>
      <w:r>
        <w:rPr>
          <w:color w:val="auto"/>
          <w:highlight w:val="none"/>
          <w:u w:val="single"/>
        </w:rPr>
        <w:t xml:space="preserve"> </w:t>
      </w:r>
      <w:r>
        <w:rPr>
          <w:rStyle w:val="31"/>
          <w:rFonts w:hint="eastAsia" w:ascii="宋体" w:hAnsi="宋体" w:eastAsia="宋体" w:cs="Times New Roman"/>
          <w:color w:val="auto"/>
          <w:highlight w:val="none"/>
          <w:u w:val="single"/>
        </w:rPr>
        <w:t>按《通用合同条款》13.3.1条执行</w:t>
      </w:r>
      <w:r>
        <w:rPr>
          <w:color w:val="auto"/>
          <w:highlight w:val="none"/>
          <w:u w:val="single"/>
        </w:rPr>
        <w:t xml:space="preserve"> </w:t>
      </w:r>
      <w:r>
        <w:rPr>
          <w:rFonts w:hint="eastAsia" w:hAnsi="宋体" w:cs="宋体"/>
          <w:color w:val="auto"/>
          <w:kern w:val="0"/>
          <w:highlight w:val="none"/>
        </w:rPr>
        <w:t>承担。</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kern w:val="0"/>
          <w:highlight w:val="none"/>
        </w:rPr>
      </w:pPr>
      <w:r>
        <w:rPr>
          <w:color w:val="auto"/>
          <w:kern w:val="0"/>
          <w:highlight w:val="none"/>
        </w:rPr>
        <w:t xml:space="preserve">13.3.3 </w:t>
      </w:r>
      <w:r>
        <w:rPr>
          <w:rFonts w:hint="eastAsia" w:hAnsi="宋体" w:cs="宋体"/>
          <w:color w:val="auto"/>
          <w:kern w:val="0"/>
          <w:highlight w:val="none"/>
        </w:rPr>
        <w:t>投料试车</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u w:val="single"/>
        </w:rPr>
      </w:pPr>
      <w:r>
        <w:rPr>
          <w:rFonts w:hint="eastAsia" w:hAnsi="宋体" w:cs="宋体"/>
          <w:color w:val="auto"/>
          <w:kern w:val="0"/>
          <w:highlight w:val="none"/>
        </w:rPr>
        <w:t>关于投料试车相关事项的约定：</w:t>
      </w:r>
      <w:r>
        <w:rPr>
          <w:color w:val="auto"/>
          <w:highlight w:val="none"/>
          <w:u w:val="single"/>
        </w:rPr>
        <w:t xml:space="preserve">  </w:t>
      </w:r>
      <w:r>
        <w:rPr>
          <w:rStyle w:val="31"/>
          <w:rFonts w:hint="eastAsia" w:ascii="宋体" w:hAnsi="宋体" w:eastAsia="宋体" w:cs="Times New Roman"/>
          <w:color w:val="auto"/>
          <w:highlight w:val="none"/>
          <w:u w:val="single"/>
        </w:rPr>
        <w:t>按《通用合同条款》13.3.3条执行</w:t>
      </w:r>
      <w:r>
        <w:rPr>
          <w:color w:val="auto"/>
          <w:highlight w:val="none"/>
          <w:u w:val="single"/>
        </w:rPr>
        <w:t xml:space="preserve">              </w:t>
      </w:r>
      <w:r>
        <w:rPr>
          <w:rFonts w:hint="eastAsia" w:hAnsi="宋体" w:cs="宋体"/>
          <w:color w:val="auto"/>
          <w:highlight w:val="none"/>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1250" w:name="_Toc22733"/>
      <w:bookmarkStart w:id="1251" w:name="_Toc9850588"/>
      <w:bookmarkStart w:id="1252" w:name="_Toc389065322"/>
      <w:bookmarkStart w:id="1253" w:name="_Toc407135260"/>
      <w:bookmarkStart w:id="1254" w:name="_Toc28942"/>
      <w:bookmarkStart w:id="1255" w:name="_Toc373227757"/>
      <w:bookmarkStart w:id="1256" w:name="_Toc31530"/>
      <w:bookmarkStart w:id="1257" w:name="_Toc373478404"/>
      <w:bookmarkStart w:id="1258" w:name="_Toc16312"/>
      <w:r>
        <w:rPr>
          <w:color w:val="auto"/>
          <w:highlight w:val="none"/>
        </w:rPr>
        <w:t xml:space="preserve">13.6 </w:t>
      </w:r>
      <w:r>
        <w:rPr>
          <w:rFonts w:hint="eastAsia" w:hAnsi="宋体" w:cs="黑体"/>
          <w:color w:val="auto"/>
          <w:highlight w:val="none"/>
        </w:rPr>
        <w:t>竣工退场</w:t>
      </w:r>
      <w:bookmarkEnd w:id="1250"/>
      <w:bookmarkEnd w:id="1251"/>
      <w:bookmarkEnd w:id="1252"/>
      <w:bookmarkEnd w:id="1253"/>
      <w:bookmarkEnd w:id="1254"/>
      <w:bookmarkEnd w:id="1255"/>
      <w:bookmarkEnd w:id="1256"/>
      <w:bookmarkEnd w:id="1257"/>
      <w:bookmarkEnd w:id="1258"/>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outlineLvl w:val="0"/>
        <w:rPr>
          <w:color w:val="auto"/>
          <w:kern w:val="0"/>
          <w:highlight w:val="none"/>
        </w:rPr>
      </w:pPr>
      <w:bookmarkStart w:id="1259" w:name="_Toc13905"/>
      <w:bookmarkStart w:id="1260" w:name="_Toc30923"/>
      <w:bookmarkStart w:id="1261" w:name="_Toc27381"/>
      <w:bookmarkStart w:id="1262" w:name="_Toc23520"/>
      <w:bookmarkStart w:id="1263" w:name="_Toc21884"/>
      <w:r>
        <w:rPr>
          <w:color w:val="auto"/>
          <w:kern w:val="0"/>
          <w:highlight w:val="none"/>
        </w:rPr>
        <w:t xml:space="preserve">13.6.1 </w:t>
      </w:r>
      <w:r>
        <w:rPr>
          <w:rFonts w:hint="eastAsia" w:hAnsi="宋体" w:cs="宋体"/>
          <w:color w:val="auto"/>
          <w:kern w:val="0"/>
          <w:highlight w:val="none"/>
        </w:rPr>
        <w:t>竣工退场</w:t>
      </w:r>
      <w:bookmarkEnd w:id="1259"/>
      <w:bookmarkEnd w:id="1260"/>
      <w:bookmarkEnd w:id="1261"/>
      <w:bookmarkEnd w:id="1262"/>
      <w:bookmarkEnd w:id="1263"/>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kern w:val="0"/>
          <w:highlight w:val="none"/>
        </w:rPr>
      </w:pPr>
      <w:r>
        <w:rPr>
          <w:rFonts w:hint="eastAsia" w:hAnsi="宋体" w:cs="宋体"/>
          <w:color w:val="auto"/>
          <w:kern w:val="0"/>
          <w:highlight w:val="none"/>
        </w:rPr>
        <w:t>承包人完成竣工退场的期限：</w:t>
      </w:r>
      <w:r>
        <w:rPr>
          <w:color w:val="auto"/>
          <w:highlight w:val="none"/>
          <w:u w:val="single"/>
        </w:rPr>
        <w:t xml:space="preserve">   </w:t>
      </w:r>
      <w:r>
        <w:rPr>
          <w:rStyle w:val="31"/>
          <w:rFonts w:hint="eastAsia" w:ascii="Calibri" w:hAnsi="宋体" w:eastAsia="宋体" w:cs="Times New Roman"/>
          <w:color w:val="auto"/>
          <w:kern w:val="0"/>
          <w:highlight w:val="none"/>
          <w:u w:val="single"/>
        </w:rPr>
        <w:t>颁发工程接收证书后</w:t>
      </w:r>
      <w:r>
        <w:rPr>
          <w:rStyle w:val="31"/>
          <w:rFonts w:hint="eastAsia" w:ascii="Calibri" w:hAnsi="宋体" w:eastAsia="宋体" w:cs="Times New Roman"/>
          <w:color w:val="auto"/>
          <w:kern w:val="0"/>
          <w:highlight w:val="none"/>
          <w:u w:val="single"/>
          <w:lang w:val="en-US" w:eastAsia="zh-CN"/>
        </w:rPr>
        <w:t>14</w:t>
      </w:r>
      <w:r>
        <w:rPr>
          <w:rStyle w:val="31"/>
          <w:rFonts w:hint="eastAsia" w:ascii="Calibri" w:hAnsi="宋体" w:eastAsia="宋体" w:cs="Times New Roman"/>
          <w:color w:val="auto"/>
          <w:kern w:val="0"/>
          <w:highlight w:val="none"/>
          <w:u w:val="single"/>
        </w:rPr>
        <w:t>天内完成工程的移交</w:t>
      </w:r>
      <w:r>
        <w:rPr>
          <w:color w:val="auto"/>
          <w:highlight w:val="none"/>
          <w:u w:val="single"/>
        </w:rPr>
        <w:t xml:space="preserve">    </w:t>
      </w:r>
      <w:r>
        <w:rPr>
          <w:rFonts w:hint="eastAsia" w:hAnsi="宋体" w:cs="宋体"/>
          <w:color w:val="auto"/>
          <w:kern w:val="0"/>
          <w:highlight w:val="none"/>
        </w:rPr>
        <w:t>。</w:t>
      </w:r>
    </w:p>
    <w:p>
      <w:pPr>
        <w:pStyle w:val="5"/>
        <w:keepNext w:val="0"/>
        <w:keepLines w:val="0"/>
        <w:pageBreakBefore w:val="0"/>
        <w:widowControl w:val="0"/>
        <w:kinsoku/>
        <w:wordWrap/>
        <w:overflowPunct/>
        <w:topLinePunct w:val="0"/>
        <w:autoSpaceDE w:val="0"/>
        <w:autoSpaceDN w:val="0"/>
        <w:bidi w:val="0"/>
        <w:snapToGrid/>
        <w:spacing w:before="0" w:line="360" w:lineRule="auto"/>
        <w:ind w:left="0" w:leftChars="0" w:right="0"/>
        <w:textAlignment w:val="auto"/>
        <w:rPr>
          <w:color w:val="auto"/>
          <w:highlight w:val="none"/>
        </w:rPr>
      </w:pPr>
      <w:bookmarkStart w:id="1264" w:name="_Toc373227758"/>
      <w:bookmarkStart w:id="1265" w:name="_Toc30976"/>
      <w:bookmarkStart w:id="1266" w:name="_Toc373478405"/>
      <w:bookmarkStart w:id="1267" w:name="_Toc9850589"/>
      <w:bookmarkStart w:id="1268" w:name="_Toc26052"/>
      <w:bookmarkStart w:id="1269" w:name="_Toc3402"/>
      <w:bookmarkStart w:id="1270" w:name="_Toc407135261"/>
      <w:bookmarkStart w:id="1271" w:name="_Toc347"/>
      <w:bookmarkStart w:id="1272" w:name="_Toc389065323"/>
      <w:bookmarkStart w:id="1273" w:name="_Toc351203646"/>
      <w:r>
        <w:rPr>
          <w:color w:val="auto"/>
          <w:highlight w:val="none"/>
        </w:rPr>
        <w:t xml:space="preserve">14. </w:t>
      </w:r>
      <w:r>
        <w:rPr>
          <w:rFonts w:hint="eastAsia" w:hAnsi="宋体" w:cs="黑体"/>
          <w:color w:val="auto"/>
          <w:highlight w:val="none"/>
        </w:rPr>
        <w:t>竣工结算</w:t>
      </w:r>
      <w:bookmarkEnd w:id="1264"/>
      <w:bookmarkEnd w:id="1265"/>
      <w:bookmarkEnd w:id="1266"/>
      <w:bookmarkEnd w:id="1267"/>
      <w:bookmarkEnd w:id="1268"/>
      <w:bookmarkEnd w:id="1269"/>
      <w:bookmarkEnd w:id="1270"/>
      <w:bookmarkEnd w:id="1271"/>
      <w:bookmarkEnd w:id="1272"/>
      <w:bookmarkEnd w:id="1273"/>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1274" w:name="_Toc373478406"/>
      <w:bookmarkStart w:id="1275" w:name="_Toc14020"/>
      <w:bookmarkStart w:id="1276" w:name="_Toc389065324"/>
      <w:bookmarkStart w:id="1277" w:name="_Toc1069"/>
      <w:bookmarkStart w:id="1278" w:name="_Toc407135262"/>
      <w:bookmarkStart w:id="1279" w:name="_Toc28546"/>
      <w:bookmarkStart w:id="1280" w:name="_Toc373227759"/>
      <w:bookmarkStart w:id="1281" w:name="_Toc26053"/>
      <w:bookmarkStart w:id="1282" w:name="_Toc9850590"/>
      <w:r>
        <w:rPr>
          <w:color w:val="auto"/>
          <w:highlight w:val="none"/>
        </w:rPr>
        <w:t xml:space="preserve">14.1 </w:t>
      </w:r>
      <w:r>
        <w:rPr>
          <w:rFonts w:hint="eastAsia" w:hAnsi="宋体" w:cs="黑体"/>
          <w:color w:val="auto"/>
          <w:highlight w:val="none"/>
        </w:rPr>
        <w:t>竣工付款申请</w:t>
      </w:r>
      <w:bookmarkEnd w:id="1274"/>
      <w:bookmarkEnd w:id="1275"/>
      <w:bookmarkEnd w:id="1276"/>
      <w:bookmarkEnd w:id="1277"/>
      <w:bookmarkEnd w:id="1278"/>
      <w:bookmarkEnd w:id="1279"/>
      <w:bookmarkEnd w:id="1280"/>
      <w:bookmarkEnd w:id="1281"/>
      <w:bookmarkEnd w:id="1282"/>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承包人提交竣工付款申请单的期限：</w:t>
      </w:r>
      <w:r>
        <w:rPr>
          <w:color w:val="auto"/>
          <w:highlight w:val="none"/>
          <w:u w:val="single"/>
        </w:rPr>
        <w:t xml:space="preserve">  </w:t>
      </w:r>
      <w:r>
        <w:rPr>
          <w:rStyle w:val="31"/>
          <w:rFonts w:hint="eastAsia" w:ascii="宋体" w:hAnsi="宋体" w:eastAsia="宋体" w:cs="Times New Roman"/>
          <w:color w:val="auto"/>
          <w:highlight w:val="none"/>
          <w:u w:val="single"/>
        </w:rPr>
        <w:t>竣工结算按照《贵港市市本级政府投资项目管理暂行办法》贵政办（</w:t>
      </w:r>
      <w:r>
        <w:rPr>
          <w:rStyle w:val="31"/>
          <w:rFonts w:ascii="宋体" w:hAnsi="宋体" w:eastAsia="宋体" w:cs="Times New Roman"/>
          <w:color w:val="auto"/>
          <w:highlight w:val="none"/>
          <w:u w:val="single"/>
        </w:rPr>
        <w:t>2014</w:t>
      </w:r>
      <w:r>
        <w:rPr>
          <w:rStyle w:val="31"/>
          <w:rFonts w:hint="eastAsia" w:ascii="宋体" w:hAnsi="宋体" w:eastAsia="宋体" w:cs="Times New Roman"/>
          <w:color w:val="auto"/>
          <w:highlight w:val="none"/>
          <w:u w:val="single"/>
        </w:rPr>
        <w:t>）</w:t>
      </w:r>
      <w:r>
        <w:rPr>
          <w:rStyle w:val="31"/>
          <w:rFonts w:ascii="宋体" w:hAnsi="宋体" w:eastAsia="宋体" w:cs="Times New Roman"/>
          <w:color w:val="auto"/>
          <w:highlight w:val="none"/>
          <w:u w:val="single"/>
        </w:rPr>
        <w:t>3</w:t>
      </w:r>
      <w:r>
        <w:rPr>
          <w:rStyle w:val="31"/>
          <w:rFonts w:hint="eastAsia" w:ascii="宋体" w:hAnsi="宋体" w:eastAsia="宋体" w:cs="Times New Roman"/>
          <w:color w:val="auto"/>
          <w:highlight w:val="none"/>
          <w:u w:val="single"/>
        </w:rPr>
        <w:t>号文及贵政办发【</w:t>
      </w:r>
      <w:r>
        <w:rPr>
          <w:rStyle w:val="31"/>
          <w:rFonts w:ascii="宋体" w:hAnsi="宋体" w:eastAsia="宋体" w:cs="Times New Roman"/>
          <w:color w:val="auto"/>
          <w:highlight w:val="none"/>
          <w:u w:val="single"/>
        </w:rPr>
        <w:t>2016</w:t>
      </w:r>
      <w:r>
        <w:rPr>
          <w:rStyle w:val="31"/>
          <w:rFonts w:hint="eastAsia" w:ascii="宋体" w:hAnsi="宋体" w:eastAsia="宋体" w:cs="Times New Roman"/>
          <w:color w:val="auto"/>
          <w:highlight w:val="none"/>
          <w:u w:val="single"/>
        </w:rPr>
        <w:t>】</w:t>
      </w:r>
      <w:r>
        <w:rPr>
          <w:rStyle w:val="31"/>
          <w:rFonts w:ascii="宋体" w:hAnsi="宋体" w:eastAsia="宋体" w:cs="Times New Roman"/>
          <w:color w:val="auto"/>
          <w:highlight w:val="none"/>
          <w:u w:val="single"/>
        </w:rPr>
        <w:t>32</w:t>
      </w:r>
      <w:r>
        <w:rPr>
          <w:rStyle w:val="31"/>
          <w:rFonts w:hint="eastAsia" w:ascii="宋体" w:hAnsi="宋体" w:eastAsia="宋体" w:cs="Times New Roman"/>
          <w:color w:val="auto"/>
          <w:highlight w:val="none"/>
          <w:u w:val="single"/>
        </w:rPr>
        <w:t>号规定执行，在工程竣工验收合格后28天内向发包人和监理人提交竣工结算申请单</w:t>
      </w:r>
      <w:r>
        <w:rPr>
          <w:rStyle w:val="31"/>
          <w:rFonts w:hint="eastAsia" w:ascii="宋体" w:hAnsi="宋体" w:eastAsia="宋体" w:cs="Times New Roman"/>
          <w:color w:val="auto"/>
          <w:highlight w:val="none"/>
          <w:u w:val="single"/>
          <w:lang w:eastAsia="zh-CN"/>
        </w:rPr>
        <w:t>及相关资料</w:t>
      </w:r>
      <w:r>
        <w:rPr>
          <w:rStyle w:val="31"/>
          <w:rFonts w:hint="eastAsia" w:ascii="宋体" w:hAnsi="宋体" w:eastAsia="宋体" w:cs="Times New Roman"/>
          <w:color w:val="auto"/>
          <w:highlight w:val="none"/>
          <w:u w:val="single"/>
        </w:rPr>
        <w:t>。无正当理由延期或经发包人催促14</w:t>
      </w:r>
      <w:r>
        <w:rPr>
          <w:rStyle w:val="31"/>
          <w:rFonts w:hint="eastAsia" w:ascii="宋体" w:hAnsi="宋体" w:eastAsia="宋体" w:cs="Times New Roman"/>
          <w:color w:val="auto"/>
          <w:highlight w:val="none"/>
          <w:u w:val="single"/>
          <w:lang w:eastAsia="zh-CN"/>
        </w:rPr>
        <w:t>天</w:t>
      </w:r>
      <w:r>
        <w:rPr>
          <w:rStyle w:val="31"/>
          <w:rFonts w:hint="eastAsia" w:ascii="宋体" w:hAnsi="宋体" w:eastAsia="宋体" w:cs="Times New Roman"/>
          <w:color w:val="auto"/>
          <w:highlight w:val="none"/>
          <w:u w:val="single"/>
        </w:rPr>
        <w:t>内仍未提供或明确答复的，发包人有权根据已有资料进行结算审核，责任由承包人自负。承包人应及时提供竣工结算过程中所需补充的资料</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u w:val="single"/>
        </w:rPr>
      </w:pPr>
      <w:r>
        <w:rPr>
          <w:rFonts w:hint="eastAsia" w:hAnsi="宋体" w:cs="宋体"/>
          <w:color w:val="auto"/>
          <w:highlight w:val="none"/>
        </w:rPr>
        <w:t>竣工付款申请单应包括的内容：</w:t>
      </w:r>
      <w:r>
        <w:rPr>
          <w:color w:val="auto"/>
          <w:highlight w:val="none"/>
          <w:u w:val="single"/>
        </w:rPr>
        <w:t xml:space="preserve"> </w:t>
      </w:r>
      <w:r>
        <w:rPr>
          <w:rStyle w:val="31"/>
          <w:rFonts w:hint="eastAsia" w:hAnsi="宋体" w:eastAsia="宋体" w:cs="宋体"/>
          <w:color w:val="auto"/>
          <w:kern w:val="0"/>
          <w:highlight w:val="none"/>
          <w:u w:val="single"/>
        </w:rPr>
        <w:t>竣工付款申请单须符合贵港市人民政府相关文件规定，竣工付款申请单编制内容按发包人工程款支付管理规定执行</w:t>
      </w:r>
      <w:r>
        <w:rPr>
          <w:color w:val="auto"/>
          <w:highlight w:val="none"/>
          <w:u w:val="single"/>
        </w:rPr>
        <w:t xml:space="preserve"> </w:t>
      </w:r>
      <w:r>
        <w:rPr>
          <w:rFonts w:hint="eastAsia" w:hAnsi="宋体" w:cs="宋体"/>
          <w:color w:val="auto"/>
          <w:highlight w:val="none"/>
        </w:rPr>
        <w:t>。竣工结算款支付申请（核准）表见合同附件12。</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1283" w:name="_Toc373478407"/>
      <w:bookmarkStart w:id="1284" w:name="_Toc407135263"/>
      <w:bookmarkStart w:id="1285" w:name="_Toc31305"/>
      <w:bookmarkStart w:id="1286" w:name="_Toc26085"/>
      <w:bookmarkStart w:id="1287" w:name="_Toc389065325"/>
      <w:bookmarkStart w:id="1288" w:name="_Toc6165"/>
      <w:bookmarkStart w:id="1289" w:name="_Toc21606"/>
      <w:bookmarkStart w:id="1290" w:name="_Toc9850591"/>
      <w:bookmarkStart w:id="1291" w:name="_Toc373227760"/>
      <w:r>
        <w:rPr>
          <w:color w:val="auto"/>
          <w:highlight w:val="none"/>
        </w:rPr>
        <w:t xml:space="preserve">14.2 </w:t>
      </w:r>
      <w:r>
        <w:rPr>
          <w:rFonts w:hint="eastAsia" w:hAnsi="宋体" w:cs="黑体"/>
          <w:color w:val="auto"/>
          <w:highlight w:val="none"/>
        </w:rPr>
        <w:t>竣工结算审核</w:t>
      </w:r>
      <w:bookmarkEnd w:id="1283"/>
      <w:bookmarkEnd w:id="1284"/>
      <w:bookmarkEnd w:id="1285"/>
      <w:bookmarkEnd w:id="1286"/>
      <w:bookmarkEnd w:id="1287"/>
      <w:bookmarkEnd w:id="1288"/>
      <w:bookmarkEnd w:id="1289"/>
      <w:bookmarkEnd w:id="1290"/>
      <w:bookmarkEnd w:id="1291"/>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发包人审批竣工付款申请单的期限：</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2466"/>
        <w:gridCol w:w="5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p>
        </w:tc>
        <w:tc>
          <w:tcPr>
            <w:tcW w:w="2466"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ind w:left="0" w:leftChars="0" w:right="0" w:firstLine="28" w:firstLineChars="13"/>
              <w:jc w:val="center"/>
              <w:textAlignment w:val="auto"/>
              <w:rPr>
                <w:color w:val="auto"/>
                <w:highlight w:val="none"/>
              </w:rPr>
            </w:pPr>
            <w:r>
              <w:rPr>
                <w:rFonts w:hint="eastAsia" w:hAnsi="宋体" w:cs="宋体"/>
                <w:color w:val="auto"/>
                <w:highlight w:val="none"/>
              </w:rPr>
              <w:t>工程竣工结算报告金额</w:t>
            </w:r>
          </w:p>
        </w:tc>
        <w:tc>
          <w:tcPr>
            <w:tcW w:w="5858"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ind w:left="0" w:leftChars="0" w:right="0" w:firstLine="462" w:firstLineChars="210"/>
              <w:jc w:val="center"/>
              <w:textAlignment w:val="auto"/>
              <w:rPr>
                <w:color w:val="auto"/>
                <w:highlight w:val="none"/>
              </w:rPr>
            </w:pPr>
            <w:r>
              <w:rPr>
                <w:rFonts w:hint="eastAsia" w:hAnsi="宋体" w:cs="宋体"/>
                <w:color w:val="auto"/>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ind w:left="0" w:leftChars="0" w:right="0"/>
              <w:jc w:val="center"/>
              <w:textAlignment w:val="auto"/>
              <w:rPr>
                <w:color w:val="auto"/>
                <w:highlight w:val="none"/>
              </w:rPr>
            </w:pPr>
            <w:r>
              <w:rPr>
                <w:color w:val="auto"/>
                <w:highlight w:val="none"/>
              </w:rPr>
              <w:t>1</w:t>
            </w:r>
          </w:p>
        </w:tc>
        <w:tc>
          <w:tcPr>
            <w:tcW w:w="2466"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ind w:left="0" w:leftChars="0" w:right="0" w:firstLine="28" w:firstLineChars="13"/>
              <w:jc w:val="center"/>
              <w:textAlignment w:val="auto"/>
              <w:rPr>
                <w:color w:val="auto"/>
                <w:highlight w:val="none"/>
              </w:rPr>
            </w:pPr>
            <w:r>
              <w:rPr>
                <w:color w:val="auto"/>
                <w:highlight w:val="none"/>
              </w:rPr>
              <w:t>500</w:t>
            </w:r>
            <w:r>
              <w:rPr>
                <w:rFonts w:hint="eastAsia" w:hAnsi="宋体" w:cs="宋体"/>
                <w:color w:val="auto"/>
                <w:highlight w:val="none"/>
              </w:rPr>
              <w:t>万元以下</w:t>
            </w:r>
          </w:p>
        </w:tc>
        <w:tc>
          <w:tcPr>
            <w:tcW w:w="5858"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ind w:right="0"/>
              <w:jc w:val="both"/>
              <w:textAlignment w:val="auto"/>
              <w:rPr>
                <w:color w:val="auto"/>
                <w:highlight w:val="none"/>
              </w:rPr>
            </w:pPr>
            <w:r>
              <w:rPr>
                <w:rFonts w:hint="eastAsia" w:hAnsi="宋体" w:cs="宋体"/>
                <w:color w:val="auto"/>
                <w:highlight w:val="none"/>
              </w:rPr>
              <w:t>从接到竣工结算报告和完整的竣工结算资料之日起</w:t>
            </w:r>
            <w:r>
              <w:rPr>
                <w:color w:val="auto"/>
                <w:highlight w:val="none"/>
              </w:rPr>
              <w:t>20</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ind w:left="0" w:leftChars="0" w:right="0"/>
              <w:jc w:val="center"/>
              <w:textAlignment w:val="auto"/>
              <w:rPr>
                <w:color w:val="auto"/>
                <w:highlight w:val="none"/>
              </w:rPr>
            </w:pPr>
            <w:r>
              <w:rPr>
                <w:color w:val="auto"/>
                <w:highlight w:val="none"/>
              </w:rPr>
              <w:t>2</w:t>
            </w:r>
          </w:p>
        </w:tc>
        <w:tc>
          <w:tcPr>
            <w:tcW w:w="2466"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ind w:left="0" w:leftChars="0" w:right="0" w:firstLine="28" w:firstLineChars="13"/>
              <w:jc w:val="center"/>
              <w:textAlignment w:val="auto"/>
              <w:rPr>
                <w:color w:val="auto"/>
                <w:highlight w:val="none"/>
              </w:rPr>
            </w:pPr>
            <w:r>
              <w:rPr>
                <w:color w:val="auto"/>
                <w:highlight w:val="none"/>
              </w:rPr>
              <w:t>500</w:t>
            </w:r>
            <w:r>
              <w:rPr>
                <w:rFonts w:hint="eastAsia" w:hAnsi="宋体" w:cs="宋体"/>
                <w:color w:val="auto"/>
                <w:highlight w:val="none"/>
              </w:rPr>
              <w:t>万元</w:t>
            </w:r>
            <w:r>
              <w:rPr>
                <w:color w:val="auto"/>
                <w:highlight w:val="none"/>
              </w:rPr>
              <w:t>-2000</w:t>
            </w:r>
            <w:r>
              <w:rPr>
                <w:rFonts w:hint="eastAsia" w:hAnsi="宋体" w:cs="宋体"/>
                <w:color w:val="auto"/>
                <w:highlight w:val="none"/>
              </w:rPr>
              <w:t>万元</w:t>
            </w:r>
          </w:p>
        </w:tc>
        <w:tc>
          <w:tcPr>
            <w:tcW w:w="5858"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ind w:right="0"/>
              <w:jc w:val="both"/>
              <w:textAlignment w:val="auto"/>
              <w:rPr>
                <w:color w:val="auto"/>
                <w:highlight w:val="none"/>
              </w:rPr>
            </w:pPr>
            <w:r>
              <w:rPr>
                <w:rFonts w:hint="eastAsia" w:hAnsi="宋体" w:cs="宋体"/>
                <w:color w:val="auto"/>
                <w:highlight w:val="none"/>
              </w:rPr>
              <w:t>从接到竣工结算报告和完整的竣工结算资料之日起</w:t>
            </w:r>
            <w:r>
              <w:rPr>
                <w:color w:val="auto"/>
                <w:highlight w:val="none"/>
              </w:rPr>
              <w:t>30</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ind w:left="0" w:leftChars="0" w:right="0"/>
              <w:jc w:val="center"/>
              <w:textAlignment w:val="auto"/>
              <w:rPr>
                <w:color w:val="auto"/>
                <w:highlight w:val="none"/>
              </w:rPr>
            </w:pPr>
            <w:r>
              <w:rPr>
                <w:color w:val="auto"/>
                <w:highlight w:val="none"/>
              </w:rPr>
              <w:t>3</w:t>
            </w:r>
          </w:p>
        </w:tc>
        <w:tc>
          <w:tcPr>
            <w:tcW w:w="2466"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ind w:left="0" w:leftChars="0" w:right="0" w:firstLine="28" w:firstLineChars="13"/>
              <w:jc w:val="center"/>
              <w:textAlignment w:val="auto"/>
              <w:rPr>
                <w:color w:val="auto"/>
                <w:highlight w:val="none"/>
              </w:rPr>
            </w:pPr>
            <w:r>
              <w:rPr>
                <w:color w:val="auto"/>
                <w:highlight w:val="none"/>
              </w:rPr>
              <w:t>2000</w:t>
            </w:r>
            <w:r>
              <w:rPr>
                <w:rFonts w:hint="eastAsia" w:hAnsi="宋体" w:cs="宋体"/>
                <w:color w:val="auto"/>
                <w:highlight w:val="none"/>
              </w:rPr>
              <w:t>万元</w:t>
            </w:r>
            <w:r>
              <w:rPr>
                <w:color w:val="auto"/>
                <w:highlight w:val="none"/>
              </w:rPr>
              <w:t>-5000</w:t>
            </w:r>
            <w:r>
              <w:rPr>
                <w:rFonts w:hint="eastAsia" w:hAnsi="宋体" w:cs="宋体"/>
                <w:color w:val="auto"/>
                <w:highlight w:val="none"/>
              </w:rPr>
              <w:t>万元</w:t>
            </w:r>
          </w:p>
        </w:tc>
        <w:tc>
          <w:tcPr>
            <w:tcW w:w="5858"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ind w:right="0"/>
              <w:jc w:val="both"/>
              <w:textAlignment w:val="auto"/>
              <w:rPr>
                <w:color w:val="auto"/>
                <w:highlight w:val="none"/>
              </w:rPr>
            </w:pPr>
            <w:r>
              <w:rPr>
                <w:rFonts w:hint="eastAsia" w:hAnsi="宋体" w:cs="宋体"/>
                <w:color w:val="auto"/>
                <w:highlight w:val="none"/>
              </w:rPr>
              <w:t>从接到竣工结算报告和完整的竣工结算资料之日起</w:t>
            </w:r>
            <w:r>
              <w:rPr>
                <w:color w:val="auto"/>
                <w:highlight w:val="none"/>
              </w:rPr>
              <w:t>45</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ind w:left="0" w:leftChars="0" w:right="0"/>
              <w:jc w:val="center"/>
              <w:textAlignment w:val="auto"/>
              <w:rPr>
                <w:color w:val="auto"/>
                <w:highlight w:val="none"/>
              </w:rPr>
            </w:pPr>
            <w:r>
              <w:rPr>
                <w:color w:val="auto"/>
                <w:highlight w:val="none"/>
              </w:rPr>
              <w:t>4</w:t>
            </w:r>
          </w:p>
        </w:tc>
        <w:tc>
          <w:tcPr>
            <w:tcW w:w="2466"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ind w:left="0" w:leftChars="0" w:right="0" w:firstLine="28" w:firstLineChars="13"/>
              <w:jc w:val="center"/>
              <w:textAlignment w:val="auto"/>
              <w:rPr>
                <w:color w:val="auto"/>
                <w:highlight w:val="none"/>
              </w:rPr>
            </w:pPr>
            <w:r>
              <w:rPr>
                <w:color w:val="auto"/>
                <w:highlight w:val="none"/>
              </w:rPr>
              <w:t>5000</w:t>
            </w:r>
            <w:r>
              <w:rPr>
                <w:rFonts w:hint="eastAsia" w:hAnsi="宋体" w:cs="宋体"/>
                <w:color w:val="auto"/>
                <w:highlight w:val="none"/>
              </w:rPr>
              <w:t>万元以上</w:t>
            </w:r>
          </w:p>
        </w:tc>
        <w:tc>
          <w:tcPr>
            <w:tcW w:w="5858"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ind w:right="0"/>
              <w:jc w:val="both"/>
              <w:textAlignment w:val="auto"/>
              <w:rPr>
                <w:color w:val="auto"/>
                <w:highlight w:val="none"/>
              </w:rPr>
            </w:pPr>
            <w:r>
              <w:rPr>
                <w:rFonts w:hint="eastAsia" w:hAnsi="宋体" w:cs="宋体"/>
                <w:color w:val="auto"/>
                <w:highlight w:val="none"/>
              </w:rPr>
              <w:t>从接到竣工结算报告和完整的竣工结算资料之日起</w:t>
            </w:r>
            <w:r>
              <w:rPr>
                <w:color w:val="auto"/>
                <w:highlight w:val="none"/>
              </w:rPr>
              <w:t>60</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ind w:left="0" w:leftChars="0" w:right="0"/>
              <w:jc w:val="center"/>
              <w:textAlignment w:val="auto"/>
              <w:rPr>
                <w:color w:val="auto"/>
                <w:highlight w:val="none"/>
              </w:rPr>
            </w:pPr>
            <w:r>
              <w:rPr>
                <w:rFonts w:hint="eastAsia"/>
                <w:color w:val="auto"/>
                <w:highlight w:val="none"/>
              </w:rPr>
              <w:t>5</w:t>
            </w:r>
          </w:p>
        </w:tc>
        <w:tc>
          <w:tcPr>
            <w:tcW w:w="2466"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ind w:left="0" w:leftChars="0" w:right="0" w:firstLine="28" w:firstLineChars="13"/>
              <w:jc w:val="center"/>
              <w:textAlignment w:val="auto"/>
              <w:rPr>
                <w:color w:val="auto"/>
                <w:highlight w:val="none"/>
              </w:rPr>
            </w:pPr>
            <w:r>
              <w:rPr>
                <w:rFonts w:hint="eastAsia"/>
                <w:color w:val="auto"/>
                <w:highlight w:val="none"/>
              </w:rPr>
              <w:t>5000万以上每增加</w:t>
            </w:r>
            <w:r>
              <w:rPr>
                <w:color w:val="auto"/>
                <w:highlight w:val="none"/>
              </w:rPr>
              <w:t>0.5</w:t>
            </w:r>
            <w:r>
              <w:rPr>
                <w:rFonts w:hint="eastAsia"/>
                <w:color w:val="auto"/>
                <w:highlight w:val="none"/>
              </w:rPr>
              <w:t>亿(不足0.5亿不增加)</w:t>
            </w:r>
          </w:p>
        </w:tc>
        <w:tc>
          <w:tcPr>
            <w:tcW w:w="5858" w:type="dxa"/>
            <w:noWrap w:val="0"/>
            <w:vAlign w:val="center"/>
          </w:tcPr>
          <w:p>
            <w:pPr>
              <w:keepNext w:val="0"/>
              <w:keepLines w:val="0"/>
              <w:pageBreakBefore w:val="0"/>
              <w:widowControl w:val="0"/>
              <w:kinsoku/>
              <w:wordWrap/>
              <w:overflowPunct/>
              <w:topLinePunct w:val="0"/>
              <w:autoSpaceDE w:val="0"/>
              <w:autoSpaceDN w:val="0"/>
              <w:bidi w:val="0"/>
              <w:snapToGrid/>
              <w:spacing w:line="360" w:lineRule="auto"/>
              <w:ind w:left="0" w:leftChars="0" w:right="0" w:firstLine="462" w:firstLineChars="210"/>
              <w:jc w:val="center"/>
              <w:textAlignment w:val="auto"/>
              <w:rPr>
                <w:rFonts w:hint="eastAsia" w:hAnsi="宋体" w:cs="宋体"/>
                <w:color w:val="auto"/>
                <w:highlight w:val="none"/>
              </w:rPr>
            </w:pPr>
            <w:r>
              <w:rPr>
                <w:rFonts w:hint="eastAsia" w:hAnsi="宋体" w:cs="宋体"/>
                <w:color w:val="auto"/>
                <w:highlight w:val="none"/>
              </w:rPr>
              <w:t>增加10天</w:t>
            </w:r>
          </w:p>
        </w:tc>
      </w:tr>
    </w:tbl>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olor w:val="auto"/>
          <w:highlight w:val="none"/>
        </w:rPr>
      </w:pPr>
      <w:r>
        <w:rPr>
          <w:rFonts w:hint="eastAsia" w:hAnsi="宋体" w:cs="宋体"/>
          <w:color w:val="auto"/>
          <w:highlight w:val="none"/>
        </w:rPr>
        <w:t>因承包人提供的结算资料不完整而需要补充或承包人不按时对账耽误时间时，审查时间应相应顺延。</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31" w:firstLineChars="196"/>
        <w:textAlignment w:val="auto"/>
        <w:rPr>
          <w:rFonts w:hAnsi="宋体"/>
          <w:color w:val="auto"/>
          <w:highlight w:val="none"/>
        </w:rPr>
      </w:pPr>
      <w:r>
        <w:rPr>
          <w:rFonts w:hint="eastAsia" w:hAnsi="宋体" w:cs="宋体"/>
          <w:color w:val="auto"/>
          <w:highlight w:val="none"/>
        </w:rPr>
        <w:t>竣工结算审核约定：</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31" w:firstLineChars="196"/>
        <w:textAlignment w:val="auto"/>
        <w:rPr>
          <w:rFonts w:hAnsi="宋体"/>
          <w:color w:val="auto"/>
          <w:highlight w:val="none"/>
          <w:u w:val="single"/>
        </w:rPr>
      </w:pPr>
      <w:r>
        <w:rPr>
          <w:rFonts w:hAnsi="宋体"/>
          <w:color w:val="auto"/>
          <w:highlight w:val="none"/>
          <w:u w:val="single"/>
        </w:rPr>
        <w:t>1</w:t>
      </w:r>
      <w:r>
        <w:rPr>
          <w:rFonts w:hint="eastAsia" w:hAnsi="宋体" w:cs="宋体"/>
          <w:color w:val="auto"/>
          <w:highlight w:val="none"/>
          <w:u w:val="single"/>
        </w:rPr>
        <w:t>、工程竣工验收报告经发包人认可后</w:t>
      </w:r>
      <w:r>
        <w:rPr>
          <w:rFonts w:hAnsi="宋体"/>
          <w:color w:val="auto"/>
          <w:highlight w:val="none"/>
          <w:u w:val="single"/>
        </w:rPr>
        <w:t xml:space="preserve"> </w:t>
      </w:r>
      <w:r>
        <w:rPr>
          <w:rFonts w:hint="eastAsia"/>
          <w:color w:val="auto"/>
          <w:highlight w:val="none"/>
          <w:u w:val="single"/>
          <w:lang w:val="en-US" w:eastAsia="zh-CN"/>
        </w:rPr>
        <w:t>28</w:t>
      </w:r>
      <w:r>
        <w:rPr>
          <w:rFonts w:hAnsi="宋体"/>
          <w:color w:val="auto"/>
          <w:highlight w:val="none"/>
          <w:u w:val="single"/>
        </w:rPr>
        <w:t xml:space="preserve"> </w:t>
      </w:r>
      <w:r>
        <w:rPr>
          <w:rFonts w:hint="eastAsia" w:hAnsi="宋体" w:cs="宋体"/>
          <w:color w:val="auto"/>
          <w:highlight w:val="none"/>
          <w:u w:val="single"/>
        </w:rPr>
        <w:t>天内，承包人向发包人递交竣工验收合格资料及完整的结算资料和报告，双方按照本工程合同约定的价格形式及价款调整办法进行工程竣工结算。</w:t>
      </w:r>
      <w:r>
        <w:rPr>
          <w:rFonts w:hAnsi="宋体"/>
          <w:color w:val="auto"/>
          <w:highlight w:val="none"/>
          <w:u w:val="single"/>
        </w:rPr>
        <w:t>2</w:t>
      </w:r>
      <w:r>
        <w:rPr>
          <w:rFonts w:hint="eastAsia" w:hAnsi="宋体" w:cs="宋体"/>
          <w:color w:val="auto"/>
          <w:highlight w:val="none"/>
          <w:u w:val="single"/>
        </w:rPr>
        <w:t>、发包人收到承包人递交的竣工结算报告及结算资料之日起</w:t>
      </w:r>
      <w:r>
        <w:rPr>
          <w:rFonts w:hAnsi="宋体"/>
          <w:color w:val="auto"/>
          <w:highlight w:val="none"/>
          <w:u w:val="single"/>
        </w:rPr>
        <w:t xml:space="preserve"> </w:t>
      </w:r>
      <w:r>
        <w:rPr>
          <w:rFonts w:hint="eastAsia"/>
          <w:color w:val="auto"/>
          <w:highlight w:val="none"/>
          <w:u w:val="single"/>
          <w:lang w:val="en-US" w:eastAsia="zh-CN"/>
        </w:rPr>
        <w:t>28</w:t>
      </w:r>
      <w:r>
        <w:rPr>
          <w:rFonts w:hAnsi="宋体"/>
          <w:color w:val="auto"/>
          <w:highlight w:val="none"/>
          <w:u w:val="single"/>
        </w:rPr>
        <w:t xml:space="preserve"> </w:t>
      </w:r>
      <w:r>
        <w:rPr>
          <w:rFonts w:hint="eastAsia" w:hAnsi="宋体" w:cs="宋体"/>
          <w:color w:val="auto"/>
          <w:highlight w:val="none"/>
          <w:u w:val="single"/>
        </w:rPr>
        <w:t xml:space="preserve">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 </w:t>
      </w:r>
      <w:r>
        <w:rPr>
          <w:rFonts w:hint="eastAsia" w:cs="宋体"/>
          <w:color w:val="auto"/>
          <w:highlight w:val="none"/>
          <w:u w:val="single"/>
          <w:lang w:val="en-US" w:eastAsia="zh-CN"/>
        </w:rPr>
        <w:t>28</w:t>
      </w:r>
      <w:r>
        <w:rPr>
          <w:rFonts w:hint="eastAsia" w:hAnsi="宋体" w:cs="宋体"/>
          <w:color w:val="auto"/>
          <w:highlight w:val="none"/>
          <w:u w:val="single"/>
        </w:rPr>
        <w:t xml:space="preserve"> 日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hAnsi="宋体"/>
          <w:color w:val="auto"/>
          <w:highlight w:val="none"/>
          <w:u w:val="single"/>
        </w:rPr>
        <w:t xml:space="preserve"> </w:t>
      </w:r>
      <w:r>
        <w:rPr>
          <w:rFonts w:hint="eastAsia"/>
          <w:color w:val="auto"/>
          <w:highlight w:val="none"/>
          <w:u w:val="single"/>
          <w:lang w:val="en-US" w:eastAsia="zh-CN"/>
        </w:rPr>
        <w:t>28</w:t>
      </w:r>
      <w:r>
        <w:rPr>
          <w:rFonts w:hint="eastAsia" w:hAnsi="宋体"/>
          <w:color w:val="auto"/>
          <w:highlight w:val="none"/>
          <w:u w:val="single"/>
        </w:rPr>
        <w:t xml:space="preserve">  </w:t>
      </w:r>
      <w:r>
        <w:rPr>
          <w:rFonts w:hint="eastAsia" w:hAnsi="宋体" w:cs="宋体"/>
          <w:color w:val="auto"/>
          <w:highlight w:val="none"/>
          <w:u w:val="single"/>
        </w:rPr>
        <w:t>天内，发包人按审定后的竣工结算价款，通知经办银行向承包人支付结算价款。</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u w:val="single"/>
        </w:rPr>
      </w:pPr>
      <w:r>
        <w:rPr>
          <w:rFonts w:hint="eastAsia" w:hAnsi="宋体" w:cs="宋体"/>
          <w:color w:val="auto"/>
          <w:highlight w:val="none"/>
        </w:rPr>
        <w:t>备注：对于国有投资项目结算审核约定，双方可结合各地政府或有关部门出台的管理规定进行局部调整</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1292" w:name="_Toc407135264"/>
      <w:bookmarkStart w:id="1293" w:name="_Toc373227761"/>
      <w:bookmarkStart w:id="1294" w:name="_Toc9850592"/>
      <w:bookmarkStart w:id="1295" w:name="_Toc21503"/>
      <w:bookmarkStart w:id="1296" w:name="_Toc373478408"/>
      <w:bookmarkStart w:id="1297" w:name="_Toc593"/>
      <w:bookmarkStart w:id="1298" w:name="_Toc12508"/>
      <w:bookmarkStart w:id="1299" w:name="_Toc24597"/>
      <w:bookmarkStart w:id="1300" w:name="_Toc389065326"/>
      <w:r>
        <w:rPr>
          <w:color w:val="auto"/>
          <w:highlight w:val="none"/>
        </w:rPr>
        <w:t xml:space="preserve">14.4 </w:t>
      </w:r>
      <w:r>
        <w:rPr>
          <w:rFonts w:hint="eastAsia" w:hAnsi="宋体" w:cs="黑体"/>
          <w:color w:val="auto"/>
          <w:highlight w:val="none"/>
        </w:rPr>
        <w:t>最终结清</w:t>
      </w:r>
      <w:bookmarkEnd w:id="1292"/>
      <w:bookmarkEnd w:id="1293"/>
      <w:bookmarkEnd w:id="1294"/>
      <w:bookmarkEnd w:id="1295"/>
      <w:bookmarkEnd w:id="1296"/>
      <w:bookmarkEnd w:id="1297"/>
      <w:bookmarkEnd w:id="1298"/>
      <w:bookmarkEnd w:id="1299"/>
      <w:bookmarkEnd w:id="1300"/>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kern w:val="0"/>
          <w:highlight w:val="none"/>
        </w:rPr>
      </w:pPr>
      <w:r>
        <w:rPr>
          <w:color w:val="auto"/>
          <w:kern w:val="0"/>
          <w:highlight w:val="none"/>
        </w:rPr>
        <w:t xml:space="preserve">14.4.1 </w:t>
      </w:r>
      <w:r>
        <w:rPr>
          <w:rFonts w:hint="eastAsia" w:hAnsi="宋体" w:cs="宋体"/>
          <w:color w:val="auto"/>
          <w:kern w:val="0"/>
          <w:highlight w:val="none"/>
        </w:rPr>
        <w:t>最终结清申请单</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kern w:val="0"/>
          <w:highlight w:val="none"/>
        </w:rPr>
      </w:pPr>
      <w:r>
        <w:rPr>
          <w:rFonts w:hint="eastAsia" w:hAnsi="宋体" w:cs="宋体"/>
          <w:color w:val="auto"/>
          <w:kern w:val="0"/>
          <w:highlight w:val="none"/>
        </w:rPr>
        <w:t>承包人提交最终结清申请单的份数：</w:t>
      </w:r>
      <w:r>
        <w:rPr>
          <w:color w:val="auto"/>
          <w:highlight w:val="none"/>
          <w:u w:val="single"/>
        </w:rPr>
        <w:t xml:space="preserve"> </w:t>
      </w:r>
      <w:r>
        <w:rPr>
          <w:rStyle w:val="31"/>
          <w:rFonts w:hint="eastAsia" w:hAnsi="宋体" w:eastAsia="宋体" w:cs="Times New Roman"/>
          <w:color w:val="auto"/>
          <w:kern w:val="0"/>
          <w:highlight w:val="none"/>
          <w:u w:val="single"/>
        </w:rPr>
        <w:t>最终结清申请单须符合工程所在地相关文件规定，提交份数按发包人工程款支付管理规定执行</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kern w:val="0"/>
          <w:highlight w:val="none"/>
        </w:rPr>
        <w:t>承包人提交最终结算申请单的期限：</w:t>
      </w:r>
      <w:r>
        <w:rPr>
          <w:color w:val="auto"/>
          <w:highlight w:val="none"/>
          <w:u w:val="single"/>
        </w:rPr>
        <w:t xml:space="preserve">  </w:t>
      </w:r>
      <w:r>
        <w:rPr>
          <w:rStyle w:val="31"/>
          <w:rFonts w:hint="eastAsia" w:hAnsi="宋体" w:eastAsia="宋体" w:cs="宋体"/>
          <w:color w:val="auto"/>
          <w:kern w:val="0"/>
          <w:highlight w:val="none"/>
          <w:u w:val="single"/>
        </w:rPr>
        <w:t>缺陷责任期终止证书颁发后15天内</w:t>
      </w:r>
      <w:r>
        <w:rPr>
          <w:color w:val="auto"/>
          <w:highlight w:val="none"/>
          <w:u w:val="single"/>
        </w:rPr>
        <w:t xml:space="preserve">    </w:t>
      </w:r>
      <w:r>
        <w:rPr>
          <w:rFonts w:hint="eastAsia" w:hAnsi="宋体" w:cs="宋体"/>
          <w:color w:val="auto"/>
          <w:highlight w:val="none"/>
        </w:rPr>
        <w:t>。</w:t>
      </w:r>
      <w:r>
        <w:rPr>
          <w:color w:val="auto"/>
          <w:highlight w:val="none"/>
        </w:rPr>
        <w:t xml:space="preserve"> </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color w:val="auto"/>
          <w:highlight w:val="none"/>
        </w:rPr>
        <w:t>最终结算款支付申请（核准）表见合同附件13。</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color w:val="auto"/>
          <w:highlight w:val="none"/>
        </w:rPr>
        <w:t xml:space="preserve">14.4.2 </w:t>
      </w:r>
      <w:r>
        <w:rPr>
          <w:rFonts w:hint="eastAsia" w:hAnsi="宋体" w:cs="宋体"/>
          <w:color w:val="auto"/>
          <w:highlight w:val="none"/>
        </w:rPr>
        <w:t>最终结清证书和支付</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）发包人完成最终结清申请单的审批并颁发最终结清证书的期限：</w:t>
      </w:r>
      <w:r>
        <w:rPr>
          <w:color w:val="auto"/>
          <w:highlight w:val="none"/>
          <w:u w:val="single"/>
        </w:rPr>
        <w:t xml:space="preserve">  </w:t>
      </w:r>
      <w:r>
        <w:rPr>
          <w:rStyle w:val="31"/>
          <w:rFonts w:hint="eastAsia" w:eastAsia="宋体" w:cs="宋体"/>
          <w:color w:val="auto"/>
          <w:highlight w:val="none"/>
          <w:u w:val="single"/>
        </w:rPr>
        <w:t>收到承包人提交的最终结清申请单和完整的证明材料后15天内</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）发包人完成支付的期限：</w:t>
      </w:r>
      <w:r>
        <w:rPr>
          <w:color w:val="auto"/>
          <w:highlight w:val="none"/>
          <w:u w:val="single"/>
        </w:rPr>
        <w:t xml:space="preserve">    </w:t>
      </w:r>
      <w:r>
        <w:rPr>
          <w:rStyle w:val="31"/>
          <w:rFonts w:hint="eastAsia" w:eastAsia="宋体" w:cs="Times New Roman"/>
          <w:color w:val="auto"/>
          <w:highlight w:val="none"/>
          <w:u w:val="single"/>
        </w:rPr>
        <w:t>发包人签发最终结清证书后</w:t>
      </w:r>
      <w:r>
        <w:rPr>
          <w:rStyle w:val="31"/>
          <w:rFonts w:hint="eastAsia" w:eastAsia="宋体" w:cs="Times New Roman"/>
          <w:color w:val="auto"/>
          <w:highlight w:val="none"/>
          <w:u w:val="single"/>
          <w:lang w:val="en-US" w:eastAsia="zh-CN"/>
        </w:rPr>
        <w:t>15</w:t>
      </w:r>
      <w:r>
        <w:rPr>
          <w:rStyle w:val="31"/>
          <w:rFonts w:hint="eastAsia" w:eastAsia="宋体" w:cs="Times New Roman"/>
          <w:color w:val="auto"/>
          <w:highlight w:val="none"/>
          <w:u w:val="single"/>
        </w:rPr>
        <w:t>天内</w:t>
      </w:r>
      <w:r>
        <w:rPr>
          <w:color w:val="auto"/>
          <w:highlight w:val="none"/>
          <w:u w:val="single"/>
        </w:rPr>
        <w:t xml:space="preserve">    </w:t>
      </w:r>
      <w:r>
        <w:rPr>
          <w:rFonts w:hint="eastAsia" w:hAnsi="宋体" w:cs="宋体"/>
          <w:color w:val="auto"/>
          <w:highlight w:val="none"/>
        </w:rPr>
        <w:t>。</w:t>
      </w:r>
    </w:p>
    <w:bookmarkEnd w:id="1228"/>
    <w:bookmarkEnd w:id="1229"/>
    <w:bookmarkEnd w:id="1230"/>
    <w:bookmarkEnd w:id="1231"/>
    <w:bookmarkEnd w:id="1232"/>
    <w:bookmarkEnd w:id="1233"/>
    <w:bookmarkEnd w:id="1234"/>
    <w:bookmarkEnd w:id="1240"/>
    <w:p>
      <w:pPr>
        <w:pStyle w:val="5"/>
        <w:keepNext w:val="0"/>
        <w:keepLines w:val="0"/>
        <w:pageBreakBefore w:val="0"/>
        <w:widowControl w:val="0"/>
        <w:kinsoku/>
        <w:wordWrap/>
        <w:overflowPunct/>
        <w:topLinePunct w:val="0"/>
        <w:autoSpaceDE w:val="0"/>
        <w:autoSpaceDN w:val="0"/>
        <w:bidi w:val="0"/>
        <w:snapToGrid/>
        <w:spacing w:before="0" w:line="360" w:lineRule="auto"/>
        <w:ind w:left="0" w:leftChars="0" w:right="0"/>
        <w:textAlignment w:val="auto"/>
        <w:rPr>
          <w:color w:val="auto"/>
          <w:highlight w:val="none"/>
        </w:rPr>
      </w:pPr>
      <w:bookmarkStart w:id="1301" w:name="_Toc31230"/>
      <w:bookmarkStart w:id="1302" w:name="_Toc13222"/>
      <w:bookmarkStart w:id="1303" w:name="_Toc407135265"/>
      <w:bookmarkStart w:id="1304" w:name="_Toc351203647"/>
      <w:bookmarkStart w:id="1305" w:name="_Toc389065327"/>
      <w:bookmarkStart w:id="1306" w:name="_Toc373478409"/>
      <w:bookmarkStart w:id="1307" w:name="_Toc9850593"/>
      <w:bookmarkStart w:id="1308" w:name="_Toc373227762"/>
      <w:bookmarkStart w:id="1309" w:name="_Toc29871"/>
      <w:bookmarkStart w:id="1310" w:name="_Toc18927"/>
      <w:bookmarkStart w:id="1311" w:name="_Toc267251483"/>
      <w:bookmarkStart w:id="1312" w:name="_Toc267251484"/>
      <w:bookmarkStart w:id="1313" w:name="_Toc267251482"/>
      <w:bookmarkStart w:id="1314" w:name="_Toc267251485"/>
      <w:bookmarkStart w:id="1315" w:name="_Toc267251489"/>
      <w:bookmarkStart w:id="1316" w:name="_Toc267251488"/>
      <w:bookmarkStart w:id="1317" w:name="_Toc267251486"/>
      <w:bookmarkStart w:id="1318" w:name="_Toc267251490"/>
      <w:bookmarkStart w:id="1319" w:name="_Toc267251499"/>
      <w:bookmarkStart w:id="1320" w:name="_Toc267251502"/>
      <w:bookmarkStart w:id="1321" w:name="_Toc267251503"/>
      <w:bookmarkStart w:id="1322" w:name="_Toc267251496"/>
      <w:bookmarkStart w:id="1323" w:name="_Toc267251501"/>
      <w:bookmarkStart w:id="1324" w:name="_Toc267251493"/>
      <w:bookmarkStart w:id="1325" w:name="_Toc267251494"/>
      <w:bookmarkStart w:id="1326" w:name="_Toc267251497"/>
      <w:bookmarkStart w:id="1327" w:name="_Toc267251495"/>
      <w:bookmarkStart w:id="1328" w:name="_Toc267251492"/>
      <w:bookmarkStart w:id="1329" w:name="_Toc267251491"/>
      <w:bookmarkStart w:id="1330" w:name="_Toc267251498"/>
      <w:bookmarkStart w:id="1331" w:name="_Toc267251506"/>
      <w:bookmarkStart w:id="1332" w:name="_Toc267251504"/>
      <w:bookmarkStart w:id="1333" w:name="_Toc267251507"/>
      <w:bookmarkStart w:id="1334" w:name="_Toc267251508"/>
      <w:bookmarkStart w:id="1335" w:name="_Toc267251513"/>
      <w:bookmarkStart w:id="1336" w:name="_Toc267251511"/>
      <w:bookmarkStart w:id="1337" w:name="_Toc267251510"/>
      <w:bookmarkStart w:id="1338" w:name="_Toc267251509"/>
      <w:bookmarkStart w:id="1339" w:name="_Toc267251515"/>
      <w:bookmarkStart w:id="1340" w:name="_Toc267251514"/>
      <w:r>
        <w:rPr>
          <w:color w:val="auto"/>
          <w:highlight w:val="none"/>
        </w:rPr>
        <w:t xml:space="preserve">15. </w:t>
      </w:r>
      <w:r>
        <w:rPr>
          <w:rFonts w:hint="eastAsia" w:cs="黑体"/>
          <w:color w:val="auto"/>
          <w:highlight w:val="none"/>
        </w:rPr>
        <w:t>缺陷责任期与保修</w:t>
      </w:r>
      <w:bookmarkEnd w:id="1301"/>
      <w:bookmarkEnd w:id="1302"/>
      <w:bookmarkEnd w:id="1303"/>
      <w:bookmarkEnd w:id="1304"/>
      <w:bookmarkEnd w:id="1305"/>
      <w:bookmarkEnd w:id="1306"/>
      <w:bookmarkEnd w:id="1307"/>
      <w:bookmarkEnd w:id="1308"/>
      <w:bookmarkEnd w:id="1309"/>
      <w:bookmarkEnd w:id="1310"/>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1341" w:name="_Toc28457"/>
      <w:bookmarkStart w:id="1342" w:name="_Toc8126"/>
      <w:bookmarkStart w:id="1343" w:name="_Toc389065328"/>
      <w:bookmarkStart w:id="1344" w:name="_Toc19293"/>
      <w:bookmarkStart w:id="1345" w:name="_Toc14105"/>
      <w:bookmarkStart w:id="1346" w:name="_Toc373227763"/>
      <w:bookmarkStart w:id="1347" w:name="_Toc407135266"/>
      <w:bookmarkStart w:id="1348" w:name="_Toc373478410"/>
      <w:bookmarkStart w:id="1349" w:name="_Toc9850594"/>
      <w:r>
        <w:rPr>
          <w:color w:val="auto"/>
          <w:highlight w:val="none"/>
        </w:rPr>
        <w:t xml:space="preserve">15.2 </w:t>
      </w:r>
      <w:r>
        <w:rPr>
          <w:rFonts w:hint="eastAsia" w:hAnsi="宋体" w:cs="黑体"/>
          <w:color w:val="auto"/>
          <w:highlight w:val="none"/>
        </w:rPr>
        <w:t>缺陷责任期</w:t>
      </w:r>
      <w:bookmarkEnd w:id="1311"/>
      <w:bookmarkEnd w:id="1341"/>
      <w:bookmarkEnd w:id="1342"/>
      <w:bookmarkEnd w:id="1343"/>
      <w:bookmarkEnd w:id="1344"/>
      <w:bookmarkEnd w:id="1345"/>
      <w:bookmarkEnd w:id="1346"/>
      <w:bookmarkEnd w:id="1347"/>
      <w:bookmarkEnd w:id="1348"/>
      <w:bookmarkEnd w:id="1349"/>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u w:val="single"/>
        </w:rPr>
      </w:pPr>
      <w:r>
        <w:rPr>
          <w:rFonts w:hint="eastAsia" w:hAnsi="宋体" w:cs="宋体"/>
          <w:color w:val="auto"/>
          <w:highlight w:val="none"/>
        </w:rPr>
        <w:t>缺陷责任期的具体期限：</w:t>
      </w:r>
      <w:r>
        <w:rPr>
          <w:rFonts w:hint="eastAsia"/>
          <w:color w:val="auto"/>
          <w:highlight w:val="none"/>
          <w:u w:val="single"/>
          <w:lang w:val="en-US" w:eastAsia="zh-CN"/>
        </w:rPr>
        <w:t>自竣工验收合格之日起1年</w:t>
      </w:r>
      <w:r>
        <w:rPr>
          <w:rFonts w:hint="eastAsia" w:hAnsi="宋体" w:cs="宋体"/>
          <w:color w:val="auto"/>
          <w:highlight w:val="none"/>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1350" w:name="_Toc373227764"/>
      <w:bookmarkStart w:id="1351" w:name="_Toc407135267"/>
      <w:bookmarkStart w:id="1352" w:name="_Toc6124"/>
      <w:bookmarkStart w:id="1353" w:name="_Toc389065329"/>
      <w:bookmarkStart w:id="1354" w:name="_Toc6148"/>
      <w:bookmarkStart w:id="1355" w:name="_Toc373478411"/>
      <w:bookmarkStart w:id="1356" w:name="_Toc25639"/>
      <w:bookmarkStart w:id="1357" w:name="_Toc9850595"/>
      <w:bookmarkStart w:id="1358" w:name="_Toc23058"/>
      <w:r>
        <w:rPr>
          <w:color w:val="auto"/>
          <w:highlight w:val="none"/>
        </w:rPr>
        <w:t xml:space="preserve">15.3 </w:t>
      </w:r>
      <w:r>
        <w:rPr>
          <w:rFonts w:hint="eastAsia" w:hAnsi="宋体" w:cs="黑体"/>
          <w:color w:val="auto"/>
          <w:highlight w:val="none"/>
        </w:rPr>
        <w:t>质量保证金</w:t>
      </w:r>
      <w:bookmarkEnd w:id="1350"/>
      <w:bookmarkEnd w:id="1351"/>
      <w:bookmarkEnd w:id="1352"/>
      <w:bookmarkEnd w:id="1353"/>
      <w:bookmarkEnd w:id="1354"/>
      <w:bookmarkEnd w:id="1355"/>
      <w:bookmarkEnd w:id="1356"/>
      <w:bookmarkEnd w:id="1357"/>
      <w:bookmarkEnd w:id="1358"/>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hAnsi="宋体" w:cs="宋体"/>
          <w:color w:val="auto"/>
          <w:highlight w:val="none"/>
        </w:rPr>
      </w:pPr>
      <w:r>
        <w:rPr>
          <w:rFonts w:hint="eastAsia" w:hAnsi="宋体" w:cs="宋体"/>
          <w:color w:val="auto"/>
          <w:highlight w:val="none"/>
        </w:rPr>
        <w:t>关于是否扣留质量保证金的约定：</w:t>
      </w:r>
      <w:r>
        <w:rPr>
          <w:color w:val="auto"/>
          <w:highlight w:val="none"/>
          <w:u w:val="single"/>
        </w:rPr>
        <w:t xml:space="preserve">     </w:t>
      </w:r>
      <w:r>
        <w:rPr>
          <w:rFonts w:hint="eastAsia"/>
          <w:color w:val="auto"/>
          <w:highlight w:val="none"/>
          <w:u w:val="single"/>
          <w:lang w:eastAsia="zh-CN"/>
        </w:rPr>
        <w:t>是</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在工程项目竣工前，承包人按专用合同条款第3.7条提供履约担保的，发包人不得同时预留工程质量保证金。</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outlineLvl w:val="0"/>
        <w:rPr>
          <w:color w:val="auto"/>
          <w:highlight w:val="none"/>
        </w:rPr>
      </w:pPr>
      <w:bookmarkStart w:id="1359" w:name="_Toc3878"/>
      <w:bookmarkStart w:id="1360" w:name="_Toc26497"/>
      <w:bookmarkStart w:id="1361" w:name="_Toc29962"/>
      <w:bookmarkStart w:id="1362" w:name="_Toc20025"/>
      <w:bookmarkStart w:id="1363" w:name="_Toc12839"/>
      <w:r>
        <w:rPr>
          <w:color w:val="auto"/>
          <w:highlight w:val="none"/>
        </w:rPr>
        <w:t xml:space="preserve">15.3.1 </w:t>
      </w:r>
      <w:r>
        <w:rPr>
          <w:rFonts w:hint="eastAsia" w:hAnsi="宋体" w:cs="宋体"/>
          <w:color w:val="auto"/>
          <w:highlight w:val="none"/>
        </w:rPr>
        <w:t>承包人提供质量保证金的方式</w:t>
      </w:r>
      <w:bookmarkEnd w:id="1359"/>
      <w:bookmarkEnd w:id="1360"/>
      <w:bookmarkEnd w:id="1361"/>
      <w:bookmarkEnd w:id="1362"/>
      <w:bookmarkEnd w:id="1363"/>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质量保证金采用以下第</w:t>
      </w:r>
      <w:r>
        <w:rPr>
          <w:color w:val="auto"/>
          <w:highlight w:val="none"/>
          <w:u w:val="single"/>
        </w:rPr>
        <w:t xml:space="preserve">  </w:t>
      </w:r>
      <w:r>
        <w:rPr>
          <w:rFonts w:hint="eastAsia"/>
          <w:color w:val="auto"/>
          <w:highlight w:val="none"/>
          <w:u w:val="single"/>
          <w:lang w:val="en-US" w:eastAsia="zh-CN"/>
        </w:rPr>
        <w:t>1</w:t>
      </w:r>
      <w:r>
        <w:rPr>
          <w:color w:val="auto"/>
          <w:highlight w:val="none"/>
          <w:u w:val="single"/>
        </w:rPr>
        <w:t xml:space="preserve">   </w:t>
      </w:r>
      <w:r>
        <w:rPr>
          <w:rFonts w:hint="eastAsia" w:hAnsi="宋体" w:cs="宋体"/>
          <w:color w:val="auto"/>
          <w:highlight w:val="none"/>
        </w:rPr>
        <w:t>种方式：</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rFonts w:hint="eastAsia" w:ascii="宋体" w:hAnsi="宋体" w:eastAsia="宋体" w:cs="宋体"/>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）质量保证金保函</w:t>
      </w:r>
      <w:r>
        <w:rPr>
          <w:rFonts w:hint="eastAsia" w:ascii="宋体" w:hAnsi="宋体" w:eastAsia="宋体" w:cs="宋体"/>
          <w:color w:val="auto"/>
          <w:kern w:val="0"/>
          <w:highlight w:val="none"/>
        </w:rPr>
        <w:t>，保证金额为：</w:t>
      </w:r>
      <w:r>
        <w:rPr>
          <w:rFonts w:hint="eastAsia" w:ascii="宋体" w:hAnsi="宋体" w:eastAsia="宋体" w:cs="宋体"/>
          <w:color w:val="auto"/>
          <w:kern w:val="0"/>
          <w:highlight w:val="none"/>
          <w:u w:val="single"/>
        </w:rPr>
        <w:t xml:space="preserve">   </w:t>
      </w:r>
      <w:r>
        <w:rPr>
          <w:rStyle w:val="31"/>
          <w:rFonts w:hint="eastAsia" w:ascii="宋体" w:hAnsi="宋体" w:eastAsia="宋体" w:cs="宋体"/>
          <w:color w:val="auto"/>
          <w:highlight w:val="none"/>
          <w:u w:val="single"/>
          <w:lang w:val="en-US" w:eastAsia="zh-CN"/>
        </w:rPr>
        <w:t xml:space="preserve">工程价款结算总额的 3 %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rPr>
        <w:t>发包人按工程价款结算总额的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%（不得超过3%）预留</w:t>
      </w:r>
      <w:r>
        <w:rPr>
          <w:rFonts w:hint="eastAsia" w:hAnsi="宋体" w:cs="宋体"/>
          <w:color w:val="auto"/>
          <w:highlight w:val="none"/>
        </w:rPr>
        <w:t>工程质量保证金，待缺陷责任期满后返还，是否付息及利息计算方式为：</w:t>
      </w:r>
      <w:r>
        <w:rPr>
          <w:rFonts w:hint="eastAsia" w:hAnsi="宋体" w:cs="宋体"/>
          <w:color w:val="auto"/>
          <w:highlight w:val="none"/>
          <w:u w:val="single"/>
        </w:rPr>
        <w:t xml:space="preserve">   </w:t>
      </w:r>
      <w:r>
        <w:rPr>
          <w:rFonts w:hint="eastAsia" w:cs="宋体"/>
          <w:color w:val="auto"/>
          <w:highlight w:val="none"/>
          <w:u w:val="single"/>
          <w:lang w:val="en-US" w:eastAsia="zh-CN"/>
        </w:rPr>
        <w:t>/</w:t>
      </w:r>
      <w:r>
        <w:rPr>
          <w:rFonts w:hint="eastAsia" w:hAnsi="宋体" w:cs="宋体"/>
          <w:color w:val="auto"/>
          <w:highlight w:val="none"/>
          <w:u w:val="single"/>
        </w:rPr>
        <w:t xml:space="preserve">   </w:t>
      </w:r>
      <w:r>
        <w:rPr>
          <w:rFonts w:hint="eastAsia" w:hAnsi="宋体" w:cs="宋体"/>
          <w:color w:val="auto"/>
          <w:kern w:val="0"/>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）其他方式</w:t>
      </w:r>
      <w:r>
        <w:rPr>
          <w:rFonts w:hint="eastAsia" w:cs="宋体"/>
          <w:color w:val="auto"/>
          <w:kern w:val="0"/>
          <w:highlight w:val="none"/>
        </w:rPr>
        <w:t>：</w:t>
      </w:r>
      <w:r>
        <w:rPr>
          <w:rFonts w:hAnsi="宋体"/>
          <w:color w:val="auto"/>
          <w:highlight w:val="none"/>
          <w:u w:val="single"/>
        </w:rPr>
        <w:t xml:space="preserve">     </w:t>
      </w:r>
      <w:r>
        <w:rPr>
          <w:rFonts w:hint="eastAsia"/>
          <w:color w:val="auto"/>
          <w:highlight w:val="none"/>
          <w:u w:val="single"/>
          <w:lang w:val="en-US" w:eastAsia="zh-CN"/>
        </w:rPr>
        <w:t>/</w:t>
      </w:r>
      <w:r>
        <w:rPr>
          <w:rFonts w:hAnsi="宋体"/>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color w:val="auto"/>
          <w:highlight w:val="none"/>
        </w:rPr>
        <w:t xml:space="preserve">15.3.2 </w:t>
      </w:r>
      <w:r>
        <w:rPr>
          <w:rFonts w:hint="eastAsia" w:hAnsi="宋体" w:cs="宋体"/>
          <w:color w:val="auto"/>
          <w:highlight w:val="none"/>
        </w:rPr>
        <w:t>质量保证金的扣留</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质量保证金的扣留采取以下第</w:t>
      </w:r>
      <w:r>
        <w:rPr>
          <w:color w:val="auto"/>
          <w:highlight w:val="none"/>
          <w:u w:val="single"/>
        </w:rPr>
        <w:t xml:space="preserve">  </w:t>
      </w:r>
      <w:r>
        <w:rPr>
          <w:rFonts w:hint="eastAsia"/>
          <w:color w:val="auto"/>
          <w:highlight w:val="none"/>
          <w:u w:val="single"/>
          <w:lang w:val="en-US" w:eastAsia="zh-CN"/>
        </w:rPr>
        <w:t>3</w:t>
      </w:r>
      <w:r>
        <w:rPr>
          <w:color w:val="auto"/>
          <w:highlight w:val="none"/>
          <w:u w:val="single"/>
        </w:rPr>
        <w:t xml:space="preserve">  </w:t>
      </w:r>
      <w:r>
        <w:rPr>
          <w:rFonts w:hint="eastAsia" w:hAnsi="宋体" w:cs="宋体"/>
          <w:color w:val="auto"/>
          <w:highlight w:val="none"/>
        </w:rPr>
        <w:t>种方式：</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）在</w:t>
      </w:r>
      <w:r>
        <w:rPr>
          <w:rFonts w:hAnsi="宋体" w:cs="宋体"/>
          <w:color w:val="auto"/>
          <w:kern w:val="0"/>
          <w:highlight w:val="none"/>
        </w:rPr>
        <w:t>不缴纳履</w:t>
      </w:r>
      <w:r>
        <w:rPr>
          <w:rFonts w:hint="eastAsia" w:hAnsi="宋体" w:cs="宋体"/>
          <w:color w:val="auto"/>
          <w:kern w:val="0"/>
          <w:highlight w:val="none"/>
        </w:rPr>
        <w:t>保</w:t>
      </w:r>
      <w:r>
        <w:rPr>
          <w:rFonts w:hAnsi="宋体" w:cs="宋体"/>
          <w:color w:val="auto"/>
          <w:kern w:val="0"/>
          <w:highlight w:val="none"/>
        </w:rPr>
        <w:t>证金情况下</w:t>
      </w:r>
      <w:r>
        <w:rPr>
          <w:rFonts w:hint="eastAsia" w:hAnsi="宋体" w:cs="宋体"/>
          <w:color w:val="auto"/>
          <w:kern w:val="0"/>
          <w:highlight w:val="none"/>
        </w:rPr>
        <w:t>，按支付工程进度款时逐次扣留，质量保证金的计算基数不包括预付款的支付、扣回以及价格调整的金额；</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）工程竣工结算时，一次性扣留质量保证金，</w:t>
      </w:r>
      <w:r>
        <w:rPr>
          <w:rFonts w:hAnsi="宋体" w:cs="宋体"/>
          <w:color w:val="auto"/>
          <w:kern w:val="0"/>
          <w:highlight w:val="none"/>
        </w:rPr>
        <w:t>由承包人以银行保函</w:t>
      </w:r>
      <w:r>
        <w:rPr>
          <w:rFonts w:hint="eastAsia" w:hAnsi="宋体" w:cs="宋体"/>
          <w:color w:val="auto"/>
          <w:kern w:val="0"/>
          <w:highlight w:val="none"/>
        </w:rPr>
        <w:t>、保证保险</w:t>
      </w:r>
      <w:r>
        <w:rPr>
          <w:rFonts w:hAnsi="宋体" w:cs="宋体"/>
          <w:color w:val="auto"/>
          <w:kern w:val="0"/>
          <w:highlight w:val="none"/>
        </w:rPr>
        <w:t>替代预留</w:t>
      </w:r>
      <w:r>
        <w:rPr>
          <w:rFonts w:hint="eastAsia" w:hAnsi="宋体" w:cs="宋体"/>
          <w:color w:val="auto"/>
          <w:kern w:val="0"/>
          <w:highlight w:val="none"/>
        </w:rPr>
        <w:t>质量</w:t>
      </w:r>
      <w:r>
        <w:rPr>
          <w:rFonts w:hAnsi="宋体" w:cs="宋体"/>
          <w:color w:val="auto"/>
          <w:kern w:val="0"/>
          <w:highlight w:val="none"/>
        </w:rPr>
        <w:t>保证金</w:t>
      </w:r>
      <w:r>
        <w:rPr>
          <w:rFonts w:hint="eastAsia" w:hAnsi="宋体" w:cs="宋体"/>
          <w:color w:val="auto"/>
          <w:kern w:val="0"/>
          <w:highlight w:val="none"/>
        </w:rPr>
        <w:t>，</w:t>
      </w:r>
      <w:r>
        <w:rPr>
          <w:rFonts w:hAnsi="宋体" w:cs="宋体"/>
          <w:color w:val="auto"/>
          <w:kern w:val="0"/>
          <w:highlight w:val="none"/>
        </w:rPr>
        <w:t>保函金额不得高</w:t>
      </w:r>
      <w:r>
        <w:rPr>
          <w:rFonts w:hint="eastAsia" w:hAnsi="宋体" w:cs="宋体"/>
          <w:color w:val="auto"/>
          <w:kern w:val="0"/>
          <w:highlight w:val="none"/>
        </w:rPr>
        <w:t>于</w:t>
      </w:r>
      <w:r>
        <w:rPr>
          <w:rFonts w:hAnsi="宋体" w:cs="宋体"/>
          <w:color w:val="auto"/>
          <w:kern w:val="0"/>
          <w:highlight w:val="none"/>
        </w:rPr>
        <w:t>工程价款结算总额的</w:t>
      </w:r>
      <w:r>
        <w:rPr>
          <w:rFonts w:hint="eastAsia" w:hAnsi="宋体" w:cs="宋体"/>
          <w:color w:val="auto"/>
          <w:kern w:val="0"/>
          <w:highlight w:val="none"/>
        </w:rPr>
        <w:t>3</w:t>
      </w:r>
      <w:r>
        <w:rPr>
          <w:rFonts w:hAnsi="宋体" w:cs="宋体"/>
          <w:color w:val="auto"/>
          <w:kern w:val="0"/>
          <w:highlight w:val="none"/>
        </w:rPr>
        <w:t>%</w:t>
      </w:r>
      <w:r>
        <w:rPr>
          <w:rFonts w:hint="eastAsia" w:hAnsi="宋体" w:cs="宋体"/>
          <w:color w:val="auto"/>
          <w:kern w:val="0"/>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）其他扣留方式</w:t>
      </w:r>
      <w:r>
        <w:rPr>
          <w:color w:val="auto"/>
          <w:kern w:val="0"/>
          <w:highlight w:val="none"/>
        </w:rPr>
        <w:t>:</w:t>
      </w:r>
      <w:r>
        <w:rPr>
          <w:color w:val="auto"/>
          <w:kern w:val="0"/>
          <w:highlight w:val="none"/>
          <w:u w:val="single"/>
        </w:rPr>
        <w:t xml:space="preserve"> </w:t>
      </w:r>
      <w:r>
        <w:rPr>
          <w:rFonts w:hint="default" w:ascii="宋体" w:hAnsi="宋体" w:eastAsia="宋体" w:cs="宋体"/>
          <w:color w:val="auto"/>
          <w:kern w:val="0"/>
          <w:highlight w:val="none"/>
          <w:u w:val="single"/>
          <w:lang w:val="en-US" w:eastAsia="zh-CN"/>
        </w:rPr>
        <w:t>提交形式为银行保函、工程担保或保证保险等形式，金额为工程价款结算总额的3%。结算审定后15日内向发包人提交担保，担保有效期必须与工程质量保修期一致</w:t>
      </w:r>
      <w:r>
        <w:rPr>
          <w:rFonts w:ascii="宋体" w:hAnsi="宋体" w:eastAsia="宋体" w:cs="宋体"/>
          <w:color w:val="auto"/>
          <w:kern w:val="0"/>
          <w:highlight w:val="none"/>
          <w:u w:val="single"/>
        </w:rPr>
        <w:t xml:space="preserve">  </w:t>
      </w:r>
      <w:r>
        <w:rPr>
          <w:rFonts w:hint="eastAsia" w:hAnsi="宋体" w:cs="宋体"/>
          <w:color w:val="auto"/>
          <w:kern w:val="0"/>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kern w:val="0"/>
          <w:highlight w:val="none"/>
          <w:u w:val="single"/>
        </w:rPr>
      </w:pPr>
      <w:r>
        <w:rPr>
          <w:rFonts w:hint="eastAsia" w:hAnsi="宋体" w:cs="宋体"/>
          <w:color w:val="auto"/>
          <w:highlight w:val="none"/>
        </w:rPr>
        <w:t>关于质量保证金的补充约定：</w:t>
      </w:r>
      <w:r>
        <w:rPr>
          <w:color w:val="auto"/>
          <w:kern w:val="0"/>
          <w:highlight w:val="none"/>
          <w:u w:val="single"/>
        </w:rPr>
        <w:t xml:space="preserve">       </w:t>
      </w:r>
      <w:r>
        <w:rPr>
          <w:rFonts w:hint="eastAsia"/>
          <w:color w:val="auto"/>
          <w:kern w:val="0"/>
          <w:highlight w:val="none"/>
          <w:u w:val="single"/>
          <w:lang w:val="en-US" w:eastAsia="zh-CN"/>
        </w:rPr>
        <w:t xml:space="preserve">/   </w:t>
      </w:r>
      <w:r>
        <w:rPr>
          <w:color w:val="auto"/>
          <w:kern w:val="0"/>
          <w:highlight w:val="none"/>
          <w:u w:val="single"/>
        </w:rPr>
        <w:t xml:space="preserve">    </w:t>
      </w:r>
      <w:r>
        <w:rPr>
          <w:rFonts w:hint="eastAsia" w:hAnsi="宋体" w:cs="宋体"/>
          <w:color w:val="auto"/>
          <w:kern w:val="0"/>
          <w:highlight w:val="none"/>
        </w:rPr>
        <w:t>。</w:t>
      </w:r>
    </w:p>
    <w:bookmarkEnd w:id="1312"/>
    <w:bookmarkEnd w:id="1313"/>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1364" w:name="_Toc9176"/>
      <w:bookmarkStart w:id="1365" w:name="_Toc22207"/>
      <w:bookmarkStart w:id="1366" w:name="_Toc389065330"/>
      <w:bookmarkStart w:id="1367" w:name="_Toc25262"/>
      <w:bookmarkStart w:id="1368" w:name="_Toc373478412"/>
      <w:bookmarkStart w:id="1369" w:name="_Toc32639"/>
      <w:bookmarkStart w:id="1370" w:name="_Toc407135268"/>
      <w:bookmarkStart w:id="1371" w:name="_Toc9850596"/>
      <w:bookmarkStart w:id="1372" w:name="_Toc373227765"/>
      <w:r>
        <w:rPr>
          <w:color w:val="auto"/>
          <w:highlight w:val="none"/>
        </w:rPr>
        <w:t xml:space="preserve">15.4 </w:t>
      </w:r>
      <w:r>
        <w:rPr>
          <w:rFonts w:hint="eastAsia" w:hAnsi="宋体" w:cs="黑体"/>
          <w:color w:val="auto"/>
          <w:highlight w:val="none"/>
        </w:rPr>
        <w:t>保修</w:t>
      </w:r>
      <w:bookmarkEnd w:id="1364"/>
      <w:bookmarkEnd w:id="1365"/>
      <w:bookmarkEnd w:id="1366"/>
      <w:bookmarkEnd w:id="1367"/>
      <w:bookmarkEnd w:id="1368"/>
      <w:bookmarkEnd w:id="1369"/>
      <w:bookmarkEnd w:id="1370"/>
      <w:bookmarkEnd w:id="1371"/>
      <w:bookmarkEnd w:id="1372"/>
    </w:p>
    <w:bookmarkEnd w:id="1314"/>
    <w:p>
      <w:pPr>
        <w:keepNext w:val="0"/>
        <w:keepLines w:val="0"/>
        <w:pageBreakBefore w:val="0"/>
        <w:widowControl w:val="0"/>
        <w:kinsoku/>
        <w:wordWrap/>
        <w:overflowPunct/>
        <w:topLinePunct w:val="0"/>
        <w:autoSpaceDE w:val="0"/>
        <w:autoSpaceDN w:val="0"/>
        <w:bidi w:val="0"/>
        <w:snapToGrid/>
        <w:spacing w:line="360" w:lineRule="auto"/>
        <w:ind w:left="0" w:leftChars="0" w:right="0" w:firstLine="429" w:firstLineChars="195"/>
        <w:jc w:val="left"/>
        <w:textAlignment w:val="auto"/>
        <w:outlineLvl w:val="0"/>
        <w:rPr>
          <w:color w:val="auto"/>
          <w:highlight w:val="none"/>
        </w:rPr>
      </w:pPr>
      <w:bookmarkStart w:id="1373" w:name="_Toc3263"/>
      <w:bookmarkStart w:id="1374" w:name="_Toc13120"/>
      <w:bookmarkStart w:id="1375" w:name="_Toc17078"/>
      <w:bookmarkStart w:id="1376" w:name="_Toc14651"/>
      <w:bookmarkStart w:id="1377" w:name="_Toc22954"/>
      <w:r>
        <w:rPr>
          <w:color w:val="auto"/>
          <w:highlight w:val="none"/>
        </w:rPr>
        <w:t xml:space="preserve">15.4.1 </w:t>
      </w:r>
      <w:r>
        <w:rPr>
          <w:rFonts w:hint="eastAsia" w:hAnsi="宋体" w:cs="宋体"/>
          <w:color w:val="auto"/>
          <w:highlight w:val="none"/>
        </w:rPr>
        <w:t>保修责任</w:t>
      </w:r>
      <w:bookmarkEnd w:id="1373"/>
      <w:bookmarkEnd w:id="1374"/>
      <w:bookmarkEnd w:id="1375"/>
      <w:bookmarkEnd w:id="1376"/>
      <w:bookmarkEnd w:id="1377"/>
    </w:p>
    <w:p>
      <w:pPr>
        <w:keepNext w:val="0"/>
        <w:keepLines w:val="0"/>
        <w:pageBreakBefore w:val="0"/>
        <w:widowControl w:val="0"/>
        <w:kinsoku/>
        <w:wordWrap/>
        <w:overflowPunct/>
        <w:topLinePunct w:val="0"/>
        <w:autoSpaceDE w:val="0"/>
        <w:autoSpaceDN w:val="0"/>
        <w:bidi w:val="0"/>
        <w:snapToGrid/>
        <w:spacing w:line="360" w:lineRule="auto"/>
        <w:ind w:left="0" w:leftChars="0" w:right="0" w:firstLine="429" w:firstLineChars="195"/>
        <w:jc w:val="left"/>
        <w:textAlignment w:val="auto"/>
        <w:rPr>
          <w:rFonts w:hAnsi="宋体"/>
          <w:color w:val="auto"/>
          <w:kern w:val="0"/>
          <w:highlight w:val="none"/>
        </w:rPr>
      </w:pPr>
      <w:r>
        <w:rPr>
          <w:rFonts w:hint="eastAsia" w:hAnsi="宋体" w:cs="宋体"/>
          <w:color w:val="auto"/>
          <w:highlight w:val="none"/>
        </w:rPr>
        <w:t>工程保修期为：</w:t>
      </w:r>
      <w:r>
        <w:rPr>
          <w:color w:val="auto"/>
          <w:kern w:val="0"/>
          <w:highlight w:val="none"/>
          <w:u w:val="single"/>
        </w:rPr>
        <w:t xml:space="preserve"> </w:t>
      </w:r>
      <w:r>
        <w:rPr>
          <w:rStyle w:val="31"/>
          <w:rFonts w:hint="eastAsia" w:ascii="宋体" w:hAnsi="宋体" w:eastAsia="宋体" w:cs="宋体"/>
          <w:color w:val="auto"/>
          <w:kern w:val="0"/>
          <w:highlight w:val="none"/>
          <w:u w:val="single"/>
        </w:rPr>
        <w:t>见附件：工程质量保修书</w:t>
      </w:r>
      <w:r>
        <w:rPr>
          <w:color w:val="auto"/>
          <w:kern w:val="0"/>
          <w:highlight w:val="none"/>
          <w:u w:val="single"/>
        </w:rPr>
        <w:t xml:space="preserve">   </w:t>
      </w:r>
      <w:r>
        <w:rPr>
          <w:rFonts w:hint="eastAsia" w:hAnsi="宋体" w:cs="宋体"/>
          <w:color w:val="auto"/>
          <w:kern w:val="0"/>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29" w:firstLineChars="195"/>
        <w:jc w:val="left"/>
        <w:textAlignment w:val="auto"/>
        <w:rPr>
          <w:color w:val="auto"/>
          <w:kern w:val="0"/>
          <w:highlight w:val="none"/>
          <w:u w:val="single"/>
        </w:rPr>
      </w:pPr>
      <w:r>
        <w:rPr>
          <w:rFonts w:hint="eastAsia" w:ascii="宋体" w:hAnsi="宋体" w:cs="宋体"/>
          <w:color w:val="auto"/>
          <w:highlight w:val="none"/>
        </w:rPr>
        <w:t>工程保修书具体内容见合同附件2。</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29" w:firstLineChars="195"/>
        <w:jc w:val="left"/>
        <w:textAlignment w:val="auto"/>
        <w:rPr>
          <w:color w:val="auto"/>
          <w:highlight w:val="none"/>
        </w:rPr>
      </w:pPr>
      <w:r>
        <w:rPr>
          <w:color w:val="auto"/>
          <w:highlight w:val="none"/>
        </w:rPr>
        <w:t xml:space="preserve">15.4.3 </w:t>
      </w:r>
      <w:r>
        <w:rPr>
          <w:rFonts w:hint="eastAsia" w:hAnsi="宋体" w:cs="宋体"/>
          <w:color w:val="auto"/>
          <w:highlight w:val="none"/>
        </w:rPr>
        <w:t>修复通知</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29" w:firstLineChars="195"/>
        <w:jc w:val="left"/>
        <w:textAlignment w:val="auto"/>
        <w:rPr>
          <w:color w:val="auto"/>
          <w:kern w:val="0"/>
          <w:highlight w:val="none"/>
          <w:u w:val="single"/>
        </w:rPr>
      </w:pPr>
      <w:r>
        <w:rPr>
          <w:rFonts w:hint="eastAsia" w:hAnsi="宋体" w:cs="宋体"/>
          <w:color w:val="auto"/>
          <w:kern w:val="0"/>
          <w:highlight w:val="none"/>
        </w:rPr>
        <w:t>承包人收到保修通知并到达工程现场的合理时间：</w:t>
      </w:r>
      <w:r>
        <w:rPr>
          <w:color w:val="auto"/>
          <w:kern w:val="0"/>
          <w:highlight w:val="none"/>
          <w:u w:val="single"/>
        </w:rPr>
        <w:t xml:space="preserve">   </w:t>
      </w:r>
      <w:r>
        <w:rPr>
          <w:rStyle w:val="31"/>
          <w:rFonts w:hint="eastAsia" w:ascii="宋体" w:hAnsi="宋体" w:eastAsia="宋体" w:cs="Times New Roman"/>
          <w:color w:val="auto"/>
          <w:kern w:val="0"/>
          <w:highlight w:val="none"/>
          <w:u w:val="single"/>
        </w:rPr>
        <w:t>48小时内</w:t>
      </w:r>
      <w:r>
        <w:rPr>
          <w:color w:val="auto"/>
          <w:kern w:val="0"/>
          <w:highlight w:val="none"/>
          <w:u w:val="single"/>
        </w:rPr>
        <w:t xml:space="preserve">  </w:t>
      </w:r>
      <w:r>
        <w:rPr>
          <w:rFonts w:hint="eastAsia" w:hAnsi="宋体" w:cs="宋体"/>
          <w:color w:val="auto"/>
          <w:kern w:val="0"/>
          <w:highlight w:val="none"/>
        </w:rPr>
        <w:t>。</w:t>
      </w:r>
    </w:p>
    <w:bookmarkEnd w:id="1315"/>
    <w:bookmarkEnd w:id="1316"/>
    <w:bookmarkEnd w:id="1317"/>
    <w:bookmarkEnd w:id="1318"/>
    <w:p>
      <w:pPr>
        <w:pStyle w:val="5"/>
        <w:keepNext w:val="0"/>
        <w:keepLines w:val="0"/>
        <w:pageBreakBefore w:val="0"/>
        <w:widowControl w:val="0"/>
        <w:kinsoku/>
        <w:wordWrap/>
        <w:overflowPunct/>
        <w:topLinePunct w:val="0"/>
        <w:autoSpaceDE w:val="0"/>
        <w:autoSpaceDN w:val="0"/>
        <w:bidi w:val="0"/>
        <w:snapToGrid/>
        <w:spacing w:before="0" w:line="360" w:lineRule="auto"/>
        <w:ind w:left="0" w:leftChars="0" w:right="0"/>
        <w:textAlignment w:val="auto"/>
        <w:rPr>
          <w:color w:val="auto"/>
          <w:highlight w:val="none"/>
        </w:rPr>
      </w:pPr>
      <w:bookmarkStart w:id="1378" w:name="_Toc389065331"/>
      <w:bookmarkStart w:id="1379" w:name="_Toc373478413"/>
      <w:bookmarkStart w:id="1380" w:name="_Toc29250"/>
      <w:bookmarkStart w:id="1381" w:name="_Toc22823"/>
      <w:bookmarkStart w:id="1382" w:name="_Toc9901"/>
      <w:bookmarkStart w:id="1383" w:name="_Toc407135269"/>
      <w:bookmarkStart w:id="1384" w:name="_Toc17276"/>
      <w:bookmarkStart w:id="1385" w:name="_Toc373227766"/>
      <w:bookmarkStart w:id="1386" w:name="_Toc9850597"/>
      <w:bookmarkStart w:id="1387" w:name="_Toc351203648"/>
      <w:bookmarkStart w:id="1388" w:name="_Toc280868717"/>
      <w:bookmarkStart w:id="1389" w:name="_Toc280868718"/>
      <w:r>
        <w:rPr>
          <w:color w:val="auto"/>
          <w:highlight w:val="none"/>
        </w:rPr>
        <w:t xml:space="preserve">16. </w:t>
      </w:r>
      <w:r>
        <w:rPr>
          <w:rFonts w:hint="eastAsia" w:hAnsi="宋体" w:cs="黑体"/>
          <w:color w:val="auto"/>
          <w:highlight w:val="none"/>
        </w:rPr>
        <w:t>违约</w:t>
      </w:r>
      <w:bookmarkEnd w:id="1378"/>
      <w:bookmarkEnd w:id="1379"/>
      <w:bookmarkEnd w:id="1380"/>
      <w:bookmarkEnd w:id="1381"/>
      <w:bookmarkEnd w:id="1382"/>
      <w:bookmarkEnd w:id="1383"/>
      <w:bookmarkEnd w:id="1384"/>
      <w:bookmarkEnd w:id="1385"/>
      <w:bookmarkEnd w:id="1386"/>
      <w:bookmarkEnd w:id="1387"/>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1390" w:name="_Toc9850598"/>
      <w:bookmarkStart w:id="1391" w:name="_Toc23211"/>
      <w:bookmarkStart w:id="1392" w:name="_Toc373227767"/>
      <w:bookmarkStart w:id="1393" w:name="_Toc26856"/>
      <w:bookmarkStart w:id="1394" w:name="_Toc407135270"/>
      <w:bookmarkStart w:id="1395" w:name="_Toc373478414"/>
      <w:bookmarkStart w:id="1396" w:name="_Toc19286"/>
      <w:bookmarkStart w:id="1397" w:name="_Toc389065332"/>
      <w:bookmarkStart w:id="1398" w:name="_Toc24968"/>
      <w:r>
        <w:rPr>
          <w:color w:val="auto"/>
          <w:highlight w:val="none"/>
        </w:rPr>
        <w:t xml:space="preserve">16.1 </w:t>
      </w:r>
      <w:r>
        <w:rPr>
          <w:rFonts w:hint="eastAsia" w:hAnsi="宋体" w:cs="黑体"/>
          <w:color w:val="auto"/>
          <w:highlight w:val="none"/>
        </w:rPr>
        <w:t>发包人违约</w:t>
      </w:r>
      <w:bookmarkEnd w:id="1390"/>
      <w:bookmarkEnd w:id="1391"/>
      <w:bookmarkEnd w:id="1392"/>
      <w:bookmarkEnd w:id="1393"/>
      <w:bookmarkEnd w:id="1394"/>
      <w:bookmarkEnd w:id="1395"/>
      <w:bookmarkEnd w:id="1396"/>
      <w:bookmarkEnd w:id="1397"/>
      <w:bookmarkEnd w:id="1398"/>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color w:val="auto"/>
          <w:highlight w:val="none"/>
        </w:rPr>
        <w:t>16.1.1</w:t>
      </w:r>
      <w:r>
        <w:rPr>
          <w:rFonts w:hint="eastAsia" w:hAnsi="宋体" w:cs="宋体"/>
          <w:color w:val="auto"/>
          <w:highlight w:val="none"/>
        </w:rPr>
        <w:t>发包人违约的情形</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olor w:val="auto"/>
          <w:kern w:val="0"/>
          <w:highlight w:val="none"/>
        </w:rPr>
      </w:pPr>
      <w:r>
        <w:rPr>
          <w:rFonts w:hint="eastAsia" w:hAnsi="宋体" w:cs="宋体"/>
          <w:color w:val="auto"/>
          <w:kern w:val="0"/>
          <w:highlight w:val="none"/>
        </w:rPr>
        <w:t>发包人违约的其他情形：</w:t>
      </w:r>
      <w:r>
        <w:rPr>
          <w:color w:val="auto"/>
          <w:kern w:val="0"/>
          <w:highlight w:val="none"/>
          <w:u w:val="single"/>
        </w:rPr>
        <w:t xml:space="preserve"> </w:t>
      </w:r>
      <w:r>
        <w:rPr>
          <w:rStyle w:val="31"/>
          <w:rFonts w:hint="eastAsia" w:ascii="宋体" w:hAnsi="宋体" w:eastAsia="宋体" w:cs="Times New Roman"/>
          <w:color w:val="auto"/>
          <w:highlight w:val="none"/>
          <w:u w:val="single"/>
        </w:rPr>
        <w:t>按《通用合同条款》16.1.1条执行</w:t>
      </w:r>
      <w:r>
        <w:rPr>
          <w:color w:val="auto"/>
          <w:kern w:val="0"/>
          <w:highlight w:val="none"/>
          <w:u w:val="single"/>
        </w:rPr>
        <w:t xml:space="preserve">      </w:t>
      </w:r>
      <w:r>
        <w:rPr>
          <w:rFonts w:hint="eastAsia" w:hAnsi="宋体" w:cs="宋体"/>
          <w:color w:val="auto"/>
          <w:kern w:val="0"/>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outlineLvl w:val="0"/>
        <w:rPr>
          <w:color w:val="auto"/>
          <w:kern w:val="0"/>
          <w:highlight w:val="none"/>
        </w:rPr>
      </w:pPr>
      <w:bookmarkStart w:id="1399" w:name="_Toc5362"/>
      <w:bookmarkStart w:id="1400" w:name="_Toc31310"/>
      <w:bookmarkStart w:id="1401" w:name="_Toc23081"/>
      <w:bookmarkStart w:id="1402" w:name="_Toc4987"/>
      <w:bookmarkStart w:id="1403" w:name="_Toc6385"/>
      <w:r>
        <w:rPr>
          <w:color w:val="auto"/>
          <w:kern w:val="0"/>
          <w:highlight w:val="none"/>
        </w:rPr>
        <w:t xml:space="preserve">16.1.2 </w:t>
      </w:r>
      <w:r>
        <w:rPr>
          <w:rFonts w:hint="eastAsia" w:hAnsi="宋体" w:cs="宋体"/>
          <w:color w:val="auto"/>
          <w:kern w:val="0"/>
          <w:highlight w:val="none"/>
        </w:rPr>
        <w:t>发包人违约的责任</w:t>
      </w:r>
      <w:bookmarkEnd w:id="1399"/>
      <w:bookmarkEnd w:id="1400"/>
      <w:bookmarkEnd w:id="1401"/>
      <w:bookmarkEnd w:id="1402"/>
      <w:bookmarkEnd w:id="1403"/>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kern w:val="0"/>
          <w:highlight w:val="none"/>
        </w:rPr>
      </w:pPr>
      <w:r>
        <w:rPr>
          <w:rFonts w:hint="eastAsia" w:hAnsi="宋体" w:cs="宋体"/>
          <w:color w:val="auto"/>
          <w:kern w:val="0"/>
          <w:highlight w:val="none"/>
        </w:rPr>
        <w:t>发包人违约责任的承担方式和计算方法：</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kern w:val="0"/>
          <w:highlight w:val="none"/>
          <w:u w:val="singl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）因发包人原因未能在计划开工日期前</w:t>
      </w:r>
      <w:r>
        <w:rPr>
          <w:color w:val="auto"/>
          <w:kern w:val="0"/>
          <w:highlight w:val="none"/>
        </w:rPr>
        <w:t>7</w:t>
      </w:r>
      <w:r>
        <w:rPr>
          <w:rFonts w:hint="eastAsia" w:hAnsi="宋体" w:cs="宋体"/>
          <w:color w:val="auto"/>
          <w:kern w:val="0"/>
          <w:highlight w:val="none"/>
        </w:rPr>
        <w:t>天内下达开工通知的违约责任：</w:t>
      </w:r>
      <w:r>
        <w:rPr>
          <w:color w:val="auto"/>
          <w:kern w:val="0"/>
          <w:highlight w:val="none"/>
          <w:u w:val="single"/>
        </w:rPr>
        <w:t xml:space="preserve"> </w:t>
      </w:r>
      <w:r>
        <w:rPr>
          <w:rStyle w:val="31"/>
          <w:rFonts w:hint="eastAsia" w:ascii="宋体" w:hAnsi="宋体" w:eastAsia="宋体" w:cs="Times New Roman"/>
          <w:color w:val="auto"/>
          <w:kern w:val="0"/>
          <w:highlight w:val="none"/>
          <w:u w:val="single"/>
        </w:rPr>
        <w:t>承包人可以顺延</w:t>
      </w:r>
      <w:r>
        <w:rPr>
          <w:rStyle w:val="31"/>
          <w:rFonts w:hint="eastAsia" w:ascii="宋体" w:hAnsi="宋体" w:eastAsia="宋体" w:cs="Times New Roman"/>
          <w:color w:val="auto"/>
          <w:kern w:val="0"/>
          <w:highlight w:val="none"/>
          <w:u w:val="single"/>
          <w:lang w:eastAsia="zh-CN"/>
        </w:rPr>
        <w:t>工期</w:t>
      </w:r>
      <w:r>
        <w:rPr>
          <w:rStyle w:val="31"/>
          <w:rFonts w:hint="eastAsia" w:ascii="宋体" w:hAnsi="宋体" w:eastAsia="宋体" w:cs="Times New Roman"/>
          <w:color w:val="auto"/>
          <w:kern w:val="0"/>
          <w:highlight w:val="none"/>
          <w:u w:val="single"/>
        </w:rPr>
        <w:t>，并有权要求赔偿停工、窝工等损失</w:t>
      </w:r>
      <w:r>
        <w:rPr>
          <w:color w:val="auto"/>
          <w:kern w:val="0"/>
          <w:highlight w:val="none"/>
          <w:u w:val="single"/>
        </w:rPr>
        <w:t xml:space="preserve">    </w:t>
      </w:r>
      <w:r>
        <w:rPr>
          <w:rFonts w:hint="eastAsia" w:hAnsi="宋体" w:cs="宋体"/>
          <w:color w:val="auto"/>
          <w:kern w:val="0"/>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）因发包人原因未能按合同约定支付合同价款的违约责任：</w:t>
      </w:r>
      <w:r>
        <w:rPr>
          <w:color w:val="auto"/>
          <w:kern w:val="0"/>
          <w:highlight w:val="none"/>
          <w:u w:val="single"/>
        </w:rPr>
        <w:t xml:space="preserve">  </w:t>
      </w:r>
      <w:r>
        <w:rPr>
          <w:rStyle w:val="31"/>
          <w:rFonts w:hint="eastAsia" w:ascii="宋体" w:hAnsi="宋体" w:eastAsia="宋体" w:cs="Times New Roman"/>
          <w:color w:val="auto"/>
          <w:kern w:val="0"/>
          <w:highlight w:val="none"/>
          <w:u w:val="single"/>
        </w:rPr>
        <w:t>承包人可以顺延</w:t>
      </w:r>
      <w:r>
        <w:rPr>
          <w:rStyle w:val="31"/>
          <w:rFonts w:hint="eastAsia" w:ascii="宋体" w:hAnsi="宋体" w:eastAsia="宋体" w:cs="Times New Roman"/>
          <w:color w:val="auto"/>
          <w:kern w:val="0"/>
          <w:highlight w:val="none"/>
          <w:u w:val="single"/>
          <w:lang w:eastAsia="zh-CN"/>
        </w:rPr>
        <w:t>工期</w:t>
      </w:r>
      <w:r>
        <w:rPr>
          <w:rStyle w:val="31"/>
          <w:rFonts w:hint="eastAsia" w:ascii="宋体" w:hAnsi="宋体" w:eastAsia="宋体" w:cs="Times New Roman"/>
          <w:color w:val="auto"/>
          <w:kern w:val="0"/>
          <w:highlight w:val="none"/>
          <w:u w:val="single"/>
        </w:rPr>
        <w:t>，并有权要求赔偿停工、窝工等</w:t>
      </w:r>
      <w:r>
        <w:rPr>
          <w:rStyle w:val="31"/>
          <w:rFonts w:hint="eastAsia" w:ascii="宋体" w:hAnsi="宋体" w:eastAsia="宋体" w:cs="宋体"/>
          <w:color w:val="auto"/>
          <w:kern w:val="0"/>
          <w:highlight w:val="none"/>
          <w:u w:val="single"/>
        </w:rPr>
        <w:t>损失</w:t>
      </w:r>
      <w:r>
        <w:rPr>
          <w:rStyle w:val="31"/>
          <w:rFonts w:hint="eastAsia" w:ascii="宋体" w:hAnsi="宋体" w:eastAsia="宋体" w:cs="宋体"/>
          <w:color w:val="auto"/>
          <w:kern w:val="0"/>
          <w:highlight w:val="none"/>
          <w:u w:val="single"/>
          <w:lang w:eastAsia="zh-CN"/>
        </w:rPr>
        <w:t>。</w:t>
      </w:r>
      <w:r>
        <w:rPr>
          <w:rStyle w:val="31"/>
          <w:rFonts w:hint="eastAsia" w:ascii="宋体" w:hAnsi="宋体" w:eastAsia="宋体" w:cs="宋体"/>
          <w:color w:val="auto"/>
          <w:kern w:val="0"/>
          <w:highlight w:val="none"/>
          <w:u w:val="single"/>
        </w:rPr>
        <w:t>未支付的合同价款按照中国人民银行发布的同期同类贷款基准利率支付违约金</w:t>
      </w:r>
      <w:r>
        <w:rPr>
          <w:color w:val="auto"/>
          <w:kern w:val="0"/>
          <w:highlight w:val="none"/>
          <w:u w:val="single"/>
        </w:rPr>
        <w:t xml:space="preserve">  </w:t>
      </w:r>
      <w:r>
        <w:rPr>
          <w:rFonts w:hint="eastAsia" w:hAnsi="宋体" w:cs="宋体"/>
          <w:color w:val="auto"/>
          <w:kern w:val="0"/>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）发包人违反第</w:t>
      </w:r>
      <w:r>
        <w:rPr>
          <w:color w:val="auto"/>
          <w:kern w:val="0"/>
          <w:highlight w:val="none"/>
        </w:rPr>
        <w:t>10.1</w:t>
      </w:r>
      <w:r>
        <w:rPr>
          <w:rFonts w:hint="eastAsia" w:hAnsi="宋体" w:cs="宋体"/>
          <w:color w:val="auto"/>
          <w:kern w:val="0"/>
          <w:highlight w:val="none"/>
        </w:rPr>
        <w:t>款〔变更的范围〕第（</w:t>
      </w:r>
      <w:r>
        <w:rPr>
          <w:color w:val="auto"/>
          <w:kern w:val="0"/>
          <w:highlight w:val="none"/>
        </w:rPr>
        <w:t>2</w:t>
      </w:r>
      <w:r>
        <w:rPr>
          <w:rFonts w:hint="eastAsia" w:hAnsi="宋体" w:cs="宋体"/>
          <w:color w:val="auto"/>
          <w:kern w:val="0"/>
          <w:highlight w:val="none"/>
        </w:rPr>
        <w:t>）项约定，自行实施被取消的工作或转由他人实施的违约责任：</w:t>
      </w:r>
      <w:r>
        <w:rPr>
          <w:color w:val="auto"/>
          <w:kern w:val="0"/>
          <w:highlight w:val="none"/>
          <w:u w:val="single"/>
        </w:rPr>
        <w:t xml:space="preserve">  </w:t>
      </w:r>
      <w:r>
        <w:rPr>
          <w:rStyle w:val="31"/>
          <w:rFonts w:hint="eastAsia" w:eastAsia="宋体" w:cs="Times New Roman"/>
          <w:color w:val="auto"/>
          <w:kern w:val="0"/>
          <w:highlight w:val="none"/>
          <w:u w:val="single"/>
        </w:rPr>
        <w:t>发包人按变更工程造价的</w:t>
      </w:r>
      <w:r>
        <w:rPr>
          <w:rStyle w:val="31"/>
          <w:rFonts w:eastAsia="宋体" w:cs="Times New Roman"/>
          <w:color w:val="auto"/>
          <w:kern w:val="0"/>
          <w:highlight w:val="none"/>
          <w:u w:val="single"/>
        </w:rPr>
        <w:t>10%</w:t>
      </w:r>
      <w:r>
        <w:rPr>
          <w:rStyle w:val="31"/>
          <w:rFonts w:hint="eastAsia" w:eastAsia="宋体" w:cs="Times New Roman"/>
          <w:color w:val="auto"/>
          <w:kern w:val="0"/>
          <w:highlight w:val="none"/>
          <w:u w:val="single"/>
        </w:rPr>
        <w:t>赔偿承包人的经济损失，发包人自行实施的工作或转由他人实施的工作不符合国家合格质量标准的，由发包人承担因此造成的经济损失</w:t>
      </w:r>
      <w:r>
        <w:rPr>
          <w:color w:val="auto"/>
          <w:kern w:val="0"/>
          <w:highlight w:val="none"/>
          <w:u w:val="single"/>
        </w:rPr>
        <w:t xml:space="preserve">   </w:t>
      </w:r>
      <w:r>
        <w:rPr>
          <w:rFonts w:hint="eastAsia" w:hAnsi="宋体" w:cs="宋体"/>
          <w:color w:val="auto"/>
          <w:kern w:val="0"/>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4</w:t>
      </w:r>
      <w:r>
        <w:rPr>
          <w:rFonts w:hint="eastAsia" w:hAnsi="宋体" w:cs="宋体"/>
          <w:color w:val="auto"/>
          <w:kern w:val="0"/>
          <w:highlight w:val="none"/>
        </w:rPr>
        <w:t>）发包人提供的材料、工程设备的规格、数量或质量不符合合同约定，或因发包人原因导致交货日期延误或交货地点变更等情况的违约责任：</w:t>
      </w:r>
      <w:r>
        <w:rPr>
          <w:color w:val="auto"/>
          <w:kern w:val="0"/>
          <w:highlight w:val="none"/>
          <w:u w:val="single"/>
        </w:rPr>
        <w:t xml:space="preserve">   </w:t>
      </w:r>
      <w:r>
        <w:rPr>
          <w:rStyle w:val="31"/>
          <w:rFonts w:hint="eastAsia" w:ascii="宋体" w:hAnsi="宋体" w:eastAsia="宋体" w:cs="Times New Roman"/>
          <w:color w:val="auto"/>
          <w:kern w:val="0"/>
          <w:highlight w:val="none"/>
          <w:u w:val="single"/>
        </w:rPr>
        <w:t>承包人可以顺延</w:t>
      </w:r>
      <w:r>
        <w:rPr>
          <w:rStyle w:val="31"/>
          <w:rFonts w:hint="eastAsia" w:ascii="宋体" w:hAnsi="宋体" w:eastAsia="宋体" w:cs="Times New Roman"/>
          <w:color w:val="auto"/>
          <w:kern w:val="0"/>
          <w:highlight w:val="none"/>
          <w:u w:val="single"/>
          <w:lang w:eastAsia="zh-CN"/>
        </w:rPr>
        <w:t>工期</w:t>
      </w:r>
      <w:r>
        <w:rPr>
          <w:rStyle w:val="31"/>
          <w:rFonts w:hint="eastAsia" w:ascii="宋体" w:hAnsi="宋体" w:eastAsia="宋体" w:cs="Times New Roman"/>
          <w:color w:val="auto"/>
          <w:kern w:val="0"/>
          <w:highlight w:val="none"/>
          <w:u w:val="single"/>
        </w:rPr>
        <w:t>，并有权要求赔偿停工、窝工等损失</w:t>
      </w:r>
      <w:r>
        <w:rPr>
          <w:color w:val="auto"/>
          <w:kern w:val="0"/>
          <w:highlight w:val="none"/>
          <w:u w:val="single"/>
        </w:rPr>
        <w:t xml:space="preserve">  </w:t>
      </w:r>
      <w:r>
        <w:rPr>
          <w:rFonts w:hint="eastAsia" w:hAnsi="宋体" w:cs="宋体"/>
          <w:color w:val="auto"/>
          <w:kern w:val="0"/>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kern w:val="0"/>
          <w:highlight w:val="none"/>
          <w:u w:val="single"/>
        </w:rPr>
      </w:pPr>
      <w:r>
        <w:rPr>
          <w:rFonts w:hint="eastAsia" w:hAnsi="宋体" w:cs="宋体"/>
          <w:color w:val="auto"/>
          <w:kern w:val="0"/>
          <w:highlight w:val="none"/>
        </w:rPr>
        <w:t>（</w:t>
      </w:r>
      <w:r>
        <w:rPr>
          <w:color w:val="auto"/>
          <w:kern w:val="0"/>
          <w:highlight w:val="none"/>
        </w:rPr>
        <w:t>5</w:t>
      </w:r>
      <w:r>
        <w:rPr>
          <w:rFonts w:hint="eastAsia" w:hAnsi="宋体" w:cs="宋体"/>
          <w:color w:val="auto"/>
          <w:kern w:val="0"/>
          <w:highlight w:val="none"/>
        </w:rPr>
        <w:t>）因发包人违反合同约定造成暂停施工的违约责任：</w:t>
      </w:r>
      <w:r>
        <w:rPr>
          <w:color w:val="auto"/>
          <w:kern w:val="0"/>
          <w:highlight w:val="none"/>
          <w:u w:val="single"/>
        </w:rPr>
        <w:t xml:space="preserve"> </w:t>
      </w:r>
      <w:r>
        <w:rPr>
          <w:rStyle w:val="31"/>
          <w:rFonts w:hint="eastAsia" w:ascii="宋体" w:hAnsi="宋体" w:eastAsia="宋体" w:cs="宋体"/>
          <w:color w:val="auto"/>
          <w:kern w:val="0"/>
          <w:highlight w:val="none"/>
          <w:u w:val="single"/>
        </w:rPr>
        <w:t>承包人可以顺延工期，发包人应当采取措施弥补或者减少损失，赔偿承包人因此造成的停工、窝工、倒运、机械设备调迁、材料和构件积压等损失和实际费用</w:t>
      </w:r>
      <w:r>
        <w:rPr>
          <w:color w:val="auto"/>
          <w:kern w:val="0"/>
          <w:highlight w:val="none"/>
          <w:u w:val="single"/>
        </w:rPr>
        <w:t xml:space="preserve"> </w:t>
      </w:r>
      <w:r>
        <w:rPr>
          <w:rFonts w:hint="eastAsia" w:hAnsi="宋体" w:cs="宋体"/>
          <w:color w:val="auto"/>
          <w:kern w:val="0"/>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）发包人无正当理由没有在约定期限内发出复工指示，导致承包人无法复工的违约责任：</w:t>
      </w:r>
      <w:r>
        <w:rPr>
          <w:color w:val="auto"/>
          <w:kern w:val="0"/>
          <w:highlight w:val="none"/>
          <w:u w:val="single"/>
        </w:rPr>
        <w:t xml:space="preserve">    </w:t>
      </w:r>
      <w:r>
        <w:rPr>
          <w:rStyle w:val="31"/>
          <w:rFonts w:hint="eastAsia" w:ascii="宋体" w:hAnsi="宋体" w:eastAsia="宋体" w:cs="Times New Roman"/>
          <w:color w:val="auto"/>
          <w:kern w:val="0"/>
          <w:highlight w:val="none"/>
          <w:u w:val="single"/>
        </w:rPr>
        <w:t>承包人可以顺延</w:t>
      </w:r>
      <w:r>
        <w:rPr>
          <w:rStyle w:val="31"/>
          <w:rFonts w:hint="eastAsia" w:ascii="宋体" w:hAnsi="宋体" w:eastAsia="宋体" w:cs="Times New Roman"/>
          <w:color w:val="auto"/>
          <w:kern w:val="0"/>
          <w:highlight w:val="none"/>
          <w:u w:val="single"/>
          <w:lang w:eastAsia="zh-CN"/>
        </w:rPr>
        <w:t>工期</w:t>
      </w:r>
      <w:r>
        <w:rPr>
          <w:rStyle w:val="31"/>
          <w:rFonts w:hint="eastAsia" w:ascii="宋体" w:hAnsi="宋体" w:eastAsia="宋体" w:cs="Times New Roman"/>
          <w:color w:val="auto"/>
          <w:kern w:val="0"/>
          <w:highlight w:val="none"/>
          <w:u w:val="single"/>
        </w:rPr>
        <w:t>，并有权要求赔偿停工、窝工等损失</w:t>
      </w:r>
      <w:r>
        <w:rPr>
          <w:color w:val="auto"/>
          <w:kern w:val="0"/>
          <w:highlight w:val="none"/>
          <w:u w:val="single"/>
        </w:rPr>
        <w:t xml:space="preserve">       </w:t>
      </w:r>
      <w:r>
        <w:rPr>
          <w:rFonts w:hint="eastAsia" w:hAnsi="宋体" w:cs="宋体"/>
          <w:color w:val="auto"/>
          <w:kern w:val="0"/>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kern w:val="0"/>
          <w:highlight w:val="none"/>
        </w:rPr>
      </w:pPr>
      <w:r>
        <w:rPr>
          <w:rFonts w:hint="eastAsia" w:hAnsi="宋体" w:cs="宋体"/>
          <w:color w:val="auto"/>
          <w:kern w:val="0"/>
          <w:highlight w:val="none"/>
        </w:rPr>
        <w:t>（</w:t>
      </w:r>
      <w:r>
        <w:rPr>
          <w:color w:val="auto"/>
          <w:kern w:val="0"/>
          <w:highlight w:val="none"/>
        </w:rPr>
        <w:t>7</w:t>
      </w:r>
      <w:r>
        <w:rPr>
          <w:rFonts w:hint="eastAsia" w:hAnsi="宋体" w:cs="宋体"/>
          <w:color w:val="auto"/>
          <w:kern w:val="0"/>
          <w:highlight w:val="none"/>
        </w:rPr>
        <w:t>）其他：</w:t>
      </w:r>
      <w:r>
        <w:rPr>
          <w:color w:val="auto"/>
          <w:kern w:val="0"/>
          <w:highlight w:val="none"/>
          <w:u w:val="single"/>
        </w:rPr>
        <w:t xml:space="preserve">    </w:t>
      </w:r>
      <w:r>
        <w:rPr>
          <w:rStyle w:val="31"/>
          <w:rFonts w:hint="eastAsia" w:ascii="宋体" w:hAnsi="宋体" w:eastAsia="宋体" w:cs="Times New Roman"/>
          <w:color w:val="auto"/>
          <w:highlight w:val="none"/>
          <w:u w:val="single"/>
        </w:rPr>
        <w:t>按《通用合同条款》16.1.1条执行</w:t>
      </w:r>
      <w:r>
        <w:rPr>
          <w:color w:val="auto"/>
          <w:kern w:val="0"/>
          <w:highlight w:val="none"/>
          <w:u w:val="single"/>
        </w:rPr>
        <w:t xml:space="preserve">    </w:t>
      </w:r>
      <w:r>
        <w:rPr>
          <w:rFonts w:hint="eastAsia" w:hAnsi="宋体" w:cs="宋体"/>
          <w:color w:val="auto"/>
          <w:kern w:val="0"/>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color w:val="auto"/>
          <w:highlight w:val="none"/>
        </w:rPr>
        <w:t xml:space="preserve">16.1.3 </w:t>
      </w:r>
      <w:r>
        <w:rPr>
          <w:rFonts w:hint="eastAsia" w:hAnsi="宋体" w:cs="宋体"/>
          <w:color w:val="auto"/>
          <w:highlight w:val="none"/>
        </w:rPr>
        <w:t>因发包人违约解除合同</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color w:val="auto"/>
          <w:kern w:val="0"/>
          <w:highlight w:val="none"/>
        </w:rPr>
      </w:pPr>
      <w:r>
        <w:rPr>
          <w:rFonts w:hint="eastAsia" w:hAnsi="宋体" w:cs="宋体"/>
          <w:color w:val="auto"/>
          <w:kern w:val="0"/>
          <w:highlight w:val="none"/>
        </w:rPr>
        <w:t>承包人按</w:t>
      </w:r>
      <w:r>
        <w:rPr>
          <w:color w:val="auto"/>
          <w:kern w:val="0"/>
          <w:highlight w:val="none"/>
        </w:rPr>
        <w:t>16.1.1</w:t>
      </w:r>
      <w:r>
        <w:rPr>
          <w:rFonts w:hint="eastAsia" w:hAnsi="宋体" w:cs="宋体"/>
          <w:color w:val="auto"/>
          <w:kern w:val="0"/>
          <w:highlight w:val="none"/>
        </w:rPr>
        <w:t>项〔发包人违约的情形〕约定暂停施工满</w:t>
      </w:r>
      <w:r>
        <w:rPr>
          <w:color w:val="auto"/>
          <w:kern w:val="0"/>
          <w:highlight w:val="none"/>
          <w:u w:val="single"/>
        </w:rPr>
        <w:t xml:space="preserve">  </w:t>
      </w:r>
      <w:r>
        <w:rPr>
          <w:rFonts w:hint="eastAsia"/>
          <w:color w:val="auto"/>
          <w:kern w:val="0"/>
          <w:highlight w:val="none"/>
          <w:u w:val="single"/>
          <w:lang w:val="en-US" w:eastAsia="zh-CN"/>
        </w:rPr>
        <w:t>90</w:t>
      </w:r>
      <w:r>
        <w:rPr>
          <w:color w:val="auto"/>
          <w:kern w:val="0"/>
          <w:highlight w:val="none"/>
          <w:u w:val="single"/>
        </w:rPr>
        <w:t xml:space="preserve">  </w:t>
      </w:r>
      <w:r>
        <w:rPr>
          <w:rFonts w:hint="eastAsia" w:hAnsi="宋体" w:cs="宋体"/>
          <w:color w:val="auto"/>
          <w:kern w:val="0"/>
          <w:highlight w:val="none"/>
        </w:rPr>
        <w:t>天后发包人仍不纠正其违约行为并致使合同目的不能实现的，承包人有权解除合同。</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1404" w:name="_Toc9850599"/>
      <w:bookmarkStart w:id="1405" w:name="_Toc839"/>
      <w:bookmarkStart w:id="1406" w:name="_Toc373227768"/>
      <w:bookmarkStart w:id="1407" w:name="_Toc8383"/>
      <w:bookmarkStart w:id="1408" w:name="_Toc13719"/>
      <w:bookmarkStart w:id="1409" w:name="_Toc373478415"/>
      <w:bookmarkStart w:id="1410" w:name="_Toc30019"/>
      <w:bookmarkStart w:id="1411" w:name="_Toc389065333"/>
      <w:bookmarkStart w:id="1412" w:name="_Toc407135271"/>
      <w:r>
        <w:rPr>
          <w:color w:val="auto"/>
          <w:highlight w:val="none"/>
        </w:rPr>
        <w:t xml:space="preserve">16.2 </w:t>
      </w:r>
      <w:r>
        <w:rPr>
          <w:rFonts w:hint="eastAsia" w:hAnsi="宋体" w:cs="黑体"/>
          <w:color w:val="auto"/>
          <w:highlight w:val="none"/>
        </w:rPr>
        <w:t>承包人违约</w:t>
      </w:r>
      <w:bookmarkEnd w:id="1404"/>
      <w:bookmarkEnd w:id="1405"/>
      <w:bookmarkEnd w:id="1406"/>
      <w:bookmarkEnd w:id="1407"/>
      <w:bookmarkEnd w:id="1408"/>
      <w:bookmarkEnd w:id="1409"/>
      <w:bookmarkEnd w:id="1410"/>
      <w:bookmarkEnd w:id="1411"/>
      <w:bookmarkEnd w:id="1412"/>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kern w:val="0"/>
          <w:highlight w:val="none"/>
        </w:rPr>
      </w:pPr>
      <w:r>
        <w:rPr>
          <w:color w:val="auto"/>
          <w:kern w:val="0"/>
          <w:highlight w:val="none"/>
        </w:rPr>
        <w:t xml:space="preserve">16.2.1 </w:t>
      </w:r>
      <w:r>
        <w:rPr>
          <w:rFonts w:hint="eastAsia" w:hAnsi="宋体" w:cs="宋体"/>
          <w:color w:val="auto"/>
          <w:kern w:val="0"/>
          <w:highlight w:val="none"/>
        </w:rPr>
        <w:t>承包人违约的情形</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kern w:val="0"/>
          <w:highlight w:val="none"/>
          <w:u w:val="single"/>
        </w:rPr>
      </w:pPr>
      <w:r>
        <w:rPr>
          <w:rFonts w:hint="eastAsia" w:hAnsi="宋体" w:cs="宋体"/>
          <w:color w:val="auto"/>
          <w:kern w:val="0"/>
          <w:highlight w:val="none"/>
        </w:rPr>
        <w:t>承包人违约的其他情形：</w:t>
      </w:r>
      <w:r>
        <w:rPr>
          <w:color w:val="auto"/>
          <w:kern w:val="0"/>
          <w:highlight w:val="none"/>
          <w:u w:val="single"/>
        </w:rPr>
        <w:t xml:space="preserve">    </w:t>
      </w:r>
      <w:r>
        <w:rPr>
          <w:rStyle w:val="31"/>
          <w:rFonts w:hint="eastAsia" w:ascii="宋体" w:hAnsi="宋体" w:eastAsia="宋体" w:cs="Times New Roman"/>
          <w:color w:val="auto"/>
          <w:highlight w:val="none"/>
          <w:u w:val="single"/>
        </w:rPr>
        <w:t>按《通用合同条款》16.2.1条执行</w:t>
      </w:r>
      <w:r>
        <w:rPr>
          <w:color w:val="auto"/>
          <w:kern w:val="0"/>
          <w:highlight w:val="none"/>
          <w:u w:val="single"/>
        </w:rPr>
        <w:t xml:space="preserve">                 </w:t>
      </w:r>
      <w:r>
        <w:rPr>
          <w:rFonts w:hint="eastAsia" w:hAnsi="宋体" w:cs="宋体"/>
          <w:color w:val="auto"/>
          <w:kern w:val="0"/>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outlineLvl w:val="0"/>
        <w:rPr>
          <w:color w:val="auto"/>
          <w:kern w:val="0"/>
          <w:highlight w:val="none"/>
        </w:rPr>
      </w:pPr>
      <w:bookmarkStart w:id="1413" w:name="_Toc4283"/>
      <w:bookmarkStart w:id="1414" w:name="_Toc5732"/>
      <w:bookmarkStart w:id="1415" w:name="_Toc13816"/>
      <w:bookmarkStart w:id="1416" w:name="_Toc26696"/>
      <w:bookmarkStart w:id="1417" w:name="_Toc28786"/>
      <w:r>
        <w:rPr>
          <w:color w:val="auto"/>
          <w:kern w:val="0"/>
          <w:highlight w:val="none"/>
        </w:rPr>
        <w:t>16.2.2</w:t>
      </w:r>
      <w:r>
        <w:rPr>
          <w:rFonts w:hint="eastAsia" w:hAnsi="宋体" w:cs="宋体"/>
          <w:color w:val="auto"/>
          <w:kern w:val="0"/>
          <w:highlight w:val="none"/>
        </w:rPr>
        <w:t>承包人违约的责任</w:t>
      </w:r>
      <w:bookmarkEnd w:id="1413"/>
      <w:bookmarkEnd w:id="1414"/>
      <w:bookmarkEnd w:id="1415"/>
      <w:bookmarkEnd w:id="1416"/>
      <w:bookmarkEnd w:id="1417"/>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kern w:val="0"/>
          <w:highlight w:val="none"/>
        </w:rPr>
      </w:pPr>
      <w:r>
        <w:rPr>
          <w:rFonts w:hint="eastAsia" w:hAnsi="宋体" w:cs="宋体"/>
          <w:color w:val="auto"/>
          <w:kern w:val="0"/>
          <w:highlight w:val="none"/>
        </w:rPr>
        <w:t>承包人违约责任的承担方式和计算方法：</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）条内容情形的，承包人无条件返工处理，修复至工程质量要求并承担相关费用，并在发包人规定的时间内完成返工，否则发包人有权扣罚该分项工程</w:t>
      </w:r>
      <w:r>
        <w:rPr>
          <w:color w:val="auto"/>
          <w:kern w:val="0"/>
          <w:highlight w:val="none"/>
        </w:rPr>
        <w:t>10%</w:t>
      </w:r>
      <w:r>
        <w:rPr>
          <w:rFonts w:hint="eastAsia" w:hAnsi="宋体" w:cs="宋体"/>
          <w:color w:val="auto"/>
          <w:kern w:val="0"/>
          <w:highlight w:val="none"/>
        </w:rPr>
        <w:t>的工程款作为处罚。</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）条情形的，或经监理人检验认为修复质量不合格而承包人拒绝再进行修补的，发包人将扣除承包人全部质量保证金。</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）承包人有本专用合同条款</w:t>
      </w:r>
      <w:r>
        <w:rPr>
          <w:color w:val="auto"/>
          <w:kern w:val="0"/>
          <w:highlight w:val="none"/>
        </w:rPr>
        <w:t>3.2</w:t>
      </w:r>
      <w:r>
        <w:rPr>
          <w:rFonts w:hint="eastAsia" w:hAnsi="宋体" w:cs="宋体"/>
          <w:color w:val="auto"/>
          <w:kern w:val="0"/>
          <w:highlight w:val="none"/>
        </w:rPr>
        <w:t>、</w:t>
      </w:r>
      <w:r>
        <w:rPr>
          <w:color w:val="auto"/>
          <w:kern w:val="0"/>
          <w:highlight w:val="none"/>
        </w:rPr>
        <w:t>3.3</w:t>
      </w:r>
      <w:r>
        <w:rPr>
          <w:rFonts w:hint="eastAsia" w:hAnsi="宋体" w:cs="宋体"/>
          <w:color w:val="auto"/>
          <w:kern w:val="0"/>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olor w:val="auto"/>
          <w:highlight w:val="none"/>
        </w:rPr>
      </w:pPr>
      <w:r>
        <w:rPr>
          <w:color w:val="auto"/>
          <w:highlight w:val="none"/>
        </w:rPr>
        <w:t xml:space="preserve">16.2.3 </w:t>
      </w:r>
      <w:r>
        <w:rPr>
          <w:rFonts w:hint="eastAsia" w:hAnsi="宋体" w:cs="宋体"/>
          <w:color w:val="auto"/>
          <w:highlight w:val="none"/>
        </w:rPr>
        <w:t>因承包人违约解除合同</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olor w:val="auto"/>
          <w:kern w:val="0"/>
          <w:highlight w:val="none"/>
        </w:rPr>
      </w:pPr>
      <w:r>
        <w:rPr>
          <w:rFonts w:hint="eastAsia" w:hAnsi="宋体" w:cs="宋体"/>
          <w:color w:val="auto"/>
          <w:kern w:val="0"/>
          <w:highlight w:val="none"/>
        </w:rPr>
        <w:t>关于承包人违约解除合同的特别约定：</w:t>
      </w:r>
      <w:r>
        <w:rPr>
          <w:rFonts w:hint="eastAsia" w:hAnsi="宋体" w:cs="宋体"/>
          <w:color w:val="auto"/>
          <w:kern w:val="0"/>
          <w:highlight w:val="none"/>
          <w:u w:val="single"/>
        </w:rPr>
        <w:t>承包人有违反以下情况之一的，发包人有权解除合同，并没收其全部履约保证金</w:t>
      </w:r>
      <w:r>
        <w:rPr>
          <w:rFonts w:hint="eastAsia" w:hAnsi="宋体" w:cs="宋体"/>
          <w:color w:val="auto"/>
          <w:kern w:val="0"/>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olor w:val="auto"/>
          <w:kern w:val="0"/>
          <w:highlight w:val="none"/>
        </w:rPr>
      </w:pPr>
      <w:r>
        <w:rPr>
          <w:color w:val="auto"/>
          <w:kern w:val="0"/>
          <w:highlight w:val="none"/>
        </w:rPr>
        <w:t>(1)</w:t>
      </w:r>
      <w:r>
        <w:rPr>
          <w:rFonts w:hint="eastAsia" w:hAnsi="宋体" w:cs="宋体"/>
          <w:color w:val="auto"/>
          <w:kern w:val="0"/>
          <w:highlight w:val="none"/>
        </w:rPr>
        <w:t>承包人无正当理由不按开工通知的要求及时进场组织施工和不按签订协议书时商定的进度计划有效地开展施工准备，造成工期延误的；</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olor w:val="auto"/>
          <w:kern w:val="0"/>
          <w:highlight w:val="none"/>
        </w:rPr>
      </w:pPr>
      <w:r>
        <w:rPr>
          <w:color w:val="auto"/>
          <w:kern w:val="0"/>
          <w:highlight w:val="none"/>
        </w:rPr>
        <w:t>(2)</w:t>
      </w:r>
      <w:r>
        <w:rPr>
          <w:rFonts w:hint="eastAsia" w:hAnsi="宋体" w:cs="宋体"/>
          <w:color w:val="auto"/>
          <w:kern w:val="0"/>
          <w:highlight w:val="none"/>
        </w:rPr>
        <w:t>承包人违反本合同通用条款第</w:t>
      </w:r>
      <w:r>
        <w:rPr>
          <w:color w:val="auto"/>
          <w:kern w:val="0"/>
          <w:highlight w:val="none"/>
        </w:rPr>
        <w:t>3.5</w:t>
      </w:r>
      <w:r>
        <w:rPr>
          <w:rFonts w:hint="eastAsia" w:hAnsi="宋体" w:cs="宋体"/>
          <w:color w:val="auto"/>
          <w:kern w:val="0"/>
          <w:highlight w:val="none"/>
        </w:rPr>
        <w:t>条规定私自将合同或合同的任何部分或任何权利转让给其他人，或私自将工程或工程的一部分分包出去的；</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Ansi="宋体"/>
          <w:color w:val="auto"/>
          <w:kern w:val="0"/>
          <w:highlight w:val="none"/>
        </w:rPr>
      </w:pPr>
      <w:r>
        <w:rPr>
          <w:color w:val="auto"/>
          <w:kern w:val="0"/>
          <w:highlight w:val="none"/>
        </w:rPr>
        <w:t>(3)</w:t>
      </w:r>
      <w:r>
        <w:rPr>
          <w:rFonts w:hint="eastAsia" w:hAnsi="宋体" w:cs="宋体"/>
          <w:color w:val="auto"/>
          <w:kern w:val="0"/>
          <w:highlight w:val="none"/>
        </w:rPr>
        <w:t>未经监理人批准，承包人私自将已按投标文件承诺进入工地的工程设备、施工设备、临时工程或材料撤离工地的；</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kern w:val="0"/>
          <w:highlight w:val="none"/>
        </w:rPr>
      </w:pPr>
      <w:r>
        <w:rPr>
          <w:color w:val="auto"/>
          <w:kern w:val="0"/>
          <w:highlight w:val="none"/>
        </w:rPr>
        <w:t>(4)</w:t>
      </w:r>
      <w:r>
        <w:rPr>
          <w:rFonts w:hint="eastAsia" w:hAnsi="宋体" w:cs="宋体"/>
          <w:color w:val="auto"/>
          <w:kern w:val="0"/>
          <w:highlight w:val="none"/>
        </w:rPr>
        <w:t>由于承包人原因拒绝按合同进度计划及时完成合同规定的工程，而又未采取有效措施赶上进度，造成工期严重延误的；</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kern w:val="0"/>
          <w:highlight w:val="none"/>
        </w:rPr>
      </w:pPr>
      <w:r>
        <w:rPr>
          <w:color w:val="auto"/>
          <w:kern w:val="0"/>
          <w:highlight w:val="none"/>
        </w:rPr>
        <w:t>(5)</w:t>
      </w:r>
      <w:r>
        <w:rPr>
          <w:rFonts w:hint="eastAsia" w:hAnsi="宋体" w:cs="宋体"/>
          <w:color w:val="auto"/>
          <w:kern w:val="0"/>
          <w:highlight w:val="none"/>
        </w:rPr>
        <w:t>承包人否认合同有效或拒绝履行合同规定的承包人义务，或由于法律、财务等原因导致承包人无法继续履行或实质上已停止履行合同的义务的；</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kern w:val="0"/>
          <w:highlight w:val="none"/>
        </w:rPr>
      </w:pPr>
      <w:r>
        <w:rPr>
          <w:color w:val="auto"/>
          <w:kern w:val="0"/>
          <w:highlight w:val="none"/>
        </w:rPr>
        <w:t>(6)</w:t>
      </w:r>
      <w:r>
        <w:rPr>
          <w:rFonts w:hint="eastAsia" w:hAnsi="宋体" w:cs="宋体"/>
          <w:color w:val="auto"/>
          <w:kern w:val="0"/>
          <w:highlight w:val="none"/>
        </w:rPr>
        <w:t>合同签订</w:t>
      </w:r>
      <w:r>
        <w:rPr>
          <w:rFonts w:hint="eastAsia" w:ascii="仿宋_GB2312" w:hAnsi="宋体" w:cs="宋体"/>
          <w:color w:val="auto"/>
          <w:highlight w:val="none"/>
        </w:rPr>
        <w:t>且具备法定开工条件后</w:t>
      </w:r>
      <w:r>
        <w:rPr>
          <w:rFonts w:hint="eastAsia" w:hAnsi="宋体" w:cs="宋体"/>
          <w:color w:val="auto"/>
          <w:kern w:val="0"/>
          <w:highlight w:val="none"/>
        </w:rPr>
        <w:t>之日起十五日内，承包人无法按合同规定及投标文件的承诺进场经监理工程师认可的该</w:t>
      </w:r>
      <w:r>
        <w:rPr>
          <w:rFonts w:hAnsi="宋体" w:cs="宋体"/>
          <w:color w:val="auto"/>
          <w:kern w:val="0"/>
          <w:highlight w:val="none"/>
        </w:rPr>
        <w:t>施工</w:t>
      </w:r>
      <w:r>
        <w:rPr>
          <w:rFonts w:hint="eastAsia" w:hAnsi="宋体" w:cs="宋体"/>
          <w:color w:val="auto"/>
          <w:kern w:val="0"/>
          <w:highlight w:val="none"/>
        </w:rPr>
        <w:t>阶段</w:t>
      </w:r>
      <w:r>
        <w:rPr>
          <w:rFonts w:hAnsi="宋体" w:cs="宋体"/>
          <w:color w:val="auto"/>
          <w:kern w:val="0"/>
          <w:highlight w:val="none"/>
        </w:rPr>
        <w:t>应有的</w:t>
      </w:r>
      <w:r>
        <w:rPr>
          <w:rFonts w:hint="eastAsia" w:hAnsi="宋体" w:cs="宋体"/>
          <w:color w:val="auto"/>
          <w:kern w:val="0"/>
          <w:highlight w:val="none"/>
        </w:rPr>
        <w:t>全部人员和机械的。</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kern w:val="0"/>
          <w:highlight w:val="none"/>
        </w:rPr>
      </w:pPr>
      <w:r>
        <w:rPr>
          <w:rFonts w:hint="eastAsia" w:hAnsi="宋体" w:cs="宋体"/>
          <w:color w:val="auto"/>
          <w:kern w:val="0"/>
          <w:highlight w:val="none"/>
        </w:rPr>
        <w:t>发包人继续使用承包人在施工现场的材料、设备、临时工程、承包人文件和由承包人或以其名义编制的其他文件的费用承担方式：</w:t>
      </w:r>
      <w:r>
        <w:rPr>
          <w:color w:val="auto"/>
          <w:kern w:val="0"/>
          <w:highlight w:val="none"/>
          <w:u w:val="single"/>
        </w:rPr>
        <w:t xml:space="preserve">     </w:t>
      </w:r>
      <w:r>
        <w:rPr>
          <w:rStyle w:val="31"/>
          <w:rFonts w:hint="eastAsia" w:ascii="宋体" w:hAnsi="宋体" w:eastAsia="宋体" w:cs="Times New Roman"/>
          <w:color w:val="auto"/>
          <w:kern w:val="0"/>
          <w:highlight w:val="none"/>
          <w:u w:val="single"/>
        </w:rPr>
        <w:t>由</w:t>
      </w:r>
      <w:r>
        <w:rPr>
          <w:rStyle w:val="31"/>
          <w:rFonts w:hint="eastAsia" w:ascii="宋体" w:hAnsi="宋体" w:eastAsia="宋体" w:cs="Times New Roman"/>
          <w:color w:val="auto"/>
          <w:kern w:val="0"/>
          <w:highlight w:val="none"/>
          <w:u w:val="single"/>
          <w:lang w:eastAsia="zh-CN"/>
        </w:rPr>
        <w:t>发包</w:t>
      </w:r>
      <w:r>
        <w:rPr>
          <w:rStyle w:val="31"/>
          <w:rFonts w:hint="eastAsia" w:ascii="宋体" w:hAnsi="宋体" w:eastAsia="宋体" w:cs="Times New Roman"/>
          <w:color w:val="auto"/>
          <w:kern w:val="0"/>
          <w:highlight w:val="none"/>
          <w:u w:val="single"/>
        </w:rPr>
        <w:t>人承担相应费用</w:t>
      </w:r>
      <w:r>
        <w:rPr>
          <w:color w:val="auto"/>
          <w:kern w:val="0"/>
          <w:highlight w:val="none"/>
          <w:u w:val="single"/>
        </w:rPr>
        <w:t xml:space="preserve">     </w:t>
      </w:r>
      <w:r>
        <w:rPr>
          <w:rFonts w:hint="eastAsia" w:hAnsi="宋体" w:cs="宋体"/>
          <w:color w:val="auto"/>
          <w:kern w:val="0"/>
          <w:highlight w:val="none"/>
        </w:rPr>
        <w:t>。</w:t>
      </w:r>
    </w:p>
    <w:p>
      <w:pPr>
        <w:pStyle w:val="5"/>
        <w:keepNext w:val="0"/>
        <w:keepLines w:val="0"/>
        <w:pageBreakBefore w:val="0"/>
        <w:widowControl w:val="0"/>
        <w:kinsoku/>
        <w:wordWrap/>
        <w:overflowPunct/>
        <w:topLinePunct w:val="0"/>
        <w:autoSpaceDE w:val="0"/>
        <w:autoSpaceDN w:val="0"/>
        <w:bidi w:val="0"/>
        <w:snapToGrid/>
        <w:spacing w:before="0" w:line="360" w:lineRule="auto"/>
        <w:ind w:left="0" w:leftChars="0" w:right="0"/>
        <w:textAlignment w:val="auto"/>
        <w:rPr>
          <w:color w:val="auto"/>
          <w:highlight w:val="none"/>
        </w:rPr>
      </w:pPr>
      <w:bookmarkStart w:id="1418" w:name="_Toc27115"/>
      <w:bookmarkStart w:id="1419" w:name="_Toc373227769"/>
      <w:bookmarkStart w:id="1420" w:name="_Toc2941"/>
      <w:bookmarkStart w:id="1421" w:name="_Toc26034"/>
      <w:bookmarkStart w:id="1422" w:name="_Toc373478416"/>
      <w:bookmarkStart w:id="1423" w:name="_Toc407135272"/>
      <w:bookmarkStart w:id="1424" w:name="_Toc9850600"/>
      <w:bookmarkStart w:id="1425" w:name="_Toc389065334"/>
      <w:bookmarkStart w:id="1426" w:name="_Toc351203649"/>
      <w:bookmarkStart w:id="1427" w:name="_Toc31135"/>
      <w:r>
        <w:rPr>
          <w:color w:val="auto"/>
          <w:highlight w:val="none"/>
        </w:rPr>
        <w:t xml:space="preserve">17. </w:t>
      </w:r>
      <w:r>
        <w:rPr>
          <w:rFonts w:hint="eastAsia" w:hAnsi="宋体" w:cs="黑体"/>
          <w:color w:val="auto"/>
          <w:highlight w:val="none"/>
        </w:rPr>
        <w:t>不可抗力</w:t>
      </w:r>
      <w:bookmarkEnd w:id="1418"/>
      <w:bookmarkEnd w:id="1419"/>
      <w:bookmarkEnd w:id="1420"/>
      <w:bookmarkEnd w:id="1421"/>
      <w:bookmarkEnd w:id="1422"/>
      <w:bookmarkEnd w:id="1423"/>
      <w:bookmarkEnd w:id="1424"/>
      <w:bookmarkEnd w:id="1425"/>
      <w:bookmarkEnd w:id="1426"/>
      <w:bookmarkEnd w:id="1427"/>
      <w:r>
        <w:rPr>
          <w:color w:val="auto"/>
          <w:highlight w:val="none"/>
        </w:rPr>
        <w:t xml:space="preserve"> </w:t>
      </w:r>
      <w:bookmarkEnd w:id="1388"/>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1428" w:name="_Toc407135273"/>
      <w:bookmarkStart w:id="1429" w:name="_Toc373227770"/>
      <w:bookmarkStart w:id="1430" w:name="_Toc7462"/>
      <w:bookmarkStart w:id="1431" w:name="_Toc373478417"/>
      <w:bookmarkStart w:id="1432" w:name="_Toc10767"/>
      <w:bookmarkStart w:id="1433" w:name="_Toc11252"/>
      <w:bookmarkStart w:id="1434" w:name="_Toc18767"/>
      <w:bookmarkStart w:id="1435" w:name="_Toc389065335"/>
      <w:bookmarkStart w:id="1436" w:name="_Toc9850601"/>
      <w:r>
        <w:rPr>
          <w:color w:val="auto"/>
          <w:highlight w:val="none"/>
        </w:rPr>
        <w:t xml:space="preserve">17.1 </w:t>
      </w:r>
      <w:r>
        <w:rPr>
          <w:rFonts w:hint="eastAsia" w:cs="黑体"/>
          <w:color w:val="auto"/>
          <w:highlight w:val="none"/>
        </w:rPr>
        <w:t>不可抗力的确认</w:t>
      </w:r>
      <w:bookmarkEnd w:id="1428"/>
      <w:bookmarkEnd w:id="1429"/>
      <w:bookmarkEnd w:id="1430"/>
      <w:bookmarkEnd w:id="1431"/>
      <w:bookmarkEnd w:id="1432"/>
      <w:bookmarkEnd w:id="1433"/>
      <w:bookmarkEnd w:id="1434"/>
      <w:bookmarkEnd w:id="1435"/>
      <w:bookmarkEnd w:id="1436"/>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kern w:val="0"/>
          <w:highlight w:val="none"/>
          <w:u w:val="single"/>
        </w:rPr>
      </w:pPr>
      <w:r>
        <w:rPr>
          <w:rFonts w:hint="eastAsia" w:hAnsi="宋体" w:cs="宋体"/>
          <w:color w:val="auto"/>
          <w:highlight w:val="none"/>
        </w:rPr>
        <w:t>除通用合同条款约定的不可抗力事件之外，视为不可抗力的其他情形：</w:t>
      </w:r>
      <w:r>
        <w:rPr>
          <w:color w:val="auto"/>
          <w:kern w:val="0"/>
          <w:highlight w:val="none"/>
          <w:u w:val="single"/>
        </w:rPr>
        <w:t xml:space="preserve">  </w:t>
      </w:r>
      <w:r>
        <w:rPr>
          <w:rStyle w:val="31"/>
          <w:rFonts w:hint="eastAsia" w:ascii="宋体" w:hAnsi="宋体" w:eastAsia="宋体" w:cs="Times New Roman"/>
          <w:color w:val="auto"/>
          <w:highlight w:val="none"/>
          <w:u w:val="single"/>
        </w:rPr>
        <w:t>按《通用合同条款》17.1条执行</w:t>
      </w:r>
      <w:r>
        <w:rPr>
          <w:color w:val="auto"/>
          <w:kern w:val="0"/>
          <w:highlight w:val="none"/>
          <w:u w:val="single"/>
        </w:rPr>
        <w:t xml:space="preserve"> </w:t>
      </w:r>
      <w:r>
        <w:rPr>
          <w:rFonts w:hint="eastAsia" w:hAnsi="宋体" w:cs="宋体"/>
          <w:color w:val="auto"/>
          <w:kern w:val="0"/>
          <w:highlight w:val="none"/>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1437" w:name="_Toc10123"/>
      <w:bookmarkStart w:id="1438" w:name="_Toc18262"/>
      <w:bookmarkStart w:id="1439" w:name="_Toc9189"/>
      <w:bookmarkStart w:id="1440" w:name="_Toc389065336"/>
      <w:bookmarkStart w:id="1441" w:name="_Toc26131"/>
      <w:bookmarkStart w:id="1442" w:name="_Toc9850602"/>
      <w:bookmarkStart w:id="1443" w:name="_Toc373227771"/>
      <w:bookmarkStart w:id="1444" w:name="_Toc373478418"/>
      <w:bookmarkStart w:id="1445" w:name="_Toc407135274"/>
      <w:r>
        <w:rPr>
          <w:color w:val="auto"/>
          <w:highlight w:val="none"/>
        </w:rPr>
        <w:t xml:space="preserve">17.4 </w:t>
      </w:r>
      <w:r>
        <w:rPr>
          <w:rFonts w:hint="eastAsia" w:cs="黑体"/>
          <w:color w:val="auto"/>
          <w:highlight w:val="none"/>
        </w:rPr>
        <w:t>因不可抗力解除合同</w:t>
      </w:r>
      <w:bookmarkEnd w:id="1437"/>
      <w:bookmarkEnd w:id="1438"/>
      <w:bookmarkEnd w:id="1439"/>
      <w:bookmarkEnd w:id="1440"/>
      <w:bookmarkEnd w:id="1441"/>
      <w:bookmarkEnd w:id="1442"/>
      <w:bookmarkEnd w:id="1443"/>
      <w:bookmarkEnd w:id="1444"/>
      <w:bookmarkEnd w:id="1445"/>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合同解除后，发包人应在商定或确定发包人应支付款项后</w:t>
      </w:r>
      <w:r>
        <w:rPr>
          <w:color w:val="auto"/>
          <w:highlight w:val="none"/>
          <w:u w:val="single"/>
        </w:rPr>
        <w:t xml:space="preserve"> </w:t>
      </w:r>
      <w:r>
        <w:rPr>
          <w:rFonts w:hint="eastAsia"/>
          <w:color w:val="auto"/>
          <w:highlight w:val="none"/>
          <w:u w:val="single"/>
          <w:lang w:val="en-US" w:eastAsia="zh-CN"/>
        </w:rPr>
        <w:t>28</w:t>
      </w:r>
      <w:r>
        <w:rPr>
          <w:color w:val="auto"/>
          <w:highlight w:val="none"/>
          <w:u w:val="single"/>
        </w:rPr>
        <w:t xml:space="preserve"> </w:t>
      </w:r>
      <w:r>
        <w:rPr>
          <w:rFonts w:hint="eastAsia" w:hAnsi="宋体" w:cs="宋体"/>
          <w:color w:val="auto"/>
          <w:highlight w:val="none"/>
        </w:rPr>
        <w:t>天内完成款项的支付。</w:t>
      </w:r>
    </w:p>
    <w:p>
      <w:pPr>
        <w:pStyle w:val="5"/>
        <w:keepNext w:val="0"/>
        <w:keepLines w:val="0"/>
        <w:pageBreakBefore w:val="0"/>
        <w:widowControl w:val="0"/>
        <w:kinsoku/>
        <w:wordWrap/>
        <w:overflowPunct/>
        <w:topLinePunct w:val="0"/>
        <w:autoSpaceDE w:val="0"/>
        <w:autoSpaceDN w:val="0"/>
        <w:bidi w:val="0"/>
        <w:snapToGrid/>
        <w:spacing w:before="0" w:line="360" w:lineRule="auto"/>
        <w:ind w:left="0" w:leftChars="0" w:right="0"/>
        <w:textAlignment w:val="auto"/>
        <w:rPr>
          <w:color w:val="auto"/>
          <w:highlight w:val="none"/>
        </w:rPr>
      </w:pPr>
      <w:bookmarkStart w:id="1446" w:name="_Toc18049"/>
      <w:bookmarkStart w:id="1447" w:name="_Toc9850603"/>
      <w:bookmarkStart w:id="1448" w:name="_Toc1997"/>
      <w:bookmarkStart w:id="1449" w:name="_Toc351203650"/>
      <w:bookmarkStart w:id="1450" w:name="_Toc389065337"/>
      <w:bookmarkStart w:id="1451" w:name="_Toc373227772"/>
      <w:bookmarkStart w:id="1452" w:name="_Toc28097"/>
      <w:bookmarkStart w:id="1453" w:name="_Toc407135275"/>
      <w:bookmarkStart w:id="1454" w:name="_Toc373478419"/>
      <w:bookmarkStart w:id="1455" w:name="_Toc3405"/>
      <w:r>
        <w:rPr>
          <w:color w:val="auto"/>
          <w:highlight w:val="none"/>
        </w:rPr>
        <w:t xml:space="preserve">18. </w:t>
      </w:r>
      <w:r>
        <w:rPr>
          <w:rFonts w:hint="eastAsia" w:hAnsi="宋体" w:cs="黑体"/>
          <w:color w:val="auto"/>
          <w:highlight w:val="none"/>
        </w:rPr>
        <w:t>保险</w:t>
      </w:r>
      <w:bookmarkEnd w:id="1446"/>
      <w:bookmarkEnd w:id="1447"/>
      <w:bookmarkEnd w:id="1448"/>
      <w:bookmarkEnd w:id="1449"/>
      <w:bookmarkEnd w:id="1450"/>
      <w:bookmarkEnd w:id="1451"/>
      <w:bookmarkEnd w:id="1452"/>
      <w:bookmarkEnd w:id="1453"/>
      <w:bookmarkEnd w:id="1454"/>
      <w:bookmarkEnd w:id="1455"/>
    </w:p>
    <w:bookmarkEnd w:id="1389"/>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1456" w:name="_Toc9850604"/>
      <w:bookmarkStart w:id="1457" w:name="_Toc18325"/>
      <w:bookmarkStart w:id="1458" w:name="_Toc407135276"/>
      <w:bookmarkStart w:id="1459" w:name="_Toc10058"/>
      <w:bookmarkStart w:id="1460" w:name="_Toc389065338"/>
      <w:bookmarkStart w:id="1461" w:name="_Toc5315"/>
      <w:bookmarkStart w:id="1462" w:name="_Toc8641"/>
      <w:bookmarkStart w:id="1463" w:name="_Toc373227773"/>
      <w:bookmarkStart w:id="1464" w:name="_Toc373478420"/>
      <w:r>
        <w:rPr>
          <w:color w:val="auto"/>
          <w:highlight w:val="none"/>
        </w:rPr>
        <w:t xml:space="preserve">18.1 </w:t>
      </w:r>
      <w:r>
        <w:rPr>
          <w:rFonts w:hint="eastAsia" w:hAnsi="宋体" w:cs="黑体"/>
          <w:color w:val="auto"/>
          <w:highlight w:val="none"/>
        </w:rPr>
        <w:t>工程保险</w:t>
      </w:r>
      <w:bookmarkEnd w:id="1456"/>
      <w:bookmarkEnd w:id="1457"/>
      <w:bookmarkEnd w:id="1458"/>
      <w:bookmarkEnd w:id="1459"/>
      <w:bookmarkEnd w:id="1460"/>
      <w:bookmarkEnd w:id="1461"/>
      <w:bookmarkEnd w:id="1462"/>
      <w:bookmarkEnd w:id="1463"/>
      <w:bookmarkEnd w:id="1464"/>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关于工程保险的特别约定：</w:t>
      </w:r>
      <w:r>
        <w:rPr>
          <w:color w:val="auto"/>
          <w:kern w:val="0"/>
          <w:highlight w:val="none"/>
          <w:u w:val="single"/>
        </w:rPr>
        <w:t xml:space="preserve"> </w:t>
      </w:r>
      <w:r>
        <w:rPr>
          <w:rStyle w:val="31"/>
          <w:rFonts w:hint="eastAsia" w:ascii="宋体" w:hAnsi="宋体" w:eastAsia="宋体" w:cs="Times New Roman"/>
          <w:color w:val="auto"/>
          <w:spacing w:val="-6"/>
          <w:kern w:val="0"/>
          <w:sz w:val="21"/>
          <w:highlight w:val="none"/>
          <w:u w:val="single"/>
        </w:rPr>
        <w:t>由</w:t>
      </w:r>
      <w:r>
        <w:rPr>
          <w:rStyle w:val="31"/>
          <w:rFonts w:hint="eastAsia" w:ascii="宋体" w:hAnsi="宋体" w:eastAsia="宋体" w:cs="Times New Roman"/>
          <w:color w:val="auto"/>
          <w:spacing w:val="-6"/>
          <w:kern w:val="0"/>
          <w:sz w:val="21"/>
          <w:highlight w:val="none"/>
          <w:u w:val="single"/>
          <w:lang w:val="en-US" w:eastAsia="zh-CN"/>
        </w:rPr>
        <w:t>承包</w:t>
      </w:r>
      <w:r>
        <w:rPr>
          <w:rStyle w:val="31"/>
          <w:rFonts w:hint="eastAsia" w:ascii="宋体" w:hAnsi="宋体" w:eastAsia="宋体" w:cs="Times New Roman"/>
          <w:color w:val="auto"/>
          <w:spacing w:val="-6"/>
          <w:kern w:val="0"/>
          <w:sz w:val="21"/>
          <w:highlight w:val="none"/>
          <w:u w:val="single"/>
        </w:rPr>
        <w:t>人投保建筑工程一切险或安装工程一切险并承担相应费用</w:t>
      </w:r>
      <w:r>
        <w:rPr>
          <w:rStyle w:val="31"/>
          <w:rFonts w:hint="eastAsia" w:ascii="宋体" w:hAnsi="宋体" w:eastAsia="宋体" w:cs="Times New Roman"/>
          <w:color w:val="auto"/>
          <w:spacing w:val="-6"/>
          <w:kern w:val="0"/>
          <w:sz w:val="21"/>
          <w:highlight w:val="none"/>
          <w:u w:val="single"/>
          <w:lang w:val="en-US" w:eastAsia="zh-CN"/>
        </w:rPr>
        <w:t xml:space="preserve"> </w:t>
      </w:r>
      <w:r>
        <w:rPr>
          <w:rFonts w:hint="eastAsia" w:hAnsi="宋体" w:cs="宋体"/>
          <w:color w:val="auto"/>
          <w:kern w:val="0"/>
          <w:highlight w:val="none"/>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1465" w:name="_Toc20295"/>
      <w:bookmarkStart w:id="1466" w:name="_Toc9850605"/>
      <w:bookmarkStart w:id="1467" w:name="_Toc26854"/>
      <w:bookmarkStart w:id="1468" w:name="_Toc407135277"/>
      <w:bookmarkStart w:id="1469" w:name="_Toc14282"/>
      <w:bookmarkStart w:id="1470" w:name="_Toc389065339"/>
      <w:bookmarkStart w:id="1471" w:name="_Toc373227774"/>
      <w:bookmarkStart w:id="1472" w:name="_Toc7466"/>
      <w:bookmarkStart w:id="1473" w:name="_Toc373478421"/>
      <w:r>
        <w:rPr>
          <w:color w:val="auto"/>
          <w:highlight w:val="none"/>
        </w:rPr>
        <w:t xml:space="preserve">18.3 </w:t>
      </w:r>
      <w:r>
        <w:rPr>
          <w:rFonts w:hint="eastAsia" w:hAnsi="宋体" w:cs="黑体"/>
          <w:color w:val="auto"/>
          <w:highlight w:val="none"/>
        </w:rPr>
        <w:t>其他保险</w:t>
      </w:r>
      <w:bookmarkEnd w:id="1465"/>
      <w:bookmarkEnd w:id="1466"/>
      <w:bookmarkEnd w:id="1467"/>
      <w:bookmarkEnd w:id="1468"/>
      <w:bookmarkEnd w:id="1469"/>
      <w:bookmarkEnd w:id="1470"/>
      <w:bookmarkEnd w:id="1471"/>
      <w:bookmarkEnd w:id="1472"/>
      <w:bookmarkEnd w:id="1473"/>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kern w:val="0"/>
          <w:highlight w:val="none"/>
        </w:rPr>
      </w:pPr>
      <w:r>
        <w:rPr>
          <w:rFonts w:hint="eastAsia" w:hAnsi="宋体" w:cs="宋体"/>
          <w:color w:val="auto"/>
          <w:highlight w:val="none"/>
        </w:rPr>
        <w:t>关于其他保险的约定：</w:t>
      </w:r>
      <w:r>
        <w:rPr>
          <w:rFonts w:hAnsi="宋体"/>
          <w:color w:val="auto"/>
          <w:highlight w:val="none"/>
          <w:u w:val="single"/>
        </w:rPr>
        <w:t xml:space="preserve">  </w:t>
      </w:r>
      <w:r>
        <w:rPr>
          <w:rStyle w:val="31"/>
          <w:rFonts w:hint="eastAsia" w:ascii="宋体" w:hAnsi="宋体" w:eastAsia="宋体" w:cs="Times New Roman"/>
          <w:color w:val="auto"/>
          <w:highlight w:val="none"/>
          <w:u w:val="single"/>
        </w:rPr>
        <w:t>发包人和承包人各自为其施工现场的全部人员办理意外伤害保险并支付保险费，包括其员工及为履行合同聘请的第三方的人员</w:t>
      </w:r>
      <w:r>
        <w:rPr>
          <w:rFonts w:hAnsi="宋体"/>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u w:val="single"/>
        </w:rPr>
      </w:pPr>
      <w:r>
        <w:rPr>
          <w:rFonts w:hint="eastAsia" w:hAnsi="宋体" w:cs="宋体"/>
          <w:color w:val="auto"/>
          <w:highlight w:val="none"/>
        </w:rPr>
        <w:t>承包人是否应为其施工设备等办理财产保险：</w:t>
      </w:r>
      <w:r>
        <w:rPr>
          <w:color w:val="auto"/>
          <w:highlight w:val="none"/>
          <w:u w:val="single"/>
        </w:rPr>
        <w:t xml:space="preserve">     </w:t>
      </w:r>
      <w:r>
        <w:rPr>
          <w:rStyle w:val="31"/>
          <w:rFonts w:hint="eastAsia" w:ascii="宋体" w:hAnsi="宋体" w:eastAsia="宋体" w:cs="Times New Roman"/>
          <w:color w:val="auto"/>
          <w:highlight w:val="none"/>
          <w:u w:val="single"/>
        </w:rPr>
        <w:t>是</w:t>
      </w:r>
      <w:r>
        <w:rPr>
          <w:color w:val="auto"/>
          <w:highlight w:val="none"/>
          <w:u w:val="single"/>
        </w:rPr>
        <w:t xml:space="preserve">         </w:t>
      </w:r>
      <w:r>
        <w:rPr>
          <w:rFonts w:hint="eastAsia" w:hAnsi="宋体" w:cs="宋体"/>
          <w:color w:val="auto"/>
          <w:highlight w:val="none"/>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1474" w:name="_Toc407135278"/>
      <w:bookmarkStart w:id="1475" w:name="_Toc389065340"/>
      <w:bookmarkStart w:id="1476" w:name="_Toc373478422"/>
      <w:bookmarkStart w:id="1477" w:name="_Toc20484"/>
      <w:bookmarkStart w:id="1478" w:name="_Toc32029"/>
      <w:bookmarkStart w:id="1479" w:name="_Toc9850606"/>
      <w:bookmarkStart w:id="1480" w:name="_Toc32459"/>
      <w:bookmarkStart w:id="1481" w:name="_Toc373227775"/>
      <w:bookmarkStart w:id="1482" w:name="_Toc26881"/>
      <w:r>
        <w:rPr>
          <w:color w:val="auto"/>
          <w:highlight w:val="none"/>
        </w:rPr>
        <w:t xml:space="preserve">18.7 </w:t>
      </w:r>
      <w:r>
        <w:rPr>
          <w:rFonts w:hint="eastAsia" w:hAnsi="宋体" w:cs="黑体"/>
          <w:color w:val="auto"/>
          <w:highlight w:val="none"/>
        </w:rPr>
        <w:t>通知义务</w:t>
      </w:r>
      <w:bookmarkEnd w:id="1474"/>
      <w:bookmarkEnd w:id="1475"/>
      <w:bookmarkEnd w:id="1476"/>
      <w:bookmarkEnd w:id="1477"/>
      <w:bookmarkEnd w:id="1478"/>
      <w:bookmarkEnd w:id="1479"/>
      <w:bookmarkEnd w:id="1480"/>
      <w:bookmarkEnd w:id="1481"/>
      <w:bookmarkEnd w:id="1482"/>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u w:val="single"/>
        </w:rPr>
      </w:pPr>
      <w:r>
        <w:rPr>
          <w:rFonts w:hint="eastAsia" w:hAnsi="宋体" w:cs="宋体"/>
          <w:color w:val="auto"/>
          <w:kern w:val="0"/>
          <w:highlight w:val="none"/>
        </w:rPr>
        <w:t>关于变更保险合同时的通知义务的约定：</w:t>
      </w:r>
      <w:r>
        <w:rPr>
          <w:color w:val="auto"/>
          <w:highlight w:val="none"/>
          <w:u w:val="single"/>
        </w:rPr>
        <w:t xml:space="preserve">  </w:t>
      </w:r>
      <w:r>
        <w:rPr>
          <w:rStyle w:val="31"/>
          <w:rFonts w:hint="eastAsia" w:ascii="宋体" w:hAnsi="宋体" w:eastAsia="宋体" w:cs="Times New Roman"/>
          <w:color w:val="auto"/>
          <w:highlight w:val="none"/>
          <w:u w:val="single"/>
        </w:rPr>
        <w:t>由承包人</w:t>
      </w:r>
      <w:r>
        <w:rPr>
          <w:rStyle w:val="31"/>
          <w:rFonts w:hint="eastAsia" w:ascii="宋体" w:hAnsi="宋体" w:eastAsia="宋体" w:cs="Times New Roman"/>
          <w:color w:val="auto"/>
          <w:highlight w:val="none"/>
          <w:u w:val="single"/>
          <w:lang w:eastAsia="zh-CN"/>
        </w:rPr>
        <w:t>书面</w:t>
      </w:r>
      <w:r>
        <w:rPr>
          <w:rStyle w:val="31"/>
          <w:rFonts w:hint="eastAsia" w:ascii="宋体" w:hAnsi="宋体" w:eastAsia="宋体" w:cs="Times New Roman"/>
          <w:color w:val="auto"/>
          <w:highlight w:val="none"/>
          <w:u w:val="single"/>
        </w:rPr>
        <w:t>通知发包人和监理人</w:t>
      </w:r>
      <w:r>
        <w:rPr>
          <w:color w:val="auto"/>
          <w:highlight w:val="none"/>
          <w:u w:val="single"/>
        </w:rPr>
        <w:t xml:space="preserve">   </w:t>
      </w:r>
      <w:r>
        <w:rPr>
          <w:rFonts w:hint="eastAsia" w:hAnsi="宋体" w:cs="宋体"/>
          <w:color w:val="auto"/>
          <w:highlight w:val="none"/>
        </w:rPr>
        <w:t>。</w:t>
      </w:r>
    </w:p>
    <w:bookmarkEnd w:id="1319"/>
    <w:bookmarkEnd w:id="1320"/>
    <w:bookmarkEnd w:id="1321"/>
    <w:bookmarkEnd w:id="1322"/>
    <w:bookmarkEnd w:id="1323"/>
    <w:bookmarkEnd w:id="1324"/>
    <w:bookmarkEnd w:id="1325"/>
    <w:bookmarkEnd w:id="1326"/>
    <w:bookmarkEnd w:id="1327"/>
    <w:bookmarkEnd w:id="1328"/>
    <w:bookmarkEnd w:id="1329"/>
    <w:bookmarkEnd w:id="1330"/>
    <w:p>
      <w:pPr>
        <w:pStyle w:val="5"/>
        <w:keepNext w:val="0"/>
        <w:keepLines w:val="0"/>
        <w:pageBreakBefore w:val="0"/>
        <w:widowControl w:val="0"/>
        <w:kinsoku/>
        <w:wordWrap/>
        <w:overflowPunct/>
        <w:topLinePunct w:val="0"/>
        <w:autoSpaceDE w:val="0"/>
        <w:autoSpaceDN w:val="0"/>
        <w:bidi w:val="0"/>
        <w:snapToGrid/>
        <w:spacing w:before="0" w:line="360" w:lineRule="auto"/>
        <w:ind w:left="0" w:leftChars="0" w:right="0"/>
        <w:textAlignment w:val="auto"/>
        <w:rPr>
          <w:color w:val="auto"/>
          <w:highlight w:val="none"/>
        </w:rPr>
      </w:pPr>
      <w:bookmarkStart w:id="1483" w:name="_Toc373478423"/>
      <w:bookmarkStart w:id="1484" w:name="_Toc17241"/>
      <w:bookmarkStart w:id="1485" w:name="_Toc9850607"/>
      <w:bookmarkStart w:id="1486" w:name="_Toc373227776"/>
      <w:bookmarkStart w:id="1487" w:name="_Toc15391"/>
      <w:bookmarkStart w:id="1488" w:name="_Toc351203651"/>
      <w:bookmarkStart w:id="1489" w:name="_Toc389065341"/>
      <w:bookmarkStart w:id="1490" w:name="_Toc19472"/>
      <w:bookmarkStart w:id="1491" w:name="_Toc23915"/>
      <w:bookmarkStart w:id="1492" w:name="_Toc407135279"/>
      <w:r>
        <w:rPr>
          <w:color w:val="auto"/>
          <w:highlight w:val="none"/>
        </w:rPr>
        <w:t xml:space="preserve">20. </w:t>
      </w:r>
      <w:r>
        <w:rPr>
          <w:rFonts w:hint="eastAsia" w:hAnsi="宋体" w:cs="黑体"/>
          <w:color w:val="auto"/>
          <w:highlight w:val="none"/>
        </w:rPr>
        <w:t>争议解决</w:t>
      </w:r>
      <w:bookmarkEnd w:id="1483"/>
      <w:bookmarkEnd w:id="1484"/>
      <w:bookmarkEnd w:id="1485"/>
      <w:bookmarkEnd w:id="1486"/>
      <w:bookmarkEnd w:id="1487"/>
      <w:bookmarkEnd w:id="1488"/>
      <w:bookmarkEnd w:id="1489"/>
      <w:bookmarkEnd w:id="1490"/>
      <w:bookmarkEnd w:id="1491"/>
      <w:bookmarkEnd w:id="1492"/>
    </w:p>
    <w:bookmarkEnd w:id="1331"/>
    <w:bookmarkEnd w:id="1332"/>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1493" w:name="_Toc389065342"/>
      <w:bookmarkStart w:id="1494" w:name="_Toc407135280"/>
      <w:bookmarkStart w:id="1495" w:name="_Toc373227777"/>
      <w:bookmarkStart w:id="1496" w:name="_Toc9850608"/>
      <w:bookmarkStart w:id="1497" w:name="_Toc13698"/>
      <w:bookmarkStart w:id="1498" w:name="_Toc6144"/>
      <w:bookmarkStart w:id="1499" w:name="_Toc2588"/>
      <w:bookmarkStart w:id="1500" w:name="_Toc373478424"/>
      <w:bookmarkStart w:id="1501" w:name="_Toc6542"/>
      <w:r>
        <w:rPr>
          <w:color w:val="auto"/>
          <w:highlight w:val="none"/>
        </w:rPr>
        <w:t xml:space="preserve">20.3 </w:t>
      </w:r>
      <w:r>
        <w:rPr>
          <w:rFonts w:hint="eastAsia" w:hAnsi="宋体" w:cs="黑体"/>
          <w:color w:val="auto"/>
          <w:highlight w:val="none"/>
        </w:rPr>
        <w:t>争</w:t>
      </w:r>
      <w:bookmarkEnd w:id="1333"/>
      <w:r>
        <w:rPr>
          <w:rFonts w:hint="eastAsia" w:hAnsi="宋体" w:cs="黑体"/>
          <w:color w:val="auto"/>
          <w:highlight w:val="none"/>
        </w:rPr>
        <w:t>议评审</w:t>
      </w:r>
      <w:bookmarkEnd w:id="1493"/>
      <w:bookmarkEnd w:id="1494"/>
      <w:bookmarkEnd w:id="1495"/>
      <w:bookmarkEnd w:id="1496"/>
      <w:bookmarkEnd w:id="1497"/>
      <w:bookmarkEnd w:id="1498"/>
      <w:bookmarkEnd w:id="1499"/>
      <w:bookmarkEnd w:id="1500"/>
      <w:bookmarkEnd w:id="1501"/>
    </w:p>
    <w:p>
      <w:pPr>
        <w:keepNext w:val="0"/>
        <w:keepLines w:val="0"/>
        <w:pageBreakBefore w:val="0"/>
        <w:widowControl w:val="0"/>
        <w:kinsoku/>
        <w:wordWrap/>
        <w:overflowPunct/>
        <w:topLinePunct w:val="0"/>
        <w:autoSpaceDE w:val="0"/>
        <w:autoSpaceDN w:val="0"/>
        <w:bidi w:val="0"/>
        <w:snapToGrid/>
        <w:spacing w:line="360" w:lineRule="auto"/>
        <w:ind w:left="0" w:leftChars="0" w:right="0" w:firstLine="330" w:firstLineChars="150"/>
        <w:jc w:val="left"/>
        <w:textAlignment w:val="auto"/>
        <w:rPr>
          <w:color w:val="auto"/>
          <w:highlight w:val="none"/>
          <w:u w:val="single"/>
        </w:rPr>
      </w:pPr>
      <w:r>
        <w:rPr>
          <w:rFonts w:hint="eastAsia" w:hAnsi="宋体" w:cs="宋体"/>
          <w:color w:val="auto"/>
          <w:highlight w:val="none"/>
        </w:rPr>
        <w:t>合同当事人是否同意将工程争议提交争议评审小组决定：</w:t>
      </w:r>
      <w:r>
        <w:rPr>
          <w:color w:val="auto"/>
          <w:highlight w:val="none"/>
          <w:u w:val="single"/>
        </w:rPr>
        <w:t xml:space="preserve">  </w:t>
      </w:r>
      <w:r>
        <w:rPr>
          <w:rStyle w:val="31"/>
          <w:rFonts w:hint="eastAsia" w:ascii="宋体" w:hAnsi="宋体" w:eastAsia="宋体" w:cs="Times New Roman"/>
          <w:color w:val="auto"/>
          <w:highlight w:val="none"/>
          <w:u w:val="single"/>
          <w:lang w:eastAsia="zh-CN"/>
        </w:rPr>
        <w:t>不</w:t>
      </w:r>
      <w:r>
        <w:rPr>
          <w:rStyle w:val="31"/>
          <w:rFonts w:hint="eastAsia" w:ascii="宋体" w:hAnsi="宋体" w:eastAsia="宋体" w:cs="Times New Roman"/>
          <w:color w:val="auto"/>
          <w:highlight w:val="none"/>
          <w:u w:val="single"/>
        </w:rPr>
        <w:t>同意</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outlineLvl w:val="0"/>
        <w:rPr>
          <w:color w:val="auto"/>
          <w:highlight w:val="none"/>
        </w:rPr>
      </w:pPr>
      <w:bookmarkStart w:id="1502" w:name="_Toc504"/>
      <w:bookmarkStart w:id="1503" w:name="_Toc29313"/>
      <w:bookmarkStart w:id="1504" w:name="_Toc18864"/>
      <w:bookmarkStart w:id="1505" w:name="_Toc14844"/>
      <w:bookmarkStart w:id="1506" w:name="_Toc24059"/>
      <w:r>
        <w:rPr>
          <w:color w:val="auto"/>
          <w:highlight w:val="none"/>
        </w:rPr>
        <w:t xml:space="preserve">20.3.1 </w:t>
      </w:r>
      <w:r>
        <w:rPr>
          <w:rFonts w:hint="eastAsia" w:hAnsi="宋体" w:cs="宋体"/>
          <w:color w:val="auto"/>
          <w:highlight w:val="none"/>
        </w:rPr>
        <w:t>争议评审小组的确定</w:t>
      </w:r>
      <w:bookmarkEnd w:id="1502"/>
      <w:bookmarkEnd w:id="1503"/>
      <w:bookmarkEnd w:id="1504"/>
      <w:bookmarkEnd w:id="1505"/>
      <w:bookmarkEnd w:id="1506"/>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u w:val="single"/>
        </w:rPr>
      </w:pPr>
      <w:r>
        <w:rPr>
          <w:rFonts w:hint="eastAsia" w:hAnsi="宋体" w:cs="宋体"/>
          <w:color w:val="auto"/>
          <w:highlight w:val="none"/>
        </w:rPr>
        <w:t>争议评审小组成员的确定：</w:t>
      </w:r>
      <w:r>
        <w:rPr>
          <w:color w:val="auto"/>
          <w:highlight w:val="none"/>
          <w:u w:val="single"/>
        </w:rPr>
        <w:t xml:space="preserve">      </w:t>
      </w:r>
      <w:r>
        <w:rPr>
          <w:rStyle w:val="31"/>
          <w:rFonts w:hint="eastAsia" w:ascii="宋体" w:hAnsi="宋体" w:eastAsia="宋体" w:cs="宋体"/>
          <w:color w:val="auto"/>
          <w:highlight w:val="none"/>
          <w:u w:val="single"/>
        </w:rPr>
        <w:t>无</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选定争议评审员的期限：</w:t>
      </w:r>
      <w:r>
        <w:rPr>
          <w:color w:val="auto"/>
          <w:highlight w:val="none"/>
          <w:u w:val="single"/>
        </w:rPr>
        <w:t xml:space="preserve">     </w:t>
      </w:r>
      <w:r>
        <w:rPr>
          <w:rFonts w:hint="eastAsia"/>
          <w:color w:val="auto"/>
          <w:highlight w:val="none"/>
          <w:u w:val="single"/>
          <w:lang w:val="en-US" w:eastAsia="zh-CN"/>
        </w:rPr>
        <w:t xml:space="preserve">  </w:t>
      </w:r>
      <w:r>
        <w:rPr>
          <w:rStyle w:val="31"/>
          <w:rFonts w:hint="eastAsia" w:ascii="宋体" w:hAnsi="宋体" w:eastAsia="宋体" w:cs="宋体"/>
          <w:color w:val="auto"/>
          <w:highlight w:val="none"/>
          <w:u w:val="single"/>
        </w:rPr>
        <w:t>无</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争议评审小组成员的报酬承担方式：</w:t>
      </w:r>
      <w:r>
        <w:rPr>
          <w:color w:val="auto"/>
          <w:highlight w:val="none"/>
          <w:u w:val="single"/>
        </w:rPr>
        <w:t xml:space="preserve">    </w:t>
      </w:r>
      <w:r>
        <w:rPr>
          <w:rStyle w:val="31"/>
          <w:rFonts w:hint="eastAsia" w:ascii="宋体" w:hAnsi="宋体" w:eastAsia="宋体" w:cs="宋体"/>
          <w:color w:val="auto"/>
          <w:highlight w:val="none"/>
          <w:u w:val="single"/>
        </w:rPr>
        <w:t>无</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其他事项的约定：</w:t>
      </w:r>
      <w:r>
        <w:rPr>
          <w:color w:val="auto"/>
          <w:highlight w:val="none"/>
          <w:u w:val="single"/>
        </w:rPr>
        <w:t xml:space="preserve">     </w:t>
      </w:r>
      <w:r>
        <w:rPr>
          <w:rStyle w:val="31"/>
          <w:rFonts w:hint="eastAsia" w:ascii="宋体" w:hAnsi="宋体" w:eastAsia="宋体" w:cs="宋体"/>
          <w:color w:val="auto"/>
          <w:highlight w:val="none"/>
          <w:u w:val="single"/>
        </w:rPr>
        <w:t>无</w:t>
      </w:r>
      <w:r>
        <w:rPr>
          <w:color w:val="auto"/>
          <w:highlight w:val="none"/>
          <w:u w:val="single"/>
        </w:rPr>
        <w:t xml:space="preserve">        </w:t>
      </w:r>
      <w:r>
        <w:rPr>
          <w:rFonts w:hint="eastAsia" w:hAnsi="宋体" w:cs="宋体"/>
          <w:color w:val="auto"/>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40" w:firstLineChars="200"/>
        <w:jc w:val="left"/>
        <w:textAlignment w:val="auto"/>
        <w:rPr>
          <w:color w:val="auto"/>
          <w:kern w:val="0"/>
          <w:highlight w:val="none"/>
        </w:rPr>
      </w:pPr>
      <w:r>
        <w:rPr>
          <w:color w:val="auto"/>
          <w:kern w:val="0"/>
          <w:highlight w:val="none"/>
        </w:rPr>
        <w:t xml:space="preserve">20.3.2 </w:t>
      </w:r>
      <w:r>
        <w:rPr>
          <w:rFonts w:hint="eastAsia" w:hAnsi="宋体" w:cs="宋体"/>
          <w:color w:val="auto"/>
          <w:kern w:val="0"/>
          <w:highlight w:val="none"/>
        </w:rPr>
        <w:t>争议评审小组的决定</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合同当事人关于本项的约定：</w:t>
      </w:r>
      <w:r>
        <w:rPr>
          <w:color w:val="auto"/>
          <w:highlight w:val="none"/>
          <w:u w:val="single"/>
        </w:rPr>
        <w:t xml:space="preserve">     </w:t>
      </w:r>
      <w:r>
        <w:rPr>
          <w:rStyle w:val="31"/>
          <w:rFonts w:hint="eastAsia" w:ascii="宋体" w:hAnsi="宋体" w:eastAsia="宋体" w:cs="宋体"/>
          <w:color w:val="auto"/>
          <w:highlight w:val="none"/>
          <w:u w:val="single"/>
        </w:rPr>
        <w:t>无</w:t>
      </w:r>
      <w:r>
        <w:rPr>
          <w:color w:val="auto"/>
          <w:highlight w:val="none"/>
          <w:u w:val="single"/>
        </w:rPr>
        <w:t xml:space="preserve">     </w:t>
      </w:r>
      <w:r>
        <w:rPr>
          <w:rFonts w:hint="eastAsia" w:hAnsi="宋体" w:cs="宋体"/>
          <w:color w:val="auto"/>
          <w:highlight w:val="none"/>
        </w:rPr>
        <w:t>。</w:t>
      </w:r>
    </w:p>
    <w:p>
      <w:pPr>
        <w:pStyle w:val="6"/>
        <w:keepNext w:val="0"/>
        <w:keepLines w:val="0"/>
        <w:pageBreakBefore w:val="0"/>
        <w:widowControl w:val="0"/>
        <w:kinsoku/>
        <w:wordWrap/>
        <w:overflowPunct/>
        <w:topLinePunct w:val="0"/>
        <w:autoSpaceDE w:val="0"/>
        <w:autoSpaceDN w:val="0"/>
        <w:bidi w:val="0"/>
        <w:snapToGrid/>
        <w:spacing w:line="360" w:lineRule="auto"/>
        <w:ind w:left="0" w:leftChars="0" w:right="0"/>
        <w:textAlignment w:val="auto"/>
        <w:rPr>
          <w:color w:val="auto"/>
          <w:highlight w:val="none"/>
        </w:rPr>
      </w:pPr>
      <w:bookmarkStart w:id="1507" w:name="_Toc1512"/>
      <w:bookmarkStart w:id="1508" w:name="_Toc2348"/>
      <w:bookmarkStart w:id="1509" w:name="_Toc9850609"/>
      <w:bookmarkStart w:id="1510" w:name="_Toc389065343"/>
      <w:bookmarkStart w:id="1511" w:name="_Toc373478425"/>
      <w:bookmarkStart w:id="1512" w:name="_Toc373227778"/>
      <w:bookmarkStart w:id="1513" w:name="_Toc12888"/>
      <w:bookmarkStart w:id="1514" w:name="_Toc407135281"/>
      <w:bookmarkStart w:id="1515" w:name="_Toc7520"/>
      <w:r>
        <w:rPr>
          <w:color w:val="auto"/>
          <w:highlight w:val="none"/>
        </w:rPr>
        <w:t xml:space="preserve">20.4 </w:t>
      </w:r>
      <w:r>
        <w:rPr>
          <w:rFonts w:hint="eastAsia" w:hAnsi="宋体" w:cs="黑体"/>
          <w:color w:val="auto"/>
          <w:highlight w:val="none"/>
        </w:rPr>
        <w:t>仲裁或诉讼</w:t>
      </w:r>
      <w:bookmarkEnd w:id="1334"/>
      <w:bookmarkEnd w:id="1507"/>
      <w:bookmarkEnd w:id="1508"/>
      <w:bookmarkEnd w:id="1509"/>
      <w:bookmarkEnd w:id="1510"/>
      <w:bookmarkEnd w:id="1511"/>
      <w:bookmarkEnd w:id="1512"/>
      <w:bookmarkEnd w:id="1513"/>
      <w:bookmarkEnd w:id="1514"/>
      <w:bookmarkEnd w:id="1515"/>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textAlignment w:val="auto"/>
        <w:rPr>
          <w:color w:val="auto"/>
          <w:highlight w:val="none"/>
        </w:rPr>
      </w:pPr>
      <w:r>
        <w:rPr>
          <w:rFonts w:hint="eastAsia" w:hAnsi="宋体" w:cs="宋体"/>
          <w:color w:val="auto"/>
          <w:highlight w:val="none"/>
        </w:rPr>
        <w:t>因合同及合同有关事项发生的争议，按下列第</w:t>
      </w:r>
      <w:r>
        <w:rPr>
          <w:rFonts w:hint="eastAsia"/>
          <w:color w:val="auto"/>
          <w:highlight w:val="none"/>
          <w:u w:val="single"/>
          <w:lang w:eastAsia="zh-CN"/>
        </w:rPr>
        <w:t>（</w:t>
      </w:r>
      <w:r>
        <w:rPr>
          <w:rFonts w:hint="eastAsia"/>
          <w:color w:val="auto"/>
          <w:highlight w:val="none"/>
          <w:u w:val="single"/>
          <w:lang w:val="en-US" w:eastAsia="zh-CN"/>
        </w:rPr>
        <w:t>2</w:t>
      </w:r>
      <w:r>
        <w:rPr>
          <w:rFonts w:hint="eastAsia"/>
          <w:color w:val="auto"/>
          <w:highlight w:val="none"/>
          <w:u w:val="single"/>
          <w:lang w:eastAsia="zh-CN"/>
        </w:rPr>
        <w:t>）</w:t>
      </w:r>
      <w:r>
        <w:rPr>
          <w:rFonts w:hint="eastAsia" w:hAnsi="宋体" w:cs="宋体"/>
          <w:color w:val="auto"/>
          <w:highlight w:val="none"/>
        </w:rPr>
        <w:t>种方式解决：</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）提请</w:t>
      </w:r>
      <w:r>
        <w:rPr>
          <w:color w:val="auto"/>
          <w:highlight w:val="none"/>
          <w:u w:val="single"/>
        </w:rPr>
        <w:t xml:space="preserve">  </w:t>
      </w:r>
      <w:r>
        <w:rPr>
          <w:rStyle w:val="31"/>
          <w:rFonts w:hint="eastAsia" w:ascii="Calibri" w:hAnsi="Calibri" w:eastAsia="宋体" w:cs="Times New Roman"/>
          <w:color w:val="auto"/>
          <w:highlight w:val="none"/>
          <w:u w:val="single"/>
          <w:lang w:val="en-US" w:eastAsia="zh-CN"/>
        </w:rPr>
        <w:t>贵港</w:t>
      </w:r>
      <w:r>
        <w:rPr>
          <w:color w:val="auto"/>
          <w:highlight w:val="none"/>
          <w:u w:val="single"/>
        </w:rPr>
        <w:t xml:space="preserve">   </w:t>
      </w:r>
      <w:r>
        <w:rPr>
          <w:rFonts w:hint="eastAsia" w:hAnsi="宋体" w:cs="宋体"/>
          <w:color w:val="auto"/>
          <w:highlight w:val="none"/>
        </w:rPr>
        <w:t>仲裁委员会按照该会仲裁规则进行仲裁，仲裁裁决是终局的，对合同双方均有约束力。</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hAnsi="宋体" w:cs="宋体"/>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）向</w:t>
      </w:r>
      <w:r>
        <w:rPr>
          <w:rFonts w:hint="eastAsia"/>
          <w:color w:val="auto"/>
          <w:highlight w:val="none"/>
          <w:u w:val="single"/>
          <w:lang w:val="en-US" w:eastAsia="zh-CN"/>
        </w:rPr>
        <w:t>项目所在地</w:t>
      </w:r>
      <w:r>
        <w:rPr>
          <w:rFonts w:hint="eastAsia" w:hAnsi="宋体" w:cs="宋体"/>
          <w:color w:val="auto"/>
          <w:highlight w:val="none"/>
        </w:rPr>
        <w:t>人民法院起诉。</w:t>
      </w:r>
      <w:bookmarkEnd w:id="1335"/>
      <w:bookmarkEnd w:id="1336"/>
      <w:bookmarkEnd w:id="1337"/>
      <w:bookmarkEnd w:id="1338"/>
      <w:bookmarkEnd w:id="1339"/>
      <w:bookmarkEnd w:id="1340"/>
    </w:p>
    <w:p>
      <w:pPr>
        <w:pStyle w:val="2"/>
        <w:rPr>
          <w:rFonts w:hint="eastAsia" w:hAnsi="宋体" w:cs="宋体"/>
          <w:color w:val="auto"/>
          <w:highlight w:val="none"/>
        </w:rPr>
      </w:pPr>
    </w:p>
    <w:p>
      <w:pPr>
        <w:pStyle w:val="2"/>
        <w:rPr>
          <w:rFonts w:hint="eastAsia" w:hAnsi="宋体" w:cs="宋体"/>
          <w:color w:val="auto"/>
          <w:highlight w:val="none"/>
        </w:rPr>
      </w:pPr>
    </w:p>
    <w:p>
      <w:pPr>
        <w:pStyle w:val="2"/>
        <w:rPr>
          <w:rFonts w:hint="eastAsia" w:hAnsi="宋体" w:cs="宋体"/>
          <w:color w:val="auto"/>
          <w:highlight w:val="none"/>
        </w:rPr>
      </w:pPr>
    </w:p>
    <w:p>
      <w:pPr>
        <w:pStyle w:val="2"/>
        <w:rPr>
          <w:rFonts w:hint="eastAsia" w:hAnsi="宋体" w:cs="宋体"/>
          <w:color w:val="auto"/>
          <w:highlight w:val="none"/>
        </w:rPr>
      </w:pPr>
    </w:p>
    <w:p>
      <w:pPr>
        <w:pStyle w:val="2"/>
        <w:rPr>
          <w:rFonts w:hint="eastAsia" w:hAnsi="宋体" w:cs="宋体"/>
          <w:color w:val="auto"/>
          <w:highlight w:val="none"/>
        </w:rPr>
      </w:pPr>
    </w:p>
    <w:p>
      <w:pPr>
        <w:pStyle w:val="2"/>
        <w:rPr>
          <w:rFonts w:hint="eastAsia" w:hAnsi="宋体" w:cs="宋体"/>
          <w:color w:val="auto"/>
          <w:highlight w:val="none"/>
        </w:rPr>
      </w:pPr>
    </w:p>
    <w:p>
      <w:pPr>
        <w:pStyle w:val="2"/>
        <w:rPr>
          <w:rFonts w:hint="eastAsia" w:hAnsi="宋体" w:cs="宋体"/>
          <w:color w:val="auto"/>
          <w:highlight w:val="none"/>
        </w:rPr>
      </w:pPr>
    </w:p>
    <w:p>
      <w:pPr>
        <w:pStyle w:val="2"/>
        <w:rPr>
          <w:rFonts w:hint="eastAsia" w:hAnsi="宋体" w:cs="宋体"/>
          <w:color w:val="auto"/>
          <w:highlight w:val="none"/>
        </w:rPr>
      </w:pPr>
    </w:p>
    <w:p>
      <w:pPr>
        <w:pStyle w:val="2"/>
        <w:rPr>
          <w:rFonts w:hint="eastAsia" w:hAnsi="宋体" w:cs="宋体"/>
          <w:color w:val="auto"/>
          <w:highlight w:val="none"/>
        </w:rPr>
      </w:pPr>
    </w:p>
    <w:p>
      <w:pPr>
        <w:pStyle w:val="2"/>
        <w:rPr>
          <w:rFonts w:hint="eastAsia" w:hAnsi="宋体" w:cs="宋体"/>
          <w:color w:val="auto"/>
          <w:highlight w:val="none"/>
        </w:rPr>
      </w:pPr>
    </w:p>
    <w:p>
      <w:pPr>
        <w:pStyle w:val="2"/>
        <w:rPr>
          <w:rFonts w:hint="eastAsia" w:hAnsi="宋体" w:cs="宋体"/>
          <w:color w:val="auto"/>
          <w:highlight w:val="none"/>
        </w:rPr>
      </w:pPr>
    </w:p>
    <w:p>
      <w:pPr>
        <w:pStyle w:val="2"/>
        <w:rPr>
          <w:rFonts w:hint="eastAsia" w:hAnsi="宋体" w:cs="宋体"/>
          <w:color w:val="auto"/>
          <w:highlight w:val="none"/>
        </w:rPr>
      </w:pPr>
    </w:p>
    <w:p>
      <w:pPr>
        <w:pStyle w:val="2"/>
        <w:rPr>
          <w:rFonts w:hint="eastAsia" w:hAnsi="宋体" w:cs="宋体"/>
          <w:color w:val="auto"/>
          <w:highlight w:val="none"/>
        </w:rPr>
      </w:pPr>
    </w:p>
    <w:p>
      <w:pPr>
        <w:pStyle w:val="2"/>
        <w:rPr>
          <w:rFonts w:hint="eastAsia" w:hAnsi="宋体" w:cs="宋体"/>
          <w:color w:val="auto"/>
          <w:highlight w:val="none"/>
        </w:rPr>
      </w:pPr>
    </w:p>
    <w:p>
      <w:pPr>
        <w:pStyle w:val="2"/>
        <w:keepNext w:val="0"/>
        <w:keepLines w:val="0"/>
        <w:pageBreakBefore w:val="0"/>
        <w:widowControl w:val="0"/>
        <w:kinsoku/>
        <w:wordWrap/>
        <w:overflowPunct/>
        <w:topLinePunct w:val="0"/>
        <w:autoSpaceDE w:val="0"/>
        <w:autoSpaceDN w:val="0"/>
        <w:bidi w:val="0"/>
        <w:adjustRightInd/>
        <w:snapToGrid/>
        <w:ind w:firstLine="344" w:firstLineChars="200"/>
        <w:textAlignment w:val="auto"/>
        <w:rPr>
          <w:rFonts w:hint="eastAsia" w:hAnsi="宋体" w:cs="宋体"/>
          <w:color w:val="auto"/>
          <w:highlight w:val="none"/>
        </w:rPr>
      </w:pPr>
    </w:p>
    <w:p>
      <w:pPr>
        <w:pStyle w:val="2"/>
        <w:keepNext w:val="0"/>
        <w:keepLines w:val="0"/>
        <w:pageBreakBefore w:val="0"/>
        <w:widowControl w:val="0"/>
        <w:kinsoku/>
        <w:wordWrap/>
        <w:overflowPunct/>
        <w:topLinePunct w:val="0"/>
        <w:autoSpaceDE w:val="0"/>
        <w:autoSpaceDN w:val="0"/>
        <w:bidi w:val="0"/>
        <w:adjustRightInd/>
        <w:snapToGrid/>
        <w:ind w:firstLine="344" w:firstLineChars="200"/>
        <w:textAlignment w:val="auto"/>
        <w:rPr>
          <w:rFonts w:hint="eastAsia" w:hAnsi="宋体" w:cs="宋体"/>
          <w:color w:val="auto"/>
          <w:highlight w:val="none"/>
        </w:rPr>
      </w:pPr>
    </w:p>
    <w:p>
      <w:pPr>
        <w:pStyle w:val="2"/>
        <w:keepNext w:val="0"/>
        <w:keepLines w:val="0"/>
        <w:pageBreakBefore w:val="0"/>
        <w:widowControl w:val="0"/>
        <w:kinsoku/>
        <w:wordWrap/>
        <w:overflowPunct/>
        <w:topLinePunct w:val="0"/>
        <w:autoSpaceDE w:val="0"/>
        <w:autoSpaceDN w:val="0"/>
        <w:bidi w:val="0"/>
        <w:adjustRightInd/>
        <w:snapToGrid/>
        <w:ind w:firstLine="344" w:firstLineChars="200"/>
        <w:textAlignment w:val="auto"/>
        <w:rPr>
          <w:rFonts w:hint="eastAsia" w:hAnsi="宋体" w:cs="宋体"/>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附件1：承包人承揽工程项目一览表</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附件2：工程质量保修书</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附件3：主要建设工程文件目录</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附件4：承包人用于本工程施工的机械设备表</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附件5：承包人主要施工管理人员表</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附件6：分包人主要施工管理人员表</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附件7：履约担保格式（独立保函、非独立保函）</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附件8：预付款担保格式（独立保函、非独立保函）</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附件9：支付担保格式（独立保函、非独立保函）</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附件10：预付款支付申请（核准）表</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附件11：进度款支付申请（核准）表</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附件12：竣工结算款支付申请（核准）表</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附件13：最终结算款支付申请（核准）表</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附件14：总价合同进度款支付分解表</w:t>
      </w:r>
    </w:p>
    <w:p>
      <w:pPr>
        <w:keepNext w:val="0"/>
        <w:keepLines w:val="0"/>
        <w:pageBreakBefore w:val="0"/>
        <w:widowControl w:val="0"/>
        <w:kinsoku/>
        <w:wordWrap/>
        <w:overflowPunct/>
        <w:topLinePunct w:val="0"/>
        <w:autoSpaceDE w:val="0"/>
        <w:autoSpaceDN w:val="0"/>
        <w:bidi w:val="0"/>
        <w:snapToGrid/>
        <w:spacing w:line="360" w:lineRule="auto"/>
        <w:ind w:left="0" w:leftChars="0" w:right="0" w:firstLine="440" w:firstLineChars="200"/>
        <w:jc w:val="left"/>
        <w:textAlignment w:val="auto"/>
        <w:rPr>
          <w:rFonts w:hint="eastAsia" w:ascii="宋体" w:hAnsi="宋体" w:eastAsia="宋体" w:cs="宋体"/>
          <w:color w:val="auto"/>
          <w:highlight w:val="none"/>
        </w:rPr>
      </w:pPr>
    </w:p>
    <w:p>
      <w:pPr>
        <w:pStyle w:val="2"/>
        <w:rPr>
          <w:rFonts w:hint="eastAsia" w:hAnsi="宋体" w:cs="宋体"/>
          <w:color w:val="auto"/>
          <w:highlight w:val="none"/>
        </w:rPr>
      </w:pPr>
    </w:p>
    <w:p>
      <w:pPr>
        <w:pStyle w:val="2"/>
        <w:rPr>
          <w:rFonts w:hint="eastAsia" w:hAnsi="宋体" w:cs="宋体"/>
          <w:color w:val="auto"/>
          <w:highlight w:val="none"/>
        </w:rPr>
      </w:pPr>
    </w:p>
    <w:p>
      <w:pPr>
        <w:keepNext w:val="0"/>
        <w:keepLines w:val="0"/>
        <w:pageBreakBefore w:val="0"/>
        <w:widowControl w:val="0"/>
        <w:kinsoku/>
        <w:wordWrap/>
        <w:overflowPunct/>
        <w:topLinePunct w:val="0"/>
        <w:autoSpaceDE w:val="0"/>
        <w:autoSpaceDN w:val="0"/>
        <w:bidi w:val="0"/>
        <w:snapToGrid/>
        <w:spacing w:line="360" w:lineRule="auto"/>
        <w:ind w:left="0" w:leftChars="0" w:right="0"/>
        <w:jc w:val="center"/>
        <w:textAlignment w:val="auto"/>
        <w:rPr>
          <w:rFonts w:hint="eastAsia" w:ascii="宋体" w:hAnsi="宋体" w:cs="新宋体"/>
          <w:b/>
          <w:bCs/>
          <w:color w:val="auto"/>
          <w:kern w:val="0"/>
          <w:sz w:val="32"/>
          <w:szCs w:val="32"/>
          <w:highlight w:val="none"/>
        </w:rPr>
        <w:sectPr>
          <w:pgSz w:w="11906" w:h="16838"/>
          <w:pgMar w:top="1417" w:right="1417" w:bottom="1417" w:left="1417" w:header="709" w:footer="709" w:gutter="0"/>
          <w:pgNumType w:fmt="decimal"/>
          <w:cols w:space="720" w:num="1"/>
          <w:rtlGutter w:val="0"/>
          <w:docGrid w:type="linesAndChars" w:linePitch="312" w:charSpace="0"/>
        </w:sectPr>
      </w:pPr>
    </w:p>
    <w:p>
      <w:pPr>
        <w:pStyle w:val="25"/>
        <w:shd w:val="clear" w:color="auto" w:fill="auto"/>
        <w:spacing w:before="120" w:beforeLines="50" w:after="120" w:afterLines="50" w:line="440" w:lineRule="exact"/>
        <w:jc w:val="left"/>
        <w:rPr>
          <w:rStyle w:val="31"/>
          <w:rFonts w:hint="eastAsia" w:ascii="宋体" w:hAnsi="宋体" w:eastAsia="宋体" w:cs="宋体"/>
          <w:color w:val="auto"/>
          <w:sz w:val="30"/>
          <w:szCs w:val="30"/>
          <w:highlight w:val="none"/>
        </w:rPr>
      </w:pPr>
      <w:r>
        <w:rPr>
          <w:rStyle w:val="31"/>
          <w:rFonts w:hint="eastAsia" w:ascii="宋体" w:hAnsi="宋体" w:eastAsia="宋体" w:cs="宋体"/>
          <w:color w:val="auto"/>
          <w:sz w:val="30"/>
          <w:szCs w:val="30"/>
          <w:highlight w:val="none"/>
        </w:rPr>
        <w:t>附件1：</w:t>
      </w:r>
    </w:p>
    <w:p>
      <w:pPr>
        <w:pStyle w:val="25"/>
        <w:shd w:val="clear" w:color="auto" w:fill="auto"/>
        <w:spacing w:before="120" w:beforeLines="50" w:after="120" w:afterLines="50" w:line="440" w:lineRule="exact"/>
        <w:jc w:val="center"/>
        <w:rPr>
          <w:rStyle w:val="31"/>
          <w:rFonts w:hint="eastAsia" w:ascii="宋体" w:hAnsi="宋体" w:eastAsia="宋体" w:cs="宋体"/>
          <w:color w:val="auto"/>
          <w:sz w:val="30"/>
          <w:szCs w:val="30"/>
          <w:highlight w:val="none"/>
        </w:rPr>
      </w:pPr>
      <w:r>
        <w:rPr>
          <w:rStyle w:val="31"/>
          <w:rFonts w:hint="eastAsia" w:ascii="宋体" w:hAnsi="宋体" w:eastAsia="宋体" w:cs="宋体"/>
          <w:color w:val="auto"/>
          <w:sz w:val="30"/>
          <w:szCs w:val="30"/>
          <w:highlight w:val="none"/>
        </w:rPr>
        <w:t>承包人承揽工程项目一览表</w:t>
      </w:r>
    </w:p>
    <w:tbl>
      <w:tblPr>
        <w:tblStyle w:val="29"/>
        <w:tblW w:w="9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36"/>
        <w:gridCol w:w="1239"/>
        <w:gridCol w:w="1295"/>
        <w:gridCol w:w="862"/>
        <w:gridCol w:w="829"/>
        <w:gridCol w:w="1050"/>
        <w:gridCol w:w="1241"/>
        <w:gridCol w:w="1160"/>
        <w:gridCol w:w="612"/>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7" w:hRule="atLeast"/>
          <w:jc w:val="center"/>
        </w:trPr>
        <w:tc>
          <w:tcPr>
            <w:tcW w:w="1036" w:type="dxa"/>
            <w:noWrap w:val="0"/>
            <w:vAlign w:val="center"/>
          </w:tcPr>
          <w:p>
            <w:pPr>
              <w:pStyle w:val="24"/>
              <w:keepNext/>
              <w:shd w:val="clear" w:color="auto" w:fill="auto"/>
              <w:spacing w:after="0" w:line="440" w:lineRule="exact"/>
              <w:ind w:left="63" w:right="63"/>
              <w:jc w:val="center"/>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单位工程名称</w:t>
            </w:r>
          </w:p>
        </w:tc>
        <w:tc>
          <w:tcPr>
            <w:tcW w:w="1239" w:type="dxa"/>
            <w:noWrap w:val="0"/>
            <w:vAlign w:val="center"/>
          </w:tcPr>
          <w:p>
            <w:pPr>
              <w:pStyle w:val="24"/>
              <w:keepNext/>
              <w:shd w:val="clear" w:color="auto" w:fill="auto"/>
              <w:spacing w:after="0" w:line="440" w:lineRule="exact"/>
              <w:ind w:left="63" w:right="63"/>
              <w:jc w:val="center"/>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建设规模</w:t>
            </w:r>
          </w:p>
        </w:tc>
        <w:tc>
          <w:tcPr>
            <w:tcW w:w="1295" w:type="dxa"/>
            <w:noWrap w:val="0"/>
            <w:vAlign w:val="center"/>
          </w:tcPr>
          <w:p>
            <w:pPr>
              <w:pStyle w:val="24"/>
              <w:keepNext/>
              <w:shd w:val="clear" w:color="auto" w:fill="auto"/>
              <w:spacing w:after="0" w:line="440" w:lineRule="exact"/>
              <w:ind w:left="63" w:right="63"/>
              <w:jc w:val="center"/>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建筑面积(平方米)</w:t>
            </w:r>
          </w:p>
        </w:tc>
        <w:tc>
          <w:tcPr>
            <w:tcW w:w="862" w:type="dxa"/>
            <w:noWrap w:val="0"/>
            <w:vAlign w:val="center"/>
          </w:tcPr>
          <w:p>
            <w:pPr>
              <w:pStyle w:val="24"/>
              <w:keepNext/>
              <w:shd w:val="clear" w:color="auto" w:fill="auto"/>
              <w:spacing w:after="0" w:line="440" w:lineRule="exact"/>
              <w:ind w:left="63" w:right="63"/>
              <w:jc w:val="center"/>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结构形式</w:t>
            </w:r>
          </w:p>
        </w:tc>
        <w:tc>
          <w:tcPr>
            <w:tcW w:w="829" w:type="dxa"/>
            <w:noWrap w:val="0"/>
            <w:vAlign w:val="center"/>
          </w:tcPr>
          <w:p>
            <w:pPr>
              <w:pStyle w:val="24"/>
              <w:keepNext/>
              <w:shd w:val="clear" w:color="auto" w:fill="auto"/>
              <w:spacing w:after="0" w:line="440" w:lineRule="exact"/>
              <w:ind w:left="63" w:right="63"/>
              <w:jc w:val="center"/>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层数</w:t>
            </w:r>
          </w:p>
        </w:tc>
        <w:tc>
          <w:tcPr>
            <w:tcW w:w="1050" w:type="dxa"/>
            <w:noWrap w:val="0"/>
            <w:vAlign w:val="center"/>
          </w:tcPr>
          <w:p>
            <w:pPr>
              <w:pStyle w:val="24"/>
              <w:keepNext/>
              <w:shd w:val="clear" w:color="auto" w:fill="auto"/>
              <w:spacing w:after="0" w:line="440" w:lineRule="exact"/>
              <w:ind w:left="63" w:right="63"/>
              <w:jc w:val="center"/>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生产能力</w:t>
            </w:r>
          </w:p>
        </w:tc>
        <w:tc>
          <w:tcPr>
            <w:tcW w:w="1241" w:type="dxa"/>
            <w:noWrap w:val="0"/>
            <w:vAlign w:val="center"/>
          </w:tcPr>
          <w:p>
            <w:pPr>
              <w:pStyle w:val="24"/>
              <w:keepNext/>
              <w:shd w:val="clear" w:color="auto" w:fill="auto"/>
              <w:spacing w:after="0" w:line="440" w:lineRule="exact"/>
              <w:ind w:left="63" w:right="63"/>
              <w:jc w:val="center"/>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设备安装内容</w:t>
            </w:r>
          </w:p>
        </w:tc>
        <w:tc>
          <w:tcPr>
            <w:tcW w:w="1160" w:type="dxa"/>
            <w:noWrap w:val="0"/>
            <w:vAlign w:val="center"/>
          </w:tcPr>
          <w:p>
            <w:pPr>
              <w:pStyle w:val="24"/>
              <w:keepNext/>
              <w:shd w:val="clear" w:color="auto" w:fill="auto"/>
              <w:spacing w:after="0" w:line="440" w:lineRule="exact"/>
              <w:ind w:left="63" w:right="63"/>
              <w:jc w:val="center"/>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合同价格（元）</w:t>
            </w:r>
          </w:p>
        </w:tc>
        <w:tc>
          <w:tcPr>
            <w:tcW w:w="612" w:type="dxa"/>
            <w:noWrap w:val="0"/>
            <w:vAlign w:val="center"/>
          </w:tcPr>
          <w:p>
            <w:pPr>
              <w:pStyle w:val="24"/>
              <w:keepNext/>
              <w:shd w:val="clear" w:color="auto" w:fill="auto"/>
              <w:spacing w:after="0" w:line="440" w:lineRule="exact"/>
              <w:ind w:left="63" w:right="63"/>
              <w:jc w:val="center"/>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开工日期</w:t>
            </w:r>
          </w:p>
        </w:tc>
        <w:tc>
          <w:tcPr>
            <w:tcW w:w="611" w:type="dxa"/>
            <w:noWrap w:val="0"/>
            <w:vAlign w:val="center"/>
          </w:tcPr>
          <w:p>
            <w:pPr>
              <w:pStyle w:val="24"/>
              <w:keepNext/>
              <w:shd w:val="clear" w:color="auto" w:fill="auto"/>
              <w:spacing w:after="0" w:line="440" w:lineRule="exact"/>
              <w:ind w:left="63" w:right="63"/>
              <w:jc w:val="center"/>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1036"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239"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295"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86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829"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0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24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16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61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61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1036"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239"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295"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86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829"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0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24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16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61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61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1036"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239"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295"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86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829"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0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24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16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61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61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1036"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239"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295"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86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829"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0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24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16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61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61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1036"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239"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295"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86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829"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0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24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16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61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61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1036"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239"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295"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86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829"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0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24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16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61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61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1036"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239"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295"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86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829"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0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24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16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61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61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1036"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239"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295"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86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829"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0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24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16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61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61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1036"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239"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295"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86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829"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0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24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16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61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61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1036"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239"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295"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86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829"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0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24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116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61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c>
          <w:tcPr>
            <w:tcW w:w="61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4"/>
                <w:szCs w:val="24"/>
                <w:highlight w:val="none"/>
              </w:rPr>
            </w:pPr>
          </w:p>
        </w:tc>
      </w:tr>
    </w:tbl>
    <w:p>
      <w:pPr>
        <w:pStyle w:val="25"/>
        <w:shd w:val="clear" w:color="auto" w:fill="auto"/>
        <w:spacing w:line="460" w:lineRule="exact"/>
        <w:ind w:firstLine="420" w:firstLineChars="200"/>
        <w:rPr>
          <w:rStyle w:val="31"/>
          <w:rFonts w:hint="eastAsia" w:ascii="宋体" w:hAnsi="宋体" w:eastAsia="宋体" w:cs="宋体"/>
          <w:color w:val="auto"/>
          <w:highlight w:val="none"/>
        </w:rPr>
      </w:pPr>
    </w:p>
    <w:p>
      <w:pPr>
        <w:pStyle w:val="25"/>
        <w:shd w:val="clear" w:color="auto" w:fill="auto"/>
        <w:spacing w:line="460" w:lineRule="exact"/>
        <w:ind w:firstLine="420" w:firstLineChars="200"/>
        <w:rPr>
          <w:rStyle w:val="31"/>
          <w:rFonts w:hint="eastAsia" w:ascii="宋体" w:hAnsi="宋体" w:eastAsia="宋体" w:cs="宋体"/>
          <w:color w:val="auto"/>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r>
        <w:rPr>
          <w:rStyle w:val="31"/>
          <w:rFonts w:hint="eastAsia" w:ascii="宋体" w:hAnsi="宋体" w:eastAsia="宋体" w:cs="宋体"/>
          <w:color w:val="auto"/>
          <w:sz w:val="30"/>
          <w:szCs w:val="30"/>
          <w:highlight w:val="none"/>
        </w:rPr>
        <w:t>附件2：</w:t>
      </w:r>
    </w:p>
    <w:p>
      <w:pPr>
        <w:pStyle w:val="25"/>
        <w:shd w:val="clear" w:color="auto" w:fill="auto"/>
        <w:spacing w:before="120" w:beforeLines="50" w:after="120" w:afterLines="50" w:line="440" w:lineRule="exact"/>
        <w:jc w:val="center"/>
        <w:rPr>
          <w:rStyle w:val="31"/>
          <w:rFonts w:hint="eastAsia" w:ascii="宋体" w:hAnsi="宋体" w:eastAsia="宋体" w:cs="宋体"/>
          <w:color w:val="auto"/>
          <w:sz w:val="32"/>
          <w:szCs w:val="32"/>
          <w:highlight w:val="none"/>
        </w:rPr>
      </w:pPr>
      <w:r>
        <w:rPr>
          <w:rStyle w:val="31"/>
          <w:rFonts w:hint="eastAsia" w:ascii="宋体" w:hAnsi="宋体" w:eastAsia="宋体" w:cs="宋体"/>
          <w:color w:val="auto"/>
          <w:sz w:val="32"/>
          <w:szCs w:val="32"/>
          <w:highlight w:val="none"/>
        </w:rPr>
        <w:t>工程质量保修书（房屋建筑工程）</w:t>
      </w:r>
    </w:p>
    <w:p>
      <w:pPr>
        <w:pStyle w:val="25"/>
        <w:shd w:val="clear" w:color="auto" w:fill="auto"/>
        <w:spacing w:line="440" w:lineRule="exact"/>
        <w:ind w:firstLine="420" w:firstLineChars="20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发包人（全称）：</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 xml:space="preserve"> </w:t>
      </w:r>
    </w:p>
    <w:p>
      <w:pPr>
        <w:pStyle w:val="25"/>
        <w:shd w:val="clear" w:color="auto" w:fill="auto"/>
        <w:spacing w:line="440" w:lineRule="exact"/>
        <w:ind w:firstLine="420" w:firstLineChars="20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承包人（全称）：</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 xml:space="preserve"> </w:t>
      </w:r>
    </w:p>
    <w:p>
      <w:pPr>
        <w:pStyle w:val="25"/>
        <w:shd w:val="clear" w:color="auto" w:fill="auto"/>
        <w:spacing w:line="440" w:lineRule="exact"/>
        <w:rPr>
          <w:rStyle w:val="31"/>
          <w:rFonts w:hint="eastAsia" w:ascii="宋体" w:hAnsi="宋体" w:eastAsia="宋体" w:cs="宋体"/>
          <w:color w:val="auto"/>
          <w:highlight w:val="none"/>
        </w:rPr>
      </w:pPr>
    </w:p>
    <w:p>
      <w:pPr>
        <w:pStyle w:val="25"/>
        <w:shd w:val="clear" w:color="auto" w:fill="auto"/>
        <w:spacing w:line="360" w:lineRule="auto"/>
        <w:ind w:firstLine="420" w:firstLineChars="20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发包人和承包人根据《中华人民共和国建筑法》和《建设工程质量管理条例》，经协商一致就</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（工程全称）签订工程质量保修书。</w:t>
      </w:r>
    </w:p>
    <w:p>
      <w:pPr>
        <w:pStyle w:val="25"/>
        <w:shd w:val="clear" w:color="auto" w:fill="auto"/>
        <w:spacing w:line="360" w:lineRule="auto"/>
        <w:ind w:firstLine="420" w:firstLineChars="20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一、工程质量保修范围和内容</w:t>
      </w:r>
    </w:p>
    <w:p>
      <w:pPr>
        <w:pStyle w:val="25"/>
        <w:shd w:val="clear" w:color="auto" w:fill="auto"/>
        <w:spacing w:line="360" w:lineRule="auto"/>
        <w:ind w:firstLine="420" w:firstLineChars="20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承包人在质量保修期内，按照有关法律规定和合同约定，承担工程质量保修责任。</w:t>
      </w:r>
    </w:p>
    <w:p>
      <w:pPr>
        <w:pStyle w:val="25"/>
        <w:shd w:val="clear" w:color="auto" w:fill="auto"/>
        <w:spacing w:line="360" w:lineRule="auto"/>
        <w:ind w:firstLine="42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pStyle w:val="25"/>
        <w:shd w:val="clear" w:color="auto" w:fill="auto"/>
        <w:spacing w:line="360" w:lineRule="auto"/>
        <w:ind w:firstLine="420"/>
        <w:rPr>
          <w:rStyle w:val="31"/>
          <w:rFonts w:hint="eastAsia" w:ascii="宋体" w:hAnsi="宋体" w:eastAsia="宋体" w:cs="宋体"/>
          <w:color w:val="auto"/>
          <w:highlight w:val="none"/>
        </w:rPr>
      </w:pP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w:t>
      </w:r>
    </w:p>
    <w:p>
      <w:pPr>
        <w:pStyle w:val="25"/>
        <w:shd w:val="clear" w:color="auto" w:fill="auto"/>
        <w:spacing w:line="360" w:lineRule="auto"/>
        <w:ind w:firstLine="42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二、质量保修期</w:t>
      </w:r>
    </w:p>
    <w:p>
      <w:pPr>
        <w:pStyle w:val="25"/>
        <w:shd w:val="clear" w:color="auto" w:fill="auto"/>
        <w:spacing w:line="360" w:lineRule="auto"/>
        <w:ind w:firstLine="42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根据《建设工程质量管理条例》及有关规定，工程的质量保修期如下：</w:t>
      </w:r>
    </w:p>
    <w:p>
      <w:pPr>
        <w:pStyle w:val="25"/>
        <w:shd w:val="clear" w:color="auto" w:fill="auto"/>
        <w:spacing w:line="360" w:lineRule="auto"/>
        <w:ind w:firstLine="42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1．地基基础工程和主体结构工程为设计文件规定的工程合理使用年限；</w:t>
      </w:r>
    </w:p>
    <w:p>
      <w:pPr>
        <w:pStyle w:val="25"/>
        <w:shd w:val="clear" w:color="auto" w:fill="auto"/>
        <w:spacing w:line="360" w:lineRule="auto"/>
        <w:ind w:firstLine="42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2．屋面防水工程、有防水要求的卫生间、房间和外墙面的防渗为</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年；</w:t>
      </w:r>
    </w:p>
    <w:p>
      <w:pPr>
        <w:pStyle w:val="25"/>
        <w:shd w:val="clear" w:color="auto" w:fill="auto"/>
        <w:spacing w:line="360" w:lineRule="auto"/>
        <w:ind w:firstLine="42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3．装修工程为</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年；</w:t>
      </w:r>
    </w:p>
    <w:p>
      <w:pPr>
        <w:pStyle w:val="25"/>
        <w:shd w:val="clear" w:color="auto" w:fill="auto"/>
        <w:spacing w:line="360" w:lineRule="auto"/>
        <w:ind w:firstLine="42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4．电气管线、给排水管道、设备安装工程为</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年；</w:t>
      </w:r>
    </w:p>
    <w:p>
      <w:pPr>
        <w:pStyle w:val="25"/>
        <w:shd w:val="clear" w:color="auto" w:fill="auto"/>
        <w:spacing w:line="360" w:lineRule="auto"/>
        <w:ind w:firstLine="42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5．供热与供冷系统为</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个采暖期、供冷期；</w:t>
      </w:r>
    </w:p>
    <w:p>
      <w:pPr>
        <w:pStyle w:val="25"/>
        <w:shd w:val="clear" w:color="auto" w:fill="auto"/>
        <w:spacing w:line="360" w:lineRule="auto"/>
        <w:ind w:firstLine="42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6．住宅小区内的给排水设施、道路等配套工程为</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年；</w:t>
      </w:r>
    </w:p>
    <w:p>
      <w:pPr>
        <w:pStyle w:val="25"/>
        <w:shd w:val="clear" w:color="auto" w:fill="auto"/>
        <w:spacing w:line="360" w:lineRule="auto"/>
        <w:ind w:firstLine="42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7．其他项目保修期限约定如下：</w:t>
      </w:r>
    </w:p>
    <w:p>
      <w:pPr>
        <w:pStyle w:val="25"/>
        <w:shd w:val="clear" w:color="auto" w:fill="auto"/>
        <w:spacing w:line="360" w:lineRule="auto"/>
        <w:ind w:firstLine="420"/>
        <w:rPr>
          <w:rStyle w:val="31"/>
          <w:rFonts w:hint="eastAsia" w:ascii="宋体" w:hAnsi="宋体" w:eastAsia="宋体" w:cs="宋体"/>
          <w:color w:val="auto"/>
          <w:highlight w:val="none"/>
        </w:rPr>
      </w:pP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w:t>
      </w:r>
    </w:p>
    <w:p>
      <w:pPr>
        <w:pStyle w:val="25"/>
        <w:shd w:val="clear" w:color="auto" w:fill="auto"/>
        <w:spacing w:line="360" w:lineRule="auto"/>
        <w:ind w:firstLine="42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质量保修期自工程竣工验收合格之日起计算。</w:t>
      </w:r>
    </w:p>
    <w:p>
      <w:pPr>
        <w:pStyle w:val="25"/>
        <w:shd w:val="clear" w:color="auto" w:fill="auto"/>
        <w:spacing w:line="360" w:lineRule="auto"/>
        <w:ind w:firstLine="42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三、缺陷责任期</w:t>
      </w:r>
    </w:p>
    <w:p>
      <w:pPr>
        <w:pStyle w:val="25"/>
        <w:shd w:val="clear" w:color="auto" w:fill="auto"/>
        <w:spacing w:line="360" w:lineRule="auto"/>
        <w:ind w:firstLine="42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工程缺陷责任期为</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个月（最长不超过24个月），缺陷责任期自工程竣工验收合格之日起计算。单位工程先于全部工程进行验收，单位工程缺陷责任期自单位工程验收合格之日起算。</w:t>
      </w:r>
    </w:p>
    <w:p>
      <w:pPr>
        <w:pStyle w:val="25"/>
        <w:shd w:val="clear" w:color="auto" w:fill="auto"/>
        <w:spacing w:line="360" w:lineRule="auto"/>
        <w:ind w:firstLine="42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缺陷责任期</w:t>
      </w:r>
      <w:r>
        <w:rPr>
          <w:rStyle w:val="31"/>
          <w:rFonts w:hint="eastAsia" w:ascii="宋体" w:hAnsi="宋体" w:eastAsia="宋体" w:cs="宋体"/>
          <w:color w:val="auto"/>
          <w:highlight w:val="none"/>
          <w:u w:val="single"/>
        </w:rPr>
        <w:t>满</w:t>
      </w:r>
      <w:r>
        <w:rPr>
          <w:rStyle w:val="31"/>
          <w:rFonts w:hint="eastAsia" w:ascii="宋体" w:hAnsi="宋体" w:eastAsia="宋体" w:cs="宋体"/>
          <w:color w:val="auto"/>
          <w:highlight w:val="none"/>
        </w:rPr>
        <w:t>之日起</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天</w:t>
      </w:r>
      <w:r>
        <w:rPr>
          <w:rStyle w:val="31"/>
          <w:rFonts w:hint="eastAsia" w:ascii="宋体" w:hAnsi="宋体" w:eastAsia="宋体" w:cs="宋体"/>
          <w:color w:val="auto"/>
          <w:highlight w:val="none"/>
          <w:u w:val="single"/>
        </w:rPr>
        <w:t>（按合同约定期限），</w:t>
      </w:r>
      <w:r>
        <w:rPr>
          <w:rStyle w:val="31"/>
          <w:rFonts w:hint="eastAsia" w:ascii="宋体" w:hAnsi="宋体" w:eastAsia="宋体" w:cs="宋体"/>
          <w:color w:val="auto"/>
          <w:highlight w:val="none"/>
        </w:rPr>
        <w:t>发包人应退还剩余的质量保证金。</w:t>
      </w:r>
    </w:p>
    <w:p>
      <w:pPr>
        <w:pStyle w:val="25"/>
        <w:shd w:val="clear" w:color="auto" w:fill="auto"/>
        <w:spacing w:line="360" w:lineRule="auto"/>
        <w:ind w:firstLine="42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四、质量保修责任</w:t>
      </w:r>
    </w:p>
    <w:p>
      <w:pPr>
        <w:pStyle w:val="25"/>
        <w:shd w:val="clear" w:color="auto" w:fill="auto"/>
        <w:spacing w:line="360" w:lineRule="auto"/>
        <w:ind w:left="110" w:leftChars="50" w:firstLine="430" w:firstLineChars="205"/>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1．属于保修范围、内容的项目，承包人应当在接到保修通知之日起</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天内派人保修。承包人不在约定期限内派人保修的，发包人可以委托他人修理，修理费用从质量保证金内扣除。</w:t>
      </w:r>
    </w:p>
    <w:p>
      <w:pPr>
        <w:pStyle w:val="25"/>
        <w:shd w:val="clear" w:color="auto" w:fill="auto"/>
        <w:spacing w:line="360" w:lineRule="auto"/>
        <w:ind w:firstLine="42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2．发生紧急事故需抢修的，承包人在接到事故通知后，应当立即到达事故现场抢修。</w:t>
      </w:r>
    </w:p>
    <w:p>
      <w:pPr>
        <w:pStyle w:val="25"/>
        <w:shd w:val="clear" w:color="auto" w:fill="auto"/>
        <w:spacing w:line="360" w:lineRule="auto"/>
        <w:ind w:firstLine="42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25"/>
        <w:shd w:val="clear" w:color="auto" w:fill="auto"/>
        <w:spacing w:line="360" w:lineRule="auto"/>
        <w:ind w:firstLine="42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4．质量保修完成后，由发包人组织验收。</w:t>
      </w:r>
    </w:p>
    <w:p>
      <w:pPr>
        <w:pStyle w:val="25"/>
        <w:shd w:val="clear" w:color="auto" w:fill="auto"/>
        <w:spacing w:line="360" w:lineRule="auto"/>
        <w:ind w:firstLine="42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五、保修费用</w:t>
      </w:r>
    </w:p>
    <w:p>
      <w:pPr>
        <w:pStyle w:val="25"/>
        <w:shd w:val="clear" w:color="auto" w:fill="auto"/>
        <w:tabs>
          <w:tab w:val="left" w:pos="7380"/>
        </w:tabs>
        <w:spacing w:line="360" w:lineRule="auto"/>
        <w:ind w:firstLine="42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保修费用由造成质量缺陷的责任方承担。</w:t>
      </w:r>
    </w:p>
    <w:p>
      <w:pPr>
        <w:pStyle w:val="25"/>
        <w:shd w:val="clear" w:color="auto" w:fill="auto"/>
        <w:spacing w:line="360" w:lineRule="auto"/>
        <w:ind w:firstLine="42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 xml:space="preserve">六、双方约定的其他工程质量保修事项： </w:t>
      </w:r>
    </w:p>
    <w:p>
      <w:pPr>
        <w:pStyle w:val="25"/>
        <w:shd w:val="clear" w:color="auto" w:fill="auto"/>
        <w:spacing w:line="360" w:lineRule="auto"/>
        <w:ind w:firstLine="420" w:firstLineChars="200"/>
        <w:jc w:val="left"/>
        <w:rPr>
          <w:rStyle w:val="31"/>
          <w:rFonts w:hint="eastAsia" w:ascii="宋体" w:hAnsi="宋体" w:eastAsia="宋体" w:cs="宋体"/>
          <w:color w:val="auto"/>
          <w:highlight w:val="none"/>
        </w:rPr>
      </w:pP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w:t>
      </w:r>
    </w:p>
    <w:p>
      <w:pPr>
        <w:pStyle w:val="25"/>
        <w:shd w:val="clear" w:color="auto" w:fill="auto"/>
        <w:spacing w:line="360" w:lineRule="auto"/>
        <w:ind w:firstLine="399" w:firstLineChars="19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工程质量保修书由发包人、承包人在工程竣工验收前共同签署，作为施工合同附件，其有效期限至保修期满。</w:t>
      </w:r>
    </w:p>
    <w:p>
      <w:pPr>
        <w:pStyle w:val="25"/>
        <w:shd w:val="clear" w:color="auto" w:fill="auto"/>
        <w:spacing w:line="360" w:lineRule="auto"/>
        <w:ind w:firstLine="420"/>
        <w:rPr>
          <w:rStyle w:val="31"/>
          <w:rFonts w:hint="eastAsia" w:ascii="宋体" w:hAnsi="宋体" w:eastAsia="宋体" w:cs="宋体"/>
          <w:color w:val="auto"/>
          <w:highlight w:val="none"/>
        </w:rPr>
      </w:pPr>
    </w:p>
    <w:p>
      <w:pPr>
        <w:pStyle w:val="25"/>
        <w:shd w:val="clear" w:color="auto" w:fill="auto"/>
        <w:spacing w:line="360" w:lineRule="auto"/>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发包人（公章）：</w:t>
      </w:r>
      <w:r>
        <w:rPr>
          <w:rStyle w:val="31"/>
          <w:rFonts w:hint="eastAsia" w:ascii="宋体" w:hAnsi="宋体" w:eastAsia="宋体" w:cs="宋体"/>
          <w:color w:val="auto"/>
          <w:highlight w:val="none"/>
          <w:u w:val="single"/>
        </w:rPr>
        <w:t xml:space="preserve">         </w:t>
      </w:r>
      <w:r>
        <w:rPr>
          <w:rStyle w:val="31"/>
          <w:rFonts w:hint="eastAsia" w:ascii="宋体" w:hAnsi="宋体" w:eastAsia="宋体" w:cs="宋体"/>
          <w:color w:val="auto"/>
          <w:highlight w:val="none"/>
        </w:rPr>
        <w:t xml:space="preserve">             承包人（公章）：</w:t>
      </w:r>
      <w:r>
        <w:rPr>
          <w:rStyle w:val="31"/>
          <w:rFonts w:hint="eastAsia" w:ascii="宋体" w:hAnsi="宋体" w:eastAsia="宋体" w:cs="宋体"/>
          <w:color w:val="auto"/>
          <w:highlight w:val="none"/>
          <w:u w:val="single"/>
        </w:rPr>
        <w:t>          </w:t>
      </w:r>
    </w:p>
    <w:p>
      <w:pPr>
        <w:pStyle w:val="25"/>
        <w:shd w:val="clear" w:color="auto" w:fill="auto"/>
        <w:spacing w:line="360" w:lineRule="auto"/>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地  址：</w:t>
      </w:r>
      <w:r>
        <w:rPr>
          <w:rStyle w:val="31"/>
          <w:rFonts w:hint="eastAsia" w:ascii="宋体" w:hAnsi="宋体" w:eastAsia="宋体" w:cs="宋体"/>
          <w:color w:val="auto"/>
          <w:highlight w:val="none"/>
          <w:u w:val="single"/>
        </w:rPr>
        <w:t xml:space="preserve">       </w:t>
      </w:r>
      <w:r>
        <w:rPr>
          <w:rStyle w:val="31"/>
          <w:rFonts w:hint="eastAsia" w:ascii="宋体" w:hAnsi="宋体" w:eastAsia="宋体" w:cs="宋体"/>
          <w:color w:val="auto"/>
          <w:highlight w:val="none"/>
        </w:rPr>
        <w:t xml:space="preserve">              地  址：</w:t>
      </w:r>
      <w:r>
        <w:rPr>
          <w:rStyle w:val="31"/>
          <w:rFonts w:hint="eastAsia" w:ascii="宋体" w:hAnsi="宋体" w:eastAsia="宋体" w:cs="宋体"/>
          <w:color w:val="auto"/>
          <w:highlight w:val="none"/>
          <w:u w:val="single"/>
        </w:rPr>
        <w:t>      </w:t>
      </w:r>
    </w:p>
    <w:p>
      <w:pPr>
        <w:pStyle w:val="25"/>
        <w:shd w:val="clear" w:color="auto" w:fill="auto"/>
        <w:spacing w:line="360" w:lineRule="auto"/>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法定代表人（签字）：</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 xml:space="preserve">              法定代表人（签字）：</w:t>
      </w:r>
      <w:r>
        <w:rPr>
          <w:rStyle w:val="31"/>
          <w:rFonts w:hint="eastAsia" w:ascii="宋体" w:hAnsi="宋体" w:eastAsia="宋体" w:cs="宋体"/>
          <w:color w:val="auto"/>
          <w:highlight w:val="none"/>
          <w:u w:val="single"/>
        </w:rPr>
        <w:t>     </w:t>
      </w:r>
    </w:p>
    <w:p>
      <w:pPr>
        <w:pStyle w:val="25"/>
        <w:shd w:val="clear" w:color="auto" w:fill="auto"/>
        <w:spacing w:line="360" w:lineRule="auto"/>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委托代理人（签字）：</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 xml:space="preserve">              委托代理人（签字）：</w:t>
      </w:r>
      <w:r>
        <w:rPr>
          <w:rStyle w:val="31"/>
          <w:rFonts w:hint="eastAsia" w:ascii="宋体" w:hAnsi="宋体" w:eastAsia="宋体" w:cs="宋体"/>
          <w:color w:val="auto"/>
          <w:highlight w:val="none"/>
          <w:u w:val="single"/>
        </w:rPr>
        <w:t>     </w:t>
      </w:r>
    </w:p>
    <w:p>
      <w:pPr>
        <w:pStyle w:val="25"/>
        <w:shd w:val="clear" w:color="auto" w:fill="auto"/>
        <w:spacing w:line="360" w:lineRule="auto"/>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电  话：</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 xml:space="preserve">              电  话：</w:t>
      </w:r>
      <w:r>
        <w:rPr>
          <w:rStyle w:val="31"/>
          <w:rFonts w:hint="eastAsia" w:ascii="宋体" w:hAnsi="宋体" w:eastAsia="宋体" w:cs="宋体"/>
          <w:color w:val="auto"/>
          <w:highlight w:val="none"/>
          <w:u w:val="single"/>
        </w:rPr>
        <w:t>      </w:t>
      </w:r>
    </w:p>
    <w:p>
      <w:pPr>
        <w:pStyle w:val="25"/>
        <w:shd w:val="clear" w:color="auto" w:fill="auto"/>
        <w:spacing w:line="360" w:lineRule="auto"/>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传  真：</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 xml:space="preserve">              传  真：</w:t>
      </w:r>
      <w:r>
        <w:rPr>
          <w:rStyle w:val="31"/>
          <w:rFonts w:hint="eastAsia" w:ascii="宋体" w:hAnsi="宋体" w:eastAsia="宋体" w:cs="宋体"/>
          <w:color w:val="auto"/>
          <w:highlight w:val="none"/>
          <w:u w:val="single"/>
        </w:rPr>
        <w:t>    </w:t>
      </w:r>
    </w:p>
    <w:p>
      <w:pPr>
        <w:pStyle w:val="25"/>
        <w:shd w:val="clear" w:color="auto" w:fill="auto"/>
        <w:spacing w:line="360" w:lineRule="auto"/>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开户银行：</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 xml:space="preserve">              开户银行：</w:t>
      </w:r>
      <w:r>
        <w:rPr>
          <w:rStyle w:val="31"/>
          <w:rFonts w:hint="eastAsia" w:ascii="宋体" w:hAnsi="宋体" w:eastAsia="宋体" w:cs="宋体"/>
          <w:color w:val="auto"/>
          <w:highlight w:val="none"/>
          <w:u w:val="single"/>
        </w:rPr>
        <w:t>  </w:t>
      </w:r>
    </w:p>
    <w:p>
      <w:pPr>
        <w:pStyle w:val="25"/>
        <w:shd w:val="clear" w:color="auto" w:fill="auto"/>
        <w:tabs>
          <w:tab w:val="left" w:pos="2880"/>
          <w:tab w:val="left" w:pos="3060"/>
          <w:tab w:val="left" w:pos="4500"/>
        </w:tabs>
        <w:spacing w:line="360" w:lineRule="auto"/>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账  号：</w:t>
      </w:r>
      <w:r>
        <w:rPr>
          <w:rStyle w:val="31"/>
          <w:rFonts w:hint="eastAsia" w:ascii="宋体" w:hAnsi="宋体" w:eastAsia="宋体" w:cs="宋体"/>
          <w:color w:val="auto"/>
          <w:highlight w:val="none"/>
          <w:u w:val="single"/>
        </w:rPr>
        <w:t xml:space="preserve">          </w:t>
      </w:r>
      <w:r>
        <w:rPr>
          <w:rStyle w:val="31"/>
          <w:rFonts w:hint="eastAsia" w:ascii="宋体" w:hAnsi="宋体" w:eastAsia="宋体" w:cs="宋体"/>
          <w:color w:val="auto"/>
          <w:highlight w:val="none"/>
        </w:rPr>
        <w:t xml:space="preserve">              账  号：</w:t>
      </w:r>
      <w:r>
        <w:rPr>
          <w:rStyle w:val="31"/>
          <w:rFonts w:hint="eastAsia" w:ascii="宋体" w:hAnsi="宋体" w:eastAsia="宋体" w:cs="宋体"/>
          <w:color w:val="auto"/>
          <w:highlight w:val="none"/>
          <w:u w:val="single"/>
        </w:rPr>
        <w:t>    </w:t>
      </w:r>
    </w:p>
    <w:p>
      <w:pPr>
        <w:pStyle w:val="25"/>
        <w:shd w:val="clear" w:color="auto" w:fill="auto"/>
        <w:tabs>
          <w:tab w:val="left" w:pos="7200"/>
          <w:tab w:val="left" w:pos="7380"/>
          <w:tab w:val="left" w:pos="7560"/>
        </w:tabs>
        <w:spacing w:line="360" w:lineRule="auto"/>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邮政编码：</w:t>
      </w:r>
      <w:r>
        <w:rPr>
          <w:rStyle w:val="31"/>
          <w:rFonts w:hint="eastAsia" w:ascii="宋体" w:hAnsi="宋体" w:eastAsia="宋体" w:cs="宋体"/>
          <w:color w:val="auto"/>
          <w:highlight w:val="none"/>
          <w:u w:val="single"/>
        </w:rPr>
        <w:t xml:space="preserve">       </w:t>
      </w:r>
      <w:r>
        <w:rPr>
          <w:rStyle w:val="31"/>
          <w:rFonts w:hint="eastAsia" w:ascii="宋体" w:hAnsi="宋体" w:eastAsia="宋体" w:cs="宋体"/>
          <w:color w:val="auto"/>
          <w:highlight w:val="none"/>
        </w:rPr>
        <w:t xml:space="preserve">              邮政编码：</w:t>
      </w:r>
      <w:r>
        <w:rPr>
          <w:rStyle w:val="31"/>
          <w:rFonts w:hint="eastAsia" w:ascii="宋体" w:hAnsi="宋体" w:eastAsia="宋体" w:cs="宋体"/>
          <w:color w:val="auto"/>
          <w:highlight w:val="none"/>
          <w:u w:val="single"/>
        </w:rPr>
        <w:t>   </w:t>
      </w:r>
    </w:p>
    <w:p>
      <w:pPr>
        <w:pStyle w:val="25"/>
        <w:shd w:val="clear" w:color="auto" w:fill="auto"/>
        <w:spacing w:before="120" w:beforeLines="50" w:after="120" w:afterLines="50" w:line="440" w:lineRule="exact"/>
        <w:jc w:val="center"/>
        <w:rPr>
          <w:rStyle w:val="31"/>
          <w:rFonts w:hint="eastAsia" w:ascii="宋体" w:hAnsi="宋体" w:eastAsia="宋体" w:cs="宋体"/>
          <w:color w:val="auto"/>
          <w:sz w:val="32"/>
          <w:szCs w:val="32"/>
          <w:highlight w:val="none"/>
        </w:rPr>
      </w:pPr>
    </w:p>
    <w:p>
      <w:pPr>
        <w:pStyle w:val="25"/>
        <w:shd w:val="clear" w:color="auto" w:fill="auto"/>
        <w:spacing w:before="120" w:beforeLines="50" w:after="120" w:afterLines="50" w:line="440" w:lineRule="exact"/>
        <w:jc w:val="center"/>
        <w:rPr>
          <w:rStyle w:val="31"/>
          <w:rFonts w:hint="eastAsia" w:ascii="宋体" w:hAnsi="宋体" w:eastAsia="宋体" w:cs="宋体"/>
          <w:color w:val="auto"/>
          <w:sz w:val="32"/>
          <w:szCs w:val="32"/>
          <w:highlight w:val="none"/>
        </w:rPr>
      </w:pPr>
    </w:p>
    <w:p>
      <w:pPr>
        <w:pStyle w:val="25"/>
        <w:shd w:val="clear" w:color="auto" w:fill="auto"/>
        <w:spacing w:before="120" w:beforeLines="50" w:after="120" w:afterLines="50" w:line="440" w:lineRule="exact"/>
        <w:jc w:val="center"/>
        <w:rPr>
          <w:rStyle w:val="31"/>
          <w:rFonts w:hint="eastAsia" w:ascii="宋体" w:hAnsi="宋体" w:eastAsia="宋体" w:cs="宋体"/>
          <w:color w:val="auto"/>
          <w:sz w:val="32"/>
          <w:szCs w:val="32"/>
          <w:highlight w:val="none"/>
        </w:rPr>
      </w:pPr>
    </w:p>
    <w:p>
      <w:pPr>
        <w:pStyle w:val="25"/>
        <w:shd w:val="clear" w:color="auto" w:fill="auto"/>
        <w:spacing w:before="120" w:beforeLines="50" w:after="120" w:afterLines="50" w:line="440" w:lineRule="exact"/>
        <w:jc w:val="center"/>
        <w:rPr>
          <w:rStyle w:val="31"/>
          <w:rFonts w:hint="eastAsia" w:ascii="宋体" w:hAnsi="宋体" w:eastAsia="宋体" w:cs="宋体"/>
          <w:color w:val="auto"/>
          <w:sz w:val="32"/>
          <w:szCs w:val="32"/>
          <w:highlight w:val="none"/>
        </w:rPr>
      </w:pPr>
    </w:p>
    <w:p>
      <w:pPr>
        <w:pStyle w:val="25"/>
        <w:shd w:val="clear" w:color="auto" w:fill="auto"/>
        <w:spacing w:before="120" w:beforeLines="50" w:after="120" w:afterLines="50" w:line="440" w:lineRule="exact"/>
        <w:jc w:val="center"/>
        <w:rPr>
          <w:rStyle w:val="31"/>
          <w:rFonts w:hint="eastAsia" w:ascii="宋体" w:hAnsi="宋体" w:eastAsia="宋体" w:cs="宋体"/>
          <w:color w:val="auto"/>
          <w:sz w:val="32"/>
          <w:szCs w:val="32"/>
          <w:highlight w:val="none"/>
        </w:rPr>
      </w:pPr>
    </w:p>
    <w:p>
      <w:pPr>
        <w:pStyle w:val="25"/>
        <w:shd w:val="clear" w:color="auto" w:fill="auto"/>
        <w:spacing w:before="120" w:beforeLines="50" w:after="120" w:afterLines="50" w:line="440" w:lineRule="exact"/>
        <w:jc w:val="center"/>
        <w:rPr>
          <w:rStyle w:val="31"/>
          <w:rFonts w:hint="eastAsia" w:ascii="宋体" w:hAnsi="宋体" w:eastAsia="宋体" w:cs="宋体"/>
          <w:color w:val="auto"/>
          <w:sz w:val="32"/>
          <w:szCs w:val="32"/>
          <w:highlight w:val="none"/>
        </w:rPr>
      </w:pPr>
    </w:p>
    <w:p>
      <w:pPr>
        <w:pStyle w:val="25"/>
        <w:shd w:val="clear" w:color="auto" w:fill="auto"/>
        <w:spacing w:before="120" w:beforeLines="50" w:after="120" w:afterLines="50" w:line="440" w:lineRule="exact"/>
        <w:jc w:val="center"/>
        <w:rPr>
          <w:rStyle w:val="31"/>
          <w:rFonts w:hint="eastAsia" w:ascii="宋体" w:hAnsi="宋体" w:eastAsia="宋体" w:cs="宋体"/>
          <w:color w:val="auto"/>
          <w:sz w:val="32"/>
          <w:szCs w:val="32"/>
          <w:highlight w:val="none"/>
        </w:rPr>
      </w:pPr>
    </w:p>
    <w:p>
      <w:pPr>
        <w:pStyle w:val="25"/>
        <w:shd w:val="clear" w:color="auto" w:fill="auto"/>
        <w:spacing w:before="120" w:beforeLines="50" w:after="120" w:afterLines="50" w:line="440" w:lineRule="exact"/>
        <w:jc w:val="center"/>
        <w:rPr>
          <w:rStyle w:val="31"/>
          <w:rFonts w:hint="eastAsia" w:ascii="宋体" w:hAnsi="宋体" w:eastAsia="宋体" w:cs="宋体"/>
          <w:color w:val="auto"/>
          <w:sz w:val="32"/>
          <w:szCs w:val="32"/>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r>
        <w:rPr>
          <w:rStyle w:val="31"/>
          <w:rFonts w:hint="eastAsia" w:ascii="宋体" w:hAnsi="宋体" w:eastAsia="宋体" w:cs="宋体"/>
          <w:color w:val="auto"/>
          <w:sz w:val="30"/>
          <w:szCs w:val="30"/>
          <w:highlight w:val="none"/>
        </w:rPr>
        <w:br w:type="page"/>
      </w:r>
      <w:r>
        <w:rPr>
          <w:rStyle w:val="31"/>
          <w:rFonts w:hint="eastAsia" w:ascii="宋体" w:hAnsi="宋体" w:eastAsia="宋体" w:cs="宋体"/>
          <w:color w:val="auto"/>
          <w:sz w:val="30"/>
          <w:szCs w:val="30"/>
          <w:highlight w:val="none"/>
        </w:rPr>
        <w:t>附件3：</w:t>
      </w:r>
    </w:p>
    <w:p>
      <w:pPr>
        <w:pStyle w:val="25"/>
        <w:shd w:val="clear" w:color="auto" w:fill="auto"/>
        <w:spacing w:before="120" w:beforeLines="50" w:after="120" w:afterLines="50" w:line="440" w:lineRule="exact"/>
        <w:jc w:val="center"/>
        <w:rPr>
          <w:rStyle w:val="31"/>
          <w:rFonts w:hint="eastAsia" w:ascii="宋体" w:hAnsi="宋体" w:eastAsia="宋体" w:cs="宋体"/>
          <w:color w:val="auto"/>
          <w:sz w:val="30"/>
          <w:szCs w:val="30"/>
          <w:highlight w:val="none"/>
        </w:rPr>
      </w:pPr>
      <w:r>
        <w:rPr>
          <w:rStyle w:val="31"/>
          <w:rFonts w:hint="eastAsia" w:ascii="宋体" w:hAnsi="宋体" w:eastAsia="宋体" w:cs="宋体"/>
          <w:color w:val="auto"/>
          <w:sz w:val="30"/>
          <w:szCs w:val="30"/>
          <w:highlight w:val="none"/>
        </w:rPr>
        <w:t>主要建设工程文件目录</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30"/>
                <w:highlight w:val="none"/>
              </w:rPr>
            </w:pPr>
            <w:r>
              <w:rPr>
                <w:rStyle w:val="31"/>
                <w:rFonts w:hint="eastAsia" w:ascii="宋体" w:hAnsi="宋体" w:eastAsia="宋体" w:cs="宋体"/>
                <w:color w:val="auto"/>
                <w:sz w:val="28"/>
                <w:szCs w:val="30"/>
                <w:highlight w:val="none"/>
              </w:rPr>
              <w:t>文件名称</w:t>
            </w:r>
          </w:p>
        </w:tc>
        <w:tc>
          <w:tcPr>
            <w:tcW w:w="1276" w:type="dxa"/>
            <w:tcBorders>
              <w:top w:val="single" w:color="auto" w:sz="12" w:space="0"/>
              <w:bottom w:val="double" w:color="auto" w:sz="6" w:space="0"/>
            </w:tcBorders>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30"/>
                <w:highlight w:val="none"/>
              </w:rPr>
            </w:pPr>
            <w:r>
              <w:rPr>
                <w:rStyle w:val="31"/>
                <w:rFonts w:hint="eastAsia" w:ascii="宋体" w:hAnsi="宋体" w:eastAsia="宋体" w:cs="宋体"/>
                <w:color w:val="auto"/>
                <w:sz w:val="28"/>
                <w:szCs w:val="30"/>
                <w:highlight w:val="none"/>
              </w:rPr>
              <w:t>套数</w:t>
            </w:r>
          </w:p>
        </w:tc>
        <w:tc>
          <w:tcPr>
            <w:tcW w:w="1450" w:type="dxa"/>
            <w:tcBorders>
              <w:top w:val="single" w:color="auto" w:sz="12" w:space="0"/>
              <w:bottom w:val="double" w:color="auto" w:sz="6" w:space="0"/>
            </w:tcBorders>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30"/>
                <w:highlight w:val="none"/>
              </w:rPr>
            </w:pPr>
            <w:r>
              <w:rPr>
                <w:rStyle w:val="31"/>
                <w:rFonts w:hint="eastAsia" w:ascii="宋体" w:hAnsi="宋体" w:eastAsia="宋体" w:cs="宋体"/>
                <w:color w:val="auto"/>
                <w:sz w:val="28"/>
                <w:szCs w:val="30"/>
                <w:highlight w:val="none"/>
              </w:rPr>
              <w:t>费用（元）</w:t>
            </w:r>
          </w:p>
        </w:tc>
        <w:tc>
          <w:tcPr>
            <w:tcW w:w="1243" w:type="dxa"/>
            <w:tcBorders>
              <w:top w:val="single" w:color="auto" w:sz="12" w:space="0"/>
              <w:bottom w:val="double" w:color="auto" w:sz="6" w:space="0"/>
            </w:tcBorders>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30"/>
                <w:highlight w:val="none"/>
              </w:rPr>
            </w:pPr>
            <w:r>
              <w:rPr>
                <w:rStyle w:val="31"/>
                <w:rFonts w:hint="eastAsia" w:ascii="宋体" w:hAnsi="宋体" w:eastAsia="宋体" w:cs="宋体"/>
                <w:color w:val="auto"/>
                <w:sz w:val="28"/>
                <w:szCs w:val="30"/>
                <w:highlight w:val="none"/>
              </w:rPr>
              <w:t>质量</w:t>
            </w:r>
          </w:p>
        </w:tc>
        <w:tc>
          <w:tcPr>
            <w:tcW w:w="1450" w:type="dxa"/>
            <w:tcBorders>
              <w:top w:val="single" w:color="auto" w:sz="12" w:space="0"/>
              <w:bottom w:val="double" w:color="auto" w:sz="6" w:space="0"/>
            </w:tcBorders>
            <w:noWrap w:val="0"/>
            <w:vAlign w:val="top"/>
          </w:tcPr>
          <w:p>
            <w:pPr>
              <w:pStyle w:val="25"/>
              <w:shd w:val="clear" w:color="auto" w:fill="auto"/>
              <w:spacing w:line="440" w:lineRule="exact"/>
              <w:jc w:val="center"/>
              <w:rPr>
                <w:rStyle w:val="31"/>
                <w:rFonts w:hint="eastAsia" w:ascii="宋体" w:hAnsi="宋体" w:eastAsia="宋体" w:cs="宋体"/>
                <w:color w:val="auto"/>
                <w:sz w:val="28"/>
                <w:szCs w:val="30"/>
                <w:highlight w:val="none"/>
              </w:rPr>
            </w:pPr>
            <w:r>
              <w:rPr>
                <w:rStyle w:val="31"/>
                <w:rFonts w:hint="eastAsia" w:ascii="宋体" w:hAnsi="宋体" w:eastAsia="宋体" w:cs="宋体"/>
                <w:color w:val="auto"/>
                <w:sz w:val="28"/>
                <w:szCs w:val="30"/>
                <w:highlight w:val="none"/>
              </w:rPr>
              <w:t>移交时间</w:t>
            </w:r>
          </w:p>
        </w:tc>
        <w:tc>
          <w:tcPr>
            <w:tcW w:w="1667" w:type="dxa"/>
            <w:tcBorders>
              <w:top w:val="single" w:color="auto" w:sz="12" w:space="0"/>
              <w:bottom w:val="double" w:color="auto" w:sz="6" w:space="0"/>
            </w:tcBorders>
            <w:noWrap w:val="0"/>
            <w:vAlign w:val="top"/>
          </w:tcPr>
          <w:p>
            <w:pPr>
              <w:pStyle w:val="25"/>
              <w:shd w:val="clear" w:color="auto" w:fill="auto"/>
              <w:spacing w:line="440" w:lineRule="exact"/>
              <w:jc w:val="center"/>
              <w:rPr>
                <w:rStyle w:val="31"/>
                <w:rFonts w:hint="eastAsia" w:ascii="宋体" w:hAnsi="宋体" w:eastAsia="宋体" w:cs="宋体"/>
                <w:color w:val="auto"/>
                <w:sz w:val="28"/>
                <w:szCs w:val="30"/>
                <w:highlight w:val="none"/>
              </w:rPr>
            </w:pPr>
            <w:r>
              <w:rPr>
                <w:rStyle w:val="31"/>
                <w:rFonts w:hint="eastAsia" w:ascii="宋体" w:hAnsi="宋体" w:eastAsia="宋体" w:cs="宋体"/>
                <w:color w:val="auto"/>
                <w:sz w:val="28"/>
                <w:szCs w:val="30"/>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276" w:type="dxa"/>
            <w:tcBorders>
              <w:top w:val="double" w:color="auto" w:sz="6" w:space="0"/>
              <w:bottom w:val="single" w:color="auto" w:sz="6" w:space="0"/>
            </w:tcBorders>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50" w:type="dxa"/>
            <w:tcBorders>
              <w:top w:val="double" w:color="auto" w:sz="6" w:space="0"/>
              <w:bottom w:val="single" w:color="auto" w:sz="6" w:space="0"/>
            </w:tcBorders>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243" w:type="dxa"/>
            <w:tcBorders>
              <w:top w:val="double" w:color="auto" w:sz="6" w:space="0"/>
              <w:bottom w:val="single" w:color="auto" w:sz="6" w:space="0"/>
            </w:tcBorders>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50" w:type="dxa"/>
            <w:tcBorders>
              <w:top w:val="double" w:color="auto" w:sz="6" w:space="0"/>
              <w:bottom w:val="single" w:color="auto" w:sz="6" w:space="0"/>
            </w:tcBorders>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667" w:type="dxa"/>
            <w:tcBorders>
              <w:top w:val="double" w:color="auto" w:sz="6" w:space="0"/>
              <w:bottom w:val="single" w:color="auto" w:sz="6" w:space="0"/>
            </w:tcBorders>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276" w:type="dxa"/>
            <w:tcBorders>
              <w:top w:val="nil"/>
            </w:tcBorders>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50" w:type="dxa"/>
            <w:tcBorders>
              <w:top w:val="nil"/>
            </w:tcBorders>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243" w:type="dxa"/>
            <w:tcBorders>
              <w:top w:val="nil"/>
            </w:tcBorders>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50" w:type="dxa"/>
            <w:tcBorders>
              <w:top w:val="nil"/>
            </w:tcBorders>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667" w:type="dxa"/>
            <w:tcBorders>
              <w:top w:val="nil"/>
            </w:tcBorders>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276"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243"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667"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276"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243"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667"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276"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243"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667"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276"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243"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667"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276"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243"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667"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276"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243"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667"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276"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5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243"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5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667" w:type="dxa"/>
            <w:noWrap w:val="0"/>
            <w:vAlign w:val="top"/>
          </w:tcPr>
          <w:p>
            <w:pPr>
              <w:pStyle w:val="25"/>
              <w:shd w:val="clear" w:color="auto" w:fill="auto"/>
              <w:rPr>
                <w:rStyle w:val="31"/>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276"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243"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667"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276"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5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243"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5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667" w:type="dxa"/>
            <w:noWrap w:val="0"/>
            <w:vAlign w:val="top"/>
          </w:tcPr>
          <w:p>
            <w:pPr>
              <w:pStyle w:val="25"/>
              <w:shd w:val="clear" w:color="auto" w:fill="auto"/>
              <w:rPr>
                <w:rStyle w:val="31"/>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276"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5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243"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5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667" w:type="dxa"/>
            <w:noWrap w:val="0"/>
            <w:vAlign w:val="top"/>
          </w:tcPr>
          <w:p>
            <w:pPr>
              <w:pStyle w:val="25"/>
              <w:shd w:val="clear" w:color="auto" w:fill="auto"/>
              <w:rPr>
                <w:rStyle w:val="31"/>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276"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5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243"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5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667" w:type="dxa"/>
            <w:noWrap w:val="0"/>
            <w:vAlign w:val="top"/>
          </w:tcPr>
          <w:p>
            <w:pPr>
              <w:pStyle w:val="25"/>
              <w:shd w:val="clear" w:color="auto" w:fill="auto"/>
              <w:rPr>
                <w:rStyle w:val="31"/>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276"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5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243"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5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667" w:type="dxa"/>
            <w:noWrap w:val="0"/>
            <w:vAlign w:val="top"/>
          </w:tcPr>
          <w:p>
            <w:pPr>
              <w:pStyle w:val="25"/>
              <w:shd w:val="clear" w:color="auto" w:fill="auto"/>
              <w:rPr>
                <w:rStyle w:val="31"/>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276"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5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243"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5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667" w:type="dxa"/>
            <w:noWrap w:val="0"/>
            <w:vAlign w:val="top"/>
          </w:tcPr>
          <w:p>
            <w:pPr>
              <w:pStyle w:val="25"/>
              <w:shd w:val="clear" w:color="auto" w:fill="auto"/>
              <w:rPr>
                <w:rStyle w:val="31"/>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276"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5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243"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5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667" w:type="dxa"/>
            <w:noWrap w:val="0"/>
            <w:vAlign w:val="top"/>
          </w:tcPr>
          <w:p>
            <w:pPr>
              <w:pStyle w:val="25"/>
              <w:shd w:val="clear" w:color="auto" w:fill="auto"/>
              <w:rPr>
                <w:rStyle w:val="31"/>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276"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5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243"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5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667" w:type="dxa"/>
            <w:noWrap w:val="0"/>
            <w:vAlign w:val="top"/>
          </w:tcPr>
          <w:p>
            <w:pPr>
              <w:pStyle w:val="25"/>
              <w:shd w:val="clear" w:color="auto" w:fill="auto"/>
              <w:rPr>
                <w:rStyle w:val="31"/>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276"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5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243"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5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667" w:type="dxa"/>
            <w:noWrap w:val="0"/>
            <w:vAlign w:val="top"/>
          </w:tcPr>
          <w:p>
            <w:pPr>
              <w:pStyle w:val="25"/>
              <w:shd w:val="clear" w:color="auto" w:fill="auto"/>
              <w:rPr>
                <w:rStyle w:val="31"/>
                <w:rFonts w:hint="eastAsia" w:ascii="宋体" w:hAnsi="宋体" w:eastAsia="宋体" w:cs="宋体"/>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276"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5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243"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5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667" w:type="dxa"/>
            <w:noWrap w:val="0"/>
            <w:vAlign w:val="top"/>
          </w:tcPr>
          <w:p>
            <w:pPr>
              <w:pStyle w:val="25"/>
              <w:shd w:val="clear" w:color="auto" w:fill="auto"/>
              <w:rPr>
                <w:rStyle w:val="31"/>
                <w:rFonts w:hint="eastAsia" w:ascii="宋体" w:hAnsi="宋体" w:eastAsia="宋体" w:cs="宋体"/>
                <w:color w:val="auto"/>
                <w:sz w:val="30"/>
                <w:szCs w:val="30"/>
                <w:highlight w:val="none"/>
              </w:rPr>
            </w:pPr>
          </w:p>
        </w:tc>
      </w:tr>
    </w:tbl>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r>
        <w:rPr>
          <w:rStyle w:val="31"/>
          <w:rFonts w:hint="eastAsia" w:ascii="宋体" w:hAnsi="宋体" w:eastAsia="宋体" w:cs="宋体"/>
          <w:color w:val="auto"/>
          <w:sz w:val="30"/>
          <w:szCs w:val="30"/>
          <w:highlight w:val="none"/>
        </w:rPr>
        <w:br w:type="page"/>
      </w:r>
      <w:r>
        <w:rPr>
          <w:rStyle w:val="31"/>
          <w:rFonts w:hint="eastAsia" w:ascii="宋体" w:hAnsi="宋体" w:eastAsia="宋体" w:cs="宋体"/>
          <w:color w:val="auto"/>
          <w:sz w:val="30"/>
          <w:szCs w:val="30"/>
          <w:highlight w:val="none"/>
        </w:rPr>
        <w:t>附件4：</w:t>
      </w:r>
    </w:p>
    <w:p>
      <w:pPr>
        <w:pStyle w:val="25"/>
        <w:shd w:val="clear" w:color="auto" w:fill="auto"/>
        <w:spacing w:before="120" w:beforeLines="50" w:after="120" w:afterLines="50" w:line="440" w:lineRule="exact"/>
        <w:jc w:val="center"/>
        <w:rPr>
          <w:rStyle w:val="31"/>
          <w:rFonts w:hint="eastAsia" w:ascii="宋体" w:hAnsi="宋体" w:eastAsia="宋体" w:cs="宋体"/>
          <w:color w:val="auto"/>
          <w:sz w:val="30"/>
          <w:szCs w:val="30"/>
          <w:highlight w:val="none"/>
        </w:rPr>
      </w:pPr>
      <w:r>
        <w:rPr>
          <w:rStyle w:val="31"/>
          <w:rFonts w:hint="eastAsia" w:ascii="宋体" w:hAnsi="宋体" w:eastAsia="宋体" w:cs="宋体"/>
          <w:color w:val="auto"/>
          <w:sz w:val="30"/>
          <w:szCs w:val="30"/>
          <w:highlight w:val="none"/>
        </w:rPr>
        <w:t>承包人用于本工程施工的机械设备表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序号</w:t>
            </w: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机械或设备名称</w:t>
            </w:r>
          </w:p>
        </w:tc>
        <w:tc>
          <w:tcPr>
            <w:tcW w:w="8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规格型号</w:t>
            </w:r>
          </w:p>
        </w:tc>
        <w:tc>
          <w:tcPr>
            <w:tcW w:w="105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数量</w:t>
            </w:r>
          </w:p>
        </w:tc>
        <w:tc>
          <w:tcPr>
            <w:tcW w:w="88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产地</w:t>
            </w:r>
          </w:p>
        </w:tc>
        <w:tc>
          <w:tcPr>
            <w:tcW w:w="102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制造年份</w:t>
            </w:r>
          </w:p>
        </w:tc>
        <w:tc>
          <w:tcPr>
            <w:tcW w:w="148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额定功率（kW）</w:t>
            </w:r>
          </w:p>
        </w:tc>
        <w:tc>
          <w:tcPr>
            <w:tcW w:w="102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生产能力</w:t>
            </w:r>
          </w:p>
        </w:tc>
        <w:tc>
          <w:tcPr>
            <w:tcW w:w="92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8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05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88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02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8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02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92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8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05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88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02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8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02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92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8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05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88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02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8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02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92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8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05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88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02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8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02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92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8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05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88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02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8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02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92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8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05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88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02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8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02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92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8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05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88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02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8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02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92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8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05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88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02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8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02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92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18"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85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058"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88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02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8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02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921" w:type="dxa"/>
            <w:noWrap w:val="0"/>
            <w:vAlign w:val="top"/>
          </w:tcPr>
          <w:p>
            <w:pPr>
              <w:pStyle w:val="25"/>
              <w:shd w:val="clear" w:color="auto" w:fill="auto"/>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85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05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88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02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48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020"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92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18"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85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058"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88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02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8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02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921" w:type="dxa"/>
            <w:noWrap w:val="0"/>
            <w:vAlign w:val="top"/>
          </w:tcPr>
          <w:p>
            <w:pPr>
              <w:pStyle w:val="25"/>
              <w:shd w:val="clear" w:color="auto" w:fill="auto"/>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18"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85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058"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88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02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8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02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921" w:type="dxa"/>
            <w:noWrap w:val="0"/>
            <w:vAlign w:val="top"/>
          </w:tcPr>
          <w:p>
            <w:pPr>
              <w:pStyle w:val="25"/>
              <w:shd w:val="clear" w:color="auto" w:fill="auto"/>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18"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85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058"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88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02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8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02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921" w:type="dxa"/>
            <w:noWrap w:val="0"/>
            <w:vAlign w:val="top"/>
          </w:tcPr>
          <w:p>
            <w:pPr>
              <w:pStyle w:val="25"/>
              <w:shd w:val="clear" w:color="auto" w:fill="auto"/>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18"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85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058"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88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02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8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02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921" w:type="dxa"/>
            <w:noWrap w:val="0"/>
            <w:vAlign w:val="top"/>
          </w:tcPr>
          <w:p>
            <w:pPr>
              <w:pStyle w:val="25"/>
              <w:shd w:val="clear" w:color="auto" w:fill="auto"/>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18"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85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058"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88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02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8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02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921" w:type="dxa"/>
            <w:noWrap w:val="0"/>
            <w:vAlign w:val="top"/>
          </w:tcPr>
          <w:p>
            <w:pPr>
              <w:pStyle w:val="25"/>
              <w:shd w:val="clear" w:color="auto" w:fill="auto"/>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18"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85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058"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88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02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8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02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921" w:type="dxa"/>
            <w:noWrap w:val="0"/>
            <w:vAlign w:val="top"/>
          </w:tcPr>
          <w:p>
            <w:pPr>
              <w:pStyle w:val="25"/>
              <w:shd w:val="clear" w:color="auto" w:fill="auto"/>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18"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85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058"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88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02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8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02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921" w:type="dxa"/>
            <w:noWrap w:val="0"/>
            <w:vAlign w:val="top"/>
          </w:tcPr>
          <w:p>
            <w:pPr>
              <w:pStyle w:val="25"/>
              <w:shd w:val="clear" w:color="auto" w:fill="auto"/>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18"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85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058"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88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02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8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02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921" w:type="dxa"/>
            <w:noWrap w:val="0"/>
            <w:vAlign w:val="top"/>
          </w:tcPr>
          <w:p>
            <w:pPr>
              <w:pStyle w:val="25"/>
              <w:shd w:val="clear" w:color="auto" w:fill="auto"/>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18"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85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058"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88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02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48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1020" w:type="dxa"/>
            <w:noWrap w:val="0"/>
            <w:vAlign w:val="top"/>
          </w:tcPr>
          <w:p>
            <w:pPr>
              <w:pStyle w:val="25"/>
              <w:shd w:val="clear" w:color="auto" w:fill="auto"/>
              <w:rPr>
                <w:rStyle w:val="31"/>
                <w:rFonts w:hint="eastAsia" w:ascii="宋体" w:hAnsi="宋体" w:eastAsia="宋体" w:cs="宋体"/>
                <w:color w:val="auto"/>
                <w:sz w:val="30"/>
                <w:szCs w:val="30"/>
                <w:highlight w:val="none"/>
              </w:rPr>
            </w:pPr>
          </w:p>
        </w:tc>
        <w:tc>
          <w:tcPr>
            <w:tcW w:w="921" w:type="dxa"/>
            <w:noWrap w:val="0"/>
            <w:vAlign w:val="top"/>
          </w:tcPr>
          <w:p>
            <w:pPr>
              <w:pStyle w:val="25"/>
              <w:shd w:val="clear" w:color="auto" w:fill="auto"/>
              <w:rPr>
                <w:rStyle w:val="31"/>
                <w:rFonts w:hint="eastAsia" w:ascii="宋体" w:hAnsi="宋体" w:eastAsia="宋体" w:cs="宋体"/>
                <w:color w:val="auto"/>
                <w:sz w:val="30"/>
                <w:szCs w:val="30"/>
                <w:highlight w:val="none"/>
              </w:rPr>
            </w:pPr>
          </w:p>
        </w:tc>
      </w:tr>
    </w:tbl>
    <w:p>
      <w:pPr>
        <w:pStyle w:val="25"/>
        <w:shd w:val="clear" w:color="auto" w:fill="auto"/>
        <w:spacing w:line="440" w:lineRule="exact"/>
        <w:jc w:val="left"/>
        <w:rPr>
          <w:rStyle w:val="31"/>
          <w:rFonts w:hint="eastAsia" w:ascii="宋体" w:hAnsi="宋体" w:eastAsia="宋体" w:cs="宋体"/>
          <w:color w:val="auto"/>
          <w:sz w:val="30"/>
          <w:szCs w:val="30"/>
          <w:highlight w:val="none"/>
        </w:rPr>
      </w:pPr>
    </w:p>
    <w:p>
      <w:pPr>
        <w:pStyle w:val="25"/>
        <w:shd w:val="clear" w:color="auto" w:fill="auto"/>
        <w:spacing w:line="440" w:lineRule="exact"/>
        <w:jc w:val="left"/>
        <w:rPr>
          <w:rStyle w:val="31"/>
          <w:rFonts w:hint="eastAsia" w:ascii="宋体" w:hAnsi="宋体" w:eastAsia="宋体" w:cs="宋体"/>
          <w:color w:val="auto"/>
          <w:sz w:val="30"/>
          <w:szCs w:val="30"/>
          <w:highlight w:val="none"/>
        </w:rPr>
      </w:pPr>
    </w:p>
    <w:p>
      <w:pPr>
        <w:pStyle w:val="25"/>
        <w:shd w:val="clear" w:color="auto" w:fill="auto"/>
        <w:spacing w:line="440" w:lineRule="exact"/>
        <w:jc w:val="left"/>
        <w:rPr>
          <w:rStyle w:val="31"/>
          <w:rFonts w:hint="eastAsia" w:ascii="宋体" w:hAnsi="宋体" w:eastAsia="宋体" w:cs="宋体"/>
          <w:color w:val="auto"/>
          <w:sz w:val="30"/>
          <w:szCs w:val="30"/>
          <w:highlight w:val="none"/>
        </w:rPr>
      </w:pPr>
      <w:r>
        <w:rPr>
          <w:rStyle w:val="31"/>
          <w:rFonts w:hint="eastAsia" w:ascii="宋体" w:hAnsi="宋体" w:eastAsia="宋体" w:cs="宋体"/>
          <w:color w:val="auto"/>
          <w:sz w:val="30"/>
          <w:szCs w:val="30"/>
          <w:highlight w:val="none"/>
        </w:rPr>
        <w:t>附</w:t>
      </w:r>
      <w:bookmarkStart w:id="1516" w:name="_Toc296891056"/>
      <w:bookmarkStart w:id="1517" w:name="_Toc296346729"/>
      <w:bookmarkStart w:id="1518" w:name="_Toc296944567"/>
      <w:bookmarkStart w:id="1519" w:name="_Toc296347227"/>
      <w:bookmarkStart w:id="1520" w:name="_Toc296891268"/>
      <w:bookmarkStart w:id="1521" w:name="_Toc296503228"/>
      <w:bookmarkStart w:id="1522" w:name="_Toc267261699"/>
      <w:r>
        <w:rPr>
          <w:rStyle w:val="31"/>
          <w:rFonts w:hint="eastAsia" w:ascii="宋体" w:hAnsi="宋体" w:eastAsia="宋体" w:cs="宋体"/>
          <w:color w:val="auto"/>
          <w:sz w:val="30"/>
          <w:szCs w:val="30"/>
          <w:highlight w:val="none"/>
        </w:rPr>
        <w:t>件5：</w:t>
      </w:r>
    </w:p>
    <w:bookmarkEnd w:id="1516"/>
    <w:bookmarkEnd w:id="1517"/>
    <w:bookmarkEnd w:id="1518"/>
    <w:bookmarkEnd w:id="1519"/>
    <w:bookmarkEnd w:id="1520"/>
    <w:bookmarkEnd w:id="1521"/>
    <w:bookmarkEnd w:id="1522"/>
    <w:p>
      <w:pPr>
        <w:pStyle w:val="25"/>
        <w:shd w:val="clear" w:color="auto" w:fill="auto"/>
        <w:spacing w:before="120" w:beforeLines="50" w:after="120" w:afterLines="50" w:line="440" w:lineRule="exact"/>
        <w:jc w:val="center"/>
        <w:rPr>
          <w:rStyle w:val="31"/>
          <w:rFonts w:hint="eastAsia" w:ascii="宋体" w:hAnsi="宋体" w:eastAsia="宋体" w:cs="宋体"/>
          <w:color w:val="auto"/>
          <w:sz w:val="30"/>
          <w:szCs w:val="30"/>
          <w:highlight w:val="none"/>
        </w:rPr>
      </w:pPr>
      <w:r>
        <w:rPr>
          <w:rStyle w:val="31"/>
          <w:rFonts w:hint="eastAsia" w:ascii="宋体" w:hAnsi="宋体" w:eastAsia="宋体" w:cs="宋体"/>
          <w:color w:val="auto"/>
          <w:sz w:val="30"/>
          <w:szCs w:val="30"/>
          <w:highlight w:val="none"/>
        </w:rPr>
        <w:t>承包人主要施工管理人员表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名    称</w:t>
            </w: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姓名</w:t>
            </w: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r>
              <w:rPr>
                <w:rStyle w:val="31"/>
                <w:rFonts w:hint="eastAsia" w:ascii="宋体" w:hAnsi="宋体" w:eastAsia="宋体" w:cs="宋体"/>
                <w:color w:val="auto"/>
                <w:sz w:val="30"/>
                <w:szCs w:val="30"/>
                <w:highlight w:val="none"/>
              </w:rPr>
              <w:t>职务</w:t>
            </w: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r>
              <w:rPr>
                <w:rStyle w:val="31"/>
                <w:rFonts w:hint="eastAsia" w:ascii="宋体" w:hAnsi="宋体" w:eastAsia="宋体" w:cs="宋体"/>
                <w:color w:val="auto"/>
                <w:sz w:val="30"/>
                <w:szCs w:val="30"/>
                <w:highlight w:val="none"/>
              </w:rPr>
              <w:t>职称</w:t>
            </w:r>
          </w:p>
        </w:tc>
        <w:tc>
          <w:tcPr>
            <w:tcW w:w="4252" w:type="dxa"/>
            <w:noWrap w:val="0"/>
            <w:vAlign w:val="center"/>
          </w:tcPr>
          <w:p>
            <w:pPr>
              <w:pStyle w:val="24"/>
              <w:keepNext/>
              <w:shd w:val="clear" w:color="auto" w:fill="auto"/>
              <w:spacing w:after="0" w:line="440" w:lineRule="exact"/>
              <w:ind w:left="0" w:leftChars="0" w:right="63"/>
              <w:rPr>
                <w:rStyle w:val="31"/>
                <w:rFonts w:hint="eastAsia" w:ascii="宋体" w:hAnsi="宋体" w:eastAsia="宋体" w:cs="宋体"/>
                <w:color w:val="auto"/>
                <w:sz w:val="30"/>
                <w:szCs w:val="30"/>
                <w:highlight w:val="none"/>
              </w:rPr>
            </w:pPr>
            <w:r>
              <w:rPr>
                <w:rStyle w:val="31"/>
                <w:rFonts w:hint="eastAsia" w:ascii="宋体" w:hAnsi="宋体" w:eastAsia="宋体" w:cs="宋体"/>
                <w:color w:val="auto"/>
                <w:sz w:val="30"/>
                <w:szCs w:val="30"/>
                <w:highlight w:val="none"/>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项目主管</w:t>
            </w: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24"/>
              <w:keepNext/>
              <w:shd w:val="clear" w:color="auto" w:fill="auto"/>
              <w:spacing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其他人员</w:t>
            </w: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项目经理</w:t>
            </w: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项目副经理</w:t>
            </w: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技术负责人</w:t>
            </w: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造价管理</w:t>
            </w: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24"/>
              <w:keepNext/>
              <w:shd w:val="clear" w:color="auto" w:fill="auto"/>
              <w:spacing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质量管理</w:t>
            </w: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4"/>
              <w:keepNext/>
              <w:shd w:val="clear" w:color="auto" w:fill="auto"/>
              <w:spacing w:line="440" w:lineRule="exact"/>
              <w:ind w:left="63" w:right="63"/>
              <w:rPr>
                <w:rStyle w:val="31"/>
                <w:rFonts w:hint="eastAsia" w:ascii="宋体" w:hAnsi="宋体" w:eastAsia="宋体" w:cs="宋体"/>
                <w:color w:val="auto"/>
                <w:sz w:val="28"/>
                <w:szCs w:val="28"/>
                <w:highlight w:val="none"/>
              </w:rPr>
            </w:pP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材料管理</w:t>
            </w: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计划管理</w:t>
            </w: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24"/>
              <w:keepNext/>
              <w:shd w:val="clear" w:color="auto" w:fill="auto"/>
              <w:spacing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安全管理</w:t>
            </w: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4"/>
              <w:keepNext/>
              <w:shd w:val="clear" w:color="auto" w:fill="auto"/>
              <w:spacing w:line="440" w:lineRule="exact"/>
              <w:ind w:left="63" w:right="63"/>
              <w:rPr>
                <w:rStyle w:val="31"/>
                <w:rFonts w:hint="eastAsia" w:ascii="宋体" w:hAnsi="宋体" w:eastAsia="宋体" w:cs="宋体"/>
                <w:color w:val="auto"/>
                <w:sz w:val="28"/>
                <w:szCs w:val="28"/>
                <w:highlight w:val="none"/>
              </w:rPr>
            </w:pP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其他人员</w:t>
            </w: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bl>
    <w:p>
      <w:pPr>
        <w:pStyle w:val="25"/>
        <w:shd w:val="clear" w:color="auto" w:fill="auto"/>
        <w:spacing w:line="440" w:lineRule="exact"/>
        <w:rPr>
          <w:rStyle w:val="31"/>
          <w:rFonts w:hint="eastAsia" w:ascii="宋体" w:hAnsi="宋体" w:eastAsia="宋体" w:cs="宋体"/>
          <w:color w:val="auto"/>
          <w:sz w:val="30"/>
          <w:szCs w:val="30"/>
          <w:highlight w:val="none"/>
        </w:rPr>
      </w:pPr>
      <w:r>
        <w:rPr>
          <w:rStyle w:val="31"/>
          <w:rFonts w:hint="eastAsia" w:ascii="宋体" w:hAnsi="宋体" w:eastAsia="宋体" w:cs="宋体"/>
          <w:color w:val="auto"/>
          <w:sz w:val="30"/>
          <w:szCs w:val="30"/>
          <w:highlight w:val="none"/>
        </w:rPr>
        <w:br w:type="page"/>
      </w:r>
      <w:r>
        <w:rPr>
          <w:rStyle w:val="31"/>
          <w:rFonts w:hint="eastAsia" w:ascii="宋体" w:hAnsi="宋体" w:eastAsia="宋体" w:cs="宋体"/>
          <w:color w:val="auto"/>
          <w:sz w:val="30"/>
          <w:szCs w:val="30"/>
          <w:highlight w:val="none"/>
        </w:rPr>
        <w:t>附</w:t>
      </w:r>
      <w:bookmarkStart w:id="1523" w:name="_Toc296891269"/>
      <w:bookmarkStart w:id="1524" w:name="_Toc296346730"/>
      <w:bookmarkStart w:id="1525" w:name="_Toc296944568"/>
      <w:bookmarkStart w:id="1526" w:name="_Toc296503229"/>
      <w:bookmarkStart w:id="1527" w:name="_Toc296347228"/>
      <w:bookmarkStart w:id="1528" w:name="_Toc296891057"/>
      <w:r>
        <w:rPr>
          <w:rStyle w:val="31"/>
          <w:rFonts w:hint="eastAsia" w:ascii="宋体" w:hAnsi="宋体" w:eastAsia="宋体" w:cs="宋体"/>
          <w:color w:val="auto"/>
          <w:sz w:val="30"/>
          <w:szCs w:val="30"/>
          <w:highlight w:val="none"/>
        </w:rPr>
        <w:t>件6：</w:t>
      </w:r>
    </w:p>
    <w:bookmarkEnd w:id="1523"/>
    <w:bookmarkEnd w:id="1524"/>
    <w:bookmarkEnd w:id="1525"/>
    <w:bookmarkEnd w:id="1526"/>
    <w:bookmarkEnd w:id="1527"/>
    <w:bookmarkEnd w:id="1528"/>
    <w:p>
      <w:pPr>
        <w:pStyle w:val="25"/>
        <w:shd w:val="clear" w:color="auto" w:fill="auto"/>
        <w:spacing w:before="120" w:beforeLines="50" w:after="120" w:afterLines="50" w:line="440" w:lineRule="exact"/>
        <w:jc w:val="center"/>
        <w:rPr>
          <w:rStyle w:val="31"/>
          <w:rFonts w:hint="eastAsia" w:ascii="宋体" w:hAnsi="宋体" w:eastAsia="宋体" w:cs="宋体"/>
          <w:color w:val="auto"/>
          <w:sz w:val="30"/>
          <w:szCs w:val="30"/>
          <w:highlight w:val="none"/>
        </w:rPr>
      </w:pPr>
      <w:r>
        <w:rPr>
          <w:rStyle w:val="31"/>
          <w:rFonts w:hint="eastAsia" w:ascii="宋体" w:hAnsi="宋体" w:eastAsia="宋体" w:cs="宋体"/>
          <w:color w:val="auto"/>
          <w:sz w:val="30"/>
          <w:szCs w:val="30"/>
          <w:highlight w:val="none"/>
        </w:rPr>
        <w:t>分包人主要施工管理人员表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名    称</w:t>
            </w: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姓名</w:t>
            </w: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r>
              <w:rPr>
                <w:rStyle w:val="31"/>
                <w:rFonts w:hint="eastAsia" w:ascii="宋体" w:hAnsi="宋体" w:eastAsia="宋体" w:cs="宋体"/>
                <w:color w:val="auto"/>
                <w:sz w:val="30"/>
                <w:szCs w:val="30"/>
                <w:highlight w:val="none"/>
              </w:rPr>
              <w:t>职务</w:t>
            </w: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r>
              <w:rPr>
                <w:rStyle w:val="31"/>
                <w:rFonts w:hint="eastAsia" w:ascii="宋体" w:hAnsi="宋体" w:eastAsia="宋体" w:cs="宋体"/>
                <w:color w:val="auto"/>
                <w:sz w:val="30"/>
                <w:szCs w:val="30"/>
                <w:highlight w:val="none"/>
              </w:rPr>
              <w:t>职称</w:t>
            </w: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r>
              <w:rPr>
                <w:rStyle w:val="31"/>
                <w:rFonts w:hint="eastAsia" w:ascii="宋体" w:hAnsi="宋体" w:eastAsia="宋体" w:cs="宋体"/>
                <w:color w:val="auto"/>
                <w:sz w:val="30"/>
                <w:szCs w:val="30"/>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项目主管</w:t>
            </w: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24"/>
              <w:keepNext/>
              <w:shd w:val="clear" w:color="auto" w:fill="auto"/>
              <w:spacing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其他人员</w:t>
            </w: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项目经理</w:t>
            </w: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项目副经理</w:t>
            </w: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技术负责人</w:t>
            </w: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造价管理</w:t>
            </w: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质量管理</w:t>
            </w: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材料管理</w:t>
            </w: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计划管理</w:t>
            </w: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安全管理</w:t>
            </w: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r>
              <w:rPr>
                <w:rStyle w:val="31"/>
                <w:rFonts w:hint="eastAsia" w:ascii="宋体" w:hAnsi="宋体" w:eastAsia="宋体" w:cs="宋体"/>
                <w:color w:val="auto"/>
                <w:sz w:val="28"/>
                <w:szCs w:val="28"/>
                <w:highlight w:val="none"/>
              </w:rPr>
              <w:t>其他人员</w:t>
            </w: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418"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28"/>
                <w:szCs w:val="28"/>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1134"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c>
          <w:tcPr>
            <w:tcW w:w="4252" w:type="dxa"/>
            <w:noWrap w:val="0"/>
            <w:vAlign w:val="center"/>
          </w:tcPr>
          <w:p>
            <w:pPr>
              <w:pStyle w:val="24"/>
              <w:keepNext/>
              <w:shd w:val="clear" w:color="auto" w:fill="auto"/>
              <w:spacing w:after="0" w:line="440" w:lineRule="exact"/>
              <w:ind w:left="63" w:right="63"/>
              <w:rPr>
                <w:rStyle w:val="31"/>
                <w:rFonts w:hint="eastAsia" w:ascii="宋体" w:hAnsi="宋体" w:eastAsia="宋体" w:cs="宋体"/>
                <w:color w:val="auto"/>
                <w:sz w:val="30"/>
                <w:szCs w:val="30"/>
                <w:highlight w:val="none"/>
              </w:rPr>
            </w:pPr>
          </w:p>
        </w:tc>
      </w:tr>
    </w:tbl>
    <w:p>
      <w:pPr>
        <w:pStyle w:val="25"/>
        <w:shd w:val="clear" w:color="auto" w:fill="auto"/>
        <w:spacing w:line="360" w:lineRule="auto"/>
        <w:jc w:val="left"/>
        <w:rPr>
          <w:rStyle w:val="31"/>
          <w:rFonts w:hint="eastAsia" w:ascii="宋体" w:hAnsi="宋体" w:eastAsia="宋体" w:cs="宋体"/>
          <w:color w:val="auto"/>
          <w:sz w:val="32"/>
          <w:szCs w:val="32"/>
          <w:highlight w:val="none"/>
        </w:rPr>
      </w:pPr>
      <w:r>
        <w:rPr>
          <w:rStyle w:val="31"/>
          <w:rFonts w:hint="eastAsia" w:ascii="宋体" w:hAnsi="宋体" w:eastAsia="宋体" w:cs="宋体"/>
          <w:color w:val="auto"/>
          <w:sz w:val="30"/>
          <w:szCs w:val="30"/>
          <w:highlight w:val="none"/>
        </w:rPr>
        <w:br w:type="page"/>
      </w:r>
      <w:bookmarkStart w:id="1529" w:name="_Toc267261701"/>
      <w:r>
        <w:rPr>
          <w:rStyle w:val="31"/>
          <w:rFonts w:hint="eastAsia" w:ascii="宋体" w:hAnsi="宋体" w:eastAsia="宋体" w:cs="宋体"/>
          <w:color w:val="auto"/>
          <w:sz w:val="32"/>
          <w:szCs w:val="32"/>
          <w:highlight w:val="none"/>
        </w:rPr>
        <w:t>附件7</w:t>
      </w:r>
    </w:p>
    <w:p>
      <w:pPr>
        <w:pStyle w:val="25"/>
        <w:shd w:val="clear" w:color="auto" w:fill="auto"/>
        <w:spacing w:line="360" w:lineRule="auto"/>
        <w:jc w:val="left"/>
        <w:rPr>
          <w:rStyle w:val="31"/>
          <w:rFonts w:hint="eastAsia" w:ascii="宋体" w:hAnsi="宋体" w:eastAsia="宋体" w:cs="宋体"/>
          <w:b/>
          <w:bCs/>
          <w:color w:val="auto"/>
          <w:sz w:val="32"/>
          <w:szCs w:val="32"/>
          <w:highlight w:val="none"/>
        </w:rPr>
      </w:pPr>
    </w:p>
    <w:p>
      <w:pPr>
        <w:pStyle w:val="25"/>
        <w:shd w:val="clear" w:color="auto" w:fill="auto"/>
        <w:spacing w:line="360" w:lineRule="auto"/>
        <w:jc w:val="center"/>
        <w:rPr>
          <w:rStyle w:val="31"/>
          <w:rFonts w:hint="eastAsia" w:ascii="宋体" w:hAnsi="宋体" w:eastAsia="宋体" w:cs="宋体"/>
          <w:b/>
          <w:bCs/>
          <w:color w:val="auto"/>
          <w:sz w:val="32"/>
          <w:szCs w:val="32"/>
          <w:highlight w:val="none"/>
        </w:rPr>
      </w:pPr>
      <w:r>
        <w:rPr>
          <w:rStyle w:val="31"/>
          <w:rFonts w:hint="eastAsia" w:ascii="宋体" w:hAnsi="宋体" w:eastAsia="宋体" w:cs="宋体"/>
          <w:b/>
          <w:bCs/>
          <w:color w:val="auto"/>
          <w:sz w:val="32"/>
          <w:szCs w:val="32"/>
          <w:highlight w:val="none"/>
        </w:rPr>
        <w:t>履约保函示范文本</w:t>
      </w:r>
    </w:p>
    <w:p>
      <w:pPr>
        <w:pStyle w:val="25"/>
        <w:shd w:val="clear" w:color="auto" w:fill="auto"/>
        <w:spacing w:line="360" w:lineRule="auto"/>
        <w:jc w:val="center"/>
        <w:rPr>
          <w:rStyle w:val="31"/>
          <w:rFonts w:hint="eastAsia" w:ascii="宋体" w:hAnsi="宋体" w:eastAsia="宋体" w:cs="宋体"/>
          <w:b/>
          <w:bCs/>
          <w:color w:val="auto"/>
          <w:sz w:val="32"/>
          <w:szCs w:val="32"/>
          <w:highlight w:val="none"/>
        </w:rPr>
      </w:pPr>
      <w:r>
        <w:rPr>
          <w:rStyle w:val="31"/>
          <w:rFonts w:hint="eastAsia" w:ascii="宋体" w:hAnsi="宋体" w:eastAsia="宋体" w:cs="宋体"/>
          <w:b/>
          <w:bCs/>
          <w:color w:val="auto"/>
          <w:sz w:val="32"/>
          <w:szCs w:val="32"/>
          <w:highlight w:val="none"/>
        </w:rPr>
        <w:t>（独立保函）</w:t>
      </w:r>
    </w:p>
    <w:p>
      <w:pPr>
        <w:pStyle w:val="25"/>
        <w:shd w:val="clear" w:color="auto" w:fill="auto"/>
        <w:wordWrap w:val="0"/>
        <w:spacing w:line="360" w:lineRule="auto"/>
        <w:jc w:val="righ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 xml:space="preserve">编号：           </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申请人：</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  地址：</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受益人：</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  地址：</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开立人：</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  地址：</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 </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 xml:space="preserve">（受益人名称）：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鉴于</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（以下简称“受益人”）与</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（以下简称“申请人”）于</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年</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月</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日就</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工程（以下简称“本工程”）施工和有关事项协商一致共同签订</w:t>
      </w:r>
      <w:r>
        <w:rPr>
          <w:rStyle w:val="31"/>
          <w:rFonts w:hint="eastAsia" w:ascii="宋体" w:hAnsi="宋体" w:eastAsia="宋体" w:cs="宋体"/>
          <w:color w:val="auto"/>
          <w:sz w:val="24"/>
          <w:szCs w:val="24"/>
          <w:highlight w:val="none"/>
          <w:u w:val="single"/>
        </w:rPr>
        <w:t>《        》</w:t>
      </w:r>
      <w:r>
        <w:rPr>
          <w:rStyle w:val="31"/>
          <w:rFonts w:hint="eastAsia" w:ascii="宋体" w:hAnsi="宋体" w:eastAsia="宋体" w:cs="宋体"/>
          <w:color w:val="auto"/>
          <w:sz w:val="24"/>
          <w:szCs w:val="24"/>
          <w:highlight w:val="none"/>
        </w:rPr>
        <w:t xml:space="preserve">（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一、本保函担保范围：承包人未按照基础合同的约定履行义务，应当向贵方承担的违约责任和赔偿因此造成的损失、利息、律师费、诉讼费用等实现债权的费用。</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二、本保函担保金额最高不超过人民币（大写）</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元（¥</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 xml:space="preserve">）。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三、本保函有效期自开立之日起至基础合同约定的缺陷责任期后</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日止，最迟不超过</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年</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月</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 xml:space="preserve">日。 </w:t>
      </w:r>
    </w:p>
    <w:p>
      <w:pPr>
        <w:pStyle w:val="25"/>
        <w:shd w:val="clear" w:color="auto" w:fill="auto"/>
        <w:spacing w:line="360" w:lineRule="auto"/>
        <w:ind w:firstLine="48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四、我方承诺，在收到受益人发来的书面付款通知后的</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日内无条件支付，前述书面付款通知即为付款要求之单据，且应满足以下要求：</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（1）付款通知到达的日期在本保函的有效期内；</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（2）载明要求支付的金额；</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（3）载明申请人违反合同义务的条款和内容；</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（4）声明不存在合同文件约定或我国法律规定免除申请人或开立人支付责任的情形；</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（5）付款通知应在本保函有效期内到达的地址是：</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受益人发出的书面付款通知应由其为鉴明受益人法定代表人（负责人）或授权代理人签字并加盖公章。</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五、本保函项下的权利不得转让，不得设定担保。贵方未经我方书面同意转 让本保函或其项下任何权利，对我方不发生法律效力。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六、与本保函有关的基础合同不成立、不生效、无效、被撤销、被解除，不影响本保函的独立有效。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八、本保函适用的法律为中华人民共和国法律，争议裁判管辖地为中华人民共和国</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 xml:space="preserve">。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九、本保函自我方法定代表人或授权代表签字并加盖公章之日起生效。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开 立 人：                              （公章）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法定代表人（或授权代表）：               （签字）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地    址：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邮政编码：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电    话：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传    真：                 </w:t>
      </w:r>
    </w:p>
    <w:p>
      <w:pPr>
        <w:pStyle w:val="25"/>
        <w:shd w:val="clear" w:color="auto" w:fill="auto"/>
        <w:spacing w:line="360" w:lineRule="auto"/>
        <w:ind w:firstLine="480" w:firstLineChars="200"/>
        <w:rPr>
          <w:rStyle w:val="31"/>
          <w:rFonts w:hint="eastAsia" w:ascii="宋体" w:hAnsi="宋体" w:eastAsia="宋体" w:cs="宋体"/>
          <w:color w:val="auto"/>
          <w:highlight w:val="none"/>
        </w:rPr>
      </w:pPr>
      <w:r>
        <w:rPr>
          <w:rStyle w:val="31"/>
          <w:rFonts w:hint="eastAsia" w:ascii="宋体" w:hAnsi="宋体" w:eastAsia="宋体" w:cs="宋体"/>
          <w:color w:val="auto"/>
          <w:sz w:val="24"/>
          <w:szCs w:val="24"/>
          <w:highlight w:val="none"/>
        </w:rPr>
        <w:t xml:space="preserve">开立时间：      年      月    </w:t>
      </w:r>
    </w:p>
    <w:p>
      <w:pPr>
        <w:pStyle w:val="25"/>
        <w:shd w:val="clear" w:color="auto" w:fill="auto"/>
        <w:spacing w:line="360" w:lineRule="auto"/>
        <w:jc w:val="left"/>
        <w:rPr>
          <w:rStyle w:val="31"/>
          <w:rFonts w:hint="eastAsia" w:ascii="宋体" w:hAnsi="宋体" w:eastAsia="宋体" w:cs="宋体"/>
          <w:color w:val="auto"/>
          <w:sz w:val="30"/>
          <w:szCs w:val="30"/>
          <w:highlight w:val="none"/>
        </w:rPr>
      </w:pPr>
    </w:p>
    <w:p>
      <w:pPr>
        <w:pStyle w:val="25"/>
        <w:shd w:val="clear" w:color="auto" w:fill="auto"/>
        <w:spacing w:line="360" w:lineRule="auto"/>
        <w:jc w:val="left"/>
        <w:rPr>
          <w:rStyle w:val="31"/>
          <w:rFonts w:hint="eastAsia" w:ascii="宋体" w:hAnsi="宋体" w:eastAsia="宋体" w:cs="宋体"/>
          <w:color w:val="auto"/>
          <w:sz w:val="30"/>
          <w:szCs w:val="30"/>
          <w:highlight w:val="none"/>
        </w:rPr>
      </w:pPr>
    </w:p>
    <w:p>
      <w:pPr>
        <w:pStyle w:val="25"/>
        <w:shd w:val="clear" w:color="auto" w:fill="auto"/>
        <w:spacing w:line="360" w:lineRule="auto"/>
        <w:jc w:val="left"/>
        <w:rPr>
          <w:rStyle w:val="31"/>
          <w:rFonts w:hint="eastAsia" w:ascii="宋体" w:hAnsi="宋体" w:eastAsia="宋体" w:cs="宋体"/>
          <w:color w:val="auto"/>
          <w:sz w:val="30"/>
          <w:szCs w:val="30"/>
          <w:highlight w:val="none"/>
        </w:rPr>
      </w:pPr>
    </w:p>
    <w:p>
      <w:pPr>
        <w:pStyle w:val="25"/>
        <w:shd w:val="clear" w:color="auto" w:fill="auto"/>
        <w:spacing w:line="360" w:lineRule="auto"/>
        <w:jc w:val="left"/>
        <w:rPr>
          <w:rStyle w:val="31"/>
          <w:rFonts w:hint="eastAsia" w:ascii="宋体" w:hAnsi="宋体" w:eastAsia="宋体" w:cs="宋体"/>
          <w:color w:val="auto"/>
          <w:sz w:val="30"/>
          <w:szCs w:val="30"/>
          <w:highlight w:val="none"/>
        </w:rPr>
      </w:pPr>
    </w:p>
    <w:p>
      <w:pPr>
        <w:pStyle w:val="25"/>
        <w:shd w:val="clear" w:color="auto" w:fill="auto"/>
        <w:spacing w:line="360" w:lineRule="auto"/>
        <w:jc w:val="left"/>
        <w:rPr>
          <w:rStyle w:val="31"/>
          <w:rFonts w:hint="eastAsia" w:ascii="宋体" w:hAnsi="宋体" w:eastAsia="宋体" w:cs="宋体"/>
          <w:color w:val="auto"/>
          <w:sz w:val="30"/>
          <w:szCs w:val="30"/>
          <w:highlight w:val="none"/>
        </w:rPr>
      </w:pPr>
    </w:p>
    <w:p>
      <w:pPr>
        <w:pStyle w:val="25"/>
        <w:shd w:val="clear" w:color="auto" w:fill="auto"/>
        <w:spacing w:line="360" w:lineRule="auto"/>
        <w:jc w:val="left"/>
        <w:rPr>
          <w:rStyle w:val="31"/>
          <w:rFonts w:hint="eastAsia" w:ascii="宋体" w:hAnsi="宋体" w:eastAsia="宋体" w:cs="宋体"/>
          <w:color w:val="auto"/>
          <w:sz w:val="30"/>
          <w:szCs w:val="30"/>
          <w:highlight w:val="none"/>
        </w:rPr>
      </w:pPr>
    </w:p>
    <w:p>
      <w:pPr>
        <w:pStyle w:val="25"/>
        <w:shd w:val="clear" w:color="auto" w:fill="auto"/>
        <w:spacing w:line="360" w:lineRule="auto"/>
        <w:jc w:val="left"/>
        <w:rPr>
          <w:rStyle w:val="31"/>
          <w:rFonts w:hint="eastAsia" w:ascii="宋体" w:hAnsi="宋体" w:eastAsia="宋体" w:cs="宋体"/>
          <w:color w:val="auto"/>
          <w:sz w:val="30"/>
          <w:szCs w:val="30"/>
          <w:highlight w:val="none"/>
        </w:rPr>
      </w:pPr>
    </w:p>
    <w:p>
      <w:pPr>
        <w:pStyle w:val="25"/>
        <w:shd w:val="clear" w:color="auto" w:fill="auto"/>
        <w:spacing w:line="360" w:lineRule="auto"/>
        <w:jc w:val="left"/>
        <w:rPr>
          <w:rStyle w:val="31"/>
          <w:rFonts w:hint="eastAsia" w:ascii="宋体" w:hAnsi="宋体" w:eastAsia="宋体" w:cs="宋体"/>
          <w:color w:val="auto"/>
          <w:sz w:val="32"/>
          <w:szCs w:val="32"/>
          <w:highlight w:val="none"/>
        </w:rPr>
      </w:pPr>
      <w:r>
        <w:rPr>
          <w:rStyle w:val="31"/>
          <w:rFonts w:hint="eastAsia" w:ascii="宋体" w:hAnsi="宋体" w:eastAsia="宋体" w:cs="宋体"/>
          <w:color w:val="auto"/>
          <w:sz w:val="30"/>
          <w:szCs w:val="30"/>
          <w:highlight w:val="none"/>
        </w:rPr>
        <w:t>附</w:t>
      </w:r>
      <w:bookmarkStart w:id="1530" w:name="_Toc296891271"/>
      <w:bookmarkStart w:id="1531" w:name="_Toc296503231"/>
      <w:bookmarkStart w:id="1532" w:name="_Toc296944570"/>
      <w:bookmarkStart w:id="1533" w:name="_Toc296346732"/>
      <w:bookmarkStart w:id="1534" w:name="_Toc296347230"/>
      <w:bookmarkStart w:id="1535" w:name="_Toc296891059"/>
      <w:r>
        <w:rPr>
          <w:rStyle w:val="31"/>
          <w:rFonts w:hint="eastAsia" w:ascii="宋体" w:hAnsi="宋体" w:eastAsia="宋体" w:cs="宋体"/>
          <w:color w:val="auto"/>
          <w:sz w:val="30"/>
          <w:szCs w:val="30"/>
          <w:highlight w:val="none"/>
        </w:rPr>
        <w:t>件7：</w:t>
      </w:r>
    </w:p>
    <w:p>
      <w:pPr>
        <w:pStyle w:val="25"/>
        <w:shd w:val="clear" w:color="auto" w:fill="auto"/>
        <w:spacing w:line="360" w:lineRule="auto"/>
        <w:rPr>
          <w:rStyle w:val="31"/>
          <w:rFonts w:hint="eastAsia" w:ascii="宋体" w:hAnsi="宋体" w:eastAsia="宋体" w:cs="宋体"/>
          <w:b/>
          <w:bCs/>
          <w:color w:val="auto"/>
          <w:sz w:val="32"/>
          <w:szCs w:val="32"/>
          <w:highlight w:val="none"/>
        </w:rPr>
      </w:pPr>
    </w:p>
    <w:p>
      <w:pPr>
        <w:pStyle w:val="25"/>
        <w:shd w:val="clear" w:color="auto" w:fill="auto"/>
        <w:spacing w:line="360" w:lineRule="auto"/>
        <w:jc w:val="center"/>
        <w:rPr>
          <w:rStyle w:val="31"/>
          <w:rFonts w:hint="eastAsia" w:ascii="宋体" w:hAnsi="宋体" w:eastAsia="宋体" w:cs="宋体"/>
          <w:b/>
          <w:bCs/>
          <w:color w:val="auto"/>
          <w:sz w:val="32"/>
          <w:szCs w:val="32"/>
          <w:highlight w:val="none"/>
        </w:rPr>
      </w:pPr>
      <w:r>
        <w:rPr>
          <w:rStyle w:val="31"/>
          <w:rFonts w:hint="eastAsia" w:ascii="宋体" w:hAnsi="宋体" w:eastAsia="宋体" w:cs="宋体"/>
          <w:b/>
          <w:bCs/>
          <w:color w:val="auto"/>
          <w:sz w:val="32"/>
          <w:szCs w:val="32"/>
          <w:highlight w:val="none"/>
        </w:rPr>
        <w:t>履约保函示范文本</w:t>
      </w:r>
    </w:p>
    <w:p>
      <w:pPr>
        <w:pStyle w:val="25"/>
        <w:shd w:val="clear" w:color="auto" w:fill="auto"/>
        <w:spacing w:line="360" w:lineRule="auto"/>
        <w:jc w:val="center"/>
        <w:rPr>
          <w:rStyle w:val="31"/>
          <w:rFonts w:hint="eastAsia" w:ascii="宋体" w:hAnsi="宋体" w:eastAsia="宋体" w:cs="宋体"/>
          <w:b/>
          <w:bCs/>
          <w:color w:val="auto"/>
          <w:sz w:val="32"/>
          <w:szCs w:val="32"/>
          <w:highlight w:val="none"/>
        </w:rPr>
      </w:pPr>
      <w:r>
        <w:rPr>
          <w:rStyle w:val="31"/>
          <w:rFonts w:hint="eastAsia" w:ascii="宋体" w:hAnsi="宋体" w:eastAsia="宋体" w:cs="宋体"/>
          <w:b/>
          <w:bCs/>
          <w:color w:val="auto"/>
          <w:sz w:val="32"/>
          <w:szCs w:val="32"/>
          <w:highlight w:val="none"/>
        </w:rPr>
        <w:t>（非独立保函）</w:t>
      </w:r>
    </w:p>
    <w:p>
      <w:pPr>
        <w:pStyle w:val="25"/>
        <w:shd w:val="clear" w:color="auto" w:fill="auto"/>
        <w:spacing w:line="360" w:lineRule="auto"/>
        <w:jc w:val="center"/>
        <w:rPr>
          <w:rStyle w:val="31"/>
          <w:rFonts w:hint="eastAsia" w:ascii="宋体" w:hAnsi="宋体" w:eastAsia="宋体" w:cs="宋体"/>
          <w:b/>
          <w:bCs/>
          <w:color w:val="auto"/>
          <w:sz w:val="32"/>
          <w:szCs w:val="32"/>
          <w:highlight w:val="none"/>
        </w:rPr>
      </w:pPr>
    </w:p>
    <w:p>
      <w:pPr>
        <w:pStyle w:val="25"/>
        <w:shd w:val="clear" w:color="auto" w:fill="auto"/>
        <w:wordWrap w:val="0"/>
        <w:spacing w:line="360" w:lineRule="auto"/>
        <w:jc w:val="righ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 xml:space="preserve">编号：           </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承包人：</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地址：</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担保权人/发包人： </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地址：</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保证人：</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地址：</w:t>
      </w:r>
    </w:p>
    <w:p>
      <w:pPr>
        <w:pStyle w:val="25"/>
        <w:shd w:val="clear" w:color="auto" w:fill="auto"/>
        <w:spacing w:line="360" w:lineRule="auto"/>
        <w:rPr>
          <w:rStyle w:val="31"/>
          <w:rFonts w:hint="eastAsia" w:ascii="宋体" w:hAnsi="宋体" w:eastAsia="宋体" w:cs="宋体"/>
          <w:color w:val="auto"/>
          <w:sz w:val="24"/>
          <w:szCs w:val="24"/>
          <w:highlight w:val="none"/>
        </w:rPr>
      </w:pP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 xml:space="preserve">（发包人名称）：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鉴于</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（以下简称“发包人”）与</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（以下简称“承包人”）于</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年</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月</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日就</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工程（以下简称“本工程”）施工和有关事项协商一致共同签订</w:t>
      </w:r>
      <w:r>
        <w:rPr>
          <w:rStyle w:val="31"/>
          <w:rFonts w:hint="eastAsia" w:ascii="宋体" w:hAnsi="宋体" w:eastAsia="宋体" w:cs="宋体"/>
          <w:color w:val="auto"/>
          <w:sz w:val="24"/>
          <w:szCs w:val="24"/>
          <w:highlight w:val="none"/>
          <w:u w:val="single"/>
        </w:rPr>
        <w:t>《        》</w:t>
      </w:r>
      <w:r>
        <w:rPr>
          <w:rStyle w:val="31"/>
          <w:rFonts w:hint="eastAsia" w:ascii="宋体" w:hAnsi="宋体" w:eastAsia="宋体" w:cs="宋体"/>
          <w:color w:val="auto"/>
          <w:sz w:val="24"/>
          <w:szCs w:val="24"/>
          <w:highlight w:val="none"/>
        </w:rPr>
        <w:t xml:space="preserve">（以下简称“主合同”），我方即保证人基于承包人的请求，同意就承包人履行与贵方签订的主合同项下的义务，向贵方提供如下保证担保（以下简称“本保证担保”）。 </w:t>
      </w:r>
    </w:p>
    <w:p>
      <w:pPr>
        <w:pStyle w:val="25"/>
        <w:shd w:val="clear" w:color="auto" w:fill="auto"/>
        <w:spacing w:line="360" w:lineRule="auto"/>
        <w:rPr>
          <w:rStyle w:val="31"/>
          <w:rFonts w:hint="eastAsia" w:ascii="宋体" w:hAnsi="宋体" w:eastAsia="宋体" w:cs="宋体"/>
          <w:b/>
          <w:bCs/>
          <w:color w:val="auto"/>
          <w:sz w:val="24"/>
          <w:szCs w:val="24"/>
          <w:highlight w:val="none"/>
        </w:rPr>
      </w:pPr>
      <w:r>
        <w:rPr>
          <w:rStyle w:val="31"/>
          <w:rFonts w:hint="eastAsia" w:ascii="宋体" w:hAnsi="宋体" w:eastAsia="宋体" w:cs="宋体"/>
          <w:color w:val="auto"/>
          <w:sz w:val="24"/>
          <w:szCs w:val="24"/>
          <w:highlight w:val="none"/>
        </w:rPr>
        <w:t xml:space="preserve">    </w:t>
      </w:r>
      <w:r>
        <w:rPr>
          <w:rStyle w:val="31"/>
          <w:rFonts w:hint="eastAsia" w:ascii="宋体" w:hAnsi="宋体" w:eastAsia="宋体" w:cs="宋体"/>
          <w:b/>
          <w:bCs/>
          <w:color w:val="auto"/>
          <w:sz w:val="24"/>
          <w:szCs w:val="24"/>
          <w:highlight w:val="none"/>
        </w:rPr>
        <w:t>一、保证担保的范围及保证担保金额</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1.保证担保范围：承包人未按照主合同的约定履行义务，应当向贵方承担的违约责任和赔偿因此造成的损失、利息、律师费、诉讼费用等实现债权的费用。</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2.保证担保金额最高不超过人民币（大写）</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元（¥</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 xml:space="preserve">）。 </w:t>
      </w:r>
    </w:p>
    <w:p>
      <w:pPr>
        <w:pStyle w:val="25"/>
        <w:shd w:val="clear" w:color="auto" w:fill="auto"/>
        <w:spacing w:line="360" w:lineRule="auto"/>
        <w:ind w:firstLine="482" w:firstLineChars="200"/>
        <w:rPr>
          <w:rStyle w:val="31"/>
          <w:rFonts w:hint="eastAsia" w:ascii="宋体" w:hAnsi="宋体" w:eastAsia="宋体" w:cs="宋体"/>
          <w:b/>
          <w:bCs/>
          <w:color w:val="auto"/>
          <w:sz w:val="24"/>
          <w:szCs w:val="24"/>
          <w:highlight w:val="none"/>
        </w:rPr>
      </w:pPr>
      <w:r>
        <w:rPr>
          <w:rStyle w:val="31"/>
          <w:rFonts w:hint="eastAsia" w:ascii="宋体" w:hAnsi="宋体" w:eastAsia="宋体" w:cs="宋体"/>
          <w:b/>
          <w:bCs/>
          <w:color w:val="auto"/>
          <w:sz w:val="24"/>
          <w:szCs w:val="24"/>
          <w:highlight w:val="none"/>
        </w:rPr>
        <w:t xml:space="preserve">二、保证担保的方式及保证期间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1.保证担保方式：连带责任保证。</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2.保证期间：自出具之日起至主合同约定的缺陷责任期后</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日止，最迟不超过</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年</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月</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 xml:space="preserve">日。 </w:t>
      </w:r>
    </w:p>
    <w:p>
      <w:pPr>
        <w:pStyle w:val="25"/>
        <w:shd w:val="clear" w:color="auto" w:fill="auto"/>
        <w:spacing w:line="360" w:lineRule="auto"/>
        <w:ind w:firstLine="482" w:firstLineChars="200"/>
        <w:rPr>
          <w:rStyle w:val="31"/>
          <w:rFonts w:hint="eastAsia" w:ascii="宋体" w:hAnsi="宋体" w:eastAsia="宋体" w:cs="宋体"/>
          <w:b/>
          <w:bCs/>
          <w:color w:val="auto"/>
          <w:sz w:val="24"/>
          <w:szCs w:val="24"/>
          <w:highlight w:val="none"/>
        </w:rPr>
      </w:pPr>
      <w:r>
        <w:rPr>
          <w:rStyle w:val="31"/>
          <w:rFonts w:hint="eastAsia" w:ascii="宋体" w:hAnsi="宋体" w:eastAsia="宋体" w:cs="宋体"/>
          <w:b/>
          <w:bCs/>
          <w:color w:val="auto"/>
          <w:sz w:val="24"/>
          <w:szCs w:val="24"/>
          <w:highlight w:val="none"/>
        </w:rPr>
        <w:t>三、承担保证担保责任的形式</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我方按照贵方的要求以下列方式之一承担保证担保责任：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1.向承包人资金、设备或者技术援助，使其能继续履行合同义务；</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2.直接接管该项工程或者委托经贵方同意的其他承包商，继续履行合同义务；</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3.在保证担保金额最高限额内，按照合同约定，向贵方承担违约责任和赔偿因此造成的损失，以及利息和律师费、诉讼费用等实现债权的费用。</w:t>
      </w:r>
    </w:p>
    <w:p>
      <w:pPr>
        <w:pStyle w:val="25"/>
        <w:shd w:val="clear" w:color="auto" w:fill="auto"/>
        <w:spacing w:line="360" w:lineRule="auto"/>
        <w:ind w:firstLine="482" w:firstLineChars="200"/>
        <w:rPr>
          <w:rStyle w:val="31"/>
          <w:rFonts w:hint="eastAsia" w:ascii="宋体" w:hAnsi="宋体" w:eastAsia="宋体" w:cs="宋体"/>
          <w:b/>
          <w:bCs/>
          <w:color w:val="auto"/>
          <w:sz w:val="24"/>
          <w:szCs w:val="24"/>
          <w:highlight w:val="none"/>
        </w:rPr>
      </w:pPr>
      <w:r>
        <w:rPr>
          <w:rStyle w:val="31"/>
          <w:rFonts w:hint="eastAsia" w:ascii="宋体" w:hAnsi="宋体" w:eastAsia="宋体" w:cs="宋体"/>
          <w:b/>
          <w:bCs/>
          <w:color w:val="auto"/>
          <w:sz w:val="24"/>
          <w:szCs w:val="24"/>
          <w:highlight w:val="none"/>
        </w:rPr>
        <w:t xml:space="preserve">四、代偿的安排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2.贵方以工程质量不符合主合同约定标准为由，向我方提出违约索赔的，还需同时提供符合相应条件要求的工程质量检测部门出具的质量说明材料。</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3.我方收到贵方的书面索赔通知及相应证明材料后，在</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工作日内进行核定后按照本保函的承诺承担保证责任。</w:t>
      </w:r>
    </w:p>
    <w:p>
      <w:pPr>
        <w:pStyle w:val="25"/>
        <w:shd w:val="clear" w:color="auto" w:fill="auto"/>
        <w:spacing w:line="360" w:lineRule="auto"/>
        <w:ind w:firstLine="482" w:firstLineChars="200"/>
        <w:rPr>
          <w:rStyle w:val="31"/>
          <w:rFonts w:hint="eastAsia" w:ascii="宋体" w:hAnsi="宋体" w:eastAsia="宋体" w:cs="宋体"/>
          <w:b/>
          <w:bCs/>
          <w:color w:val="auto"/>
          <w:sz w:val="24"/>
          <w:szCs w:val="24"/>
          <w:highlight w:val="none"/>
        </w:rPr>
      </w:pPr>
      <w:r>
        <w:rPr>
          <w:rStyle w:val="31"/>
          <w:rFonts w:hint="eastAsia" w:ascii="宋体" w:hAnsi="宋体" w:eastAsia="宋体" w:cs="宋体"/>
          <w:b/>
          <w:bCs/>
          <w:color w:val="auto"/>
          <w:sz w:val="24"/>
          <w:szCs w:val="24"/>
          <w:highlight w:val="none"/>
        </w:rPr>
        <w:t xml:space="preserve">五、保证担保责任的解除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1.保证期间届满贵方未向我方书面主张保证责任的，自保证期间届满次日起，我方解除保证责任。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2.我方按照本保证担保向贵方履行了保证担保责任后，自我方向贵方支付的金额达到最高保证担保金额之日起，保证担保责任解除。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3.按照法律法规的规定应解除我方保证担保责任的其它情形的，我方在本保证担保项下的保证担保责任亦解除。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pPr>
        <w:pStyle w:val="25"/>
        <w:shd w:val="clear" w:color="auto" w:fill="auto"/>
        <w:spacing w:line="360" w:lineRule="auto"/>
        <w:ind w:firstLine="482" w:firstLineChars="200"/>
        <w:rPr>
          <w:rStyle w:val="31"/>
          <w:rFonts w:hint="eastAsia" w:ascii="宋体" w:hAnsi="宋体" w:eastAsia="宋体" w:cs="宋体"/>
          <w:b/>
          <w:bCs/>
          <w:color w:val="auto"/>
          <w:sz w:val="24"/>
          <w:szCs w:val="24"/>
          <w:highlight w:val="none"/>
        </w:rPr>
      </w:pPr>
      <w:r>
        <w:rPr>
          <w:rStyle w:val="31"/>
          <w:rFonts w:hint="eastAsia" w:ascii="宋体" w:hAnsi="宋体" w:eastAsia="宋体" w:cs="宋体"/>
          <w:b/>
          <w:bCs/>
          <w:color w:val="auto"/>
          <w:sz w:val="24"/>
          <w:szCs w:val="24"/>
          <w:highlight w:val="none"/>
        </w:rPr>
        <w:t xml:space="preserve">六、免责条款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1.因贵方原因致使承包人未按照主合同约定履行义务的，我方不承担保证担保责任。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2.依照法律规定或贵方与发包人的另行约定，免除承包人部分或全部义务的，我方亦免除其相应的保证担保责任。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3.因不可抗力造成承包人未按照主合同约定履行义务的，我方不承担保证担保责任。</w:t>
      </w:r>
    </w:p>
    <w:p>
      <w:pPr>
        <w:pStyle w:val="25"/>
        <w:shd w:val="clear" w:color="auto" w:fill="auto"/>
        <w:spacing w:line="360" w:lineRule="auto"/>
        <w:ind w:firstLine="482" w:firstLineChars="200"/>
        <w:rPr>
          <w:rStyle w:val="31"/>
          <w:rFonts w:hint="eastAsia" w:ascii="宋体" w:hAnsi="宋体" w:eastAsia="宋体" w:cs="宋体"/>
          <w:b/>
          <w:bCs/>
          <w:color w:val="auto"/>
          <w:sz w:val="24"/>
          <w:szCs w:val="24"/>
          <w:highlight w:val="none"/>
        </w:rPr>
      </w:pPr>
      <w:r>
        <w:rPr>
          <w:rStyle w:val="31"/>
          <w:rFonts w:hint="eastAsia" w:ascii="宋体" w:hAnsi="宋体" w:eastAsia="宋体" w:cs="宋体"/>
          <w:b/>
          <w:bCs/>
          <w:color w:val="auto"/>
          <w:sz w:val="24"/>
          <w:szCs w:val="24"/>
          <w:highlight w:val="none"/>
        </w:rPr>
        <w:t>七、其他</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1.本保证担保项下的权利不得转让，不得设定担保。贵方未经我方书面同意转让本保证担保或其项下任何权利，对我方不发生法律效力。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2.本保证担保适用的法律为中华人民共和国法律，争议裁判管辖地为中华人民共和国</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 xml:space="preserve">。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3.本保证担保自我方法定代表人或授权代表签字并加盖公章之日起生效。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保 证 人：                              （公章）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法定代表人（或授权代表）：               （签字）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地    址：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邮政编码：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电    话：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传    真：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时    间：      年      月        日</w:t>
      </w:r>
    </w:p>
    <w:p>
      <w:pPr>
        <w:pStyle w:val="25"/>
        <w:shd w:val="clear" w:color="auto" w:fill="auto"/>
        <w:rPr>
          <w:rStyle w:val="31"/>
          <w:rFonts w:hint="eastAsia" w:ascii="宋体" w:hAnsi="宋体" w:eastAsia="宋体" w:cs="宋体"/>
          <w:color w:val="auto"/>
          <w:highlight w:val="none"/>
        </w:rPr>
      </w:pPr>
    </w:p>
    <w:p>
      <w:pPr>
        <w:pStyle w:val="25"/>
        <w:shd w:val="clear" w:color="auto" w:fill="auto"/>
        <w:rPr>
          <w:rStyle w:val="31"/>
          <w:rFonts w:hint="eastAsia" w:ascii="宋体" w:hAnsi="宋体" w:eastAsia="宋体" w:cs="宋体"/>
          <w:color w:val="auto"/>
          <w:highlight w:val="none"/>
        </w:rPr>
      </w:pPr>
    </w:p>
    <w:bookmarkEnd w:id="1529"/>
    <w:bookmarkEnd w:id="1530"/>
    <w:bookmarkEnd w:id="1531"/>
    <w:bookmarkEnd w:id="1532"/>
    <w:bookmarkEnd w:id="1533"/>
    <w:bookmarkEnd w:id="1534"/>
    <w:bookmarkEnd w:id="1535"/>
    <w:p>
      <w:pPr>
        <w:pStyle w:val="25"/>
        <w:shd w:val="clear" w:color="auto" w:fill="auto"/>
        <w:spacing w:line="360" w:lineRule="auto"/>
        <w:jc w:val="left"/>
        <w:rPr>
          <w:rStyle w:val="31"/>
          <w:rFonts w:hint="eastAsia" w:ascii="宋体" w:hAnsi="宋体" w:eastAsia="宋体" w:cs="宋体"/>
          <w:color w:val="auto"/>
          <w:sz w:val="30"/>
          <w:szCs w:val="30"/>
          <w:highlight w:val="none"/>
        </w:rPr>
      </w:pPr>
    </w:p>
    <w:p>
      <w:pPr>
        <w:pStyle w:val="25"/>
        <w:shd w:val="clear" w:color="auto" w:fill="auto"/>
        <w:spacing w:line="360" w:lineRule="auto"/>
        <w:jc w:val="left"/>
        <w:rPr>
          <w:rStyle w:val="31"/>
          <w:rFonts w:hint="eastAsia" w:ascii="宋体" w:hAnsi="宋体" w:eastAsia="宋体" w:cs="宋体"/>
          <w:color w:val="auto"/>
          <w:sz w:val="30"/>
          <w:szCs w:val="30"/>
          <w:highlight w:val="none"/>
        </w:rPr>
      </w:pPr>
    </w:p>
    <w:p>
      <w:pPr>
        <w:pStyle w:val="25"/>
        <w:shd w:val="clear" w:color="auto" w:fill="auto"/>
        <w:spacing w:line="360" w:lineRule="auto"/>
        <w:jc w:val="left"/>
        <w:rPr>
          <w:rStyle w:val="31"/>
          <w:rFonts w:hint="eastAsia" w:ascii="宋体" w:hAnsi="宋体" w:eastAsia="宋体" w:cs="宋体"/>
          <w:color w:val="auto"/>
          <w:sz w:val="30"/>
          <w:szCs w:val="30"/>
          <w:highlight w:val="none"/>
        </w:rPr>
      </w:pPr>
    </w:p>
    <w:p>
      <w:pPr>
        <w:pStyle w:val="25"/>
        <w:shd w:val="clear" w:color="auto" w:fill="auto"/>
        <w:spacing w:line="360" w:lineRule="auto"/>
        <w:jc w:val="left"/>
        <w:rPr>
          <w:rStyle w:val="31"/>
          <w:rFonts w:hint="eastAsia" w:ascii="宋体" w:hAnsi="宋体" w:eastAsia="宋体" w:cs="宋体"/>
          <w:color w:val="auto"/>
          <w:sz w:val="30"/>
          <w:szCs w:val="30"/>
          <w:highlight w:val="none"/>
        </w:rPr>
      </w:pPr>
    </w:p>
    <w:p>
      <w:pPr>
        <w:pStyle w:val="25"/>
        <w:shd w:val="clear" w:color="auto" w:fill="auto"/>
        <w:spacing w:line="360" w:lineRule="auto"/>
        <w:jc w:val="left"/>
        <w:rPr>
          <w:rStyle w:val="31"/>
          <w:rFonts w:hint="eastAsia" w:ascii="宋体" w:hAnsi="宋体" w:eastAsia="宋体" w:cs="宋体"/>
          <w:color w:val="auto"/>
          <w:sz w:val="30"/>
          <w:szCs w:val="30"/>
          <w:highlight w:val="none"/>
        </w:rPr>
      </w:pPr>
    </w:p>
    <w:p>
      <w:pPr>
        <w:pStyle w:val="25"/>
        <w:shd w:val="clear" w:color="auto" w:fill="auto"/>
        <w:spacing w:line="360" w:lineRule="auto"/>
        <w:jc w:val="left"/>
        <w:rPr>
          <w:rStyle w:val="31"/>
          <w:rFonts w:hint="eastAsia" w:ascii="宋体" w:hAnsi="宋体" w:eastAsia="宋体" w:cs="宋体"/>
          <w:color w:val="auto"/>
          <w:sz w:val="30"/>
          <w:szCs w:val="30"/>
          <w:highlight w:val="none"/>
        </w:rPr>
      </w:pPr>
    </w:p>
    <w:p>
      <w:pPr>
        <w:pStyle w:val="25"/>
        <w:shd w:val="clear" w:color="auto" w:fill="auto"/>
        <w:spacing w:line="360" w:lineRule="auto"/>
        <w:jc w:val="left"/>
        <w:rPr>
          <w:rStyle w:val="31"/>
          <w:rFonts w:hint="eastAsia" w:ascii="宋体" w:hAnsi="宋体" w:eastAsia="宋体" w:cs="宋体"/>
          <w:color w:val="auto"/>
          <w:sz w:val="30"/>
          <w:szCs w:val="30"/>
          <w:highlight w:val="none"/>
        </w:rPr>
      </w:pPr>
    </w:p>
    <w:p>
      <w:pPr>
        <w:pStyle w:val="25"/>
        <w:shd w:val="clear" w:color="auto" w:fill="auto"/>
        <w:spacing w:line="360" w:lineRule="auto"/>
        <w:jc w:val="left"/>
        <w:rPr>
          <w:rStyle w:val="31"/>
          <w:rFonts w:hint="eastAsia" w:ascii="宋体" w:hAnsi="宋体" w:eastAsia="宋体" w:cs="宋体"/>
          <w:color w:val="auto"/>
          <w:sz w:val="30"/>
          <w:szCs w:val="30"/>
          <w:highlight w:val="none"/>
        </w:rPr>
      </w:pPr>
    </w:p>
    <w:p>
      <w:pPr>
        <w:pStyle w:val="25"/>
        <w:shd w:val="clear" w:color="auto" w:fill="auto"/>
        <w:spacing w:line="360" w:lineRule="auto"/>
        <w:jc w:val="left"/>
        <w:rPr>
          <w:rStyle w:val="31"/>
          <w:rFonts w:hint="eastAsia" w:ascii="宋体" w:hAnsi="宋体" w:eastAsia="宋体" w:cs="宋体"/>
          <w:color w:val="auto"/>
          <w:sz w:val="30"/>
          <w:szCs w:val="30"/>
          <w:highlight w:val="none"/>
        </w:rPr>
      </w:pPr>
    </w:p>
    <w:p>
      <w:pPr>
        <w:pStyle w:val="25"/>
        <w:shd w:val="clear" w:color="auto" w:fill="auto"/>
        <w:spacing w:line="360" w:lineRule="auto"/>
        <w:jc w:val="left"/>
        <w:rPr>
          <w:rStyle w:val="31"/>
          <w:rFonts w:hint="eastAsia" w:ascii="宋体" w:hAnsi="宋体" w:eastAsia="宋体" w:cs="宋体"/>
          <w:color w:val="auto"/>
          <w:sz w:val="30"/>
          <w:szCs w:val="30"/>
          <w:highlight w:val="none"/>
        </w:rPr>
      </w:pPr>
    </w:p>
    <w:p>
      <w:pPr>
        <w:pStyle w:val="25"/>
        <w:shd w:val="clear" w:color="auto" w:fill="auto"/>
        <w:spacing w:line="360" w:lineRule="auto"/>
        <w:jc w:val="left"/>
        <w:rPr>
          <w:rStyle w:val="31"/>
          <w:rFonts w:hint="eastAsia" w:ascii="宋体" w:hAnsi="宋体" w:eastAsia="宋体" w:cs="宋体"/>
          <w:color w:val="auto"/>
          <w:sz w:val="30"/>
          <w:szCs w:val="30"/>
          <w:highlight w:val="none"/>
        </w:rPr>
      </w:pPr>
    </w:p>
    <w:p>
      <w:pPr>
        <w:pStyle w:val="25"/>
        <w:shd w:val="clear" w:color="auto" w:fill="auto"/>
        <w:spacing w:line="360" w:lineRule="auto"/>
        <w:jc w:val="left"/>
        <w:rPr>
          <w:rStyle w:val="31"/>
          <w:rFonts w:hint="eastAsia" w:ascii="宋体" w:hAnsi="宋体" w:eastAsia="宋体" w:cs="宋体"/>
          <w:color w:val="auto"/>
          <w:sz w:val="30"/>
          <w:szCs w:val="30"/>
          <w:highlight w:val="none"/>
        </w:rPr>
      </w:pPr>
    </w:p>
    <w:p>
      <w:pPr>
        <w:pStyle w:val="25"/>
        <w:shd w:val="clear" w:color="auto" w:fill="auto"/>
        <w:spacing w:line="360" w:lineRule="auto"/>
        <w:jc w:val="left"/>
        <w:rPr>
          <w:rStyle w:val="31"/>
          <w:rFonts w:hint="eastAsia" w:ascii="宋体" w:hAnsi="宋体" w:eastAsia="宋体" w:cs="宋体"/>
          <w:color w:val="auto"/>
          <w:sz w:val="32"/>
          <w:szCs w:val="32"/>
          <w:highlight w:val="none"/>
        </w:rPr>
      </w:pPr>
      <w:r>
        <w:rPr>
          <w:rStyle w:val="31"/>
          <w:rFonts w:hint="eastAsia" w:ascii="宋体" w:hAnsi="宋体" w:eastAsia="宋体" w:cs="宋体"/>
          <w:color w:val="auto"/>
          <w:sz w:val="30"/>
          <w:szCs w:val="30"/>
          <w:highlight w:val="none"/>
        </w:rPr>
        <w:t>附件8：</w:t>
      </w:r>
    </w:p>
    <w:p>
      <w:pPr>
        <w:pStyle w:val="25"/>
        <w:shd w:val="clear" w:color="auto" w:fill="auto"/>
        <w:spacing w:line="360" w:lineRule="auto"/>
        <w:jc w:val="left"/>
        <w:rPr>
          <w:rStyle w:val="31"/>
          <w:rFonts w:hint="eastAsia" w:ascii="宋体" w:hAnsi="宋体" w:eastAsia="宋体" w:cs="宋体"/>
          <w:b/>
          <w:bCs/>
          <w:color w:val="auto"/>
          <w:sz w:val="32"/>
          <w:szCs w:val="32"/>
          <w:highlight w:val="none"/>
        </w:rPr>
      </w:pPr>
    </w:p>
    <w:p>
      <w:pPr>
        <w:pStyle w:val="25"/>
        <w:shd w:val="clear" w:color="auto" w:fill="auto"/>
        <w:spacing w:line="360" w:lineRule="auto"/>
        <w:jc w:val="center"/>
        <w:rPr>
          <w:rStyle w:val="31"/>
          <w:rFonts w:hint="eastAsia" w:ascii="宋体" w:hAnsi="宋体" w:eastAsia="宋体" w:cs="宋体"/>
          <w:b/>
          <w:bCs/>
          <w:color w:val="auto"/>
          <w:sz w:val="32"/>
          <w:szCs w:val="32"/>
          <w:highlight w:val="none"/>
        </w:rPr>
      </w:pPr>
      <w:r>
        <w:rPr>
          <w:rStyle w:val="31"/>
          <w:rFonts w:hint="eastAsia" w:ascii="宋体" w:hAnsi="宋体" w:eastAsia="宋体" w:cs="宋体"/>
          <w:b/>
          <w:bCs/>
          <w:color w:val="auto"/>
          <w:sz w:val="32"/>
          <w:szCs w:val="32"/>
          <w:highlight w:val="none"/>
        </w:rPr>
        <w:t>预付款保函示范文本</w:t>
      </w:r>
    </w:p>
    <w:p>
      <w:pPr>
        <w:pStyle w:val="25"/>
        <w:shd w:val="clear" w:color="auto" w:fill="auto"/>
        <w:spacing w:line="360" w:lineRule="auto"/>
        <w:jc w:val="center"/>
        <w:rPr>
          <w:rStyle w:val="31"/>
          <w:rFonts w:hint="eastAsia" w:ascii="宋体" w:hAnsi="宋体" w:eastAsia="宋体" w:cs="宋体"/>
          <w:b/>
          <w:bCs/>
          <w:color w:val="auto"/>
          <w:sz w:val="32"/>
          <w:szCs w:val="32"/>
          <w:highlight w:val="none"/>
        </w:rPr>
      </w:pPr>
      <w:r>
        <w:rPr>
          <w:rStyle w:val="31"/>
          <w:rFonts w:hint="eastAsia" w:ascii="宋体" w:hAnsi="宋体" w:eastAsia="宋体" w:cs="宋体"/>
          <w:b/>
          <w:bCs/>
          <w:color w:val="auto"/>
          <w:sz w:val="32"/>
          <w:szCs w:val="32"/>
          <w:highlight w:val="none"/>
        </w:rPr>
        <w:t>（独立保函）</w:t>
      </w:r>
    </w:p>
    <w:p>
      <w:pPr>
        <w:pStyle w:val="25"/>
        <w:shd w:val="clear" w:color="auto" w:fill="auto"/>
        <w:wordWrap w:val="0"/>
        <w:spacing w:line="360" w:lineRule="auto"/>
        <w:jc w:val="righ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 xml:space="preserve">编号：           </w:t>
      </w:r>
    </w:p>
    <w:p>
      <w:pPr>
        <w:pStyle w:val="25"/>
        <w:shd w:val="clear" w:color="auto" w:fill="auto"/>
        <w:spacing w:line="360" w:lineRule="auto"/>
        <w:rPr>
          <w:rStyle w:val="31"/>
          <w:rFonts w:hint="eastAsia" w:ascii="宋体" w:hAnsi="宋体" w:eastAsia="宋体" w:cs="宋体"/>
          <w:color w:val="auto"/>
          <w:sz w:val="24"/>
          <w:szCs w:val="24"/>
          <w:highlight w:val="none"/>
        </w:rPr>
      </w:pP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申请人：</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  地址：</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受益人：</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  地址：</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开立人：</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  地址：</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 </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 xml:space="preserve">（受益人名称）：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鉴于</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（以下简称“受益人”）与</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（以下简称“申请人”）于</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年</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月</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日就</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工程（以下简称“本工程”）施工和有关事项协商一致共同签订</w:t>
      </w:r>
      <w:r>
        <w:rPr>
          <w:rStyle w:val="31"/>
          <w:rFonts w:hint="eastAsia" w:ascii="宋体" w:hAnsi="宋体" w:eastAsia="宋体" w:cs="宋体"/>
          <w:color w:val="auto"/>
          <w:sz w:val="24"/>
          <w:szCs w:val="24"/>
          <w:highlight w:val="none"/>
          <w:u w:val="single"/>
        </w:rPr>
        <w:t>《        》</w:t>
      </w:r>
      <w:r>
        <w:rPr>
          <w:rStyle w:val="31"/>
          <w:rFonts w:hint="eastAsia" w:ascii="宋体" w:hAnsi="宋体" w:eastAsia="宋体" w:cs="宋体"/>
          <w:color w:val="auto"/>
          <w:sz w:val="24"/>
          <w:szCs w:val="24"/>
          <w:highlight w:val="none"/>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一、本保函担保范围：申请人未按照合同约定正确和合理地为合同目的使用预付款，应当向贵方承担的违约责任和赔偿因此造成的损失、利息、律师费、诉讼费用等实现债权的费用。</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二、本保函担保金额最高不超过人民币（大写）</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元（¥</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 xml:space="preserve">）。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三、本保函有效期自开立之日起至发包人全额扣回预付款后</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日止，最迟不超过</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年</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月</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日。</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四、我方承诺，在收到受益人发来的书面付款通知后的</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日内无条件支付，前述书面付款通知即为付款要求之单据，且应满足以下要求：</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（1）付款通知到达的日期在本保函的有效期内；</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（2）载明要求支付的金额；</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（3）载明申请人违反合同义务的条款和内容；</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（4）声明不存在合同文件约定或我国法律规定免除申请人或开立人支付责任的情形；</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（5）付款通知应在本保函有效期内到达的地址是：</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受益人发出的书面付款通知应由其为鉴明受益人法定代表人（负责人）或授权代理人签字并加盖公章。</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五、本保函项下的权利不得转让，不得设定担保。贵方未经我方书面同意转 让本保函或其项下任何权利，对我方不发生法律效力。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六、与本保函有关的基础合同不成立、不生效、无效、被撤销、被解除，不影响本保函的独立有效。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八、本保函适用的法律为中华人民共和国法律，争议裁判管辖地为中华人民共和国</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 xml:space="preserve">。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九、本保函自我方法定代表人或授权代表签字并加盖公章之日起生效。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开 立 人：                              （公章）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法定代表人（或授权代表）：               （签字）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地    址：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邮政编码：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电    话：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传    真：                 </w:t>
      </w:r>
    </w:p>
    <w:p>
      <w:pPr>
        <w:pStyle w:val="25"/>
        <w:shd w:val="clear" w:color="auto" w:fill="auto"/>
        <w:rPr>
          <w:rStyle w:val="31"/>
          <w:rFonts w:hint="eastAsia" w:ascii="宋体" w:hAnsi="宋体" w:eastAsia="宋体" w:cs="宋体"/>
          <w:color w:val="auto"/>
          <w:highlight w:val="none"/>
        </w:rPr>
      </w:pPr>
      <w:r>
        <w:rPr>
          <w:rStyle w:val="31"/>
          <w:rFonts w:hint="eastAsia" w:ascii="宋体" w:hAnsi="宋体" w:eastAsia="宋体" w:cs="宋体"/>
          <w:color w:val="auto"/>
          <w:sz w:val="24"/>
          <w:szCs w:val="24"/>
          <w:highlight w:val="none"/>
        </w:rPr>
        <w:t xml:space="preserve">    开立时间：      年      月        日</w:t>
      </w:r>
    </w:p>
    <w:p>
      <w:pPr>
        <w:pStyle w:val="25"/>
        <w:shd w:val="clear" w:color="auto" w:fill="auto"/>
        <w:spacing w:line="360" w:lineRule="auto"/>
        <w:jc w:val="center"/>
        <w:rPr>
          <w:rStyle w:val="31"/>
          <w:rFonts w:hint="eastAsia" w:ascii="宋体" w:hAnsi="宋体" w:eastAsia="宋体" w:cs="宋体"/>
          <w:b/>
          <w:bCs/>
          <w:color w:val="auto"/>
          <w:sz w:val="32"/>
          <w:szCs w:val="32"/>
          <w:highlight w:val="none"/>
        </w:rPr>
      </w:pPr>
    </w:p>
    <w:p>
      <w:pPr>
        <w:pStyle w:val="25"/>
        <w:shd w:val="clear" w:color="auto" w:fill="auto"/>
        <w:spacing w:line="360" w:lineRule="auto"/>
        <w:jc w:val="left"/>
        <w:rPr>
          <w:rStyle w:val="31"/>
          <w:rFonts w:hint="eastAsia" w:ascii="宋体" w:hAnsi="宋体" w:eastAsia="宋体" w:cs="宋体"/>
          <w:color w:val="auto"/>
          <w:sz w:val="32"/>
          <w:szCs w:val="32"/>
          <w:highlight w:val="none"/>
        </w:rPr>
      </w:pPr>
    </w:p>
    <w:p>
      <w:pPr>
        <w:pStyle w:val="25"/>
        <w:shd w:val="clear" w:color="auto" w:fill="auto"/>
        <w:spacing w:line="360" w:lineRule="auto"/>
        <w:jc w:val="left"/>
        <w:rPr>
          <w:rStyle w:val="31"/>
          <w:rFonts w:hint="eastAsia" w:ascii="宋体" w:hAnsi="宋体" w:eastAsia="宋体" w:cs="宋体"/>
          <w:color w:val="auto"/>
          <w:sz w:val="32"/>
          <w:szCs w:val="32"/>
          <w:highlight w:val="none"/>
        </w:rPr>
      </w:pPr>
    </w:p>
    <w:p>
      <w:pPr>
        <w:pStyle w:val="25"/>
        <w:shd w:val="clear" w:color="auto" w:fill="auto"/>
        <w:spacing w:line="360" w:lineRule="auto"/>
        <w:jc w:val="left"/>
        <w:rPr>
          <w:rStyle w:val="31"/>
          <w:rFonts w:hint="eastAsia" w:ascii="宋体" w:hAnsi="宋体" w:eastAsia="宋体" w:cs="宋体"/>
          <w:b/>
          <w:bCs/>
          <w:color w:val="auto"/>
          <w:sz w:val="32"/>
          <w:szCs w:val="32"/>
          <w:highlight w:val="none"/>
        </w:rPr>
      </w:pPr>
      <w:r>
        <w:rPr>
          <w:rStyle w:val="31"/>
          <w:rFonts w:hint="eastAsia" w:ascii="宋体" w:hAnsi="宋体" w:eastAsia="宋体" w:cs="宋体"/>
          <w:color w:val="auto"/>
          <w:sz w:val="32"/>
          <w:szCs w:val="32"/>
          <w:highlight w:val="none"/>
        </w:rPr>
        <w:t>附件8</w:t>
      </w:r>
    </w:p>
    <w:p>
      <w:pPr>
        <w:pStyle w:val="25"/>
        <w:shd w:val="clear" w:color="auto" w:fill="auto"/>
        <w:spacing w:line="360" w:lineRule="auto"/>
        <w:jc w:val="left"/>
        <w:rPr>
          <w:rStyle w:val="31"/>
          <w:rFonts w:hint="eastAsia" w:ascii="宋体" w:hAnsi="宋体" w:eastAsia="宋体" w:cs="宋体"/>
          <w:b/>
          <w:bCs/>
          <w:color w:val="auto"/>
          <w:sz w:val="32"/>
          <w:szCs w:val="32"/>
          <w:highlight w:val="none"/>
        </w:rPr>
      </w:pPr>
    </w:p>
    <w:p>
      <w:pPr>
        <w:pStyle w:val="25"/>
        <w:shd w:val="clear" w:color="auto" w:fill="auto"/>
        <w:spacing w:line="360" w:lineRule="auto"/>
        <w:jc w:val="center"/>
        <w:rPr>
          <w:rStyle w:val="31"/>
          <w:rFonts w:hint="eastAsia" w:ascii="宋体" w:hAnsi="宋体" w:eastAsia="宋体" w:cs="宋体"/>
          <w:b/>
          <w:bCs/>
          <w:color w:val="auto"/>
          <w:sz w:val="32"/>
          <w:szCs w:val="32"/>
          <w:highlight w:val="none"/>
        </w:rPr>
      </w:pPr>
      <w:r>
        <w:rPr>
          <w:rStyle w:val="31"/>
          <w:rFonts w:hint="eastAsia" w:ascii="宋体" w:hAnsi="宋体" w:eastAsia="宋体" w:cs="宋体"/>
          <w:b/>
          <w:bCs/>
          <w:color w:val="auto"/>
          <w:sz w:val="32"/>
          <w:szCs w:val="32"/>
          <w:highlight w:val="none"/>
        </w:rPr>
        <w:t>预付款保函示范文本</w:t>
      </w:r>
    </w:p>
    <w:p>
      <w:pPr>
        <w:pStyle w:val="25"/>
        <w:shd w:val="clear" w:color="auto" w:fill="auto"/>
        <w:spacing w:line="360" w:lineRule="auto"/>
        <w:jc w:val="center"/>
        <w:rPr>
          <w:rStyle w:val="31"/>
          <w:rFonts w:hint="eastAsia" w:ascii="宋体" w:hAnsi="宋体" w:eastAsia="宋体" w:cs="宋体"/>
          <w:b/>
          <w:bCs/>
          <w:color w:val="auto"/>
          <w:sz w:val="32"/>
          <w:szCs w:val="32"/>
          <w:highlight w:val="none"/>
        </w:rPr>
      </w:pPr>
      <w:r>
        <w:rPr>
          <w:rStyle w:val="31"/>
          <w:rFonts w:hint="eastAsia" w:ascii="宋体" w:hAnsi="宋体" w:eastAsia="宋体" w:cs="宋体"/>
          <w:b/>
          <w:bCs/>
          <w:color w:val="auto"/>
          <w:sz w:val="32"/>
          <w:szCs w:val="32"/>
          <w:highlight w:val="none"/>
        </w:rPr>
        <w:t>（非独立保函）</w:t>
      </w:r>
    </w:p>
    <w:p>
      <w:pPr>
        <w:pStyle w:val="25"/>
        <w:shd w:val="clear" w:color="auto" w:fill="auto"/>
        <w:wordWrap w:val="0"/>
        <w:spacing w:line="360" w:lineRule="auto"/>
        <w:jc w:val="righ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 xml:space="preserve">编号：           </w:t>
      </w:r>
    </w:p>
    <w:p>
      <w:pPr>
        <w:pStyle w:val="25"/>
        <w:shd w:val="clear" w:color="auto" w:fill="auto"/>
        <w:spacing w:line="360" w:lineRule="auto"/>
        <w:rPr>
          <w:rStyle w:val="31"/>
          <w:rFonts w:hint="eastAsia" w:ascii="宋体" w:hAnsi="宋体" w:eastAsia="宋体" w:cs="宋体"/>
          <w:color w:val="auto"/>
          <w:sz w:val="24"/>
          <w:szCs w:val="24"/>
          <w:highlight w:val="none"/>
        </w:rPr>
      </w:pP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担保权人/发包人：</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地址：</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承包人： </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地址：</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保证人：</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地址：</w:t>
      </w:r>
    </w:p>
    <w:p>
      <w:pPr>
        <w:pStyle w:val="25"/>
        <w:shd w:val="clear" w:color="auto" w:fill="auto"/>
        <w:spacing w:line="360" w:lineRule="auto"/>
        <w:rPr>
          <w:rStyle w:val="31"/>
          <w:rFonts w:hint="eastAsia" w:ascii="宋体" w:hAnsi="宋体" w:eastAsia="宋体" w:cs="宋体"/>
          <w:color w:val="auto"/>
          <w:sz w:val="24"/>
          <w:szCs w:val="24"/>
          <w:highlight w:val="none"/>
        </w:rPr>
      </w:pP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 xml:space="preserve">（发包人名称）：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鉴于</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（以下简称“发包人”）与</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（以下简称“承包人”）于</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年</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月</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日就</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工程（以下简称“本工程”）施工和有关事项协商一致共同签订</w:t>
      </w:r>
      <w:r>
        <w:rPr>
          <w:rStyle w:val="31"/>
          <w:rFonts w:hint="eastAsia" w:ascii="宋体" w:hAnsi="宋体" w:eastAsia="宋体" w:cs="宋体"/>
          <w:color w:val="auto"/>
          <w:sz w:val="24"/>
          <w:szCs w:val="24"/>
          <w:highlight w:val="none"/>
          <w:u w:val="single"/>
        </w:rPr>
        <w:t>《        》</w:t>
      </w:r>
      <w:r>
        <w:rPr>
          <w:rStyle w:val="31"/>
          <w:rFonts w:hint="eastAsia" w:ascii="宋体" w:hAnsi="宋体" w:eastAsia="宋体" w:cs="宋体"/>
          <w:color w:val="auto"/>
          <w:sz w:val="24"/>
          <w:szCs w:val="24"/>
          <w:highlight w:val="none"/>
        </w:rPr>
        <w:t xml:space="preserve">（以下简称“主合同”），我方即保证人基于承包人的请求，同意就承包人按照合同约定正确和合理地为合同目的使用预付款，不将预付款挪作他用，向贵方提供如下保证担保（以下简称“本保证担保”）。 </w:t>
      </w:r>
    </w:p>
    <w:p>
      <w:pPr>
        <w:pStyle w:val="25"/>
        <w:shd w:val="clear" w:color="auto" w:fill="auto"/>
        <w:spacing w:line="360" w:lineRule="auto"/>
        <w:ind w:firstLine="482" w:firstLineChars="200"/>
        <w:rPr>
          <w:rStyle w:val="31"/>
          <w:rFonts w:hint="eastAsia" w:ascii="宋体" w:hAnsi="宋体" w:eastAsia="宋体" w:cs="宋体"/>
          <w:b/>
          <w:bCs/>
          <w:color w:val="auto"/>
          <w:sz w:val="24"/>
          <w:szCs w:val="24"/>
          <w:highlight w:val="none"/>
        </w:rPr>
      </w:pPr>
      <w:r>
        <w:rPr>
          <w:rStyle w:val="31"/>
          <w:rFonts w:hint="eastAsia" w:ascii="宋体" w:hAnsi="宋体" w:eastAsia="宋体" w:cs="宋体"/>
          <w:b/>
          <w:bCs/>
          <w:color w:val="auto"/>
          <w:sz w:val="24"/>
          <w:szCs w:val="24"/>
          <w:highlight w:val="none"/>
        </w:rPr>
        <w:t>一、保证担保的范围及保证担保金额</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1.保证担保范围：申请人未按照合同约定正确和合理地为合同目的使用预付款，应当向贵方承担的违约责任和赔偿因此造成的损失、利息、律师费、诉讼费用等实现债权的费用。</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2.保证担保金额最高不超过人民币（大写）</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元（¥</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 xml:space="preserve">）。 </w:t>
      </w:r>
    </w:p>
    <w:p>
      <w:pPr>
        <w:pStyle w:val="25"/>
        <w:shd w:val="clear" w:color="auto" w:fill="auto"/>
        <w:spacing w:line="360" w:lineRule="auto"/>
        <w:ind w:firstLine="482" w:firstLineChars="200"/>
        <w:rPr>
          <w:rStyle w:val="31"/>
          <w:rFonts w:hint="eastAsia" w:ascii="宋体" w:hAnsi="宋体" w:eastAsia="宋体" w:cs="宋体"/>
          <w:b/>
          <w:bCs/>
          <w:color w:val="auto"/>
          <w:sz w:val="24"/>
          <w:szCs w:val="24"/>
          <w:highlight w:val="none"/>
        </w:rPr>
      </w:pPr>
      <w:r>
        <w:rPr>
          <w:rStyle w:val="31"/>
          <w:rFonts w:hint="eastAsia" w:ascii="宋体" w:hAnsi="宋体" w:eastAsia="宋体" w:cs="宋体"/>
          <w:b/>
          <w:bCs/>
          <w:color w:val="auto"/>
          <w:sz w:val="24"/>
          <w:szCs w:val="24"/>
          <w:highlight w:val="none"/>
        </w:rPr>
        <w:t xml:space="preserve">二、保证担保的方式及保证期间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1.保证担保方式：连带责任保证。</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2.保证期间：自出具之日起至发包人全额扣回预付款后</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日止，最迟不超过</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年</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月</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 xml:space="preserve">日。 </w:t>
      </w:r>
    </w:p>
    <w:p>
      <w:pPr>
        <w:pStyle w:val="25"/>
        <w:shd w:val="clear" w:color="auto" w:fill="auto"/>
        <w:spacing w:line="360" w:lineRule="auto"/>
        <w:ind w:firstLine="482" w:firstLineChars="200"/>
        <w:rPr>
          <w:rStyle w:val="31"/>
          <w:rFonts w:hint="eastAsia" w:ascii="宋体" w:hAnsi="宋体" w:eastAsia="宋体" w:cs="宋体"/>
          <w:b/>
          <w:bCs/>
          <w:color w:val="auto"/>
          <w:sz w:val="24"/>
          <w:szCs w:val="24"/>
          <w:highlight w:val="none"/>
        </w:rPr>
      </w:pPr>
      <w:r>
        <w:rPr>
          <w:rStyle w:val="31"/>
          <w:rFonts w:hint="eastAsia" w:ascii="宋体" w:hAnsi="宋体" w:eastAsia="宋体" w:cs="宋体"/>
          <w:b/>
          <w:bCs/>
          <w:color w:val="auto"/>
          <w:sz w:val="24"/>
          <w:szCs w:val="24"/>
          <w:highlight w:val="none"/>
        </w:rPr>
        <w:t>三、承担保证担保责任的形式</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发生应承担保证责任情形的，我方在保证金额内向贵方支付，并赔偿因此给贵方造成的损失，以及利息和律师费、诉讼费用等实现债权的费用。</w:t>
      </w:r>
    </w:p>
    <w:p>
      <w:pPr>
        <w:pStyle w:val="25"/>
        <w:shd w:val="clear" w:color="auto" w:fill="auto"/>
        <w:spacing w:line="360" w:lineRule="auto"/>
        <w:ind w:firstLine="482" w:firstLineChars="200"/>
        <w:rPr>
          <w:rStyle w:val="31"/>
          <w:rFonts w:hint="eastAsia" w:ascii="宋体" w:hAnsi="宋体" w:eastAsia="宋体" w:cs="宋体"/>
          <w:b/>
          <w:bCs/>
          <w:color w:val="auto"/>
          <w:sz w:val="24"/>
          <w:szCs w:val="24"/>
          <w:highlight w:val="none"/>
        </w:rPr>
      </w:pPr>
      <w:r>
        <w:rPr>
          <w:rStyle w:val="31"/>
          <w:rFonts w:hint="eastAsia" w:ascii="宋体" w:hAnsi="宋体" w:eastAsia="宋体" w:cs="宋体"/>
          <w:b/>
          <w:bCs/>
          <w:color w:val="auto"/>
          <w:sz w:val="24"/>
          <w:szCs w:val="24"/>
          <w:highlight w:val="none"/>
        </w:rPr>
        <w:t xml:space="preserve">四、代偿的安排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2.我方收到贵方的书面索赔通知及相应证明材料后，在</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工作日内进行核定后按照本保函的承诺承担保证责任。</w:t>
      </w:r>
    </w:p>
    <w:p>
      <w:pPr>
        <w:pStyle w:val="25"/>
        <w:shd w:val="clear" w:color="auto" w:fill="auto"/>
        <w:spacing w:line="360" w:lineRule="auto"/>
        <w:ind w:firstLine="482" w:firstLineChars="200"/>
        <w:rPr>
          <w:rStyle w:val="31"/>
          <w:rFonts w:hint="eastAsia" w:ascii="宋体" w:hAnsi="宋体" w:eastAsia="宋体" w:cs="宋体"/>
          <w:b/>
          <w:bCs/>
          <w:color w:val="auto"/>
          <w:sz w:val="24"/>
          <w:szCs w:val="24"/>
          <w:highlight w:val="none"/>
        </w:rPr>
      </w:pPr>
      <w:r>
        <w:rPr>
          <w:rStyle w:val="31"/>
          <w:rFonts w:hint="eastAsia" w:ascii="宋体" w:hAnsi="宋体" w:eastAsia="宋体" w:cs="宋体"/>
          <w:b/>
          <w:bCs/>
          <w:color w:val="auto"/>
          <w:sz w:val="24"/>
          <w:szCs w:val="24"/>
          <w:highlight w:val="none"/>
        </w:rPr>
        <w:t xml:space="preserve">五、保证担保责任的解除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1.保证期间届满贵方未向我方书面主张保证责任的，自保证期间届满次日起，我方解除保证责任。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2.我方按照本保证担保向贵方履行了保证担保责任后，自我方向贵方支付的金额达到最高保证担保金额之日起，保证担保责任解除。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3.按照法律法规的规定应解除我方保证担保责任的其它情形的，我方在本保证担保项下的保证担保责任亦解除。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pPr>
        <w:pStyle w:val="25"/>
        <w:shd w:val="clear" w:color="auto" w:fill="auto"/>
        <w:spacing w:line="360" w:lineRule="auto"/>
        <w:ind w:firstLine="482" w:firstLineChars="200"/>
        <w:rPr>
          <w:rStyle w:val="31"/>
          <w:rFonts w:hint="eastAsia" w:ascii="宋体" w:hAnsi="宋体" w:eastAsia="宋体" w:cs="宋体"/>
          <w:b/>
          <w:bCs/>
          <w:color w:val="auto"/>
          <w:sz w:val="24"/>
          <w:szCs w:val="24"/>
          <w:highlight w:val="none"/>
        </w:rPr>
      </w:pPr>
      <w:r>
        <w:rPr>
          <w:rStyle w:val="31"/>
          <w:rFonts w:hint="eastAsia" w:ascii="宋体" w:hAnsi="宋体" w:eastAsia="宋体" w:cs="宋体"/>
          <w:b/>
          <w:bCs/>
          <w:color w:val="auto"/>
          <w:sz w:val="24"/>
          <w:szCs w:val="24"/>
          <w:highlight w:val="none"/>
        </w:rPr>
        <w:t xml:space="preserve">六、免责条款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1.因贵方原因致使发生应承担保证责任情形的，我方不承担保证担保责任。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2.依照法律规定或贵方与承包人的另行约定，免除承包人部分或全部义务的，我方亦免除其相应的保证担保责任。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3.因不可抗力造成发生应承担保证责任情形的，我方不承担保证担保责任。</w:t>
      </w:r>
    </w:p>
    <w:p>
      <w:pPr>
        <w:pStyle w:val="25"/>
        <w:shd w:val="clear" w:color="auto" w:fill="auto"/>
        <w:spacing w:line="360" w:lineRule="auto"/>
        <w:ind w:firstLine="482" w:firstLineChars="200"/>
        <w:rPr>
          <w:rStyle w:val="31"/>
          <w:rFonts w:hint="eastAsia" w:ascii="宋体" w:hAnsi="宋体" w:eastAsia="宋体" w:cs="宋体"/>
          <w:b/>
          <w:bCs/>
          <w:color w:val="auto"/>
          <w:sz w:val="24"/>
          <w:szCs w:val="24"/>
          <w:highlight w:val="none"/>
        </w:rPr>
      </w:pPr>
      <w:r>
        <w:rPr>
          <w:rStyle w:val="31"/>
          <w:rFonts w:hint="eastAsia" w:ascii="宋体" w:hAnsi="宋体" w:eastAsia="宋体" w:cs="宋体"/>
          <w:b/>
          <w:bCs/>
          <w:color w:val="auto"/>
          <w:sz w:val="24"/>
          <w:szCs w:val="24"/>
          <w:highlight w:val="none"/>
        </w:rPr>
        <w:t>七、其他</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1.本保证担保项下的权利不得转让，不得设定担保。贵方未经我方书面同意转让本保证担保或其项下任何权利，对我方不发生法律效力。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2.本保证担保适用的法律为中华人民共和国法律，争议裁判管辖地为中华人民共和国</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 xml:space="preserve">。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3.本保证担保自我方法定代表人或授权代表签字并加盖公章之日起生效。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保 证 人：                              （公章）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法定代表人（或授权代表）：               （签字）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地    址：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邮政编码：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电    话：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传    真：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时    间：      年      月        日</w:t>
      </w:r>
    </w:p>
    <w:p>
      <w:pPr>
        <w:pStyle w:val="25"/>
        <w:shd w:val="clear" w:color="auto" w:fill="auto"/>
        <w:rPr>
          <w:rStyle w:val="31"/>
          <w:rFonts w:hint="eastAsia" w:ascii="宋体" w:hAnsi="宋体" w:eastAsia="宋体" w:cs="宋体"/>
          <w:color w:val="auto"/>
          <w:highlight w:val="none"/>
        </w:rPr>
      </w:pPr>
    </w:p>
    <w:p>
      <w:pPr>
        <w:pStyle w:val="25"/>
        <w:shd w:val="clear" w:color="auto" w:fill="auto"/>
        <w:spacing w:line="360" w:lineRule="auto"/>
        <w:jc w:val="center"/>
        <w:rPr>
          <w:rStyle w:val="31"/>
          <w:rFonts w:hint="eastAsia" w:ascii="宋体" w:hAnsi="宋体" w:eastAsia="宋体" w:cs="宋体"/>
          <w:b/>
          <w:bCs/>
          <w:color w:val="auto"/>
          <w:sz w:val="32"/>
          <w:szCs w:val="32"/>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p>
    <w:p>
      <w:pPr>
        <w:pStyle w:val="25"/>
        <w:shd w:val="clear" w:color="auto" w:fill="auto"/>
        <w:spacing w:line="440" w:lineRule="exact"/>
        <w:rPr>
          <w:rStyle w:val="31"/>
          <w:rFonts w:hint="eastAsia" w:ascii="宋体" w:hAnsi="宋体" w:eastAsia="宋体" w:cs="宋体"/>
          <w:color w:val="auto"/>
          <w:sz w:val="30"/>
          <w:szCs w:val="30"/>
          <w:highlight w:val="none"/>
        </w:rPr>
      </w:pPr>
      <w:r>
        <w:rPr>
          <w:rStyle w:val="31"/>
          <w:rFonts w:hint="eastAsia" w:ascii="宋体" w:hAnsi="宋体" w:eastAsia="宋体" w:cs="宋体"/>
          <w:color w:val="auto"/>
          <w:sz w:val="30"/>
          <w:szCs w:val="30"/>
          <w:highlight w:val="none"/>
        </w:rPr>
        <w:t>附件9：</w:t>
      </w:r>
    </w:p>
    <w:p>
      <w:pPr>
        <w:pStyle w:val="25"/>
        <w:shd w:val="clear" w:color="auto" w:fill="auto"/>
        <w:spacing w:line="360" w:lineRule="auto"/>
        <w:jc w:val="left"/>
        <w:rPr>
          <w:rStyle w:val="31"/>
          <w:rFonts w:hint="eastAsia" w:ascii="宋体" w:hAnsi="宋体" w:eastAsia="宋体" w:cs="宋体"/>
          <w:b/>
          <w:bCs/>
          <w:color w:val="auto"/>
          <w:sz w:val="32"/>
          <w:szCs w:val="32"/>
          <w:highlight w:val="none"/>
        </w:rPr>
      </w:pPr>
    </w:p>
    <w:p>
      <w:pPr>
        <w:pStyle w:val="25"/>
        <w:shd w:val="clear" w:color="auto" w:fill="auto"/>
        <w:spacing w:line="360" w:lineRule="auto"/>
        <w:jc w:val="center"/>
        <w:rPr>
          <w:rStyle w:val="31"/>
          <w:rFonts w:hint="eastAsia" w:ascii="宋体" w:hAnsi="宋体" w:eastAsia="宋体" w:cs="宋体"/>
          <w:b/>
          <w:bCs/>
          <w:color w:val="auto"/>
          <w:sz w:val="32"/>
          <w:szCs w:val="32"/>
          <w:highlight w:val="none"/>
        </w:rPr>
      </w:pPr>
      <w:r>
        <w:rPr>
          <w:rStyle w:val="31"/>
          <w:rFonts w:hint="eastAsia" w:ascii="宋体" w:hAnsi="宋体" w:eastAsia="宋体" w:cs="宋体"/>
          <w:b/>
          <w:bCs/>
          <w:color w:val="auto"/>
          <w:sz w:val="32"/>
          <w:szCs w:val="32"/>
          <w:highlight w:val="none"/>
        </w:rPr>
        <w:t>支付保函示范文本</w:t>
      </w:r>
    </w:p>
    <w:p>
      <w:pPr>
        <w:pStyle w:val="25"/>
        <w:shd w:val="clear" w:color="auto" w:fill="auto"/>
        <w:spacing w:line="360" w:lineRule="auto"/>
        <w:jc w:val="center"/>
        <w:rPr>
          <w:rStyle w:val="31"/>
          <w:rFonts w:hint="eastAsia" w:ascii="宋体" w:hAnsi="宋体" w:eastAsia="宋体" w:cs="宋体"/>
          <w:b/>
          <w:bCs/>
          <w:color w:val="auto"/>
          <w:sz w:val="32"/>
          <w:szCs w:val="32"/>
          <w:highlight w:val="none"/>
        </w:rPr>
      </w:pPr>
      <w:r>
        <w:rPr>
          <w:rStyle w:val="31"/>
          <w:rFonts w:hint="eastAsia" w:ascii="宋体" w:hAnsi="宋体" w:eastAsia="宋体" w:cs="宋体"/>
          <w:b/>
          <w:bCs/>
          <w:color w:val="auto"/>
          <w:sz w:val="32"/>
          <w:szCs w:val="32"/>
          <w:highlight w:val="none"/>
        </w:rPr>
        <w:t>（独立保函）</w:t>
      </w:r>
    </w:p>
    <w:p>
      <w:pPr>
        <w:pStyle w:val="25"/>
        <w:shd w:val="clear" w:color="auto" w:fill="auto"/>
        <w:wordWrap w:val="0"/>
        <w:spacing w:line="360" w:lineRule="auto"/>
        <w:jc w:val="righ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 xml:space="preserve">编号：           </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申请人：</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  地址：</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受益人：</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  地址：</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开立人：</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  地址：</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 </w:t>
      </w:r>
    </w:p>
    <w:p>
      <w:pPr>
        <w:pStyle w:val="25"/>
        <w:shd w:val="clear" w:color="auto" w:fill="auto"/>
        <w:spacing w:line="360" w:lineRule="auto"/>
        <w:rPr>
          <w:rStyle w:val="31"/>
          <w:rFonts w:hint="eastAsia" w:ascii="宋体" w:hAnsi="宋体" w:eastAsia="宋体" w:cs="宋体"/>
          <w:color w:val="auto"/>
          <w:sz w:val="24"/>
          <w:szCs w:val="24"/>
          <w:highlight w:val="none"/>
        </w:rPr>
      </w:pPr>
      <w:bookmarkStart w:id="1536" w:name="_Hlk40355074"/>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 xml:space="preserve">（受益人名称）： </w:t>
      </w:r>
    </w:p>
    <w:bookmarkEnd w:id="1536"/>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鉴于</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（以下简称“受益人”）与</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（以下简称“申请人”）于</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年</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月</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日就</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工程（以下简称“本工程”）施工和有关事项协商一致共同签订</w:t>
      </w:r>
      <w:r>
        <w:rPr>
          <w:rStyle w:val="31"/>
          <w:rFonts w:hint="eastAsia" w:ascii="宋体" w:hAnsi="宋体" w:eastAsia="宋体" w:cs="宋体"/>
          <w:color w:val="auto"/>
          <w:sz w:val="24"/>
          <w:szCs w:val="24"/>
          <w:highlight w:val="none"/>
          <w:u w:val="single"/>
        </w:rPr>
        <w:t>《        》</w:t>
      </w:r>
      <w:r>
        <w:rPr>
          <w:rStyle w:val="31"/>
          <w:rFonts w:hint="eastAsia" w:ascii="宋体" w:hAnsi="宋体" w:eastAsia="宋体" w:cs="宋体"/>
          <w:color w:val="auto"/>
          <w:sz w:val="24"/>
          <w:szCs w:val="24"/>
          <w:highlight w:val="none"/>
        </w:rPr>
        <w:t xml:space="preserve">（以下简称基础合同”），我方（即“开立人”）根据基础合同了解到申请人为基础合同项下之发包人，受益人为基础合同项下之承包人，基于申请人的请求，我方同意就申请人履行与贵方签订的基础合同项下的工程款（指基础合同约定的除工程质量保修金以外的工程款）付款义务，向贵方提供不可撤销、不可转让的见索即付独立保函（以下简称“本保函”）。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一、本保函担保范围：申请人未履行基础合同约定的工程款支付义务，应当向贵方承担的违约责任和赔偿因此造成的损失、利息、律师费、诉讼费用等实现债权的费用。</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二、本保函担保金额最高不超过人民币（大写）</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元（¥</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 xml:space="preserve">）。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三、本保函有效期自开立之日起至基础合同约定的除工程质量保修金以外的全部工程结算款项支付之日后</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日止，最迟不超过</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年</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月</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 xml:space="preserve">日。 </w:t>
      </w:r>
    </w:p>
    <w:p>
      <w:pPr>
        <w:pStyle w:val="25"/>
        <w:shd w:val="clear" w:color="auto" w:fill="auto"/>
        <w:spacing w:line="360" w:lineRule="auto"/>
        <w:ind w:firstLine="48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四、我方承诺，在收到受益人发来的书面付款通知后的</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日内无条件支付，前述书面付款通知即为付款要求之单据，且应满足以下要求：</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（1）付款通知到达的日期在本保函的有效期内；</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（2）载明要求支付的金额；</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（3）载明申请人违反合同义务的条款和内容；</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（4）声明不存在合同文件约定或我国法律规定免除申请人或开立人支付责任的情形；</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（5）付款通知应在本保函有效期内到达的地址是：</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受益人发出的书面付款通知应由其为鉴明受益人法定代表人（负责人）或授权代理人签字并加盖公章。</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五、本保函项下的权利不得转让，不得设定担保。贵方未经我方书面同意转 让本保函或其项下任何权利，对我方不发生法律效力。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六、与本保函有关的基础合同不成立、不生效、无效、被撤销、被解除，不影响本保函的独立有效。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八、本保函适用的法律为中华人民共和国法律，争议裁判管辖地为中华人民共和国</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 xml:space="preserve">。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九、本保函自我方法定代表人</w:t>
      </w:r>
      <w:bookmarkStart w:id="1537" w:name="_Hlk58487855"/>
      <w:r>
        <w:rPr>
          <w:rStyle w:val="31"/>
          <w:rFonts w:hint="eastAsia" w:ascii="宋体" w:hAnsi="宋体" w:eastAsia="宋体" w:cs="宋体"/>
          <w:color w:val="auto"/>
          <w:sz w:val="24"/>
          <w:szCs w:val="24"/>
          <w:highlight w:val="none"/>
        </w:rPr>
        <w:t>或授权代表</w:t>
      </w:r>
      <w:bookmarkEnd w:id="1537"/>
      <w:r>
        <w:rPr>
          <w:rStyle w:val="31"/>
          <w:rFonts w:hint="eastAsia" w:ascii="宋体" w:hAnsi="宋体" w:eastAsia="宋体" w:cs="宋体"/>
          <w:color w:val="auto"/>
          <w:sz w:val="24"/>
          <w:szCs w:val="24"/>
          <w:highlight w:val="none"/>
        </w:rPr>
        <w:t xml:space="preserve">签字并加盖公章之日起生效。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开 立 人：                              （公章）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法定代表人（或授权代表）：               （签字）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地    址：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邮政编码：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电    话：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传    真：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开立时间：      年      月        日</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p>
    <w:p>
      <w:pPr>
        <w:pStyle w:val="25"/>
        <w:shd w:val="clear" w:color="auto" w:fill="auto"/>
        <w:spacing w:line="360" w:lineRule="auto"/>
        <w:jc w:val="left"/>
        <w:rPr>
          <w:rStyle w:val="31"/>
          <w:rFonts w:hint="eastAsia" w:ascii="宋体" w:hAnsi="宋体" w:eastAsia="宋体" w:cs="宋体"/>
          <w:color w:val="auto"/>
          <w:sz w:val="32"/>
          <w:szCs w:val="32"/>
          <w:highlight w:val="none"/>
        </w:rPr>
      </w:pPr>
    </w:p>
    <w:p>
      <w:pPr>
        <w:pStyle w:val="25"/>
        <w:shd w:val="clear" w:color="auto" w:fill="auto"/>
        <w:spacing w:line="360" w:lineRule="auto"/>
        <w:jc w:val="left"/>
        <w:rPr>
          <w:rStyle w:val="31"/>
          <w:rFonts w:hint="eastAsia" w:ascii="宋体" w:hAnsi="宋体" w:eastAsia="宋体" w:cs="宋体"/>
          <w:color w:val="auto"/>
          <w:sz w:val="32"/>
          <w:szCs w:val="32"/>
          <w:highlight w:val="none"/>
        </w:rPr>
      </w:pPr>
    </w:p>
    <w:p>
      <w:pPr>
        <w:pStyle w:val="25"/>
        <w:shd w:val="clear" w:color="auto" w:fill="auto"/>
        <w:spacing w:line="360" w:lineRule="auto"/>
        <w:jc w:val="left"/>
        <w:rPr>
          <w:rStyle w:val="31"/>
          <w:rFonts w:hint="eastAsia" w:ascii="宋体" w:hAnsi="宋体" w:eastAsia="宋体" w:cs="宋体"/>
          <w:b/>
          <w:bCs/>
          <w:color w:val="auto"/>
          <w:sz w:val="32"/>
          <w:szCs w:val="32"/>
          <w:highlight w:val="none"/>
        </w:rPr>
      </w:pPr>
      <w:r>
        <w:rPr>
          <w:rStyle w:val="31"/>
          <w:rFonts w:hint="eastAsia" w:ascii="宋体" w:hAnsi="宋体" w:eastAsia="宋体" w:cs="宋体"/>
          <w:color w:val="auto"/>
          <w:sz w:val="32"/>
          <w:szCs w:val="32"/>
          <w:highlight w:val="none"/>
        </w:rPr>
        <w:t>附件9：</w:t>
      </w:r>
    </w:p>
    <w:p>
      <w:pPr>
        <w:pStyle w:val="25"/>
        <w:shd w:val="clear" w:color="auto" w:fill="auto"/>
        <w:spacing w:line="360" w:lineRule="auto"/>
        <w:jc w:val="left"/>
        <w:rPr>
          <w:rStyle w:val="31"/>
          <w:rFonts w:hint="eastAsia" w:ascii="宋体" w:hAnsi="宋体" w:eastAsia="宋体" w:cs="宋体"/>
          <w:b/>
          <w:bCs/>
          <w:color w:val="auto"/>
          <w:sz w:val="32"/>
          <w:szCs w:val="32"/>
          <w:highlight w:val="none"/>
        </w:rPr>
      </w:pPr>
    </w:p>
    <w:p>
      <w:pPr>
        <w:pStyle w:val="25"/>
        <w:shd w:val="clear" w:color="auto" w:fill="auto"/>
        <w:spacing w:line="360" w:lineRule="auto"/>
        <w:jc w:val="center"/>
        <w:rPr>
          <w:rStyle w:val="31"/>
          <w:rFonts w:hint="eastAsia" w:ascii="宋体" w:hAnsi="宋体" w:eastAsia="宋体" w:cs="宋体"/>
          <w:b/>
          <w:bCs/>
          <w:color w:val="auto"/>
          <w:sz w:val="32"/>
          <w:szCs w:val="32"/>
          <w:highlight w:val="none"/>
        </w:rPr>
      </w:pPr>
      <w:r>
        <w:rPr>
          <w:rStyle w:val="31"/>
          <w:rFonts w:hint="eastAsia" w:ascii="宋体" w:hAnsi="宋体" w:eastAsia="宋体" w:cs="宋体"/>
          <w:b/>
          <w:bCs/>
          <w:color w:val="auto"/>
          <w:sz w:val="32"/>
          <w:szCs w:val="32"/>
          <w:highlight w:val="none"/>
        </w:rPr>
        <w:t>支付保函示范文本</w:t>
      </w:r>
    </w:p>
    <w:p>
      <w:pPr>
        <w:pStyle w:val="25"/>
        <w:shd w:val="clear" w:color="auto" w:fill="auto"/>
        <w:spacing w:line="360" w:lineRule="auto"/>
        <w:jc w:val="center"/>
        <w:rPr>
          <w:rStyle w:val="31"/>
          <w:rFonts w:hint="eastAsia" w:ascii="宋体" w:hAnsi="宋体" w:eastAsia="宋体" w:cs="宋体"/>
          <w:b/>
          <w:bCs/>
          <w:color w:val="auto"/>
          <w:sz w:val="32"/>
          <w:szCs w:val="32"/>
          <w:highlight w:val="none"/>
        </w:rPr>
      </w:pPr>
      <w:r>
        <w:rPr>
          <w:rStyle w:val="31"/>
          <w:rFonts w:hint="eastAsia" w:ascii="宋体" w:hAnsi="宋体" w:eastAsia="宋体" w:cs="宋体"/>
          <w:b/>
          <w:bCs/>
          <w:color w:val="auto"/>
          <w:sz w:val="32"/>
          <w:szCs w:val="32"/>
          <w:highlight w:val="none"/>
        </w:rPr>
        <w:t>（非独立保函）</w:t>
      </w:r>
    </w:p>
    <w:p>
      <w:pPr>
        <w:pStyle w:val="25"/>
        <w:shd w:val="clear" w:color="auto" w:fill="auto"/>
        <w:wordWrap w:val="0"/>
        <w:spacing w:line="360" w:lineRule="auto"/>
        <w:jc w:val="righ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 xml:space="preserve">编号：      </w:t>
      </w:r>
    </w:p>
    <w:p>
      <w:pPr>
        <w:pStyle w:val="25"/>
        <w:shd w:val="clear" w:color="auto" w:fill="auto"/>
        <w:wordWrap w:val="0"/>
        <w:spacing w:line="360" w:lineRule="auto"/>
        <w:jc w:val="righ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 xml:space="preserve">     </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发包人：</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地址：</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担保权人/承包人： </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地址：</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保证人：</w:t>
      </w: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地址：</w:t>
      </w:r>
    </w:p>
    <w:p>
      <w:pPr>
        <w:pStyle w:val="25"/>
        <w:shd w:val="clear" w:color="auto" w:fill="auto"/>
        <w:spacing w:line="360" w:lineRule="auto"/>
        <w:rPr>
          <w:rStyle w:val="31"/>
          <w:rFonts w:hint="eastAsia" w:ascii="宋体" w:hAnsi="宋体" w:eastAsia="宋体" w:cs="宋体"/>
          <w:color w:val="auto"/>
          <w:sz w:val="24"/>
          <w:szCs w:val="24"/>
          <w:highlight w:val="none"/>
        </w:rPr>
      </w:pPr>
    </w:p>
    <w:p>
      <w:pPr>
        <w:pStyle w:val="25"/>
        <w:shd w:val="clear" w:color="auto" w:fill="auto"/>
        <w:spacing w:line="360" w:lineRule="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 xml:space="preserve">（承包人名称）：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鉴于</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（以下简称“发包人”）与</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（以下简称“承包人”）于</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年</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月</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日就</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工程（以下简称“本工程”）施工和有关事项协商一致共同签订</w:t>
      </w:r>
      <w:r>
        <w:rPr>
          <w:rStyle w:val="31"/>
          <w:rFonts w:hint="eastAsia" w:ascii="宋体" w:hAnsi="宋体" w:eastAsia="宋体" w:cs="宋体"/>
          <w:color w:val="auto"/>
          <w:sz w:val="24"/>
          <w:szCs w:val="24"/>
          <w:highlight w:val="none"/>
          <w:u w:val="single"/>
        </w:rPr>
        <w:t>《        》</w:t>
      </w:r>
      <w:r>
        <w:rPr>
          <w:rStyle w:val="31"/>
          <w:rFonts w:hint="eastAsia" w:ascii="宋体" w:hAnsi="宋体" w:eastAsia="宋体" w:cs="宋体"/>
          <w:color w:val="auto"/>
          <w:sz w:val="24"/>
          <w:szCs w:val="24"/>
          <w:highlight w:val="none"/>
        </w:rPr>
        <w:t xml:space="preserve">（以下简称“主合同”），我方即保证人基于发包人的请求，同意就发包人履行与贵方签订的主合同项下的工程款（指主合同约定的除工程质量保修金以外的全部工程结算款项）付款义务，向贵方提供如下保证担保（以下简称“本保证担保”）。 </w:t>
      </w:r>
    </w:p>
    <w:p>
      <w:pPr>
        <w:pStyle w:val="25"/>
        <w:shd w:val="clear" w:color="auto" w:fill="auto"/>
        <w:spacing w:line="360" w:lineRule="auto"/>
        <w:ind w:firstLine="482" w:firstLineChars="200"/>
        <w:rPr>
          <w:rStyle w:val="31"/>
          <w:rFonts w:hint="eastAsia" w:ascii="宋体" w:hAnsi="宋体" w:eastAsia="宋体" w:cs="宋体"/>
          <w:b/>
          <w:bCs/>
          <w:color w:val="auto"/>
          <w:sz w:val="24"/>
          <w:szCs w:val="24"/>
          <w:highlight w:val="none"/>
        </w:rPr>
      </w:pPr>
      <w:r>
        <w:rPr>
          <w:rStyle w:val="31"/>
          <w:rFonts w:hint="eastAsia" w:ascii="宋体" w:hAnsi="宋体" w:eastAsia="宋体" w:cs="宋体"/>
          <w:b/>
          <w:bCs/>
          <w:color w:val="auto"/>
          <w:sz w:val="24"/>
          <w:szCs w:val="24"/>
          <w:highlight w:val="none"/>
        </w:rPr>
        <w:t>一、保证担保的范围及保证担保金额</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1.保证担保范围：申请人未履行主合同约定的工程款支付义务，应当向贵方承担的违约责任和赔偿因此造成的损失、利息、律师费、诉讼费用等实现债权的费用。</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2.保证担保金额最高不超过人民币（大写）</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元（¥</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 xml:space="preserve">）。 </w:t>
      </w:r>
    </w:p>
    <w:p>
      <w:pPr>
        <w:pStyle w:val="25"/>
        <w:shd w:val="clear" w:color="auto" w:fill="auto"/>
        <w:spacing w:line="360" w:lineRule="auto"/>
        <w:ind w:firstLine="482" w:firstLineChars="200"/>
        <w:rPr>
          <w:rStyle w:val="31"/>
          <w:rFonts w:hint="eastAsia" w:ascii="宋体" w:hAnsi="宋体" w:eastAsia="宋体" w:cs="宋体"/>
          <w:b/>
          <w:bCs/>
          <w:color w:val="auto"/>
          <w:sz w:val="24"/>
          <w:szCs w:val="24"/>
          <w:highlight w:val="none"/>
        </w:rPr>
      </w:pPr>
      <w:r>
        <w:rPr>
          <w:rStyle w:val="31"/>
          <w:rFonts w:hint="eastAsia" w:ascii="宋体" w:hAnsi="宋体" w:eastAsia="宋体" w:cs="宋体"/>
          <w:b/>
          <w:bCs/>
          <w:color w:val="auto"/>
          <w:sz w:val="24"/>
          <w:szCs w:val="24"/>
          <w:highlight w:val="none"/>
        </w:rPr>
        <w:t xml:space="preserve">二、保证担保的方式及保证期间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1.保证担保方式：连带责任保证。</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2.保证期间：自出具之日起至主合同约定的除工程质量保修金以外的工程款支付之日后</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日止，最迟不超过</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年</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月</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 xml:space="preserve">日。 </w:t>
      </w:r>
    </w:p>
    <w:p>
      <w:pPr>
        <w:pStyle w:val="25"/>
        <w:shd w:val="clear" w:color="auto" w:fill="auto"/>
        <w:spacing w:line="360" w:lineRule="auto"/>
        <w:ind w:firstLine="482" w:firstLineChars="200"/>
        <w:rPr>
          <w:rStyle w:val="31"/>
          <w:rFonts w:hint="eastAsia" w:ascii="宋体" w:hAnsi="宋体" w:eastAsia="宋体" w:cs="宋体"/>
          <w:b/>
          <w:bCs/>
          <w:color w:val="auto"/>
          <w:sz w:val="24"/>
          <w:szCs w:val="24"/>
          <w:highlight w:val="none"/>
        </w:rPr>
      </w:pPr>
      <w:r>
        <w:rPr>
          <w:rStyle w:val="31"/>
          <w:rFonts w:hint="eastAsia" w:ascii="宋体" w:hAnsi="宋体" w:eastAsia="宋体" w:cs="宋体"/>
          <w:b/>
          <w:bCs/>
          <w:color w:val="auto"/>
          <w:sz w:val="24"/>
          <w:szCs w:val="24"/>
          <w:highlight w:val="none"/>
        </w:rPr>
        <w:t>三、承担保证担保责任的形式</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发包人未按合同约定向贵方支付主合同项下工程款的，由我方在保证金额内代为支付，并赔偿因此给贵方造成的损失，以及利息和律师费、诉讼费用等实现债权的费用。</w:t>
      </w:r>
    </w:p>
    <w:p>
      <w:pPr>
        <w:pStyle w:val="25"/>
        <w:shd w:val="clear" w:color="auto" w:fill="auto"/>
        <w:spacing w:line="360" w:lineRule="auto"/>
        <w:ind w:firstLine="482" w:firstLineChars="200"/>
        <w:rPr>
          <w:rStyle w:val="31"/>
          <w:rFonts w:hint="eastAsia" w:ascii="宋体" w:hAnsi="宋体" w:eastAsia="宋体" w:cs="宋体"/>
          <w:b/>
          <w:bCs/>
          <w:color w:val="auto"/>
          <w:sz w:val="24"/>
          <w:szCs w:val="24"/>
          <w:highlight w:val="none"/>
        </w:rPr>
      </w:pPr>
      <w:r>
        <w:rPr>
          <w:rStyle w:val="31"/>
          <w:rFonts w:hint="eastAsia" w:ascii="宋体" w:hAnsi="宋体" w:eastAsia="宋体" w:cs="宋体"/>
          <w:b/>
          <w:bCs/>
          <w:color w:val="auto"/>
          <w:sz w:val="24"/>
          <w:szCs w:val="24"/>
          <w:highlight w:val="none"/>
        </w:rPr>
        <w:t xml:space="preserve">四、代偿的安排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1.贵方要求我方承担保证责任的，应向我方发出书面索赔通知及发包人未支付主合同约定工程款的证明材料。索赔通知应写明要求索赔的金额，支付款项应到达的帐号。</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3.我方收到贵方的书面索赔通知及相应证明材料后，在</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工作日内进行核定后按照本保函的承诺承担保证责任。</w:t>
      </w:r>
    </w:p>
    <w:p>
      <w:pPr>
        <w:pStyle w:val="25"/>
        <w:shd w:val="clear" w:color="auto" w:fill="auto"/>
        <w:spacing w:line="360" w:lineRule="auto"/>
        <w:ind w:firstLine="482" w:firstLineChars="200"/>
        <w:rPr>
          <w:rStyle w:val="31"/>
          <w:rFonts w:hint="eastAsia" w:ascii="宋体" w:hAnsi="宋体" w:eastAsia="宋体" w:cs="宋体"/>
          <w:b/>
          <w:bCs/>
          <w:color w:val="auto"/>
          <w:sz w:val="24"/>
          <w:szCs w:val="24"/>
          <w:highlight w:val="none"/>
        </w:rPr>
      </w:pPr>
      <w:r>
        <w:rPr>
          <w:rStyle w:val="31"/>
          <w:rFonts w:hint="eastAsia" w:ascii="宋体" w:hAnsi="宋体" w:eastAsia="宋体" w:cs="宋体"/>
          <w:b/>
          <w:bCs/>
          <w:color w:val="auto"/>
          <w:sz w:val="24"/>
          <w:szCs w:val="24"/>
          <w:highlight w:val="none"/>
        </w:rPr>
        <w:t xml:space="preserve">五、保证担保责任的解除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1.保证期间届满贵方未向我方书面主张保证责任的，自保证期间届满次日起，我方解除保证责任。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2.我方按照本保证担保向贵方履行了保证担保责任后，自我方向贵方支付的金额达到最高保证担保金额之日起，保证担保责任解除。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3.按照法律法规的规定应解除我方保证担保责任的其它情形的，我方在本保证担保项下的保证担保责任亦解除。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pPr>
        <w:pStyle w:val="25"/>
        <w:shd w:val="clear" w:color="auto" w:fill="auto"/>
        <w:spacing w:line="360" w:lineRule="auto"/>
        <w:ind w:firstLine="482" w:firstLineChars="200"/>
        <w:rPr>
          <w:rStyle w:val="31"/>
          <w:rFonts w:hint="eastAsia" w:ascii="宋体" w:hAnsi="宋体" w:eastAsia="宋体" w:cs="宋体"/>
          <w:b/>
          <w:bCs/>
          <w:color w:val="auto"/>
          <w:sz w:val="24"/>
          <w:szCs w:val="24"/>
          <w:highlight w:val="none"/>
        </w:rPr>
      </w:pPr>
      <w:r>
        <w:rPr>
          <w:rStyle w:val="31"/>
          <w:rFonts w:hint="eastAsia" w:ascii="宋体" w:hAnsi="宋体" w:eastAsia="宋体" w:cs="宋体"/>
          <w:b/>
          <w:bCs/>
          <w:color w:val="auto"/>
          <w:sz w:val="24"/>
          <w:szCs w:val="24"/>
          <w:highlight w:val="none"/>
        </w:rPr>
        <w:t xml:space="preserve">六、免责条款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1.因贵方原因致使发包人未履行主合同项下工程款付款义务的，我方不承担保证担保责任。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2.依照法律规定或贵方与发包人的另行约定，免除发包人部分或全部义务的，我方亦免除其相应的保证担保责任。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3.因不可抗力造成发包人未履行主合同项下工程款付款义务的，我方不承担保证担保责任。</w:t>
      </w:r>
    </w:p>
    <w:p>
      <w:pPr>
        <w:pStyle w:val="25"/>
        <w:shd w:val="clear" w:color="auto" w:fill="auto"/>
        <w:spacing w:line="360" w:lineRule="auto"/>
        <w:ind w:firstLine="482" w:firstLineChars="200"/>
        <w:rPr>
          <w:rStyle w:val="31"/>
          <w:rFonts w:hint="eastAsia" w:ascii="宋体" w:hAnsi="宋体" w:eastAsia="宋体" w:cs="宋体"/>
          <w:b/>
          <w:bCs/>
          <w:color w:val="auto"/>
          <w:sz w:val="24"/>
          <w:szCs w:val="24"/>
          <w:highlight w:val="none"/>
        </w:rPr>
      </w:pPr>
      <w:r>
        <w:rPr>
          <w:rStyle w:val="31"/>
          <w:rFonts w:hint="eastAsia" w:ascii="宋体" w:hAnsi="宋体" w:eastAsia="宋体" w:cs="宋体"/>
          <w:b/>
          <w:bCs/>
          <w:color w:val="auto"/>
          <w:sz w:val="24"/>
          <w:szCs w:val="24"/>
          <w:highlight w:val="none"/>
        </w:rPr>
        <w:t>七、其他</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1.本保证担保项下的权利不得转让，不得设定担保。贵方未经我方书面同意转让本保证担保或其项下任何权利，对我方不发生法律效力。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2.本保证担保适用的法律为中华人民共和国法律，争议裁判管辖地为中华人民共和国</w:t>
      </w:r>
      <w:r>
        <w:rPr>
          <w:rStyle w:val="31"/>
          <w:rFonts w:hint="eastAsia" w:ascii="宋体" w:hAnsi="宋体" w:eastAsia="宋体" w:cs="宋体"/>
          <w:color w:val="auto"/>
          <w:sz w:val="24"/>
          <w:szCs w:val="24"/>
          <w:highlight w:val="none"/>
          <w:u w:val="single"/>
        </w:rPr>
        <w:t xml:space="preserve">     </w:t>
      </w:r>
      <w:r>
        <w:rPr>
          <w:rStyle w:val="31"/>
          <w:rFonts w:hint="eastAsia" w:ascii="宋体" w:hAnsi="宋体" w:eastAsia="宋体" w:cs="宋体"/>
          <w:color w:val="auto"/>
          <w:sz w:val="24"/>
          <w:szCs w:val="24"/>
          <w:highlight w:val="none"/>
        </w:rPr>
        <w:t xml:space="preserve">。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3.本保证担保自我方法定代表人或授权代表签字并加盖公章之日起生效。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保 证 人：                              （公章）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法定代表人（或授权代表）：               （签字）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地    址：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邮政编码：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电    话：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 xml:space="preserve">传    真：                 </w:t>
      </w: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时    间：      年      月        日</w:t>
      </w:r>
    </w:p>
    <w:p>
      <w:pPr>
        <w:pStyle w:val="25"/>
        <w:shd w:val="clear" w:color="auto" w:fill="auto"/>
        <w:rPr>
          <w:rStyle w:val="31"/>
          <w:rFonts w:hint="eastAsia" w:ascii="宋体" w:hAnsi="宋体" w:eastAsia="宋体" w:cs="宋体"/>
          <w:color w:val="auto"/>
          <w:highlight w:val="none"/>
        </w:rPr>
      </w:pPr>
    </w:p>
    <w:p>
      <w:pPr>
        <w:pStyle w:val="25"/>
        <w:shd w:val="clear" w:color="auto" w:fill="auto"/>
        <w:spacing w:line="360" w:lineRule="auto"/>
        <w:ind w:firstLine="480" w:firstLineChars="200"/>
        <w:rPr>
          <w:rStyle w:val="31"/>
          <w:rFonts w:hint="eastAsia" w:ascii="宋体" w:hAnsi="宋体" w:eastAsia="宋体" w:cs="宋体"/>
          <w:color w:val="auto"/>
          <w:sz w:val="24"/>
          <w:szCs w:val="24"/>
          <w:highlight w:val="none"/>
        </w:rPr>
      </w:pPr>
    </w:p>
    <w:p>
      <w:pPr>
        <w:pStyle w:val="25"/>
        <w:shd w:val="clear" w:color="auto" w:fill="auto"/>
        <w:spacing w:line="360" w:lineRule="auto"/>
        <w:ind w:firstLine="420" w:firstLineChars="200"/>
        <w:rPr>
          <w:rStyle w:val="31"/>
          <w:rFonts w:hint="eastAsia" w:ascii="宋体" w:hAnsi="宋体" w:eastAsia="宋体" w:cs="宋体"/>
          <w:color w:val="auto"/>
          <w:highlight w:val="none"/>
        </w:rPr>
      </w:pPr>
    </w:p>
    <w:p>
      <w:pPr>
        <w:pStyle w:val="25"/>
        <w:shd w:val="clear" w:color="auto" w:fill="auto"/>
        <w:jc w:val="left"/>
        <w:rPr>
          <w:rStyle w:val="31"/>
          <w:rFonts w:hint="eastAsia" w:ascii="宋体" w:hAnsi="宋体" w:eastAsia="宋体" w:cs="宋体"/>
          <w:color w:val="auto"/>
          <w:sz w:val="30"/>
          <w:szCs w:val="30"/>
          <w:highlight w:val="none"/>
        </w:rPr>
      </w:pPr>
      <w:r>
        <w:rPr>
          <w:rStyle w:val="31"/>
          <w:rFonts w:hint="eastAsia" w:ascii="宋体" w:hAnsi="宋体" w:eastAsia="宋体" w:cs="宋体"/>
          <w:color w:val="auto"/>
          <w:sz w:val="30"/>
          <w:szCs w:val="30"/>
          <w:highlight w:val="none"/>
        </w:rPr>
        <w:t xml:space="preserve"> </w:t>
      </w:r>
    </w:p>
    <w:p>
      <w:pPr>
        <w:pStyle w:val="25"/>
        <w:shd w:val="clear" w:color="auto" w:fill="auto"/>
        <w:jc w:val="left"/>
        <w:rPr>
          <w:rStyle w:val="31"/>
          <w:rFonts w:hint="eastAsia" w:ascii="宋体" w:hAnsi="宋体" w:eastAsia="宋体" w:cs="宋体"/>
          <w:color w:val="auto"/>
          <w:sz w:val="30"/>
          <w:szCs w:val="30"/>
          <w:highlight w:val="none"/>
        </w:rPr>
      </w:pPr>
    </w:p>
    <w:p>
      <w:pPr>
        <w:pStyle w:val="25"/>
        <w:shd w:val="clear" w:color="auto" w:fill="auto"/>
        <w:jc w:val="left"/>
        <w:rPr>
          <w:rStyle w:val="31"/>
          <w:rFonts w:hint="eastAsia" w:ascii="宋体" w:hAnsi="宋体" w:eastAsia="宋体" w:cs="宋体"/>
          <w:color w:val="auto"/>
          <w:sz w:val="30"/>
          <w:szCs w:val="30"/>
          <w:highlight w:val="none"/>
        </w:rPr>
      </w:pPr>
    </w:p>
    <w:p>
      <w:pPr>
        <w:pStyle w:val="25"/>
        <w:shd w:val="clear" w:color="auto" w:fill="auto"/>
        <w:jc w:val="left"/>
        <w:rPr>
          <w:rStyle w:val="31"/>
          <w:rFonts w:hint="eastAsia" w:ascii="宋体" w:hAnsi="宋体" w:eastAsia="宋体" w:cs="宋体"/>
          <w:color w:val="auto"/>
          <w:sz w:val="30"/>
          <w:szCs w:val="30"/>
          <w:highlight w:val="none"/>
        </w:rPr>
      </w:pPr>
    </w:p>
    <w:p>
      <w:pPr>
        <w:pStyle w:val="25"/>
        <w:shd w:val="clear" w:color="auto" w:fill="auto"/>
        <w:jc w:val="left"/>
        <w:rPr>
          <w:rStyle w:val="31"/>
          <w:rFonts w:hint="eastAsia" w:ascii="宋体" w:hAnsi="宋体" w:eastAsia="宋体" w:cs="宋体"/>
          <w:color w:val="auto"/>
          <w:sz w:val="30"/>
          <w:szCs w:val="30"/>
          <w:highlight w:val="none"/>
        </w:rPr>
      </w:pPr>
    </w:p>
    <w:p>
      <w:pPr>
        <w:pStyle w:val="25"/>
        <w:shd w:val="clear" w:color="auto" w:fill="auto"/>
        <w:jc w:val="left"/>
        <w:rPr>
          <w:rStyle w:val="31"/>
          <w:rFonts w:hint="eastAsia" w:ascii="宋体" w:hAnsi="宋体" w:eastAsia="宋体" w:cs="宋体"/>
          <w:color w:val="auto"/>
          <w:sz w:val="30"/>
          <w:szCs w:val="30"/>
          <w:highlight w:val="none"/>
        </w:rPr>
      </w:pPr>
    </w:p>
    <w:p>
      <w:pPr>
        <w:pStyle w:val="25"/>
        <w:shd w:val="clear" w:color="auto" w:fill="auto"/>
        <w:jc w:val="left"/>
        <w:rPr>
          <w:rStyle w:val="31"/>
          <w:rFonts w:hint="eastAsia" w:ascii="宋体" w:hAnsi="宋体" w:eastAsia="宋体" w:cs="宋体"/>
          <w:color w:val="auto"/>
          <w:sz w:val="30"/>
          <w:szCs w:val="30"/>
          <w:highlight w:val="none"/>
        </w:rPr>
      </w:pPr>
    </w:p>
    <w:p>
      <w:pPr>
        <w:pStyle w:val="25"/>
        <w:shd w:val="clear" w:color="auto" w:fill="auto"/>
        <w:jc w:val="left"/>
        <w:rPr>
          <w:rStyle w:val="31"/>
          <w:rFonts w:hint="eastAsia" w:ascii="宋体" w:hAnsi="宋体" w:eastAsia="宋体" w:cs="宋体"/>
          <w:color w:val="auto"/>
          <w:sz w:val="30"/>
          <w:szCs w:val="30"/>
          <w:highlight w:val="none"/>
        </w:rPr>
      </w:pPr>
    </w:p>
    <w:p>
      <w:pPr>
        <w:pStyle w:val="25"/>
        <w:shd w:val="clear" w:color="auto" w:fill="auto"/>
        <w:jc w:val="left"/>
        <w:rPr>
          <w:rStyle w:val="31"/>
          <w:rFonts w:hint="eastAsia" w:ascii="宋体" w:hAnsi="宋体" w:eastAsia="宋体" w:cs="宋体"/>
          <w:color w:val="auto"/>
          <w:sz w:val="30"/>
          <w:szCs w:val="30"/>
          <w:highlight w:val="none"/>
        </w:rPr>
      </w:pPr>
    </w:p>
    <w:p>
      <w:pPr>
        <w:pStyle w:val="25"/>
        <w:shd w:val="clear" w:color="auto" w:fill="auto"/>
        <w:jc w:val="left"/>
        <w:rPr>
          <w:rStyle w:val="31"/>
          <w:rFonts w:hint="eastAsia" w:ascii="宋体" w:hAnsi="宋体" w:eastAsia="宋体" w:cs="宋体"/>
          <w:color w:val="auto"/>
          <w:sz w:val="30"/>
          <w:szCs w:val="30"/>
          <w:highlight w:val="none"/>
        </w:rPr>
      </w:pPr>
    </w:p>
    <w:p>
      <w:pPr>
        <w:pStyle w:val="25"/>
        <w:shd w:val="clear" w:color="auto" w:fill="auto"/>
        <w:jc w:val="left"/>
        <w:rPr>
          <w:rStyle w:val="31"/>
          <w:rFonts w:hint="eastAsia" w:ascii="宋体" w:hAnsi="宋体" w:eastAsia="宋体" w:cs="宋体"/>
          <w:color w:val="auto"/>
          <w:sz w:val="30"/>
          <w:szCs w:val="30"/>
          <w:highlight w:val="none"/>
        </w:rPr>
      </w:pPr>
    </w:p>
    <w:p>
      <w:pPr>
        <w:pStyle w:val="25"/>
        <w:shd w:val="clear" w:color="auto" w:fill="auto"/>
        <w:jc w:val="left"/>
        <w:rPr>
          <w:rStyle w:val="31"/>
          <w:rFonts w:hint="eastAsia" w:ascii="宋体" w:hAnsi="宋体" w:eastAsia="宋体" w:cs="宋体"/>
          <w:color w:val="auto"/>
          <w:sz w:val="30"/>
          <w:szCs w:val="30"/>
          <w:highlight w:val="none"/>
        </w:rPr>
      </w:pPr>
    </w:p>
    <w:p>
      <w:pPr>
        <w:pStyle w:val="25"/>
        <w:shd w:val="clear" w:color="auto" w:fill="auto"/>
        <w:jc w:val="left"/>
        <w:rPr>
          <w:rStyle w:val="31"/>
          <w:rFonts w:hint="eastAsia" w:ascii="宋体" w:hAnsi="宋体" w:eastAsia="宋体" w:cs="宋体"/>
          <w:color w:val="auto"/>
          <w:sz w:val="30"/>
          <w:szCs w:val="30"/>
          <w:highlight w:val="none"/>
        </w:rPr>
      </w:pPr>
    </w:p>
    <w:p>
      <w:pPr>
        <w:pStyle w:val="25"/>
        <w:shd w:val="clear" w:color="auto" w:fill="auto"/>
        <w:jc w:val="left"/>
        <w:rPr>
          <w:rStyle w:val="31"/>
          <w:rFonts w:hint="eastAsia" w:ascii="宋体" w:hAnsi="宋体" w:eastAsia="宋体" w:cs="宋体"/>
          <w:color w:val="auto"/>
          <w:sz w:val="30"/>
          <w:szCs w:val="30"/>
          <w:highlight w:val="none"/>
        </w:rPr>
      </w:pPr>
    </w:p>
    <w:p>
      <w:pPr>
        <w:pStyle w:val="25"/>
        <w:shd w:val="clear" w:color="auto" w:fill="auto"/>
        <w:jc w:val="left"/>
        <w:rPr>
          <w:rStyle w:val="31"/>
          <w:rFonts w:hint="eastAsia" w:ascii="宋体" w:hAnsi="宋体" w:eastAsia="宋体" w:cs="宋体"/>
          <w:color w:val="auto"/>
          <w:sz w:val="30"/>
          <w:szCs w:val="30"/>
          <w:highlight w:val="none"/>
        </w:rPr>
      </w:pPr>
    </w:p>
    <w:p>
      <w:pPr>
        <w:pStyle w:val="25"/>
        <w:shd w:val="clear" w:color="auto" w:fill="auto"/>
        <w:jc w:val="left"/>
        <w:rPr>
          <w:rStyle w:val="31"/>
          <w:rFonts w:hint="eastAsia" w:ascii="宋体" w:hAnsi="宋体" w:eastAsia="宋体" w:cs="宋体"/>
          <w:color w:val="auto"/>
          <w:sz w:val="30"/>
          <w:szCs w:val="30"/>
          <w:highlight w:val="none"/>
        </w:rPr>
      </w:pPr>
      <w:r>
        <w:rPr>
          <w:rStyle w:val="31"/>
          <w:rFonts w:hint="eastAsia" w:ascii="宋体" w:hAnsi="宋体" w:eastAsia="宋体" w:cs="宋体"/>
          <w:color w:val="auto"/>
          <w:sz w:val="30"/>
          <w:szCs w:val="30"/>
          <w:highlight w:val="none"/>
        </w:rPr>
        <w:t>附件10：</w:t>
      </w:r>
    </w:p>
    <w:p>
      <w:pPr>
        <w:pStyle w:val="25"/>
        <w:shd w:val="clear" w:color="auto" w:fill="auto"/>
        <w:jc w:val="center"/>
        <w:rPr>
          <w:rStyle w:val="31"/>
          <w:rFonts w:hint="eastAsia" w:ascii="宋体" w:hAnsi="宋体" w:eastAsia="宋体" w:cs="宋体"/>
          <w:b/>
          <w:color w:val="auto"/>
          <w:sz w:val="36"/>
          <w:szCs w:val="36"/>
          <w:highlight w:val="none"/>
        </w:rPr>
      </w:pPr>
      <w:r>
        <w:rPr>
          <w:rStyle w:val="31"/>
          <w:rFonts w:hint="eastAsia" w:ascii="宋体" w:hAnsi="宋体" w:eastAsia="宋体" w:cs="宋体"/>
          <w:b/>
          <w:color w:val="auto"/>
          <w:sz w:val="36"/>
          <w:szCs w:val="36"/>
          <w:highlight w:val="none"/>
        </w:rPr>
        <w:t>预付款支付申请（核准）表</w:t>
      </w:r>
    </w:p>
    <w:p>
      <w:pPr>
        <w:pStyle w:val="25"/>
        <w:shd w:val="clear" w:color="auto" w:fill="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工程名称：                                             编号：</w:t>
      </w:r>
    </w:p>
    <w:tbl>
      <w:tblPr>
        <w:tblStyle w:val="2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8"/>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8" w:hRule="atLeast"/>
          <w:jc w:val="center"/>
        </w:trPr>
        <w:tc>
          <w:tcPr>
            <w:tcW w:w="9072" w:type="dxa"/>
            <w:gridSpan w:val="2"/>
            <w:noWrap w:val="0"/>
            <w:vAlign w:val="top"/>
          </w:tcPr>
          <w:p>
            <w:pPr>
              <w:pStyle w:val="25"/>
              <w:shd w:val="clear" w:color="auto" w:fill="auto"/>
              <w:spacing w:line="480" w:lineRule="exact"/>
              <w:ind w:left="540" w:leftChars="149" w:hanging="212" w:hangingChars="101"/>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致：</w:t>
            </w:r>
            <w:r>
              <w:rPr>
                <w:rStyle w:val="31"/>
                <w:rFonts w:hint="eastAsia" w:ascii="宋体" w:hAnsi="宋体" w:eastAsia="宋体" w:cs="宋体"/>
                <w:color w:val="auto"/>
                <w:highlight w:val="none"/>
                <w:u w:val="single"/>
              </w:rPr>
              <w:t xml:space="preserve">                                   （发包人全称）</w:t>
            </w:r>
          </w:p>
          <w:p>
            <w:pPr>
              <w:pStyle w:val="25"/>
              <w:shd w:val="clear" w:color="auto" w:fill="auto"/>
              <w:spacing w:line="400" w:lineRule="exact"/>
              <w:ind w:left="-4" w:leftChars="-2" w:firstLine="315" w:firstLineChars="15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我方根据施工合同的约定，现申请支付工程预付款额为(大写)</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元，(小写)</w:t>
            </w:r>
          </w:p>
          <w:p>
            <w:pPr>
              <w:pStyle w:val="25"/>
              <w:shd w:val="clear" w:color="auto" w:fill="auto"/>
              <w:spacing w:line="40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元，请予核准。</w:t>
            </w:r>
          </w:p>
          <w:tbl>
            <w:tblPr>
              <w:tblStyle w:val="29"/>
              <w:tblpPr w:leftFromText="180" w:rightFromText="180" w:vertAnchor="page" w:horzAnchor="margin" w:tblpY="1309"/>
              <w:tblOverlap w:val="never"/>
              <w:tblW w:w="895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764"/>
              <w:gridCol w:w="2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序号</w:t>
                  </w:r>
                </w:p>
              </w:tc>
              <w:tc>
                <w:tcPr>
                  <w:tcW w:w="3340" w:type="dxa"/>
                  <w:noWrap w:val="0"/>
                  <w:vAlign w:val="center"/>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名      称</w:t>
                  </w:r>
                </w:p>
              </w:tc>
              <w:tc>
                <w:tcPr>
                  <w:tcW w:w="1764" w:type="dxa"/>
                  <w:noWrap w:val="0"/>
                  <w:vAlign w:val="center"/>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申请金额（元）</w:t>
                  </w:r>
                </w:p>
              </w:tc>
              <w:tc>
                <w:tcPr>
                  <w:tcW w:w="2240" w:type="dxa"/>
                  <w:noWrap w:val="0"/>
                  <w:vAlign w:val="center"/>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复核金额（元）</w:t>
                  </w:r>
                </w:p>
              </w:tc>
              <w:tc>
                <w:tcPr>
                  <w:tcW w:w="1080" w:type="dxa"/>
                  <w:noWrap w:val="0"/>
                  <w:vAlign w:val="center"/>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1</w:t>
                  </w:r>
                </w:p>
              </w:tc>
              <w:tc>
                <w:tcPr>
                  <w:tcW w:w="33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已签约合同价款金额</w:t>
                  </w:r>
                </w:p>
              </w:tc>
              <w:tc>
                <w:tcPr>
                  <w:tcW w:w="1764"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22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08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2</w:t>
                  </w:r>
                </w:p>
              </w:tc>
              <w:tc>
                <w:tcPr>
                  <w:tcW w:w="33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其中：安全文明施工费</w:t>
                  </w:r>
                </w:p>
              </w:tc>
              <w:tc>
                <w:tcPr>
                  <w:tcW w:w="1764"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22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08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3</w:t>
                  </w:r>
                </w:p>
              </w:tc>
              <w:tc>
                <w:tcPr>
                  <w:tcW w:w="33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应支付的预付款</w:t>
                  </w:r>
                </w:p>
              </w:tc>
              <w:tc>
                <w:tcPr>
                  <w:tcW w:w="1764"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22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08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4</w:t>
                  </w:r>
                </w:p>
              </w:tc>
              <w:tc>
                <w:tcPr>
                  <w:tcW w:w="33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应支付的安全文明施工费预付款</w:t>
                  </w:r>
                </w:p>
              </w:tc>
              <w:tc>
                <w:tcPr>
                  <w:tcW w:w="1764"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22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08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5</w:t>
                  </w:r>
                </w:p>
              </w:tc>
              <w:tc>
                <w:tcPr>
                  <w:tcW w:w="33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合计应支付的预付款</w:t>
                  </w:r>
                </w:p>
              </w:tc>
              <w:tc>
                <w:tcPr>
                  <w:tcW w:w="1764"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22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08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p>
              </w:tc>
              <w:tc>
                <w:tcPr>
                  <w:tcW w:w="33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764"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22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08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bl>
          <w:p>
            <w:pPr>
              <w:pStyle w:val="25"/>
              <w:shd w:val="clear" w:color="auto" w:fill="auto"/>
              <w:wordWrap w:val="0"/>
              <w:spacing w:line="400" w:lineRule="exact"/>
              <w:ind w:right="420"/>
              <w:rPr>
                <w:rStyle w:val="31"/>
                <w:rFonts w:hint="eastAsia" w:ascii="宋体" w:hAnsi="宋体" w:eastAsia="宋体" w:cs="宋体"/>
                <w:color w:val="auto"/>
                <w:highlight w:val="none"/>
              </w:rPr>
            </w:pPr>
          </w:p>
          <w:p>
            <w:pPr>
              <w:pStyle w:val="25"/>
              <w:shd w:val="clear" w:color="auto" w:fill="auto"/>
              <w:wordWrap w:val="0"/>
              <w:spacing w:line="400" w:lineRule="exact"/>
              <w:ind w:right="42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 xml:space="preserve">                                            承包人（章）             </w:t>
            </w:r>
          </w:p>
          <w:p>
            <w:pPr>
              <w:pStyle w:val="25"/>
              <w:shd w:val="clear" w:color="auto" w:fill="auto"/>
              <w:spacing w:line="400" w:lineRule="exact"/>
              <w:ind w:right="420" w:firstLine="435"/>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造价人员</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承包人代表</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日      期</w:t>
            </w:r>
            <w:r>
              <w:rPr>
                <w:rStyle w:val="31"/>
                <w:rFonts w:hint="eastAsia" w:ascii="宋体" w:hAnsi="宋体" w:eastAsia="宋体" w:cs="宋体"/>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noWrap w:val="0"/>
            <w:vAlign w:val="top"/>
          </w:tcPr>
          <w:p>
            <w:pPr>
              <w:pStyle w:val="25"/>
              <w:shd w:val="clear" w:color="auto" w:fill="auto"/>
              <w:spacing w:line="36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复核意见：</w:t>
            </w:r>
          </w:p>
          <w:p>
            <w:pPr>
              <w:pStyle w:val="25"/>
              <w:shd w:val="clear" w:color="auto" w:fill="auto"/>
              <w:spacing w:line="360" w:lineRule="exact"/>
              <w:ind w:firstLine="312"/>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□与合同约定不相符，修改意见见附件。</w:t>
            </w:r>
          </w:p>
          <w:p>
            <w:pPr>
              <w:pStyle w:val="25"/>
              <w:shd w:val="clear" w:color="auto" w:fill="auto"/>
              <w:spacing w:line="360" w:lineRule="exact"/>
              <w:ind w:firstLine="312"/>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□与合同约定相符，具体金额由造价工程师复核。</w:t>
            </w:r>
          </w:p>
          <w:p>
            <w:pPr>
              <w:pStyle w:val="25"/>
              <w:shd w:val="clear" w:color="auto" w:fill="auto"/>
              <w:spacing w:line="360" w:lineRule="exact"/>
              <w:ind w:firstLine="435"/>
              <w:jc w:val="right"/>
              <w:rPr>
                <w:rStyle w:val="31"/>
                <w:rFonts w:hint="eastAsia" w:ascii="宋体" w:hAnsi="宋体" w:eastAsia="宋体" w:cs="宋体"/>
                <w:color w:val="auto"/>
                <w:highlight w:val="none"/>
              </w:rPr>
            </w:pPr>
          </w:p>
          <w:p>
            <w:pPr>
              <w:pStyle w:val="25"/>
              <w:shd w:val="clear" w:color="auto" w:fill="auto"/>
              <w:spacing w:line="360" w:lineRule="exact"/>
              <w:ind w:firstLine="435"/>
              <w:jc w:val="center"/>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 xml:space="preserve">         监理工程师</w:t>
            </w:r>
            <w:r>
              <w:rPr>
                <w:rStyle w:val="31"/>
                <w:rFonts w:hint="eastAsia" w:ascii="宋体" w:hAnsi="宋体" w:eastAsia="宋体" w:cs="宋体"/>
                <w:color w:val="auto"/>
                <w:highlight w:val="none"/>
                <w:u w:val="single"/>
              </w:rPr>
              <w:t xml:space="preserve">           </w:t>
            </w:r>
          </w:p>
          <w:p>
            <w:pPr>
              <w:pStyle w:val="25"/>
              <w:shd w:val="clear" w:color="auto" w:fill="auto"/>
              <w:spacing w:line="360" w:lineRule="exact"/>
              <w:ind w:firstLine="435"/>
              <w:jc w:val="center"/>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 xml:space="preserve">        日      期</w:t>
            </w:r>
            <w:r>
              <w:rPr>
                <w:rStyle w:val="31"/>
                <w:rFonts w:hint="eastAsia" w:ascii="宋体" w:hAnsi="宋体" w:eastAsia="宋体" w:cs="宋体"/>
                <w:color w:val="auto"/>
                <w:highlight w:val="none"/>
                <w:u w:val="single"/>
              </w:rPr>
              <w:t xml:space="preserve">           </w:t>
            </w:r>
          </w:p>
        </w:tc>
        <w:tc>
          <w:tcPr>
            <w:tcW w:w="4552" w:type="dxa"/>
            <w:noWrap w:val="0"/>
            <w:vAlign w:val="top"/>
          </w:tcPr>
          <w:p>
            <w:pPr>
              <w:pStyle w:val="25"/>
              <w:shd w:val="clear" w:color="auto" w:fill="auto"/>
              <w:spacing w:line="36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复核意见：</w:t>
            </w:r>
          </w:p>
          <w:p>
            <w:pPr>
              <w:pStyle w:val="25"/>
              <w:shd w:val="clear" w:color="auto" w:fill="auto"/>
              <w:spacing w:line="360" w:lineRule="exact"/>
              <w:ind w:firstLine="435"/>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你方提出的支付申请经复核，应支付预付款金额为(大写)</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元，（小写）</w:t>
            </w:r>
          </w:p>
          <w:p>
            <w:pPr>
              <w:pStyle w:val="25"/>
              <w:shd w:val="clear" w:color="auto" w:fill="auto"/>
              <w:spacing w:line="36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 xml:space="preserve"> 元。</w:t>
            </w:r>
          </w:p>
          <w:p>
            <w:pPr>
              <w:pStyle w:val="25"/>
              <w:shd w:val="clear" w:color="auto" w:fill="auto"/>
              <w:spacing w:line="360" w:lineRule="exact"/>
              <w:rPr>
                <w:rStyle w:val="31"/>
                <w:rFonts w:hint="eastAsia" w:ascii="宋体" w:hAnsi="宋体" w:eastAsia="宋体" w:cs="宋体"/>
                <w:color w:val="auto"/>
                <w:highlight w:val="none"/>
                <w:u w:val="single"/>
              </w:rPr>
            </w:pPr>
          </w:p>
          <w:p>
            <w:pPr>
              <w:pStyle w:val="25"/>
              <w:shd w:val="clear" w:color="auto" w:fill="auto"/>
              <w:spacing w:line="360" w:lineRule="exact"/>
              <w:ind w:firstLine="435"/>
              <w:jc w:val="center"/>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 xml:space="preserve">        造价工程师</w:t>
            </w:r>
            <w:r>
              <w:rPr>
                <w:rStyle w:val="31"/>
                <w:rFonts w:hint="eastAsia" w:ascii="宋体" w:hAnsi="宋体" w:eastAsia="宋体" w:cs="宋体"/>
                <w:color w:val="auto"/>
                <w:highlight w:val="none"/>
                <w:u w:val="single"/>
              </w:rPr>
              <w:t xml:space="preserve">           </w:t>
            </w:r>
          </w:p>
          <w:p>
            <w:pPr>
              <w:pStyle w:val="25"/>
              <w:shd w:val="clear" w:color="auto" w:fill="auto"/>
              <w:spacing w:line="360" w:lineRule="exact"/>
              <w:ind w:firstLine="435"/>
              <w:jc w:val="center"/>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 xml:space="preserve">        日      期</w:t>
            </w:r>
            <w:r>
              <w:rPr>
                <w:rStyle w:val="31"/>
                <w:rFonts w:hint="eastAsia" w:ascii="宋体" w:hAnsi="宋体" w:eastAsia="宋体" w:cs="宋体"/>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pPr>
              <w:pStyle w:val="25"/>
              <w:shd w:val="clear" w:color="auto" w:fill="auto"/>
              <w:spacing w:line="40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审核意见：</w:t>
            </w:r>
          </w:p>
          <w:p>
            <w:pPr>
              <w:pStyle w:val="25"/>
              <w:shd w:val="clear" w:color="auto" w:fill="auto"/>
              <w:spacing w:line="400" w:lineRule="exact"/>
              <w:ind w:firstLine="435"/>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□不同意。</w:t>
            </w:r>
          </w:p>
          <w:p>
            <w:pPr>
              <w:pStyle w:val="25"/>
              <w:shd w:val="clear" w:color="auto" w:fill="auto"/>
              <w:spacing w:line="400" w:lineRule="exact"/>
              <w:ind w:firstLine="420" w:firstLineChars="20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□同意，支付时间为本表签发后的15天内。</w:t>
            </w:r>
          </w:p>
          <w:p>
            <w:pPr>
              <w:pStyle w:val="25"/>
              <w:shd w:val="clear" w:color="auto" w:fill="auto"/>
              <w:wordWrap w:val="0"/>
              <w:spacing w:line="400" w:lineRule="exact"/>
              <w:ind w:firstLine="420" w:firstLineChars="200"/>
              <w:jc w:val="righ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 xml:space="preserve">发包人（章）           </w:t>
            </w:r>
          </w:p>
          <w:p>
            <w:pPr>
              <w:pStyle w:val="25"/>
              <w:shd w:val="clear" w:color="auto" w:fill="auto"/>
              <w:wordWrap w:val="0"/>
              <w:spacing w:line="400" w:lineRule="exact"/>
              <w:ind w:firstLine="420" w:firstLineChars="200"/>
              <w:jc w:val="right"/>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发包人代表</w:t>
            </w:r>
            <w:r>
              <w:rPr>
                <w:rStyle w:val="31"/>
                <w:rFonts w:hint="eastAsia" w:ascii="宋体" w:hAnsi="宋体" w:eastAsia="宋体" w:cs="宋体"/>
                <w:color w:val="auto"/>
                <w:highlight w:val="none"/>
                <w:u w:val="single"/>
              </w:rPr>
              <w:t xml:space="preserve">             </w:t>
            </w:r>
          </w:p>
          <w:p>
            <w:pPr>
              <w:pStyle w:val="25"/>
              <w:shd w:val="clear" w:color="auto" w:fill="auto"/>
              <w:wordWrap w:val="0"/>
              <w:spacing w:line="400" w:lineRule="exact"/>
              <w:ind w:firstLine="420" w:firstLineChars="200"/>
              <w:jc w:val="right"/>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日      期</w:t>
            </w:r>
            <w:r>
              <w:rPr>
                <w:rStyle w:val="31"/>
                <w:rFonts w:hint="eastAsia" w:ascii="宋体" w:hAnsi="宋体" w:eastAsia="宋体" w:cs="宋体"/>
                <w:color w:val="auto"/>
                <w:highlight w:val="none"/>
                <w:u w:val="single"/>
              </w:rPr>
              <w:t xml:space="preserve">             </w:t>
            </w:r>
          </w:p>
        </w:tc>
      </w:tr>
    </w:tbl>
    <w:p>
      <w:pPr>
        <w:pStyle w:val="25"/>
        <w:shd w:val="clear" w:color="auto" w:fill="auto"/>
        <w:spacing w:before="120" w:beforeLines="50"/>
        <w:ind w:firstLine="360" w:firstLineChars="200"/>
        <w:rPr>
          <w:rStyle w:val="31"/>
          <w:rFonts w:hint="eastAsia" w:ascii="宋体" w:hAnsi="宋体" w:eastAsia="宋体" w:cs="宋体"/>
          <w:color w:val="auto"/>
          <w:sz w:val="18"/>
          <w:szCs w:val="18"/>
          <w:highlight w:val="none"/>
        </w:rPr>
      </w:pPr>
      <w:r>
        <w:rPr>
          <w:rStyle w:val="31"/>
          <w:rFonts w:hint="eastAsia" w:ascii="宋体" w:hAnsi="宋体" w:eastAsia="宋体" w:cs="宋体"/>
          <w:color w:val="auto"/>
          <w:sz w:val="18"/>
          <w:szCs w:val="18"/>
          <w:highlight w:val="none"/>
        </w:rPr>
        <w:t xml:space="preserve">注：1.在选择栏中的“□”内作标识“√”。 </w:t>
      </w:r>
    </w:p>
    <w:p>
      <w:pPr>
        <w:pStyle w:val="25"/>
        <w:shd w:val="clear" w:color="auto" w:fill="auto"/>
        <w:spacing w:before="120" w:beforeLines="50"/>
        <w:ind w:left="720" w:hanging="720" w:hangingChars="400"/>
        <w:rPr>
          <w:rStyle w:val="31"/>
          <w:rFonts w:hint="eastAsia" w:ascii="宋体" w:hAnsi="宋体" w:eastAsia="宋体" w:cs="宋体"/>
          <w:color w:val="auto"/>
          <w:sz w:val="30"/>
          <w:szCs w:val="30"/>
          <w:highlight w:val="none"/>
        </w:rPr>
      </w:pPr>
      <w:r>
        <w:rPr>
          <w:rStyle w:val="31"/>
          <w:rFonts w:hint="eastAsia" w:ascii="宋体" w:hAnsi="宋体" w:eastAsia="宋体" w:cs="宋体"/>
          <w:color w:val="auto"/>
          <w:sz w:val="18"/>
          <w:szCs w:val="18"/>
          <w:highlight w:val="none"/>
        </w:rPr>
        <w:t xml:space="preserve">        2.本表一式四份，由承包人填报，发包人、监理人、造价咨询人、承包人各存一份。</w:t>
      </w:r>
    </w:p>
    <w:p>
      <w:pPr>
        <w:pStyle w:val="25"/>
        <w:shd w:val="clear" w:color="auto" w:fill="auto"/>
        <w:spacing w:before="120" w:beforeLines="50"/>
        <w:ind w:left="1200" w:hanging="1200" w:hangingChars="400"/>
        <w:rPr>
          <w:rStyle w:val="31"/>
          <w:rFonts w:hint="eastAsia" w:ascii="宋体" w:hAnsi="宋体" w:eastAsia="宋体" w:cs="宋体"/>
          <w:color w:val="auto"/>
          <w:sz w:val="30"/>
          <w:szCs w:val="30"/>
          <w:highlight w:val="none"/>
        </w:rPr>
      </w:pPr>
    </w:p>
    <w:p>
      <w:pPr>
        <w:pStyle w:val="25"/>
        <w:shd w:val="clear" w:color="auto" w:fill="auto"/>
        <w:spacing w:before="120" w:beforeLines="50"/>
        <w:ind w:left="1200" w:hanging="1200" w:hangingChars="400"/>
        <w:rPr>
          <w:rStyle w:val="31"/>
          <w:rFonts w:hint="eastAsia" w:ascii="宋体" w:hAnsi="宋体" w:eastAsia="宋体" w:cs="宋体"/>
          <w:color w:val="auto"/>
          <w:sz w:val="30"/>
          <w:szCs w:val="30"/>
          <w:highlight w:val="none"/>
        </w:rPr>
      </w:pPr>
      <w:r>
        <w:rPr>
          <w:rStyle w:val="31"/>
          <w:rFonts w:hint="eastAsia" w:ascii="宋体" w:hAnsi="宋体" w:eastAsia="宋体" w:cs="宋体"/>
          <w:color w:val="auto"/>
          <w:sz w:val="30"/>
          <w:szCs w:val="30"/>
          <w:highlight w:val="none"/>
        </w:rPr>
        <w:t>附件11：</w:t>
      </w:r>
    </w:p>
    <w:p>
      <w:pPr>
        <w:pStyle w:val="25"/>
        <w:shd w:val="clear" w:color="auto" w:fill="auto"/>
        <w:jc w:val="center"/>
        <w:rPr>
          <w:rStyle w:val="31"/>
          <w:rFonts w:hint="eastAsia" w:ascii="宋体" w:hAnsi="宋体" w:eastAsia="宋体" w:cs="宋体"/>
          <w:b/>
          <w:color w:val="auto"/>
          <w:sz w:val="36"/>
          <w:szCs w:val="36"/>
          <w:highlight w:val="none"/>
        </w:rPr>
      </w:pPr>
      <w:r>
        <w:rPr>
          <w:rStyle w:val="31"/>
          <w:rFonts w:hint="eastAsia" w:ascii="宋体" w:hAnsi="宋体" w:eastAsia="宋体" w:cs="宋体"/>
          <w:b/>
          <w:color w:val="auto"/>
          <w:sz w:val="36"/>
          <w:szCs w:val="36"/>
          <w:highlight w:val="none"/>
        </w:rPr>
        <w:t>进度款支付申请（核准）表</w:t>
      </w:r>
    </w:p>
    <w:p>
      <w:pPr>
        <w:pStyle w:val="25"/>
        <w:shd w:val="clear" w:color="auto" w:fill="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工程名称：                                             编号：</w:t>
      </w:r>
    </w:p>
    <w:tbl>
      <w:tblPr>
        <w:tblStyle w:val="2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0"/>
        <w:gridCol w:w="4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noWrap w:val="0"/>
            <w:vAlign w:val="top"/>
          </w:tcPr>
          <w:p>
            <w:pPr>
              <w:pStyle w:val="25"/>
              <w:shd w:val="clear" w:color="auto" w:fill="auto"/>
              <w:spacing w:line="480" w:lineRule="exact"/>
              <w:ind w:left="540" w:leftChars="149" w:hanging="212" w:hangingChars="101"/>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致：</w:t>
            </w:r>
            <w:r>
              <w:rPr>
                <w:rStyle w:val="31"/>
                <w:rFonts w:hint="eastAsia" w:ascii="宋体" w:hAnsi="宋体" w:eastAsia="宋体" w:cs="宋体"/>
                <w:color w:val="auto"/>
                <w:highlight w:val="none"/>
                <w:u w:val="single"/>
              </w:rPr>
              <w:t xml:space="preserve">                                   （发包人全称）</w:t>
            </w:r>
          </w:p>
          <w:p>
            <w:pPr>
              <w:pStyle w:val="25"/>
              <w:shd w:val="clear" w:color="auto" w:fill="auto"/>
              <w:spacing w:line="400" w:lineRule="exact"/>
              <w:ind w:left="-4" w:leftChars="-2" w:firstLine="315" w:firstLineChars="15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我方于</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至</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期间已完成了</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工作，根据施工合同的约定，现申请支付本期的合同款额为(大写)</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元，(小写)</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元，请予核准。</w:t>
            </w:r>
          </w:p>
          <w:tbl>
            <w:tblPr>
              <w:tblStyle w:val="29"/>
              <w:tblpPr w:leftFromText="180" w:rightFromText="180" w:vertAnchor="page" w:horzAnchor="margin" w:tblpY="1309"/>
              <w:tblOverlap w:val="never"/>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275"/>
              <w:gridCol w:w="1328"/>
              <w:gridCol w:w="1426"/>
              <w:gridCol w:w="1250"/>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序号</w:t>
                  </w:r>
                </w:p>
              </w:tc>
              <w:tc>
                <w:tcPr>
                  <w:tcW w:w="3340" w:type="dxa"/>
                  <w:noWrap w:val="0"/>
                  <w:vAlign w:val="center"/>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名      称</w:t>
                  </w:r>
                </w:p>
              </w:tc>
              <w:tc>
                <w:tcPr>
                  <w:tcW w:w="1340" w:type="dxa"/>
                  <w:noWrap w:val="0"/>
                  <w:vAlign w:val="center"/>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实际金额（元）</w:t>
                  </w:r>
                </w:p>
              </w:tc>
              <w:tc>
                <w:tcPr>
                  <w:tcW w:w="1440" w:type="dxa"/>
                  <w:noWrap w:val="0"/>
                  <w:vAlign w:val="center"/>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申请金额（元）</w:t>
                  </w:r>
                </w:p>
              </w:tc>
              <w:tc>
                <w:tcPr>
                  <w:tcW w:w="1260" w:type="dxa"/>
                  <w:noWrap w:val="0"/>
                  <w:vAlign w:val="center"/>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复核金额（元）</w:t>
                  </w:r>
                </w:p>
              </w:tc>
              <w:tc>
                <w:tcPr>
                  <w:tcW w:w="931" w:type="dxa"/>
                  <w:noWrap w:val="0"/>
                  <w:vAlign w:val="center"/>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1</w:t>
                  </w:r>
                </w:p>
              </w:tc>
              <w:tc>
                <w:tcPr>
                  <w:tcW w:w="33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累计已完成的工程价款</w:t>
                  </w:r>
                </w:p>
              </w:tc>
              <w:tc>
                <w:tcPr>
                  <w:tcW w:w="13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4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26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931"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p>
              </w:tc>
              <w:tc>
                <w:tcPr>
                  <w:tcW w:w="33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其中：人工费</w:t>
                  </w:r>
                </w:p>
              </w:tc>
              <w:tc>
                <w:tcPr>
                  <w:tcW w:w="13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4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26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931"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2</w:t>
                  </w:r>
                </w:p>
              </w:tc>
              <w:tc>
                <w:tcPr>
                  <w:tcW w:w="33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累计已实际支付的工程价款</w:t>
                  </w:r>
                </w:p>
              </w:tc>
              <w:tc>
                <w:tcPr>
                  <w:tcW w:w="13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4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26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931"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p>
              </w:tc>
              <w:tc>
                <w:tcPr>
                  <w:tcW w:w="33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其中：人工费</w:t>
                  </w:r>
                </w:p>
              </w:tc>
              <w:tc>
                <w:tcPr>
                  <w:tcW w:w="13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4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26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931"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3</w:t>
                  </w:r>
                </w:p>
              </w:tc>
              <w:tc>
                <w:tcPr>
                  <w:tcW w:w="33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本周期已完成的工程价款</w:t>
                  </w:r>
                </w:p>
              </w:tc>
              <w:tc>
                <w:tcPr>
                  <w:tcW w:w="13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4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26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931"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p>
              </w:tc>
              <w:tc>
                <w:tcPr>
                  <w:tcW w:w="33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其中：人工费</w:t>
                  </w:r>
                </w:p>
              </w:tc>
              <w:tc>
                <w:tcPr>
                  <w:tcW w:w="13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4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26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931"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4</w:t>
                  </w:r>
                </w:p>
              </w:tc>
              <w:tc>
                <w:tcPr>
                  <w:tcW w:w="33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本周期应扣减的金额</w:t>
                  </w:r>
                </w:p>
              </w:tc>
              <w:tc>
                <w:tcPr>
                  <w:tcW w:w="13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4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26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931"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4.1</w:t>
                  </w:r>
                </w:p>
              </w:tc>
              <w:tc>
                <w:tcPr>
                  <w:tcW w:w="33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本周期实际应抵扣的预付款</w:t>
                  </w:r>
                </w:p>
              </w:tc>
              <w:tc>
                <w:tcPr>
                  <w:tcW w:w="13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4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26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931"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4.2</w:t>
                  </w:r>
                </w:p>
              </w:tc>
              <w:tc>
                <w:tcPr>
                  <w:tcW w:w="33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本周期应扣减的金额</w:t>
                  </w:r>
                </w:p>
              </w:tc>
              <w:tc>
                <w:tcPr>
                  <w:tcW w:w="13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4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26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931"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5</w:t>
                  </w:r>
                </w:p>
              </w:tc>
              <w:tc>
                <w:tcPr>
                  <w:tcW w:w="33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本周期应支付的合同价款</w:t>
                  </w:r>
                </w:p>
              </w:tc>
              <w:tc>
                <w:tcPr>
                  <w:tcW w:w="13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4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26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931"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p>
              </w:tc>
              <w:tc>
                <w:tcPr>
                  <w:tcW w:w="33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其中：人工费</w:t>
                  </w:r>
                </w:p>
              </w:tc>
              <w:tc>
                <w:tcPr>
                  <w:tcW w:w="13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44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26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931"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bl>
          <w:p>
            <w:pPr>
              <w:pStyle w:val="25"/>
              <w:shd w:val="clear" w:color="auto" w:fill="auto"/>
              <w:wordWrap w:val="0"/>
              <w:spacing w:line="400" w:lineRule="exact"/>
              <w:ind w:right="42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附：上述3、4详见附件清单。</w:t>
            </w:r>
          </w:p>
          <w:p>
            <w:pPr>
              <w:pStyle w:val="25"/>
              <w:shd w:val="clear" w:color="auto" w:fill="auto"/>
              <w:wordWrap w:val="0"/>
              <w:spacing w:line="400" w:lineRule="exact"/>
              <w:ind w:right="42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 xml:space="preserve">                                            承包人（章）             </w:t>
            </w:r>
          </w:p>
          <w:p>
            <w:pPr>
              <w:pStyle w:val="25"/>
              <w:shd w:val="clear" w:color="auto" w:fill="auto"/>
              <w:spacing w:line="400" w:lineRule="exact"/>
              <w:ind w:right="420" w:firstLine="435"/>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造价人员</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承包人代表</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日      期</w:t>
            </w:r>
            <w:r>
              <w:rPr>
                <w:rStyle w:val="31"/>
                <w:rFonts w:hint="eastAsia" w:ascii="宋体" w:hAnsi="宋体" w:eastAsia="宋体" w:cs="宋体"/>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noWrap w:val="0"/>
            <w:vAlign w:val="top"/>
          </w:tcPr>
          <w:p>
            <w:pPr>
              <w:pStyle w:val="25"/>
              <w:shd w:val="clear" w:color="auto" w:fill="auto"/>
              <w:spacing w:line="36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复核意见：</w:t>
            </w:r>
          </w:p>
          <w:p>
            <w:pPr>
              <w:pStyle w:val="25"/>
              <w:shd w:val="clear" w:color="auto" w:fill="auto"/>
              <w:spacing w:line="360" w:lineRule="exact"/>
              <w:ind w:firstLine="312"/>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□与实际施工情况不相符，修改意见见附件。</w:t>
            </w:r>
          </w:p>
          <w:p>
            <w:pPr>
              <w:pStyle w:val="25"/>
              <w:shd w:val="clear" w:color="auto" w:fill="auto"/>
              <w:spacing w:line="360" w:lineRule="exact"/>
              <w:ind w:firstLine="312"/>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□与实际施工情况相符，具体金额由造价工程师复核。</w:t>
            </w:r>
          </w:p>
          <w:p>
            <w:pPr>
              <w:pStyle w:val="25"/>
              <w:shd w:val="clear" w:color="auto" w:fill="auto"/>
              <w:spacing w:line="360" w:lineRule="exact"/>
              <w:ind w:firstLine="435"/>
              <w:jc w:val="right"/>
              <w:rPr>
                <w:rStyle w:val="31"/>
                <w:rFonts w:hint="eastAsia" w:ascii="宋体" w:hAnsi="宋体" w:eastAsia="宋体" w:cs="宋体"/>
                <w:color w:val="auto"/>
                <w:highlight w:val="none"/>
              </w:rPr>
            </w:pPr>
          </w:p>
          <w:p>
            <w:pPr>
              <w:pStyle w:val="25"/>
              <w:shd w:val="clear" w:color="auto" w:fill="auto"/>
              <w:spacing w:line="360" w:lineRule="exact"/>
              <w:ind w:firstLine="435"/>
              <w:jc w:val="center"/>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 xml:space="preserve">         监理工程师</w:t>
            </w:r>
            <w:r>
              <w:rPr>
                <w:rStyle w:val="31"/>
                <w:rFonts w:hint="eastAsia" w:ascii="宋体" w:hAnsi="宋体" w:eastAsia="宋体" w:cs="宋体"/>
                <w:color w:val="auto"/>
                <w:highlight w:val="none"/>
                <w:u w:val="single"/>
              </w:rPr>
              <w:t xml:space="preserve">           </w:t>
            </w:r>
          </w:p>
          <w:p>
            <w:pPr>
              <w:pStyle w:val="25"/>
              <w:shd w:val="clear" w:color="auto" w:fill="auto"/>
              <w:spacing w:line="360" w:lineRule="exact"/>
              <w:ind w:firstLine="435"/>
              <w:jc w:val="center"/>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 xml:space="preserve">        日      期</w:t>
            </w:r>
            <w:r>
              <w:rPr>
                <w:rStyle w:val="31"/>
                <w:rFonts w:hint="eastAsia" w:ascii="宋体" w:hAnsi="宋体" w:eastAsia="宋体" w:cs="宋体"/>
                <w:color w:val="auto"/>
                <w:highlight w:val="none"/>
                <w:u w:val="single"/>
              </w:rPr>
              <w:t xml:space="preserve">           </w:t>
            </w:r>
          </w:p>
        </w:tc>
        <w:tc>
          <w:tcPr>
            <w:tcW w:w="4552" w:type="dxa"/>
            <w:noWrap w:val="0"/>
            <w:vAlign w:val="top"/>
          </w:tcPr>
          <w:p>
            <w:pPr>
              <w:pStyle w:val="25"/>
              <w:shd w:val="clear" w:color="auto" w:fill="auto"/>
              <w:spacing w:line="36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复核意见：</w:t>
            </w:r>
          </w:p>
          <w:p>
            <w:pPr>
              <w:pStyle w:val="25"/>
              <w:shd w:val="clear" w:color="auto" w:fill="auto"/>
              <w:spacing w:line="360" w:lineRule="exact"/>
              <w:ind w:firstLine="435"/>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你方提出的支付申请经复核，本周期已完成工程价款为(大写)</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元，（小写）</w:t>
            </w:r>
          </w:p>
          <w:p>
            <w:pPr>
              <w:pStyle w:val="25"/>
              <w:shd w:val="clear" w:color="auto" w:fill="auto"/>
              <w:spacing w:line="36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 xml:space="preserve"> 元，本期间应支付金额为（大写）</w:t>
            </w:r>
          </w:p>
          <w:p>
            <w:pPr>
              <w:pStyle w:val="25"/>
              <w:shd w:val="clear" w:color="auto" w:fill="auto"/>
              <w:spacing w:line="360" w:lineRule="exact"/>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元，（小写）</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元。</w:t>
            </w:r>
          </w:p>
          <w:p>
            <w:pPr>
              <w:pStyle w:val="25"/>
              <w:shd w:val="clear" w:color="auto" w:fill="auto"/>
              <w:spacing w:line="360" w:lineRule="exact"/>
              <w:ind w:firstLine="435"/>
              <w:jc w:val="center"/>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 xml:space="preserve">        造价工程师</w:t>
            </w:r>
            <w:r>
              <w:rPr>
                <w:rStyle w:val="31"/>
                <w:rFonts w:hint="eastAsia" w:ascii="宋体" w:hAnsi="宋体" w:eastAsia="宋体" w:cs="宋体"/>
                <w:color w:val="auto"/>
                <w:highlight w:val="none"/>
                <w:u w:val="single"/>
              </w:rPr>
              <w:t xml:space="preserve">           </w:t>
            </w:r>
          </w:p>
          <w:p>
            <w:pPr>
              <w:pStyle w:val="25"/>
              <w:shd w:val="clear" w:color="auto" w:fill="auto"/>
              <w:spacing w:line="360" w:lineRule="exact"/>
              <w:ind w:firstLine="435"/>
              <w:jc w:val="center"/>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 xml:space="preserve">    日      期</w:t>
            </w:r>
            <w:r>
              <w:rPr>
                <w:rStyle w:val="31"/>
                <w:rFonts w:hint="eastAsia" w:ascii="宋体" w:hAnsi="宋体" w:eastAsia="宋体" w:cs="宋体"/>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pPr>
              <w:pStyle w:val="25"/>
              <w:shd w:val="clear" w:color="auto" w:fill="auto"/>
              <w:spacing w:line="40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审核意见：</w:t>
            </w:r>
          </w:p>
          <w:p>
            <w:pPr>
              <w:pStyle w:val="25"/>
              <w:shd w:val="clear" w:color="auto" w:fill="auto"/>
              <w:spacing w:line="400" w:lineRule="exact"/>
              <w:ind w:firstLine="435"/>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□不同意。</w:t>
            </w:r>
          </w:p>
          <w:p>
            <w:pPr>
              <w:pStyle w:val="25"/>
              <w:shd w:val="clear" w:color="auto" w:fill="auto"/>
              <w:spacing w:line="400" w:lineRule="exact"/>
              <w:ind w:firstLine="420" w:firstLineChars="20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□同意，支付时间为本表签发后的15天内。</w:t>
            </w:r>
          </w:p>
          <w:p>
            <w:pPr>
              <w:pStyle w:val="25"/>
              <w:shd w:val="clear" w:color="auto" w:fill="auto"/>
              <w:wordWrap w:val="0"/>
              <w:spacing w:line="400" w:lineRule="exact"/>
              <w:ind w:firstLine="420" w:firstLineChars="200"/>
              <w:jc w:val="righ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 xml:space="preserve">发包人（章）           </w:t>
            </w:r>
          </w:p>
          <w:p>
            <w:pPr>
              <w:pStyle w:val="25"/>
              <w:shd w:val="clear" w:color="auto" w:fill="auto"/>
              <w:wordWrap w:val="0"/>
              <w:spacing w:line="400" w:lineRule="exact"/>
              <w:ind w:firstLine="420" w:firstLineChars="200"/>
              <w:jc w:val="right"/>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发包人代表</w:t>
            </w:r>
            <w:r>
              <w:rPr>
                <w:rStyle w:val="31"/>
                <w:rFonts w:hint="eastAsia" w:ascii="宋体" w:hAnsi="宋体" w:eastAsia="宋体" w:cs="宋体"/>
                <w:color w:val="auto"/>
                <w:highlight w:val="none"/>
                <w:u w:val="single"/>
              </w:rPr>
              <w:t xml:space="preserve">             </w:t>
            </w:r>
          </w:p>
          <w:p>
            <w:pPr>
              <w:pStyle w:val="25"/>
              <w:shd w:val="clear" w:color="auto" w:fill="auto"/>
              <w:wordWrap w:val="0"/>
              <w:spacing w:line="400" w:lineRule="exact"/>
              <w:ind w:firstLine="420" w:firstLineChars="200"/>
              <w:jc w:val="right"/>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日      期</w:t>
            </w:r>
            <w:r>
              <w:rPr>
                <w:rStyle w:val="31"/>
                <w:rFonts w:hint="eastAsia" w:ascii="宋体" w:hAnsi="宋体" w:eastAsia="宋体" w:cs="宋体"/>
                <w:color w:val="auto"/>
                <w:highlight w:val="none"/>
                <w:u w:val="single"/>
              </w:rPr>
              <w:t xml:space="preserve">             </w:t>
            </w:r>
          </w:p>
        </w:tc>
      </w:tr>
    </w:tbl>
    <w:p>
      <w:pPr>
        <w:pStyle w:val="25"/>
        <w:shd w:val="clear" w:color="auto" w:fill="auto"/>
        <w:spacing w:before="120" w:beforeLines="50"/>
        <w:ind w:firstLine="360" w:firstLineChars="200"/>
        <w:rPr>
          <w:rStyle w:val="31"/>
          <w:rFonts w:hint="eastAsia" w:ascii="宋体" w:hAnsi="宋体" w:eastAsia="宋体" w:cs="宋体"/>
          <w:color w:val="auto"/>
          <w:sz w:val="18"/>
          <w:szCs w:val="18"/>
          <w:highlight w:val="none"/>
        </w:rPr>
      </w:pPr>
      <w:r>
        <w:rPr>
          <w:rStyle w:val="31"/>
          <w:rFonts w:hint="eastAsia" w:ascii="宋体" w:hAnsi="宋体" w:eastAsia="宋体" w:cs="宋体"/>
          <w:color w:val="auto"/>
          <w:sz w:val="18"/>
          <w:szCs w:val="18"/>
          <w:highlight w:val="none"/>
        </w:rPr>
        <w:t xml:space="preserve">注：1.在选择栏中的“□”内作标识“√”。 </w:t>
      </w:r>
    </w:p>
    <w:p>
      <w:pPr>
        <w:pStyle w:val="25"/>
        <w:shd w:val="clear" w:color="auto" w:fill="auto"/>
        <w:spacing w:before="120" w:beforeLines="50"/>
        <w:ind w:left="720" w:hanging="720" w:hangingChars="400"/>
        <w:rPr>
          <w:rStyle w:val="31"/>
          <w:rFonts w:hint="eastAsia" w:ascii="宋体" w:hAnsi="宋体" w:eastAsia="宋体" w:cs="宋体"/>
          <w:color w:val="auto"/>
          <w:sz w:val="18"/>
          <w:szCs w:val="18"/>
          <w:highlight w:val="none"/>
        </w:rPr>
      </w:pPr>
      <w:r>
        <w:rPr>
          <w:rStyle w:val="31"/>
          <w:rFonts w:hint="eastAsia" w:ascii="宋体" w:hAnsi="宋体" w:eastAsia="宋体" w:cs="宋体"/>
          <w:color w:val="auto"/>
          <w:sz w:val="18"/>
          <w:szCs w:val="18"/>
          <w:highlight w:val="none"/>
        </w:rPr>
        <w:t xml:space="preserve">        2.本表一式四份，由承包人填报，发包人、监理人、造价咨询人、承包人各存一份。</w:t>
      </w:r>
    </w:p>
    <w:p>
      <w:pPr>
        <w:pStyle w:val="25"/>
        <w:shd w:val="clear" w:color="auto" w:fill="auto"/>
        <w:spacing w:before="120" w:beforeLines="50"/>
        <w:ind w:left="840" w:hanging="840" w:hangingChars="400"/>
        <w:rPr>
          <w:rStyle w:val="31"/>
          <w:rFonts w:hint="eastAsia" w:ascii="宋体" w:hAnsi="宋体" w:eastAsia="宋体" w:cs="宋体"/>
          <w:color w:val="auto"/>
          <w:highlight w:val="none"/>
        </w:rPr>
      </w:pPr>
    </w:p>
    <w:p>
      <w:pPr>
        <w:pStyle w:val="25"/>
        <w:shd w:val="clear" w:color="auto" w:fill="auto"/>
        <w:jc w:val="left"/>
        <w:rPr>
          <w:rStyle w:val="31"/>
          <w:rFonts w:hint="eastAsia" w:ascii="宋体" w:hAnsi="宋体" w:eastAsia="宋体" w:cs="宋体"/>
          <w:color w:val="auto"/>
          <w:sz w:val="30"/>
          <w:szCs w:val="30"/>
          <w:highlight w:val="none"/>
        </w:rPr>
      </w:pPr>
      <w:r>
        <w:rPr>
          <w:rStyle w:val="31"/>
          <w:rFonts w:hint="eastAsia" w:ascii="宋体" w:hAnsi="宋体" w:eastAsia="宋体" w:cs="宋体"/>
          <w:color w:val="auto"/>
          <w:sz w:val="30"/>
          <w:szCs w:val="30"/>
          <w:highlight w:val="none"/>
        </w:rPr>
        <w:t>附件12</w:t>
      </w:r>
    </w:p>
    <w:p>
      <w:pPr>
        <w:pStyle w:val="25"/>
        <w:shd w:val="clear" w:color="auto" w:fill="auto"/>
        <w:jc w:val="center"/>
        <w:rPr>
          <w:rStyle w:val="31"/>
          <w:rFonts w:hint="eastAsia" w:ascii="宋体" w:hAnsi="宋体" w:eastAsia="宋体" w:cs="宋体"/>
          <w:b/>
          <w:color w:val="auto"/>
          <w:sz w:val="36"/>
          <w:szCs w:val="36"/>
          <w:highlight w:val="none"/>
        </w:rPr>
      </w:pPr>
      <w:r>
        <w:rPr>
          <w:rStyle w:val="31"/>
          <w:rFonts w:hint="eastAsia" w:ascii="宋体" w:hAnsi="宋体" w:eastAsia="宋体" w:cs="宋体"/>
          <w:b/>
          <w:color w:val="auto"/>
          <w:sz w:val="36"/>
          <w:szCs w:val="36"/>
          <w:highlight w:val="none"/>
        </w:rPr>
        <w:t>竣工结算款支付申请（核准）表</w:t>
      </w:r>
    </w:p>
    <w:p>
      <w:pPr>
        <w:pStyle w:val="25"/>
        <w:shd w:val="clear" w:color="auto" w:fill="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工程名称：                                              编号：</w:t>
      </w:r>
    </w:p>
    <w:tbl>
      <w:tblPr>
        <w:tblStyle w:val="2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240" w:type="dxa"/>
            <w:gridSpan w:val="2"/>
            <w:noWrap w:val="0"/>
            <w:vAlign w:val="top"/>
          </w:tcPr>
          <w:p>
            <w:pPr>
              <w:pStyle w:val="25"/>
              <w:shd w:val="clear" w:color="auto" w:fill="auto"/>
              <w:spacing w:line="480" w:lineRule="exact"/>
              <w:ind w:left="540" w:leftChars="149" w:hanging="212" w:hangingChars="101"/>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致：</w:t>
            </w:r>
            <w:r>
              <w:rPr>
                <w:rStyle w:val="31"/>
                <w:rFonts w:hint="eastAsia" w:ascii="宋体" w:hAnsi="宋体" w:eastAsia="宋体" w:cs="宋体"/>
                <w:color w:val="auto"/>
                <w:highlight w:val="none"/>
                <w:u w:val="single"/>
              </w:rPr>
              <w:t xml:space="preserve">                                   （发包人全称）</w:t>
            </w:r>
          </w:p>
          <w:p>
            <w:pPr>
              <w:pStyle w:val="25"/>
              <w:shd w:val="clear" w:color="auto" w:fill="auto"/>
              <w:spacing w:line="400" w:lineRule="exact"/>
              <w:ind w:left="-4" w:leftChars="-2" w:firstLine="315" w:firstLineChars="15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我方于</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至</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期间已完成了合同约定的工作，根据施工合同的约定，现申请支付竣工结算的工程款额为(大写)</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元，(小写)</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元，请予核准。</w:t>
            </w:r>
          </w:p>
          <w:tbl>
            <w:tblPr>
              <w:tblStyle w:val="29"/>
              <w:tblpPr w:leftFromText="180" w:rightFromText="180" w:vertAnchor="page" w:horzAnchor="margin" w:tblpY="1309"/>
              <w:tblOverlap w:val="never"/>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3362"/>
              <w:gridCol w:w="1605"/>
              <w:gridCol w:w="1605"/>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序号</w:t>
                  </w:r>
                </w:p>
              </w:tc>
              <w:tc>
                <w:tcPr>
                  <w:tcW w:w="3420" w:type="dxa"/>
                  <w:noWrap w:val="0"/>
                  <w:vAlign w:val="center"/>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名      称</w:t>
                  </w:r>
                </w:p>
              </w:tc>
              <w:tc>
                <w:tcPr>
                  <w:tcW w:w="1620" w:type="dxa"/>
                  <w:noWrap w:val="0"/>
                  <w:vAlign w:val="center"/>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申请金额（元）</w:t>
                  </w:r>
                </w:p>
              </w:tc>
              <w:tc>
                <w:tcPr>
                  <w:tcW w:w="1620" w:type="dxa"/>
                  <w:noWrap w:val="0"/>
                  <w:vAlign w:val="center"/>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复核金额（元）</w:t>
                  </w:r>
                </w:p>
              </w:tc>
              <w:tc>
                <w:tcPr>
                  <w:tcW w:w="1651" w:type="dxa"/>
                  <w:noWrap w:val="0"/>
                  <w:vAlign w:val="center"/>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1</w:t>
                  </w:r>
                </w:p>
              </w:tc>
              <w:tc>
                <w:tcPr>
                  <w:tcW w:w="34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竣工结算合同价款总额</w:t>
                  </w: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51"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2</w:t>
                  </w:r>
                </w:p>
              </w:tc>
              <w:tc>
                <w:tcPr>
                  <w:tcW w:w="34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累计已实际支付的合同价款</w:t>
                  </w: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51"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3</w:t>
                  </w:r>
                </w:p>
              </w:tc>
              <w:tc>
                <w:tcPr>
                  <w:tcW w:w="34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应预留的质量保证金</w:t>
                  </w: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51"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4</w:t>
                  </w:r>
                </w:p>
              </w:tc>
              <w:tc>
                <w:tcPr>
                  <w:tcW w:w="34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应支付的竣工结算款金额</w:t>
                  </w: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51"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p>
              </w:tc>
              <w:tc>
                <w:tcPr>
                  <w:tcW w:w="34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51"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p>
              </w:tc>
              <w:tc>
                <w:tcPr>
                  <w:tcW w:w="34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51"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p>
              </w:tc>
              <w:tc>
                <w:tcPr>
                  <w:tcW w:w="34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51"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p>
              </w:tc>
              <w:tc>
                <w:tcPr>
                  <w:tcW w:w="34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51"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p>
              </w:tc>
              <w:tc>
                <w:tcPr>
                  <w:tcW w:w="34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51"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bl>
          <w:p>
            <w:pPr>
              <w:pStyle w:val="25"/>
              <w:shd w:val="clear" w:color="auto" w:fill="auto"/>
              <w:spacing w:line="400" w:lineRule="exact"/>
              <w:ind w:right="420" w:firstLine="435"/>
              <w:jc w:val="center"/>
              <w:rPr>
                <w:rStyle w:val="31"/>
                <w:rFonts w:hint="eastAsia" w:ascii="宋体" w:hAnsi="宋体" w:eastAsia="宋体" w:cs="宋体"/>
                <w:color w:val="auto"/>
                <w:highlight w:val="none"/>
              </w:rPr>
            </w:pPr>
          </w:p>
          <w:p>
            <w:pPr>
              <w:pStyle w:val="25"/>
              <w:shd w:val="clear" w:color="auto" w:fill="auto"/>
              <w:spacing w:line="400" w:lineRule="exact"/>
              <w:ind w:right="420" w:firstLine="435"/>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 xml:space="preserve">                                            承包人（章）             </w:t>
            </w:r>
          </w:p>
          <w:p>
            <w:pPr>
              <w:pStyle w:val="25"/>
              <w:shd w:val="clear" w:color="auto" w:fill="auto"/>
              <w:spacing w:line="400" w:lineRule="exact"/>
              <w:ind w:right="420" w:firstLine="435"/>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造价人员</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承包人代表</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日      期</w:t>
            </w:r>
            <w:r>
              <w:rPr>
                <w:rStyle w:val="31"/>
                <w:rFonts w:hint="eastAsia" w:ascii="宋体" w:hAnsi="宋体" w:eastAsia="宋体" w:cs="宋体"/>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noWrap w:val="0"/>
            <w:vAlign w:val="top"/>
          </w:tcPr>
          <w:p>
            <w:pPr>
              <w:pStyle w:val="25"/>
              <w:shd w:val="clear" w:color="auto" w:fill="auto"/>
              <w:spacing w:line="36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复核意见：</w:t>
            </w:r>
          </w:p>
          <w:p>
            <w:pPr>
              <w:pStyle w:val="25"/>
              <w:shd w:val="clear" w:color="auto" w:fill="auto"/>
              <w:spacing w:line="360" w:lineRule="exact"/>
              <w:ind w:firstLine="312"/>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□与实际施工情况不相符，修改意见见附件。</w:t>
            </w:r>
          </w:p>
          <w:p>
            <w:pPr>
              <w:pStyle w:val="25"/>
              <w:shd w:val="clear" w:color="auto" w:fill="auto"/>
              <w:spacing w:line="360" w:lineRule="exact"/>
              <w:ind w:firstLine="312"/>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□与实际施工情况相符，具体金额由造价工程师复核。</w:t>
            </w:r>
          </w:p>
          <w:p>
            <w:pPr>
              <w:pStyle w:val="25"/>
              <w:shd w:val="clear" w:color="auto" w:fill="auto"/>
              <w:spacing w:line="360" w:lineRule="exact"/>
              <w:ind w:firstLine="435"/>
              <w:jc w:val="right"/>
              <w:rPr>
                <w:rStyle w:val="31"/>
                <w:rFonts w:hint="eastAsia" w:ascii="宋体" w:hAnsi="宋体" w:eastAsia="宋体" w:cs="宋体"/>
                <w:color w:val="auto"/>
                <w:highlight w:val="none"/>
              </w:rPr>
            </w:pPr>
          </w:p>
          <w:p>
            <w:pPr>
              <w:pStyle w:val="25"/>
              <w:shd w:val="clear" w:color="auto" w:fill="auto"/>
              <w:spacing w:line="360" w:lineRule="exact"/>
              <w:ind w:firstLine="435"/>
              <w:jc w:val="right"/>
              <w:rPr>
                <w:rStyle w:val="31"/>
                <w:rFonts w:hint="eastAsia" w:ascii="宋体" w:hAnsi="宋体" w:eastAsia="宋体" w:cs="宋体"/>
                <w:color w:val="auto"/>
                <w:highlight w:val="none"/>
              </w:rPr>
            </w:pPr>
          </w:p>
          <w:p>
            <w:pPr>
              <w:pStyle w:val="25"/>
              <w:shd w:val="clear" w:color="auto" w:fill="auto"/>
              <w:spacing w:line="360" w:lineRule="exact"/>
              <w:ind w:firstLine="435"/>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 xml:space="preserve">         </w:t>
            </w:r>
          </w:p>
          <w:p>
            <w:pPr>
              <w:pStyle w:val="25"/>
              <w:shd w:val="clear" w:color="auto" w:fill="auto"/>
              <w:spacing w:line="360" w:lineRule="exact"/>
              <w:ind w:firstLine="435"/>
              <w:jc w:val="center"/>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 xml:space="preserve">      监理工程师</w:t>
            </w:r>
            <w:r>
              <w:rPr>
                <w:rStyle w:val="31"/>
                <w:rFonts w:hint="eastAsia" w:ascii="宋体" w:hAnsi="宋体" w:eastAsia="宋体" w:cs="宋体"/>
                <w:color w:val="auto"/>
                <w:highlight w:val="none"/>
                <w:u w:val="single"/>
              </w:rPr>
              <w:t xml:space="preserve">           </w:t>
            </w:r>
          </w:p>
          <w:p>
            <w:pPr>
              <w:pStyle w:val="25"/>
              <w:shd w:val="clear" w:color="auto" w:fill="auto"/>
              <w:spacing w:line="360" w:lineRule="exact"/>
              <w:ind w:firstLine="435"/>
              <w:jc w:val="center"/>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 xml:space="preserve">      日      期</w:t>
            </w:r>
            <w:r>
              <w:rPr>
                <w:rStyle w:val="31"/>
                <w:rFonts w:hint="eastAsia" w:ascii="宋体" w:hAnsi="宋体" w:eastAsia="宋体" w:cs="宋体"/>
                <w:color w:val="auto"/>
                <w:highlight w:val="none"/>
                <w:u w:val="single"/>
              </w:rPr>
              <w:t xml:space="preserve">           </w:t>
            </w:r>
          </w:p>
        </w:tc>
        <w:tc>
          <w:tcPr>
            <w:tcW w:w="4620" w:type="dxa"/>
            <w:noWrap w:val="0"/>
            <w:vAlign w:val="top"/>
          </w:tcPr>
          <w:p>
            <w:pPr>
              <w:pStyle w:val="25"/>
              <w:shd w:val="clear" w:color="auto" w:fill="auto"/>
              <w:spacing w:line="36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复核意见：</w:t>
            </w:r>
          </w:p>
          <w:p>
            <w:pPr>
              <w:pStyle w:val="25"/>
              <w:shd w:val="clear" w:color="auto" w:fill="auto"/>
              <w:spacing w:line="360" w:lineRule="exact"/>
              <w:ind w:firstLine="435"/>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你方提出的竣工结算支付申请经复核，竣工结算款总额为(大写)</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元，（小写）</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 xml:space="preserve"> 元，扣除前期支付以及质量保证金后应支付金额为（大写）</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元，（小写）</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元。</w:t>
            </w:r>
          </w:p>
          <w:p>
            <w:pPr>
              <w:pStyle w:val="25"/>
              <w:shd w:val="clear" w:color="auto" w:fill="auto"/>
              <w:spacing w:line="360" w:lineRule="exact"/>
              <w:ind w:firstLine="435"/>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 xml:space="preserve">    </w:t>
            </w:r>
          </w:p>
          <w:p>
            <w:pPr>
              <w:pStyle w:val="25"/>
              <w:shd w:val="clear" w:color="auto" w:fill="auto"/>
              <w:spacing w:line="360" w:lineRule="exact"/>
              <w:ind w:firstLine="435"/>
              <w:jc w:val="center"/>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 xml:space="preserve">    造价工程师</w:t>
            </w:r>
            <w:r>
              <w:rPr>
                <w:rStyle w:val="31"/>
                <w:rFonts w:hint="eastAsia" w:ascii="宋体" w:hAnsi="宋体" w:eastAsia="宋体" w:cs="宋体"/>
                <w:color w:val="auto"/>
                <w:highlight w:val="none"/>
                <w:u w:val="single"/>
              </w:rPr>
              <w:t xml:space="preserve">           </w:t>
            </w:r>
          </w:p>
          <w:p>
            <w:pPr>
              <w:pStyle w:val="25"/>
              <w:shd w:val="clear" w:color="auto" w:fill="auto"/>
              <w:spacing w:line="360" w:lineRule="exact"/>
              <w:ind w:firstLine="435"/>
              <w:jc w:val="center"/>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 xml:space="preserve">    日      期</w:t>
            </w:r>
            <w:r>
              <w:rPr>
                <w:rStyle w:val="31"/>
                <w:rFonts w:hint="eastAsia" w:ascii="宋体" w:hAnsi="宋体" w:eastAsia="宋体" w:cs="宋体"/>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noWrap w:val="0"/>
            <w:vAlign w:val="top"/>
          </w:tcPr>
          <w:p>
            <w:pPr>
              <w:pStyle w:val="25"/>
              <w:shd w:val="clear" w:color="auto" w:fill="auto"/>
              <w:spacing w:line="40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审核意见：</w:t>
            </w:r>
          </w:p>
          <w:p>
            <w:pPr>
              <w:pStyle w:val="25"/>
              <w:shd w:val="clear" w:color="auto" w:fill="auto"/>
              <w:spacing w:line="400" w:lineRule="exact"/>
              <w:ind w:firstLine="435"/>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□不同意。</w:t>
            </w:r>
          </w:p>
          <w:p>
            <w:pPr>
              <w:pStyle w:val="25"/>
              <w:shd w:val="clear" w:color="auto" w:fill="auto"/>
              <w:spacing w:line="400" w:lineRule="exact"/>
              <w:ind w:firstLine="420" w:firstLineChars="20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□同意，支付时间为本表签发后的15天内。</w:t>
            </w:r>
          </w:p>
          <w:p>
            <w:pPr>
              <w:pStyle w:val="25"/>
              <w:shd w:val="clear" w:color="auto" w:fill="auto"/>
              <w:wordWrap w:val="0"/>
              <w:spacing w:line="400" w:lineRule="exact"/>
              <w:ind w:firstLine="420" w:firstLineChars="200"/>
              <w:jc w:val="righ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 xml:space="preserve">发包人（章）           </w:t>
            </w:r>
          </w:p>
          <w:p>
            <w:pPr>
              <w:pStyle w:val="25"/>
              <w:shd w:val="clear" w:color="auto" w:fill="auto"/>
              <w:wordWrap w:val="0"/>
              <w:spacing w:line="400" w:lineRule="exact"/>
              <w:ind w:firstLine="420" w:firstLineChars="200"/>
              <w:jc w:val="right"/>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发包人代表</w:t>
            </w:r>
            <w:r>
              <w:rPr>
                <w:rStyle w:val="31"/>
                <w:rFonts w:hint="eastAsia" w:ascii="宋体" w:hAnsi="宋体" w:eastAsia="宋体" w:cs="宋体"/>
                <w:color w:val="auto"/>
                <w:highlight w:val="none"/>
                <w:u w:val="single"/>
              </w:rPr>
              <w:t xml:space="preserve">             </w:t>
            </w:r>
          </w:p>
          <w:p>
            <w:pPr>
              <w:pStyle w:val="25"/>
              <w:shd w:val="clear" w:color="auto" w:fill="auto"/>
              <w:wordWrap w:val="0"/>
              <w:spacing w:line="400" w:lineRule="exact"/>
              <w:ind w:firstLine="420" w:firstLineChars="200"/>
              <w:jc w:val="right"/>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日      期</w:t>
            </w:r>
            <w:r>
              <w:rPr>
                <w:rStyle w:val="31"/>
                <w:rFonts w:hint="eastAsia" w:ascii="宋体" w:hAnsi="宋体" w:eastAsia="宋体" w:cs="宋体"/>
                <w:color w:val="auto"/>
                <w:highlight w:val="none"/>
                <w:u w:val="single"/>
              </w:rPr>
              <w:t xml:space="preserve">             </w:t>
            </w:r>
          </w:p>
        </w:tc>
      </w:tr>
    </w:tbl>
    <w:p>
      <w:pPr>
        <w:pStyle w:val="25"/>
        <w:shd w:val="clear" w:color="auto" w:fill="auto"/>
        <w:spacing w:before="120" w:beforeLines="50"/>
        <w:ind w:firstLine="360" w:firstLineChars="200"/>
        <w:rPr>
          <w:rStyle w:val="31"/>
          <w:rFonts w:hint="eastAsia" w:ascii="宋体" w:hAnsi="宋体" w:eastAsia="宋体" w:cs="宋体"/>
          <w:color w:val="auto"/>
          <w:sz w:val="18"/>
          <w:szCs w:val="18"/>
          <w:highlight w:val="none"/>
        </w:rPr>
      </w:pPr>
      <w:r>
        <w:rPr>
          <w:rStyle w:val="31"/>
          <w:rFonts w:hint="eastAsia" w:ascii="宋体" w:hAnsi="宋体" w:eastAsia="宋体" w:cs="宋体"/>
          <w:color w:val="auto"/>
          <w:sz w:val="18"/>
          <w:szCs w:val="18"/>
          <w:highlight w:val="none"/>
        </w:rPr>
        <w:t xml:space="preserve">注：1.在选择栏中的“□”内作标识“√”。 </w:t>
      </w:r>
    </w:p>
    <w:p>
      <w:pPr>
        <w:pStyle w:val="25"/>
        <w:shd w:val="clear" w:color="auto" w:fill="auto"/>
        <w:spacing w:before="120" w:beforeLines="50"/>
        <w:ind w:left="720" w:hanging="720" w:hangingChars="400"/>
        <w:rPr>
          <w:rStyle w:val="31"/>
          <w:rFonts w:hint="eastAsia" w:ascii="宋体" w:hAnsi="宋体" w:eastAsia="宋体" w:cs="宋体"/>
          <w:color w:val="auto"/>
          <w:sz w:val="18"/>
          <w:szCs w:val="18"/>
          <w:highlight w:val="none"/>
        </w:rPr>
      </w:pPr>
      <w:r>
        <w:rPr>
          <w:rStyle w:val="31"/>
          <w:rFonts w:hint="eastAsia" w:ascii="宋体" w:hAnsi="宋体" w:eastAsia="宋体" w:cs="宋体"/>
          <w:color w:val="auto"/>
          <w:sz w:val="18"/>
          <w:szCs w:val="18"/>
          <w:highlight w:val="none"/>
        </w:rPr>
        <w:t xml:space="preserve">        2.本表一式四份，由承包人填报，发包人、监理人、造价咨询人、承包人各存一份。</w:t>
      </w:r>
    </w:p>
    <w:p>
      <w:pPr>
        <w:pStyle w:val="25"/>
        <w:shd w:val="clear" w:color="auto" w:fill="auto"/>
        <w:ind w:right="360"/>
        <w:rPr>
          <w:rStyle w:val="31"/>
          <w:rFonts w:hint="eastAsia" w:ascii="宋体" w:hAnsi="宋体" w:eastAsia="宋体" w:cs="宋体"/>
          <w:color w:val="auto"/>
          <w:sz w:val="18"/>
          <w:szCs w:val="18"/>
          <w:highlight w:val="none"/>
        </w:rPr>
      </w:pPr>
      <w:r>
        <w:rPr>
          <w:rStyle w:val="31"/>
          <w:rFonts w:hint="eastAsia" w:ascii="宋体" w:hAnsi="宋体" w:eastAsia="宋体" w:cs="宋体"/>
          <w:color w:val="auto"/>
          <w:sz w:val="18"/>
          <w:szCs w:val="18"/>
          <w:highlight w:val="none"/>
        </w:rPr>
        <w:t xml:space="preserve">                                                                                            </w:t>
      </w:r>
    </w:p>
    <w:p>
      <w:pPr>
        <w:pStyle w:val="25"/>
        <w:shd w:val="clear" w:color="auto" w:fill="auto"/>
        <w:jc w:val="center"/>
        <w:rPr>
          <w:rStyle w:val="31"/>
          <w:rFonts w:hint="eastAsia" w:ascii="宋体" w:hAnsi="宋体" w:eastAsia="宋体" w:cs="宋体"/>
          <w:color w:val="auto"/>
          <w:highlight w:val="none"/>
        </w:rPr>
      </w:pPr>
    </w:p>
    <w:p>
      <w:pPr>
        <w:pStyle w:val="25"/>
        <w:shd w:val="clear" w:color="auto" w:fill="auto"/>
        <w:jc w:val="left"/>
        <w:rPr>
          <w:rStyle w:val="31"/>
          <w:rFonts w:hint="eastAsia" w:ascii="宋体" w:hAnsi="宋体" w:eastAsia="宋体" w:cs="宋体"/>
          <w:b/>
          <w:color w:val="auto"/>
          <w:sz w:val="30"/>
          <w:szCs w:val="30"/>
          <w:highlight w:val="none"/>
        </w:rPr>
      </w:pPr>
      <w:r>
        <w:rPr>
          <w:rStyle w:val="31"/>
          <w:rFonts w:hint="eastAsia" w:ascii="宋体" w:hAnsi="宋体" w:eastAsia="宋体" w:cs="宋体"/>
          <w:color w:val="auto"/>
          <w:sz w:val="30"/>
          <w:szCs w:val="30"/>
          <w:highlight w:val="none"/>
        </w:rPr>
        <w:t>附件13：</w:t>
      </w:r>
    </w:p>
    <w:p>
      <w:pPr>
        <w:pStyle w:val="25"/>
        <w:shd w:val="clear" w:color="auto" w:fill="auto"/>
        <w:jc w:val="center"/>
        <w:rPr>
          <w:rStyle w:val="31"/>
          <w:rFonts w:hint="eastAsia" w:ascii="宋体" w:hAnsi="宋体" w:eastAsia="宋体" w:cs="宋体"/>
          <w:b/>
          <w:color w:val="auto"/>
          <w:sz w:val="36"/>
          <w:szCs w:val="36"/>
          <w:highlight w:val="none"/>
        </w:rPr>
      </w:pPr>
      <w:r>
        <w:rPr>
          <w:rStyle w:val="31"/>
          <w:rFonts w:hint="eastAsia" w:ascii="宋体" w:hAnsi="宋体" w:eastAsia="宋体" w:cs="宋体"/>
          <w:b/>
          <w:color w:val="auto"/>
          <w:sz w:val="36"/>
          <w:szCs w:val="36"/>
          <w:highlight w:val="none"/>
        </w:rPr>
        <w:t>最终结算款支付申请（核准）表</w:t>
      </w:r>
    </w:p>
    <w:p>
      <w:pPr>
        <w:pStyle w:val="25"/>
        <w:shd w:val="clear" w:color="auto" w:fill="auto"/>
        <w:rPr>
          <w:rStyle w:val="31"/>
          <w:rFonts w:hint="eastAsia" w:ascii="宋体" w:hAnsi="宋体" w:eastAsia="宋体" w:cs="宋体"/>
          <w:color w:val="auto"/>
          <w:sz w:val="24"/>
          <w:szCs w:val="24"/>
          <w:highlight w:val="none"/>
        </w:rPr>
      </w:pPr>
      <w:r>
        <w:rPr>
          <w:rStyle w:val="31"/>
          <w:rFonts w:hint="eastAsia" w:ascii="宋体" w:hAnsi="宋体" w:eastAsia="宋体" w:cs="宋体"/>
          <w:color w:val="auto"/>
          <w:sz w:val="24"/>
          <w:szCs w:val="24"/>
          <w:highlight w:val="none"/>
        </w:rPr>
        <w:t>工程名称：                                             编号：</w:t>
      </w:r>
    </w:p>
    <w:tbl>
      <w:tblPr>
        <w:tblStyle w:val="2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0"/>
        <w:gridCol w:w="4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240" w:type="dxa"/>
            <w:gridSpan w:val="2"/>
            <w:noWrap w:val="0"/>
            <w:vAlign w:val="top"/>
          </w:tcPr>
          <w:p>
            <w:pPr>
              <w:pStyle w:val="25"/>
              <w:shd w:val="clear" w:color="auto" w:fill="auto"/>
              <w:spacing w:line="480" w:lineRule="exact"/>
              <w:ind w:left="540" w:leftChars="149" w:hanging="212" w:hangingChars="101"/>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致：</w:t>
            </w:r>
            <w:r>
              <w:rPr>
                <w:rStyle w:val="31"/>
                <w:rFonts w:hint="eastAsia" w:ascii="宋体" w:hAnsi="宋体" w:eastAsia="宋体" w:cs="宋体"/>
                <w:color w:val="auto"/>
                <w:highlight w:val="none"/>
                <w:u w:val="single"/>
              </w:rPr>
              <w:t xml:space="preserve">                                   （发包人全称）</w:t>
            </w:r>
          </w:p>
          <w:p>
            <w:pPr>
              <w:pStyle w:val="25"/>
              <w:shd w:val="clear" w:color="auto" w:fill="auto"/>
              <w:spacing w:line="400" w:lineRule="exact"/>
              <w:ind w:left="-4" w:leftChars="-2" w:firstLine="315" w:firstLineChars="15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我方于</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至</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期间已完成了缺陷修复工作，根据施工合同的约定，现申请支付最终结清合同款额为(大写)</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元，(小写)</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元，请予核准。</w:t>
            </w:r>
          </w:p>
          <w:tbl>
            <w:tblPr>
              <w:tblStyle w:val="29"/>
              <w:tblpPr w:leftFromText="180" w:rightFromText="180" w:vertAnchor="page" w:horzAnchor="margin" w:tblpY="1309"/>
              <w:tblOverlap w:val="never"/>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3364"/>
              <w:gridCol w:w="1605"/>
              <w:gridCol w:w="1605"/>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序号</w:t>
                  </w:r>
                </w:p>
              </w:tc>
              <w:tc>
                <w:tcPr>
                  <w:tcW w:w="3420" w:type="dxa"/>
                  <w:noWrap w:val="0"/>
                  <w:vAlign w:val="center"/>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名      称</w:t>
                  </w:r>
                </w:p>
              </w:tc>
              <w:tc>
                <w:tcPr>
                  <w:tcW w:w="1620" w:type="dxa"/>
                  <w:noWrap w:val="0"/>
                  <w:vAlign w:val="center"/>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申请金额（元）</w:t>
                  </w:r>
                </w:p>
              </w:tc>
              <w:tc>
                <w:tcPr>
                  <w:tcW w:w="1620" w:type="dxa"/>
                  <w:noWrap w:val="0"/>
                  <w:vAlign w:val="center"/>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复核金额（元）</w:t>
                  </w:r>
                </w:p>
              </w:tc>
              <w:tc>
                <w:tcPr>
                  <w:tcW w:w="1651" w:type="dxa"/>
                  <w:noWrap w:val="0"/>
                  <w:vAlign w:val="center"/>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1</w:t>
                  </w:r>
                </w:p>
              </w:tc>
              <w:tc>
                <w:tcPr>
                  <w:tcW w:w="34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已预留的质量保证金</w:t>
                  </w: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51"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2</w:t>
                  </w:r>
                </w:p>
              </w:tc>
              <w:tc>
                <w:tcPr>
                  <w:tcW w:w="34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应增加因发包人原因造成缺陷的修复金额</w:t>
                  </w: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51"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3</w:t>
                  </w:r>
                </w:p>
              </w:tc>
              <w:tc>
                <w:tcPr>
                  <w:tcW w:w="34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应扣减承包人不修复缺陷、发包人组织修复的金额</w:t>
                  </w: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51"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4</w:t>
                  </w:r>
                </w:p>
              </w:tc>
              <w:tc>
                <w:tcPr>
                  <w:tcW w:w="34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最终应支付的合同价款</w:t>
                  </w: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51"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p>
              </w:tc>
              <w:tc>
                <w:tcPr>
                  <w:tcW w:w="34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51"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p>
              </w:tc>
              <w:tc>
                <w:tcPr>
                  <w:tcW w:w="34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51"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p>
              </w:tc>
              <w:tc>
                <w:tcPr>
                  <w:tcW w:w="34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51"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pStyle w:val="25"/>
                    <w:shd w:val="clear" w:color="auto" w:fill="auto"/>
                    <w:spacing w:line="280" w:lineRule="exact"/>
                    <w:jc w:val="center"/>
                    <w:rPr>
                      <w:rStyle w:val="31"/>
                      <w:rFonts w:hint="eastAsia" w:ascii="宋体" w:hAnsi="宋体" w:eastAsia="宋体" w:cs="宋体"/>
                      <w:color w:val="auto"/>
                      <w:highlight w:val="none"/>
                    </w:rPr>
                  </w:pPr>
                </w:p>
              </w:tc>
              <w:tc>
                <w:tcPr>
                  <w:tcW w:w="34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20"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c>
                <w:tcPr>
                  <w:tcW w:w="1651" w:type="dxa"/>
                  <w:noWrap w:val="0"/>
                  <w:vAlign w:val="top"/>
                </w:tcPr>
                <w:p>
                  <w:pPr>
                    <w:pStyle w:val="25"/>
                    <w:shd w:val="clear" w:color="auto" w:fill="auto"/>
                    <w:spacing w:line="280" w:lineRule="exact"/>
                    <w:rPr>
                      <w:rStyle w:val="31"/>
                      <w:rFonts w:hint="eastAsia" w:ascii="宋体" w:hAnsi="宋体" w:eastAsia="宋体" w:cs="宋体"/>
                      <w:color w:val="auto"/>
                      <w:highlight w:val="none"/>
                    </w:rPr>
                  </w:pPr>
                </w:p>
              </w:tc>
            </w:tr>
          </w:tbl>
          <w:p>
            <w:pPr>
              <w:pStyle w:val="25"/>
              <w:shd w:val="clear" w:color="auto" w:fill="auto"/>
              <w:spacing w:line="400" w:lineRule="exact"/>
              <w:ind w:right="420" w:firstLine="435"/>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 xml:space="preserve">                                            承包人（章）             </w:t>
            </w:r>
          </w:p>
          <w:p>
            <w:pPr>
              <w:pStyle w:val="25"/>
              <w:shd w:val="clear" w:color="auto" w:fill="auto"/>
              <w:spacing w:line="400" w:lineRule="exact"/>
              <w:ind w:right="420" w:firstLine="435"/>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造价人员</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承包人代表</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日      期</w:t>
            </w:r>
            <w:r>
              <w:rPr>
                <w:rStyle w:val="31"/>
                <w:rFonts w:hint="eastAsia" w:ascii="宋体" w:hAnsi="宋体" w:eastAsia="宋体" w:cs="宋体"/>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noWrap w:val="0"/>
            <w:vAlign w:val="top"/>
          </w:tcPr>
          <w:p>
            <w:pPr>
              <w:pStyle w:val="25"/>
              <w:shd w:val="clear" w:color="auto" w:fill="auto"/>
              <w:spacing w:line="36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复核意见：</w:t>
            </w:r>
          </w:p>
          <w:p>
            <w:pPr>
              <w:pStyle w:val="25"/>
              <w:shd w:val="clear" w:color="auto" w:fill="auto"/>
              <w:spacing w:line="360" w:lineRule="exact"/>
              <w:ind w:firstLine="312"/>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□与实际施工情况不相符，修改意见见附件。</w:t>
            </w:r>
          </w:p>
          <w:p>
            <w:pPr>
              <w:pStyle w:val="25"/>
              <w:shd w:val="clear" w:color="auto" w:fill="auto"/>
              <w:spacing w:line="360" w:lineRule="exact"/>
              <w:ind w:firstLine="312"/>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□与实际施工情况相符，具体金额由造价工程师复核。</w:t>
            </w:r>
          </w:p>
          <w:p>
            <w:pPr>
              <w:pStyle w:val="25"/>
              <w:shd w:val="clear" w:color="auto" w:fill="auto"/>
              <w:spacing w:line="360" w:lineRule="exact"/>
              <w:ind w:firstLine="435"/>
              <w:jc w:val="right"/>
              <w:rPr>
                <w:rStyle w:val="31"/>
                <w:rFonts w:hint="eastAsia" w:ascii="宋体" w:hAnsi="宋体" w:eastAsia="宋体" w:cs="宋体"/>
                <w:color w:val="auto"/>
                <w:highlight w:val="none"/>
              </w:rPr>
            </w:pPr>
          </w:p>
          <w:p>
            <w:pPr>
              <w:pStyle w:val="25"/>
              <w:shd w:val="clear" w:color="auto" w:fill="auto"/>
              <w:spacing w:line="360" w:lineRule="exact"/>
              <w:ind w:firstLine="435"/>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 xml:space="preserve">         </w:t>
            </w:r>
          </w:p>
          <w:p>
            <w:pPr>
              <w:pStyle w:val="25"/>
              <w:shd w:val="clear" w:color="auto" w:fill="auto"/>
              <w:spacing w:line="360" w:lineRule="exact"/>
              <w:ind w:firstLine="435"/>
              <w:jc w:val="center"/>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 xml:space="preserve">        监理工程师</w:t>
            </w:r>
            <w:r>
              <w:rPr>
                <w:rStyle w:val="31"/>
                <w:rFonts w:hint="eastAsia" w:ascii="宋体" w:hAnsi="宋体" w:eastAsia="宋体" w:cs="宋体"/>
                <w:color w:val="auto"/>
                <w:highlight w:val="none"/>
                <w:u w:val="single"/>
              </w:rPr>
              <w:t xml:space="preserve">           </w:t>
            </w:r>
          </w:p>
          <w:p>
            <w:pPr>
              <w:pStyle w:val="25"/>
              <w:shd w:val="clear" w:color="auto" w:fill="auto"/>
              <w:spacing w:line="360" w:lineRule="exact"/>
              <w:ind w:firstLine="435"/>
              <w:jc w:val="center"/>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 xml:space="preserve">        日      期</w:t>
            </w:r>
            <w:r>
              <w:rPr>
                <w:rStyle w:val="31"/>
                <w:rFonts w:hint="eastAsia" w:ascii="宋体" w:hAnsi="宋体" w:eastAsia="宋体" w:cs="宋体"/>
                <w:color w:val="auto"/>
                <w:highlight w:val="none"/>
                <w:u w:val="single"/>
              </w:rPr>
              <w:t xml:space="preserve">           </w:t>
            </w:r>
          </w:p>
        </w:tc>
        <w:tc>
          <w:tcPr>
            <w:tcW w:w="4620" w:type="dxa"/>
            <w:noWrap w:val="0"/>
            <w:vAlign w:val="top"/>
          </w:tcPr>
          <w:p>
            <w:pPr>
              <w:pStyle w:val="25"/>
              <w:shd w:val="clear" w:color="auto" w:fill="auto"/>
              <w:spacing w:line="36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复核意见：</w:t>
            </w:r>
          </w:p>
          <w:p>
            <w:pPr>
              <w:pStyle w:val="25"/>
              <w:shd w:val="clear" w:color="auto" w:fill="auto"/>
              <w:spacing w:line="360" w:lineRule="exact"/>
              <w:ind w:firstLine="435"/>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你方提出的支付申请经复核，最终应支付金额为（大写）</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 xml:space="preserve">元，（小写）  </w:t>
            </w:r>
            <w:r>
              <w:rPr>
                <w:rStyle w:val="31"/>
                <w:rFonts w:hint="eastAsia" w:ascii="宋体" w:hAnsi="宋体" w:eastAsia="宋体" w:cs="宋体"/>
                <w:color w:val="auto"/>
                <w:highlight w:val="none"/>
                <w:u w:val="single"/>
              </w:rPr>
              <w:t xml:space="preserve">       </w:t>
            </w:r>
            <w:r>
              <w:rPr>
                <w:rStyle w:val="31"/>
                <w:rFonts w:hint="eastAsia" w:ascii="宋体" w:hAnsi="宋体" w:eastAsia="宋体" w:cs="宋体"/>
                <w:color w:val="auto"/>
                <w:highlight w:val="none"/>
              </w:rPr>
              <w:t xml:space="preserve">元。  </w:t>
            </w:r>
          </w:p>
          <w:p>
            <w:pPr>
              <w:pStyle w:val="25"/>
              <w:shd w:val="clear" w:color="auto" w:fill="auto"/>
              <w:spacing w:line="360" w:lineRule="exact"/>
              <w:ind w:firstLine="435"/>
              <w:jc w:val="center"/>
              <w:rPr>
                <w:rStyle w:val="31"/>
                <w:rFonts w:hint="eastAsia" w:ascii="宋体" w:hAnsi="宋体" w:eastAsia="宋体" w:cs="宋体"/>
                <w:color w:val="auto"/>
                <w:highlight w:val="none"/>
              </w:rPr>
            </w:pPr>
          </w:p>
          <w:p>
            <w:pPr>
              <w:pStyle w:val="25"/>
              <w:shd w:val="clear" w:color="auto" w:fill="auto"/>
              <w:spacing w:line="360" w:lineRule="exact"/>
              <w:ind w:firstLine="435"/>
              <w:jc w:val="center"/>
              <w:rPr>
                <w:rStyle w:val="31"/>
                <w:rFonts w:hint="eastAsia" w:ascii="宋体" w:hAnsi="宋体" w:eastAsia="宋体" w:cs="宋体"/>
                <w:color w:val="auto"/>
                <w:highlight w:val="none"/>
              </w:rPr>
            </w:pPr>
          </w:p>
          <w:p>
            <w:pPr>
              <w:pStyle w:val="25"/>
              <w:shd w:val="clear" w:color="auto" w:fill="auto"/>
              <w:spacing w:line="360" w:lineRule="exact"/>
              <w:ind w:firstLine="435"/>
              <w:jc w:val="center"/>
              <w:rPr>
                <w:rStyle w:val="31"/>
                <w:rFonts w:hint="eastAsia" w:ascii="宋体" w:hAnsi="宋体" w:eastAsia="宋体" w:cs="宋体"/>
                <w:color w:val="auto"/>
                <w:highlight w:val="none"/>
              </w:rPr>
            </w:pPr>
          </w:p>
          <w:p>
            <w:pPr>
              <w:pStyle w:val="25"/>
              <w:shd w:val="clear" w:color="auto" w:fill="auto"/>
              <w:spacing w:line="360" w:lineRule="exact"/>
              <w:ind w:firstLine="435"/>
              <w:jc w:val="center"/>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 xml:space="preserve">    造价工程师</w:t>
            </w:r>
            <w:r>
              <w:rPr>
                <w:rStyle w:val="31"/>
                <w:rFonts w:hint="eastAsia" w:ascii="宋体" w:hAnsi="宋体" w:eastAsia="宋体" w:cs="宋体"/>
                <w:color w:val="auto"/>
                <w:highlight w:val="none"/>
                <w:u w:val="single"/>
              </w:rPr>
              <w:t xml:space="preserve">           </w:t>
            </w:r>
          </w:p>
          <w:p>
            <w:pPr>
              <w:pStyle w:val="25"/>
              <w:shd w:val="clear" w:color="auto" w:fill="auto"/>
              <w:spacing w:line="360" w:lineRule="exact"/>
              <w:ind w:firstLine="435"/>
              <w:jc w:val="center"/>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 xml:space="preserve">    日      期</w:t>
            </w:r>
            <w:r>
              <w:rPr>
                <w:rStyle w:val="31"/>
                <w:rFonts w:hint="eastAsia" w:ascii="宋体" w:hAnsi="宋体" w:eastAsia="宋体" w:cs="宋体"/>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noWrap w:val="0"/>
            <w:vAlign w:val="top"/>
          </w:tcPr>
          <w:p>
            <w:pPr>
              <w:pStyle w:val="25"/>
              <w:shd w:val="clear" w:color="auto" w:fill="auto"/>
              <w:spacing w:line="400" w:lineRule="exac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审核意见：</w:t>
            </w:r>
          </w:p>
          <w:p>
            <w:pPr>
              <w:pStyle w:val="25"/>
              <w:shd w:val="clear" w:color="auto" w:fill="auto"/>
              <w:spacing w:line="400" w:lineRule="exact"/>
              <w:ind w:firstLine="435"/>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□不同意。</w:t>
            </w:r>
          </w:p>
          <w:p>
            <w:pPr>
              <w:pStyle w:val="25"/>
              <w:shd w:val="clear" w:color="auto" w:fill="auto"/>
              <w:spacing w:line="400" w:lineRule="exact"/>
              <w:ind w:firstLine="420" w:firstLineChars="200"/>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□同意，支付时间为本表签发后的15天内。</w:t>
            </w:r>
          </w:p>
          <w:p>
            <w:pPr>
              <w:pStyle w:val="25"/>
              <w:shd w:val="clear" w:color="auto" w:fill="auto"/>
              <w:wordWrap w:val="0"/>
              <w:spacing w:line="400" w:lineRule="exact"/>
              <w:ind w:firstLine="420" w:firstLineChars="200"/>
              <w:jc w:val="right"/>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 xml:space="preserve">发包人（章）           </w:t>
            </w:r>
          </w:p>
          <w:p>
            <w:pPr>
              <w:pStyle w:val="25"/>
              <w:shd w:val="clear" w:color="auto" w:fill="auto"/>
              <w:wordWrap w:val="0"/>
              <w:spacing w:line="400" w:lineRule="exact"/>
              <w:ind w:firstLine="420" w:firstLineChars="200"/>
              <w:jc w:val="right"/>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发包人代表</w:t>
            </w:r>
            <w:r>
              <w:rPr>
                <w:rStyle w:val="31"/>
                <w:rFonts w:hint="eastAsia" w:ascii="宋体" w:hAnsi="宋体" w:eastAsia="宋体" w:cs="宋体"/>
                <w:color w:val="auto"/>
                <w:highlight w:val="none"/>
                <w:u w:val="single"/>
              </w:rPr>
              <w:t xml:space="preserve">             </w:t>
            </w:r>
          </w:p>
          <w:p>
            <w:pPr>
              <w:pStyle w:val="25"/>
              <w:shd w:val="clear" w:color="auto" w:fill="auto"/>
              <w:wordWrap w:val="0"/>
              <w:spacing w:line="400" w:lineRule="exact"/>
              <w:ind w:firstLine="420" w:firstLineChars="200"/>
              <w:jc w:val="right"/>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日      期</w:t>
            </w:r>
            <w:r>
              <w:rPr>
                <w:rStyle w:val="31"/>
                <w:rFonts w:hint="eastAsia" w:ascii="宋体" w:hAnsi="宋体" w:eastAsia="宋体" w:cs="宋体"/>
                <w:color w:val="auto"/>
                <w:highlight w:val="none"/>
                <w:u w:val="single"/>
              </w:rPr>
              <w:t xml:space="preserve">             </w:t>
            </w:r>
          </w:p>
        </w:tc>
      </w:tr>
    </w:tbl>
    <w:p>
      <w:pPr>
        <w:pStyle w:val="25"/>
        <w:shd w:val="clear" w:color="auto" w:fill="auto"/>
        <w:spacing w:before="120" w:beforeLines="50"/>
        <w:ind w:firstLine="360" w:firstLineChars="200"/>
        <w:rPr>
          <w:rStyle w:val="31"/>
          <w:rFonts w:hint="eastAsia" w:ascii="宋体" w:hAnsi="宋体" w:eastAsia="宋体" w:cs="宋体"/>
          <w:color w:val="auto"/>
          <w:sz w:val="18"/>
          <w:szCs w:val="18"/>
          <w:highlight w:val="none"/>
        </w:rPr>
      </w:pPr>
      <w:r>
        <w:rPr>
          <w:rStyle w:val="31"/>
          <w:rFonts w:hint="eastAsia" w:ascii="宋体" w:hAnsi="宋体" w:eastAsia="宋体" w:cs="宋体"/>
          <w:color w:val="auto"/>
          <w:sz w:val="18"/>
          <w:szCs w:val="18"/>
          <w:highlight w:val="none"/>
        </w:rPr>
        <w:t>注：1.在选择栏中的“□”内作标识“√”。 如监理人已退场，监理工程师栏可空缺。</w:t>
      </w:r>
    </w:p>
    <w:p>
      <w:pPr>
        <w:pStyle w:val="25"/>
        <w:shd w:val="clear" w:color="auto" w:fill="auto"/>
        <w:spacing w:before="120" w:beforeLines="50"/>
        <w:ind w:left="720" w:hanging="720" w:hangingChars="400"/>
        <w:rPr>
          <w:rStyle w:val="31"/>
          <w:rFonts w:hint="eastAsia" w:ascii="宋体" w:hAnsi="宋体" w:eastAsia="宋体" w:cs="宋体"/>
          <w:color w:val="auto"/>
          <w:sz w:val="18"/>
          <w:szCs w:val="18"/>
          <w:highlight w:val="none"/>
        </w:rPr>
      </w:pPr>
      <w:r>
        <w:rPr>
          <w:rStyle w:val="31"/>
          <w:rFonts w:hint="eastAsia" w:ascii="宋体" w:hAnsi="宋体" w:eastAsia="宋体" w:cs="宋体"/>
          <w:color w:val="auto"/>
          <w:sz w:val="18"/>
          <w:szCs w:val="18"/>
          <w:highlight w:val="none"/>
        </w:rPr>
        <w:t xml:space="preserve">        2.本表一式四份，由承包人填报，发包人、监理人、造价咨询人、承包人各存一份。</w:t>
      </w:r>
    </w:p>
    <w:p>
      <w:pPr>
        <w:pStyle w:val="25"/>
        <w:shd w:val="clear" w:color="auto" w:fill="auto"/>
        <w:spacing w:line="360" w:lineRule="auto"/>
        <w:ind w:firstLine="420" w:firstLineChars="200"/>
        <w:jc w:val="left"/>
        <w:rPr>
          <w:rStyle w:val="31"/>
          <w:rFonts w:hint="eastAsia" w:ascii="宋体" w:hAnsi="宋体" w:eastAsia="宋体" w:cs="宋体"/>
          <w:color w:val="auto"/>
          <w:highlight w:val="none"/>
          <w:u w:val="single"/>
        </w:rPr>
      </w:pPr>
    </w:p>
    <w:p>
      <w:pPr>
        <w:pStyle w:val="25"/>
        <w:shd w:val="clear" w:color="auto" w:fill="auto"/>
        <w:spacing w:line="360" w:lineRule="auto"/>
        <w:jc w:val="left"/>
        <w:rPr>
          <w:rStyle w:val="31"/>
          <w:rFonts w:hint="eastAsia" w:ascii="宋体" w:hAnsi="宋体" w:eastAsia="宋体" w:cs="宋体"/>
          <w:color w:val="auto"/>
          <w:sz w:val="30"/>
          <w:szCs w:val="30"/>
          <w:highlight w:val="none"/>
        </w:rPr>
      </w:pPr>
      <w:r>
        <w:rPr>
          <w:rStyle w:val="31"/>
          <w:rFonts w:hint="eastAsia" w:ascii="宋体" w:hAnsi="宋体" w:eastAsia="宋体" w:cs="宋体"/>
          <w:color w:val="auto"/>
          <w:sz w:val="30"/>
          <w:szCs w:val="30"/>
          <w:highlight w:val="none"/>
        </w:rPr>
        <w:t>附件14：</w:t>
      </w:r>
    </w:p>
    <w:p>
      <w:pPr>
        <w:pStyle w:val="25"/>
        <w:shd w:val="clear" w:color="auto" w:fill="auto"/>
        <w:spacing w:line="360" w:lineRule="auto"/>
        <w:ind w:firstLine="723" w:firstLineChars="200"/>
        <w:jc w:val="center"/>
        <w:rPr>
          <w:rStyle w:val="31"/>
          <w:rFonts w:hint="eastAsia" w:ascii="宋体" w:hAnsi="宋体" w:eastAsia="宋体" w:cs="宋体"/>
          <w:b/>
          <w:bCs/>
          <w:color w:val="auto"/>
          <w:kern w:val="0"/>
          <w:sz w:val="36"/>
          <w:szCs w:val="36"/>
          <w:highlight w:val="none"/>
        </w:rPr>
      </w:pPr>
      <w:r>
        <w:rPr>
          <w:rStyle w:val="31"/>
          <w:rFonts w:hint="eastAsia" w:ascii="宋体" w:hAnsi="宋体" w:eastAsia="宋体" w:cs="宋体"/>
          <w:b/>
          <w:bCs/>
          <w:color w:val="auto"/>
          <w:kern w:val="0"/>
          <w:sz w:val="36"/>
          <w:szCs w:val="36"/>
          <w:highlight w:val="none"/>
        </w:rPr>
        <w:t>总价合同进度款支付分解表</w:t>
      </w:r>
    </w:p>
    <w:p>
      <w:pPr>
        <w:pStyle w:val="25"/>
        <w:shd w:val="clear" w:color="auto" w:fill="auto"/>
        <w:spacing w:line="360" w:lineRule="auto"/>
        <w:rPr>
          <w:rStyle w:val="31"/>
          <w:rFonts w:hint="eastAsia" w:ascii="宋体" w:hAnsi="宋体" w:eastAsia="宋体" w:cs="宋体"/>
          <w:color w:val="auto"/>
          <w:kern w:val="0"/>
          <w:highlight w:val="none"/>
        </w:rPr>
      </w:pPr>
      <w:r>
        <w:rPr>
          <w:rStyle w:val="31"/>
          <w:rFonts w:hint="eastAsia" w:ascii="宋体" w:hAnsi="宋体" w:eastAsia="宋体" w:cs="宋体"/>
          <w:color w:val="auto"/>
          <w:kern w:val="0"/>
          <w:highlight w:val="none"/>
        </w:rPr>
        <w:t>工程名称：</w:t>
      </w:r>
    </w:p>
    <w:tbl>
      <w:tblPr>
        <w:tblStyle w:val="2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3794"/>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pPr>
              <w:pStyle w:val="25"/>
              <w:shd w:val="clear" w:color="auto" w:fill="auto"/>
              <w:spacing w:line="360" w:lineRule="auto"/>
              <w:jc w:val="center"/>
              <w:rPr>
                <w:rStyle w:val="31"/>
                <w:rFonts w:hint="eastAsia" w:ascii="宋体" w:hAnsi="宋体" w:eastAsia="宋体" w:cs="宋体"/>
                <w:color w:val="auto"/>
                <w:kern w:val="0"/>
                <w:highlight w:val="none"/>
              </w:rPr>
            </w:pPr>
            <w:r>
              <w:rPr>
                <w:rStyle w:val="31"/>
                <w:rFonts w:hint="eastAsia" w:ascii="宋体" w:hAnsi="宋体" w:eastAsia="宋体" w:cs="宋体"/>
                <w:color w:val="auto"/>
                <w:kern w:val="0"/>
                <w:highlight w:val="none"/>
              </w:rPr>
              <w:t>进度款期次</w:t>
            </w:r>
          </w:p>
        </w:tc>
        <w:tc>
          <w:tcPr>
            <w:tcW w:w="3794" w:type="dxa"/>
            <w:noWrap w:val="0"/>
            <w:vAlign w:val="top"/>
          </w:tcPr>
          <w:p>
            <w:pPr>
              <w:pStyle w:val="25"/>
              <w:shd w:val="clear" w:color="auto" w:fill="auto"/>
              <w:spacing w:line="360" w:lineRule="auto"/>
              <w:jc w:val="center"/>
              <w:rPr>
                <w:rStyle w:val="31"/>
                <w:rFonts w:hint="eastAsia" w:ascii="宋体" w:hAnsi="宋体" w:eastAsia="宋体" w:cs="宋体"/>
                <w:color w:val="auto"/>
                <w:kern w:val="0"/>
                <w:highlight w:val="none"/>
              </w:rPr>
            </w:pPr>
            <w:r>
              <w:rPr>
                <w:rStyle w:val="31"/>
                <w:rFonts w:hint="eastAsia" w:ascii="宋体" w:hAnsi="宋体" w:eastAsia="宋体" w:cs="宋体"/>
                <w:color w:val="auto"/>
                <w:kern w:val="0"/>
                <w:highlight w:val="none"/>
              </w:rPr>
              <w:t>形象进度</w:t>
            </w:r>
          </w:p>
        </w:tc>
        <w:tc>
          <w:tcPr>
            <w:tcW w:w="2268" w:type="dxa"/>
            <w:noWrap w:val="0"/>
            <w:vAlign w:val="top"/>
          </w:tcPr>
          <w:p>
            <w:pPr>
              <w:pStyle w:val="25"/>
              <w:shd w:val="clear" w:color="auto" w:fill="auto"/>
              <w:spacing w:line="360" w:lineRule="auto"/>
              <w:jc w:val="center"/>
              <w:rPr>
                <w:rStyle w:val="31"/>
                <w:rFonts w:hint="eastAsia" w:ascii="宋体" w:hAnsi="宋体" w:eastAsia="宋体" w:cs="宋体"/>
                <w:color w:val="auto"/>
                <w:kern w:val="0"/>
                <w:highlight w:val="none"/>
              </w:rPr>
            </w:pPr>
            <w:r>
              <w:rPr>
                <w:rStyle w:val="31"/>
                <w:rFonts w:hint="eastAsia" w:ascii="宋体" w:hAnsi="宋体" w:eastAsia="宋体" w:cs="宋体"/>
                <w:color w:val="auto"/>
                <w:kern w:val="0"/>
                <w:highlight w:val="none"/>
              </w:rPr>
              <w:t>进度款付款金额（元）</w:t>
            </w:r>
          </w:p>
        </w:tc>
        <w:tc>
          <w:tcPr>
            <w:tcW w:w="1276" w:type="dxa"/>
            <w:noWrap w:val="0"/>
            <w:vAlign w:val="top"/>
          </w:tcPr>
          <w:p>
            <w:pPr>
              <w:pStyle w:val="25"/>
              <w:shd w:val="clear" w:color="auto" w:fill="auto"/>
              <w:spacing w:line="360" w:lineRule="auto"/>
              <w:jc w:val="center"/>
              <w:rPr>
                <w:rStyle w:val="31"/>
                <w:rFonts w:hint="eastAsia" w:ascii="宋体" w:hAnsi="宋体" w:eastAsia="宋体" w:cs="宋体"/>
                <w:color w:val="auto"/>
                <w:kern w:val="0"/>
                <w:highlight w:val="none"/>
              </w:rPr>
            </w:pPr>
            <w:r>
              <w:rPr>
                <w:rStyle w:val="31"/>
                <w:rFonts w:hint="eastAsia" w:ascii="宋体" w:hAnsi="宋体" w:eastAsia="宋体" w:cs="宋体"/>
                <w:color w:val="auto"/>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pPr>
              <w:pStyle w:val="25"/>
              <w:shd w:val="clear" w:color="auto" w:fill="auto"/>
              <w:spacing w:line="360" w:lineRule="auto"/>
              <w:jc w:val="center"/>
              <w:rPr>
                <w:rStyle w:val="31"/>
                <w:rFonts w:hint="eastAsia" w:ascii="宋体" w:hAnsi="宋体" w:eastAsia="宋体" w:cs="宋体"/>
                <w:color w:val="auto"/>
                <w:kern w:val="0"/>
                <w:highlight w:val="none"/>
              </w:rPr>
            </w:pPr>
            <w:r>
              <w:rPr>
                <w:rStyle w:val="31"/>
                <w:rFonts w:hint="eastAsia" w:ascii="宋体" w:hAnsi="宋体" w:eastAsia="宋体" w:cs="宋体"/>
                <w:color w:val="auto"/>
                <w:kern w:val="0"/>
                <w:highlight w:val="none"/>
              </w:rPr>
              <w:t>第一期</w:t>
            </w:r>
          </w:p>
        </w:tc>
        <w:tc>
          <w:tcPr>
            <w:tcW w:w="3794" w:type="dxa"/>
            <w:noWrap w:val="0"/>
            <w:vAlign w:val="top"/>
          </w:tcPr>
          <w:p>
            <w:pPr>
              <w:pStyle w:val="25"/>
              <w:shd w:val="clear" w:color="auto" w:fill="auto"/>
              <w:spacing w:line="360" w:lineRule="auto"/>
              <w:jc w:val="center"/>
              <w:rPr>
                <w:rStyle w:val="31"/>
                <w:rFonts w:hint="eastAsia" w:ascii="宋体" w:hAnsi="宋体" w:eastAsia="宋体" w:cs="宋体"/>
                <w:color w:val="auto"/>
                <w:kern w:val="0"/>
                <w:highlight w:val="none"/>
              </w:rPr>
            </w:pPr>
          </w:p>
        </w:tc>
        <w:tc>
          <w:tcPr>
            <w:tcW w:w="2268" w:type="dxa"/>
            <w:noWrap w:val="0"/>
            <w:vAlign w:val="top"/>
          </w:tcPr>
          <w:p>
            <w:pPr>
              <w:pStyle w:val="25"/>
              <w:shd w:val="clear" w:color="auto" w:fill="auto"/>
              <w:spacing w:line="360" w:lineRule="auto"/>
              <w:jc w:val="center"/>
              <w:rPr>
                <w:rStyle w:val="31"/>
                <w:rFonts w:hint="eastAsia" w:ascii="宋体" w:hAnsi="宋体" w:eastAsia="宋体" w:cs="宋体"/>
                <w:color w:val="auto"/>
                <w:kern w:val="0"/>
                <w:highlight w:val="none"/>
              </w:rPr>
            </w:pPr>
          </w:p>
        </w:tc>
        <w:tc>
          <w:tcPr>
            <w:tcW w:w="1276" w:type="dxa"/>
            <w:noWrap w:val="0"/>
            <w:vAlign w:val="top"/>
          </w:tcPr>
          <w:p>
            <w:pPr>
              <w:pStyle w:val="25"/>
              <w:shd w:val="clear" w:color="auto" w:fill="auto"/>
              <w:spacing w:line="360" w:lineRule="auto"/>
              <w:jc w:val="center"/>
              <w:rPr>
                <w:rStyle w:val="31"/>
                <w:rFonts w:hint="eastAsia"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pPr>
              <w:pStyle w:val="25"/>
              <w:shd w:val="clear" w:color="auto" w:fill="auto"/>
              <w:spacing w:line="360" w:lineRule="auto"/>
              <w:jc w:val="center"/>
              <w:rPr>
                <w:rStyle w:val="31"/>
                <w:rFonts w:hint="eastAsia" w:ascii="宋体" w:hAnsi="宋体" w:eastAsia="宋体" w:cs="宋体"/>
                <w:color w:val="auto"/>
                <w:kern w:val="0"/>
                <w:highlight w:val="none"/>
              </w:rPr>
            </w:pPr>
            <w:r>
              <w:rPr>
                <w:rStyle w:val="31"/>
                <w:rFonts w:hint="eastAsia" w:ascii="宋体" w:hAnsi="宋体" w:eastAsia="宋体" w:cs="宋体"/>
                <w:color w:val="auto"/>
                <w:kern w:val="0"/>
                <w:highlight w:val="none"/>
              </w:rPr>
              <w:t>第二期</w:t>
            </w:r>
          </w:p>
        </w:tc>
        <w:tc>
          <w:tcPr>
            <w:tcW w:w="3794" w:type="dxa"/>
            <w:noWrap w:val="0"/>
            <w:vAlign w:val="top"/>
          </w:tcPr>
          <w:p>
            <w:pPr>
              <w:pStyle w:val="25"/>
              <w:shd w:val="clear" w:color="auto" w:fill="auto"/>
              <w:spacing w:line="360" w:lineRule="auto"/>
              <w:jc w:val="center"/>
              <w:rPr>
                <w:rStyle w:val="31"/>
                <w:rFonts w:hint="eastAsia" w:ascii="宋体" w:hAnsi="宋体" w:eastAsia="宋体" w:cs="宋体"/>
                <w:color w:val="auto"/>
                <w:kern w:val="0"/>
                <w:highlight w:val="none"/>
              </w:rPr>
            </w:pPr>
          </w:p>
        </w:tc>
        <w:tc>
          <w:tcPr>
            <w:tcW w:w="2268" w:type="dxa"/>
            <w:noWrap w:val="0"/>
            <w:vAlign w:val="top"/>
          </w:tcPr>
          <w:p>
            <w:pPr>
              <w:pStyle w:val="25"/>
              <w:shd w:val="clear" w:color="auto" w:fill="auto"/>
              <w:spacing w:line="360" w:lineRule="auto"/>
              <w:jc w:val="center"/>
              <w:rPr>
                <w:rStyle w:val="31"/>
                <w:rFonts w:hint="eastAsia" w:ascii="宋体" w:hAnsi="宋体" w:eastAsia="宋体" w:cs="宋体"/>
                <w:color w:val="auto"/>
                <w:kern w:val="0"/>
                <w:highlight w:val="none"/>
              </w:rPr>
            </w:pPr>
          </w:p>
        </w:tc>
        <w:tc>
          <w:tcPr>
            <w:tcW w:w="1276" w:type="dxa"/>
            <w:noWrap w:val="0"/>
            <w:vAlign w:val="top"/>
          </w:tcPr>
          <w:p>
            <w:pPr>
              <w:pStyle w:val="25"/>
              <w:shd w:val="clear" w:color="auto" w:fill="auto"/>
              <w:spacing w:line="360" w:lineRule="auto"/>
              <w:jc w:val="center"/>
              <w:rPr>
                <w:rStyle w:val="31"/>
                <w:rFonts w:hint="eastAsia"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pPr>
              <w:pStyle w:val="25"/>
              <w:shd w:val="clear" w:color="auto" w:fill="auto"/>
              <w:spacing w:line="360" w:lineRule="auto"/>
              <w:jc w:val="center"/>
              <w:rPr>
                <w:rStyle w:val="31"/>
                <w:rFonts w:hint="eastAsia" w:ascii="宋体" w:hAnsi="宋体" w:eastAsia="宋体" w:cs="宋体"/>
                <w:color w:val="auto"/>
                <w:kern w:val="0"/>
                <w:highlight w:val="none"/>
              </w:rPr>
            </w:pPr>
            <w:r>
              <w:rPr>
                <w:rStyle w:val="31"/>
                <w:rFonts w:hint="eastAsia" w:ascii="宋体" w:hAnsi="宋体" w:eastAsia="宋体" w:cs="宋体"/>
                <w:color w:val="auto"/>
                <w:kern w:val="0"/>
                <w:highlight w:val="none"/>
              </w:rPr>
              <w:t>第三期</w:t>
            </w:r>
          </w:p>
        </w:tc>
        <w:tc>
          <w:tcPr>
            <w:tcW w:w="3794" w:type="dxa"/>
            <w:noWrap w:val="0"/>
            <w:vAlign w:val="top"/>
          </w:tcPr>
          <w:p>
            <w:pPr>
              <w:pStyle w:val="25"/>
              <w:shd w:val="clear" w:color="auto" w:fill="auto"/>
              <w:spacing w:line="360" w:lineRule="auto"/>
              <w:jc w:val="center"/>
              <w:rPr>
                <w:rStyle w:val="31"/>
                <w:rFonts w:hint="eastAsia" w:ascii="宋体" w:hAnsi="宋体" w:eastAsia="宋体" w:cs="宋体"/>
                <w:color w:val="auto"/>
                <w:kern w:val="0"/>
                <w:highlight w:val="none"/>
              </w:rPr>
            </w:pPr>
          </w:p>
        </w:tc>
        <w:tc>
          <w:tcPr>
            <w:tcW w:w="2268" w:type="dxa"/>
            <w:noWrap w:val="0"/>
            <w:vAlign w:val="top"/>
          </w:tcPr>
          <w:p>
            <w:pPr>
              <w:pStyle w:val="25"/>
              <w:shd w:val="clear" w:color="auto" w:fill="auto"/>
              <w:spacing w:line="360" w:lineRule="auto"/>
              <w:jc w:val="center"/>
              <w:rPr>
                <w:rStyle w:val="31"/>
                <w:rFonts w:hint="eastAsia" w:ascii="宋体" w:hAnsi="宋体" w:eastAsia="宋体" w:cs="宋体"/>
                <w:color w:val="auto"/>
                <w:kern w:val="0"/>
                <w:highlight w:val="none"/>
              </w:rPr>
            </w:pPr>
          </w:p>
        </w:tc>
        <w:tc>
          <w:tcPr>
            <w:tcW w:w="1276" w:type="dxa"/>
            <w:noWrap w:val="0"/>
            <w:vAlign w:val="top"/>
          </w:tcPr>
          <w:p>
            <w:pPr>
              <w:pStyle w:val="25"/>
              <w:shd w:val="clear" w:color="auto" w:fill="auto"/>
              <w:spacing w:line="360" w:lineRule="auto"/>
              <w:jc w:val="center"/>
              <w:rPr>
                <w:rStyle w:val="31"/>
                <w:rFonts w:hint="eastAsia"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pPr>
              <w:pStyle w:val="25"/>
              <w:shd w:val="clear" w:color="auto" w:fill="auto"/>
              <w:spacing w:line="360" w:lineRule="auto"/>
              <w:jc w:val="center"/>
              <w:rPr>
                <w:rStyle w:val="31"/>
                <w:rFonts w:hint="eastAsia" w:ascii="宋体" w:hAnsi="宋体" w:eastAsia="宋体" w:cs="宋体"/>
                <w:color w:val="auto"/>
                <w:kern w:val="0"/>
                <w:highlight w:val="none"/>
              </w:rPr>
            </w:pPr>
            <w:r>
              <w:rPr>
                <w:rStyle w:val="31"/>
                <w:rFonts w:hint="eastAsia" w:ascii="宋体" w:hAnsi="宋体" w:eastAsia="宋体" w:cs="宋体"/>
                <w:color w:val="auto"/>
                <w:kern w:val="0"/>
                <w:highlight w:val="none"/>
              </w:rPr>
              <w:t>……</w:t>
            </w:r>
          </w:p>
        </w:tc>
        <w:tc>
          <w:tcPr>
            <w:tcW w:w="3794" w:type="dxa"/>
            <w:noWrap w:val="0"/>
            <w:vAlign w:val="top"/>
          </w:tcPr>
          <w:p>
            <w:pPr>
              <w:pStyle w:val="25"/>
              <w:shd w:val="clear" w:color="auto" w:fill="auto"/>
              <w:spacing w:line="360" w:lineRule="auto"/>
              <w:jc w:val="center"/>
              <w:rPr>
                <w:rStyle w:val="31"/>
                <w:rFonts w:hint="eastAsia" w:ascii="宋体" w:hAnsi="宋体" w:eastAsia="宋体" w:cs="宋体"/>
                <w:color w:val="auto"/>
                <w:kern w:val="0"/>
                <w:highlight w:val="none"/>
              </w:rPr>
            </w:pPr>
          </w:p>
        </w:tc>
        <w:tc>
          <w:tcPr>
            <w:tcW w:w="2268" w:type="dxa"/>
            <w:noWrap w:val="0"/>
            <w:vAlign w:val="top"/>
          </w:tcPr>
          <w:p>
            <w:pPr>
              <w:pStyle w:val="25"/>
              <w:shd w:val="clear" w:color="auto" w:fill="auto"/>
              <w:spacing w:line="360" w:lineRule="auto"/>
              <w:jc w:val="center"/>
              <w:rPr>
                <w:rStyle w:val="31"/>
                <w:rFonts w:hint="eastAsia" w:ascii="宋体" w:hAnsi="宋体" w:eastAsia="宋体" w:cs="宋体"/>
                <w:color w:val="auto"/>
                <w:kern w:val="0"/>
                <w:highlight w:val="none"/>
              </w:rPr>
            </w:pPr>
          </w:p>
        </w:tc>
        <w:tc>
          <w:tcPr>
            <w:tcW w:w="1276" w:type="dxa"/>
            <w:noWrap w:val="0"/>
            <w:vAlign w:val="top"/>
          </w:tcPr>
          <w:p>
            <w:pPr>
              <w:pStyle w:val="25"/>
              <w:shd w:val="clear" w:color="auto" w:fill="auto"/>
              <w:spacing w:line="360" w:lineRule="auto"/>
              <w:jc w:val="center"/>
              <w:rPr>
                <w:rStyle w:val="31"/>
                <w:rFonts w:hint="eastAsia"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5211" w:type="dxa"/>
            <w:gridSpan w:val="2"/>
            <w:noWrap w:val="0"/>
            <w:vAlign w:val="top"/>
          </w:tcPr>
          <w:p>
            <w:pPr>
              <w:pStyle w:val="25"/>
              <w:shd w:val="clear" w:color="auto" w:fill="auto"/>
              <w:spacing w:line="360" w:lineRule="exact"/>
              <w:ind w:firstLine="435"/>
              <w:jc w:val="right"/>
              <w:rPr>
                <w:rStyle w:val="31"/>
                <w:rFonts w:hint="eastAsia" w:ascii="宋体" w:hAnsi="宋体" w:eastAsia="宋体" w:cs="宋体"/>
                <w:color w:val="auto"/>
                <w:highlight w:val="none"/>
              </w:rPr>
            </w:pPr>
          </w:p>
          <w:p>
            <w:pPr>
              <w:pStyle w:val="25"/>
              <w:shd w:val="clear" w:color="auto" w:fill="auto"/>
              <w:spacing w:line="360" w:lineRule="exact"/>
              <w:ind w:firstLine="435"/>
              <w:jc w:val="center"/>
              <w:rPr>
                <w:rStyle w:val="31"/>
                <w:rFonts w:hint="eastAsia" w:ascii="宋体" w:hAnsi="宋体" w:eastAsia="宋体" w:cs="宋体"/>
                <w:color w:val="auto"/>
                <w:highlight w:val="none"/>
              </w:rPr>
            </w:pPr>
          </w:p>
          <w:p>
            <w:pPr>
              <w:pStyle w:val="25"/>
              <w:shd w:val="clear" w:color="auto" w:fill="auto"/>
              <w:spacing w:line="360" w:lineRule="exact"/>
              <w:ind w:firstLine="435"/>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发包人代表签字：</w:t>
            </w:r>
          </w:p>
          <w:p>
            <w:pPr>
              <w:pStyle w:val="25"/>
              <w:shd w:val="clear" w:color="auto" w:fill="auto"/>
              <w:spacing w:line="360" w:lineRule="exact"/>
              <w:ind w:firstLine="435"/>
              <w:jc w:val="center"/>
              <w:rPr>
                <w:rStyle w:val="31"/>
                <w:rFonts w:hint="eastAsia" w:ascii="宋体" w:hAnsi="宋体" w:eastAsia="宋体" w:cs="宋体"/>
                <w:color w:val="auto"/>
                <w:highlight w:val="none"/>
              </w:rPr>
            </w:pPr>
          </w:p>
          <w:p>
            <w:pPr>
              <w:pStyle w:val="25"/>
              <w:shd w:val="clear" w:color="auto" w:fill="auto"/>
              <w:spacing w:line="360" w:lineRule="exact"/>
              <w:ind w:firstLine="435"/>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发包人（盖公章）</w:t>
            </w:r>
          </w:p>
          <w:p>
            <w:pPr>
              <w:pStyle w:val="25"/>
              <w:shd w:val="clear" w:color="auto" w:fill="auto"/>
              <w:spacing w:line="360" w:lineRule="exact"/>
              <w:ind w:firstLine="435"/>
              <w:jc w:val="center"/>
              <w:rPr>
                <w:rStyle w:val="31"/>
                <w:rFonts w:hint="eastAsia" w:ascii="宋体" w:hAnsi="宋体" w:eastAsia="宋体" w:cs="宋体"/>
                <w:color w:val="auto"/>
                <w:highlight w:val="none"/>
              </w:rPr>
            </w:pPr>
          </w:p>
          <w:p>
            <w:pPr>
              <w:pStyle w:val="25"/>
              <w:shd w:val="clear" w:color="auto" w:fill="auto"/>
              <w:spacing w:line="360" w:lineRule="exact"/>
              <w:ind w:firstLine="435"/>
              <w:jc w:val="center"/>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 xml:space="preserve">        日      期        </w:t>
            </w:r>
            <w:r>
              <w:rPr>
                <w:rStyle w:val="31"/>
                <w:rFonts w:hint="eastAsia" w:ascii="宋体" w:hAnsi="宋体" w:eastAsia="宋体" w:cs="宋体"/>
                <w:color w:val="auto"/>
                <w:highlight w:val="none"/>
                <w:u w:val="single"/>
              </w:rPr>
              <w:t xml:space="preserve">   </w:t>
            </w:r>
          </w:p>
        </w:tc>
        <w:tc>
          <w:tcPr>
            <w:tcW w:w="3544" w:type="dxa"/>
            <w:gridSpan w:val="2"/>
            <w:noWrap w:val="0"/>
            <w:vAlign w:val="top"/>
          </w:tcPr>
          <w:p>
            <w:pPr>
              <w:pStyle w:val="25"/>
              <w:shd w:val="clear" w:color="auto" w:fill="auto"/>
              <w:spacing w:line="360" w:lineRule="exact"/>
              <w:ind w:firstLine="435"/>
              <w:jc w:val="center"/>
              <w:rPr>
                <w:rStyle w:val="31"/>
                <w:rFonts w:hint="eastAsia" w:ascii="宋体" w:hAnsi="宋体" w:eastAsia="宋体" w:cs="宋体"/>
                <w:color w:val="auto"/>
                <w:highlight w:val="none"/>
              </w:rPr>
            </w:pPr>
          </w:p>
          <w:p>
            <w:pPr>
              <w:pStyle w:val="25"/>
              <w:shd w:val="clear" w:color="auto" w:fill="auto"/>
              <w:spacing w:line="360" w:lineRule="exact"/>
              <w:ind w:firstLine="435"/>
              <w:jc w:val="center"/>
              <w:rPr>
                <w:rStyle w:val="31"/>
                <w:rFonts w:hint="eastAsia" w:ascii="宋体" w:hAnsi="宋体" w:eastAsia="宋体" w:cs="宋体"/>
                <w:color w:val="auto"/>
                <w:highlight w:val="none"/>
                <w:u w:val="single"/>
              </w:rPr>
            </w:pPr>
          </w:p>
          <w:p>
            <w:pPr>
              <w:pStyle w:val="25"/>
              <w:shd w:val="clear" w:color="auto" w:fill="auto"/>
              <w:spacing w:line="360" w:lineRule="exact"/>
              <w:ind w:firstLine="435"/>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承包人代表签字：</w:t>
            </w:r>
          </w:p>
          <w:p>
            <w:pPr>
              <w:pStyle w:val="25"/>
              <w:shd w:val="clear" w:color="auto" w:fill="auto"/>
              <w:spacing w:line="360" w:lineRule="exact"/>
              <w:ind w:firstLine="435"/>
              <w:jc w:val="center"/>
              <w:rPr>
                <w:rStyle w:val="31"/>
                <w:rFonts w:hint="eastAsia" w:ascii="宋体" w:hAnsi="宋体" w:eastAsia="宋体" w:cs="宋体"/>
                <w:color w:val="auto"/>
                <w:highlight w:val="none"/>
              </w:rPr>
            </w:pPr>
          </w:p>
          <w:p>
            <w:pPr>
              <w:pStyle w:val="25"/>
              <w:shd w:val="clear" w:color="auto" w:fill="auto"/>
              <w:spacing w:line="360" w:lineRule="exact"/>
              <w:ind w:firstLine="435"/>
              <w:jc w:val="center"/>
              <w:rPr>
                <w:rStyle w:val="31"/>
                <w:rFonts w:hint="eastAsia" w:ascii="宋体" w:hAnsi="宋体" w:eastAsia="宋体" w:cs="宋体"/>
                <w:color w:val="auto"/>
                <w:highlight w:val="none"/>
              </w:rPr>
            </w:pPr>
            <w:r>
              <w:rPr>
                <w:rStyle w:val="31"/>
                <w:rFonts w:hint="eastAsia" w:ascii="宋体" w:hAnsi="宋体" w:eastAsia="宋体" w:cs="宋体"/>
                <w:color w:val="auto"/>
                <w:highlight w:val="none"/>
              </w:rPr>
              <w:t>承包人（盖公章）</w:t>
            </w:r>
          </w:p>
          <w:p>
            <w:pPr>
              <w:pStyle w:val="25"/>
              <w:shd w:val="clear" w:color="auto" w:fill="auto"/>
              <w:spacing w:line="360" w:lineRule="exact"/>
              <w:ind w:firstLine="435"/>
              <w:jc w:val="center"/>
              <w:rPr>
                <w:rStyle w:val="31"/>
                <w:rFonts w:hint="eastAsia" w:ascii="宋体" w:hAnsi="宋体" w:eastAsia="宋体" w:cs="宋体"/>
                <w:color w:val="auto"/>
                <w:highlight w:val="none"/>
              </w:rPr>
            </w:pPr>
          </w:p>
          <w:p>
            <w:pPr>
              <w:pStyle w:val="25"/>
              <w:shd w:val="clear" w:color="auto" w:fill="auto"/>
              <w:spacing w:line="360" w:lineRule="exact"/>
              <w:ind w:firstLine="435"/>
              <w:jc w:val="center"/>
              <w:rPr>
                <w:rStyle w:val="31"/>
                <w:rFonts w:hint="eastAsia" w:ascii="宋体" w:hAnsi="宋体" w:eastAsia="宋体" w:cs="宋体"/>
                <w:color w:val="auto"/>
                <w:highlight w:val="none"/>
                <w:u w:val="single"/>
              </w:rPr>
            </w:pPr>
            <w:r>
              <w:rPr>
                <w:rStyle w:val="31"/>
                <w:rFonts w:hint="eastAsia" w:ascii="宋体" w:hAnsi="宋体" w:eastAsia="宋体" w:cs="宋体"/>
                <w:color w:val="auto"/>
                <w:highlight w:val="none"/>
              </w:rPr>
              <w:t xml:space="preserve">        日      期</w:t>
            </w:r>
            <w:r>
              <w:rPr>
                <w:rStyle w:val="31"/>
                <w:rFonts w:hint="eastAsia" w:ascii="宋体" w:hAnsi="宋体" w:eastAsia="宋体" w:cs="宋体"/>
                <w:color w:val="auto"/>
                <w:highlight w:val="none"/>
                <w:u w:val="single"/>
              </w:rPr>
              <w:t xml:space="preserve">        </w:t>
            </w:r>
          </w:p>
        </w:tc>
      </w:tr>
    </w:tbl>
    <w:p>
      <w:pPr>
        <w:pStyle w:val="14"/>
        <w:tabs>
          <w:tab w:val="left" w:pos="4309"/>
          <w:tab w:val="left" w:pos="6151"/>
        </w:tabs>
        <w:spacing w:line="360" w:lineRule="auto"/>
        <w:ind w:firstLine="480" w:firstLineChars="200"/>
        <w:rPr>
          <w:color w:val="auto"/>
          <w:sz w:val="24"/>
          <w:szCs w:val="24"/>
          <w:highlight w:val="none"/>
        </w:rPr>
      </w:pPr>
    </w:p>
    <w:p>
      <w:pPr>
        <w:pStyle w:val="14"/>
        <w:tabs>
          <w:tab w:val="left" w:pos="4309"/>
          <w:tab w:val="left" w:pos="6151"/>
        </w:tabs>
        <w:spacing w:line="360" w:lineRule="auto"/>
        <w:ind w:firstLine="480" w:firstLineChars="200"/>
        <w:rPr>
          <w:color w:val="auto"/>
          <w:sz w:val="24"/>
          <w:szCs w:val="24"/>
        </w:rPr>
      </w:pPr>
    </w:p>
    <w:sectPr>
      <w:footerReference r:id="rId14" w:type="default"/>
      <w:pgSz w:w="11910" w:h="16840"/>
      <w:pgMar w:top="1417" w:right="1417" w:bottom="1417" w:left="1417" w:header="0" w:footer="1202" w:gutter="0"/>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MingLiU_HKSCS">
    <w:panose1 w:val="02020500000000000000"/>
    <w:charset w:val="88"/>
    <w:family w:val="roman"/>
    <w:pitch w:val="default"/>
    <w:sig w:usb0="A00002FF" w:usb1="38CFFCFA" w:usb2="00000016" w:usb3="00000000" w:csb0="00100001"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0"/>
      </w:rPr>
      <w:pict>
        <v:shape id="_x0000_s4110" o:spid="_x0000_s4110"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47</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0"/>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53</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0"/>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64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12"/>
      </w:rPr>
    </w:pPr>
    <w:r>
      <w:rPr>
        <w:sz w:val="12"/>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12"/>
      </w:rPr>
    </w:pPr>
    <w:r>
      <w:rPr>
        <w:sz w:val="12"/>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21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0"/>
      </w:rPr>
      <w:pict>
        <v:shape id="_x0000_s4099" o:spid="_x0000_s409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28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0"/>
      </w:rPr>
      <w:pict>
        <v:shape id="_x0000_s4100" o:spid="_x0000_s410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31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0"/>
      </w:rPr>
      <w:pict>
        <v:shape id="_x0000_s4101" o:spid="_x0000_s410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32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0"/>
      </w:rPr>
      <w:pict>
        <v:shape id="_x0000_s4102" o:spid="_x0000_s4102"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39</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18"/>
      </w:rPr>
    </w:pPr>
    <w:r>
      <w:rPr>
        <w:sz w:val="18"/>
      </w:rPr>
      <w:pict>
        <v:shape id="_x0000_s4103" o:spid="_x0000_s4103"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45</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pict>
        <v:shape id="_x0000_s4104" o:spid="_x0000_s4104"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47</w:t>
                </w:r>
                <w:r>
                  <w:fldChar w:fldCharType="end"/>
                </w:r>
              </w:p>
            </w:txbxContent>
          </v:textbox>
        </v:shape>
      </w:pict>
    </w:r>
    <w:r>
      <w:pict>
        <v:shape id="_x0000_s4105" o:spid="_x0000_s4105" o:spt="202" type="#_x0000_t202" style="position:absolute;left:0pt;margin-left:292.15pt;margin-top:802.45pt;height:12pt;width:11.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47</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320" w:hanging="24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399" w:hanging="243"/>
      </w:pPr>
      <w:rPr>
        <w:rFonts w:hint="default"/>
        <w:lang w:val="zh-CN" w:eastAsia="zh-CN" w:bidi="zh-CN"/>
      </w:rPr>
    </w:lvl>
    <w:lvl w:ilvl="2" w:tentative="0">
      <w:start w:val="0"/>
      <w:numFmt w:val="bullet"/>
      <w:lvlText w:val="•"/>
      <w:lvlJc w:val="left"/>
      <w:pPr>
        <w:ind w:left="2478" w:hanging="243"/>
      </w:pPr>
      <w:rPr>
        <w:rFonts w:hint="default"/>
        <w:lang w:val="zh-CN" w:eastAsia="zh-CN" w:bidi="zh-CN"/>
      </w:rPr>
    </w:lvl>
    <w:lvl w:ilvl="3" w:tentative="0">
      <w:start w:val="0"/>
      <w:numFmt w:val="bullet"/>
      <w:lvlText w:val="•"/>
      <w:lvlJc w:val="left"/>
      <w:pPr>
        <w:ind w:left="3557" w:hanging="243"/>
      </w:pPr>
      <w:rPr>
        <w:rFonts w:hint="default"/>
        <w:lang w:val="zh-CN" w:eastAsia="zh-CN" w:bidi="zh-CN"/>
      </w:rPr>
    </w:lvl>
    <w:lvl w:ilvl="4" w:tentative="0">
      <w:start w:val="0"/>
      <w:numFmt w:val="bullet"/>
      <w:lvlText w:val="•"/>
      <w:lvlJc w:val="left"/>
      <w:pPr>
        <w:ind w:left="4636" w:hanging="243"/>
      </w:pPr>
      <w:rPr>
        <w:rFonts w:hint="default"/>
        <w:lang w:val="zh-CN" w:eastAsia="zh-CN" w:bidi="zh-CN"/>
      </w:rPr>
    </w:lvl>
    <w:lvl w:ilvl="5" w:tentative="0">
      <w:start w:val="0"/>
      <w:numFmt w:val="bullet"/>
      <w:lvlText w:val="•"/>
      <w:lvlJc w:val="left"/>
      <w:pPr>
        <w:ind w:left="5715" w:hanging="243"/>
      </w:pPr>
      <w:rPr>
        <w:rFonts w:hint="default"/>
        <w:lang w:val="zh-CN" w:eastAsia="zh-CN" w:bidi="zh-CN"/>
      </w:rPr>
    </w:lvl>
    <w:lvl w:ilvl="6" w:tentative="0">
      <w:start w:val="0"/>
      <w:numFmt w:val="bullet"/>
      <w:lvlText w:val="•"/>
      <w:lvlJc w:val="left"/>
      <w:pPr>
        <w:ind w:left="6794" w:hanging="243"/>
      </w:pPr>
      <w:rPr>
        <w:rFonts w:hint="default"/>
        <w:lang w:val="zh-CN" w:eastAsia="zh-CN" w:bidi="zh-CN"/>
      </w:rPr>
    </w:lvl>
    <w:lvl w:ilvl="7" w:tentative="0">
      <w:start w:val="0"/>
      <w:numFmt w:val="bullet"/>
      <w:lvlText w:val="•"/>
      <w:lvlJc w:val="left"/>
      <w:pPr>
        <w:ind w:left="7873" w:hanging="243"/>
      </w:pPr>
      <w:rPr>
        <w:rFonts w:hint="default"/>
        <w:lang w:val="zh-CN" w:eastAsia="zh-CN" w:bidi="zh-CN"/>
      </w:rPr>
    </w:lvl>
    <w:lvl w:ilvl="8" w:tentative="0">
      <w:start w:val="0"/>
      <w:numFmt w:val="bullet"/>
      <w:lvlText w:val="•"/>
      <w:lvlJc w:val="left"/>
      <w:pPr>
        <w:ind w:left="8952" w:hanging="243"/>
      </w:pPr>
      <w:rPr>
        <w:rFonts w:hint="default"/>
        <w:lang w:val="zh-CN" w:eastAsia="zh-CN" w:bidi="zh-CN"/>
      </w:rPr>
    </w:lvl>
  </w:abstractNum>
  <w:abstractNum w:abstractNumId="1">
    <w:nsid w:val="8461FADE"/>
    <w:multiLevelType w:val="multilevel"/>
    <w:tmpl w:val="8461FADE"/>
    <w:lvl w:ilvl="0" w:tentative="0">
      <w:start w:val="1"/>
      <w:numFmt w:val="decimal"/>
      <w:lvlText w:val="（%1）"/>
      <w:lvlJc w:val="left"/>
      <w:pPr>
        <w:ind w:left="14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71" w:hanging="601"/>
      </w:pPr>
      <w:rPr>
        <w:rFonts w:hint="default"/>
        <w:lang w:val="zh-CN" w:eastAsia="zh-CN" w:bidi="zh-CN"/>
      </w:rPr>
    </w:lvl>
    <w:lvl w:ilvl="2" w:tentative="0">
      <w:start w:val="0"/>
      <w:numFmt w:val="bullet"/>
      <w:lvlText w:val="•"/>
      <w:lvlJc w:val="left"/>
      <w:pPr>
        <w:ind w:left="3342" w:hanging="601"/>
      </w:pPr>
      <w:rPr>
        <w:rFonts w:hint="default"/>
        <w:lang w:val="zh-CN" w:eastAsia="zh-CN" w:bidi="zh-CN"/>
      </w:rPr>
    </w:lvl>
    <w:lvl w:ilvl="3" w:tentative="0">
      <w:start w:val="0"/>
      <w:numFmt w:val="bullet"/>
      <w:lvlText w:val="•"/>
      <w:lvlJc w:val="left"/>
      <w:pPr>
        <w:ind w:left="4313" w:hanging="601"/>
      </w:pPr>
      <w:rPr>
        <w:rFonts w:hint="default"/>
        <w:lang w:val="zh-CN" w:eastAsia="zh-CN" w:bidi="zh-CN"/>
      </w:rPr>
    </w:lvl>
    <w:lvl w:ilvl="4" w:tentative="0">
      <w:start w:val="0"/>
      <w:numFmt w:val="bullet"/>
      <w:lvlText w:val="•"/>
      <w:lvlJc w:val="left"/>
      <w:pPr>
        <w:ind w:left="5284" w:hanging="601"/>
      </w:pPr>
      <w:rPr>
        <w:rFonts w:hint="default"/>
        <w:lang w:val="zh-CN" w:eastAsia="zh-CN" w:bidi="zh-CN"/>
      </w:rPr>
    </w:lvl>
    <w:lvl w:ilvl="5" w:tentative="0">
      <w:start w:val="0"/>
      <w:numFmt w:val="bullet"/>
      <w:lvlText w:val="•"/>
      <w:lvlJc w:val="left"/>
      <w:pPr>
        <w:ind w:left="6255" w:hanging="601"/>
      </w:pPr>
      <w:rPr>
        <w:rFonts w:hint="default"/>
        <w:lang w:val="zh-CN" w:eastAsia="zh-CN" w:bidi="zh-CN"/>
      </w:rPr>
    </w:lvl>
    <w:lvl w:ilvl="6" w:tentative="0">
      <w:start w:val="0"/>
      <w:numFmt w:val="bullet"/>
      <w:lvlText w:val="•"/>
      <w:lvlJc w:val="left"/>
      <w:pPr>
        <w:ind w:left="7226" w:hanging="601"/>
      </w:pPr>
      <w:rPr>
        <w:rFonts w:hint="default"/>
        <w:lang w:val="zh-CN" w:eastAsia="zh-CN" w:bidi="zh-CN"/>
      </w:rPr>
    </w:lvl>
    <w:lvl w:ilvl="7" w:tentative="0">
      <w:start w:val="0"/>
      <w:numFmt w:val="bullet"/>
      <w:lvlText w:val="•"/>
      <w:lvlJc w:val="left"/>
      <w:pPr>
        <w:ind w:left="8197" w:hanging="601"/>
      </w:pPr>
      <w:rPr>
        <w:rFonts w:hint="default"/>
        <w:lang w:val="zh-CN" w:eastAsia="zh-CN" w:bidi="zh-CN"/>
      </w:rPr>
    </w:lvl>
    <w:lvl w:ilvl="8" w:tentative="0">
      <w:start w:val="0"/>
      <w:numFmt w:val="bullet"/>
      <w:lvlText w:val="•"/>
      <w:lvlJc w:val="left"/>
      <w:pPr>
        <w:ind w:left="9168" w:hanging="601"/>
      </w:pPr>
      <w:rPr>
        <w:rFonts w:hint="default"/>
        <w:lang w:val="zh-CN" w:eastAsia="zh-CN" w:bidi="zh-CN"/>
      </w:rPr>
    </w:lvl>
  </w:abstractNum>
  <w:abstractNum w:abstractNumId="2">
    <w:nsid w:val="9239341B"/>
    <w:multiLevelType w:val="multilevel"/>
    <w:tmpl w:val="9239341B"/>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3">
    <w:nsid w:val="9C8AC8EF"/>
    <w:multiLevelType w:val="multilevel"/>
    <w:tmpl w:val="9C8AC8EF"/>
    <w:lvl w:ilvl="0" w:tentative="0">
      <w:start w:val="1"/>
      <w:numFmt w:val="decimal"/>
      <w:lvlText w:val="%1."/>
      <w:lvlJc w:val="left"/>
      <w:pPr>
        <w:ind w:left="942" w:hanging="241"/>
        <w:jc w:val="right"/>
      </w:pPr>
      <w:rPr>
        <w:rFonts w:hint="default"/>
        <w:b/>
        <w:bCs/>
        <w:w w:val="99"/>
        <w:lang w:val="zh-CN" w:eastAsia="zh-CN" w:bidi="zh-CN"/>
      </w:rPr>
    </w:lvl>
    <w:lvl w:ilvl="1" w:tentative="0">
      <w:start w:val="1"/>
      <w:numFmt w:val="decimal"/>
      <w:lvlText w:val="%1.%2"/>
      <w:lvlJc w:val="left"/>
      <w:pPr>
        <w:ind w:left="1107" w:hanging="368"/>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100" w:hanging="368"/>
      </w:pPr>
      <w:rPr>
        <w:rFonts w:hint="default"/>
        <w:lang w:val="zh-CN" w:eastAsia="zh-CN" w:bidi="zh-CN"/>
      </w:rPr>
    </w:lvl>
    <w:lvl w:ilvl="3" w:tentative="0">
      <w:start w:val="0"/>
      <w:numFmt w:val="bullet"/>
      <w:lvlText w:val="•"/>
      <w:lvlJc w:val="left"/>
      <w:pPr>
        <w:ind w:left="2351" w:hanging="368"/>
      </w:pPr>
      <w:rPr>
        <w:rFonts w:hint="default"/>
        <w:lang w:val="zh-CN" w:eastAsia="zh-CN" w:bidi="zh-CN"/>
      </w:rPr>
    </w:lvl>
    <w:lvl w:ilvl="4" w:tentative="0">
      <w:start w:val="0"/>
      <w:numFmt w:val="bullet"/>
      <w:lvlText w:val="•"/>
      <w:lvlJc w:val="left"/>
      <w:pPr>
        <w:ind w:left="3602" w:hanging="368"/>
      </w:pPr>
      <w:rPr>
        <w:rFonts w:hint="default"/>
        <w:lang w:val="zh-CN" w:eastAsia="zh-CN" w:bidi="zh-CN"/>
      </w:rPr>
    </w:lvl>
    <w:lvl w:ilvl="5" w:tentative="0">
      <w:start w:val="0"/>
      <w:numFmt w:val="bullet"/>
      <w:lvlText w:val="•"/>
      <w:lvlJc w:val="left"/>
      <w:pPr>
        <w:ind w:left="4853" w:hanging="368"/>
      </w:pPr>
      <w:rPr>
        <w:rFonts w:hint="default"/>
        <w:lang w:val="zh-CN" w:eastAsia="zh-CN" w:bidi="zh-CN"/>
      </w:rPr>
    </w:lvl>
    <w:lvl w:ilvl="6" w:tentative="0">
      <w:start w:val="0"/>
      <w:numFmt w:val="bullet"/>
      <w:lvlText w:val="•"/>
      <w:lvlJc w:val="left"/>
      <w:pPr>
        <w:ind w:left="6105" w:hanging="368"/>
      </w:pPr>
      <w:rPr>
        <w:rFonts w:hint="default"/>
        <w:lang w:val="zh-CN" w:eastAsia="zh-CN" w:bidi="zh-CN"/>
      </w:rPr>
    </w:lvl>
    <w:lvl w:ilvl="7" w:tentative="0">
      <w:start w:val="0"/>
      <w:numFmt w:val="bullet"/>
      <w:lvlText w:val="•"/>
      <w:lvlJc w:val="left"/>
      <w:pPr>
        <w:ind w:left="7356" w:hanging="368"/>
      </w:pPr>
      <w:rPr>
        <w:rFonts w:hint="default"/>
        <w:lang w:val="zh-CN" w:eastAsia="zh-CN" w:bidi="zh-CN"/>
      </w:rPr>
    </w:lvl>
    <w:lvl w:ilvl="8" w:tentative="0">
      <w:start w:val="0"/>
      <w:numFmt w:val="bullet"/>
      <w:lvlText w:val="•"/>
      <w:lvlJc w:val="left"/>
      <w:pPr>
        <w:ind w:left="8607" w:hanging="368"/>
      </w:pPr>
      <w:rPr>
        <w:rFonts w:hint="default"/>
        <w:lang w:val="zh-CN" w:eastAsia="zh-CN" w:bidi="zh-CN"/>
      </w:rPr>
    </w:lvl>
  </w:abstractNum>
  <w:abstractNum w:abstractNumId="4">
    <w:nsid w:val="B0F1ACD9"/>
    <w:multiLevelType w:val="multilevel"/>
    <w:tmpl w:val="B0F1ACD9"/>
    <w:lvl w:ilvl="0" w:tentative="0">
      <w:start w:val="1"/>
      <w:numFmt w:val="decimal"/>
      <w:lvlText w:val="%1）"/>
      <w:lvlJc w:val="left"/>
      <w:pPr>
        <w:ind w:left="1055" w:hanging="316"/>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65" w:hanging="316"/>
      </w:pPr>
      <w:rPr>
        <w:rFonts w:hint="default"/>
        <w:lang w:val="zh-CN" w:eastAsia="zh-CN" w:bidi="zh-CN"/>
      </w:rPr>
    </w:lvl>
    <w:lvl w:ilvl="2" w:tentative="0">
      <w:start w:val="0"/>
      <w:numFmt w:val="bullet"/>
      <w:lvlText w:val="•"/>
      <w:lvlJc w:val="left"/>
      <w:pPr>
        <w:ind w:left="3070" w:hanging="316"/>
      </w:pPr>
      <w:rPr>
        <w:rFonts w:hint="default"/>
        <w:lang w:val="zh-CN" w:eastAsia="zh-CN" w:bidi="zh-CN"/>
      </w:rPr>
    </w:lvl>
    <w:lvl w:ilvl="3" w:tentative="0">
      <w:start w:val="0"/>
      <w:numFmt w:val="bullet"/>
      <w:lvlText w:val="•"/>
      <w:lvlJc w:val="left"/>
      <w:pPr>
        <w:ind w:left="4075" w:hanging="316"/>
      </w:pPr>
      <w:rPr>
        <w:rFonts w:hint="default"/>
        <w:lang w:val="zh-CN" w:eastAsia="zh-CN" w:bidi="zh-CN"/>
      </w:rPr>
    </w:lvl>
    <w:lvl w:ilvl="4" w:tentative="0">
      <w:start w:val="0"/>
      <w:numFmt w:val="bullet"/>
      <w:lvlText w:val="•"/>
      <w:lvlJc w:val="left"/>
      <w:pPr>
        <w:ind w:left="5080" w:hanging="316"/>
      </w:pPr>
      <w:rPr>
        <w:rFonts w:hint="default"/>
        <w:lang w:val="zh-CN" w:eastAsia="zh-CN" w:bidi="zh-CN"/>
      </w:rPr>
    </w:lvl>
    <w:lvl w:ilvl="5" w:tentative="0">
      <w:start w:val="0"/>
      <w:numFmt w:val="bullet"/>
      <w:lvlText w:val="•"/>
      <w:lvlJc w:val="left"/>
      <w:pPr>
        <w:ind w:left="6085" w:hanging="316"/>
      </w:pPr>
      <w:rPr>
        <w:rFonts w:hint="default"/>
        <w:lang w:val="zh-CN" w:eastAsia="zh-CN" w:bidi="zh-CN"/>
      </w:rPr>
    </w:lvl>
    <w:lvl w:ilvl="6" w:tentative="0">
      <w:start w:val="0"/>
      <w:numFmt w:val="bullet"/>
      <w:lvlText w:val="•"/>
      <w:lvlJc w:val="left"/>
      <w:pPr>
        <w:ind w:left="7090" w:hanging="316"/>
      </w:pPr>
      <w:rPr>
        <w:rFonts w:hint="default"/>
        <w:lang w:val="zh-CN" w:eastAsia="zh-CN" w:bidi="zh-CN"/>
      </w:rPr>
    </w:lvl>
    <w:lvl w:ilvl="7" w:tentative="0">
      <w:start w:val="0"/>
      <w:numFmt w:val="bullet"/>
      <w:lvlText w:val="•"/>
      <w:lvlJc w:val="left"/>
      <w:pPr>
        <w:ind w:left="8095" w:hanging="316"/>
      </w:pPr>
      <w:rPr>
        <w:rFonts w:hint="default"/>
        <w:lang w:val="zh-CN" w:eastAsia="zh-CN" w:bidi="zh-CN"/>
      </w:rPr>
    </w:lvl>
    <w:lvl w:ilvl="8" w:tentative="0">
      <w:start w:val="0"/>
      <w:numFmt w:val="bullet"/>
      <w:lvlText w:val="•"/>
      <w:lvlJc w:val="left"/>
      <w:pPr>
        <w:ind w:left="9100" w:hanging="316"/>
      </w:pPr>
      <w:rPr>
        <w:rFonts w:hint="default"/>
        <w:lang w:val="zh-CN" w:eastAsia="zh-CN" w:bidi="zh-CN"/>
      </w:rPr>
    </w:lvl>
  </w:abstractNum>
  <w:abstractNum w:abstractNumId="5">
    <w:nsid w:val="B5E306ED"/>
    <w:multiLevelType w:val="multilevel"/>
    <w:tmpl w:val="B5E306ED"/>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6">
    <w:nsid w:val="BF205925"/>
    <w:multiLevelType w:val="multilevel"/>
    <w:tmpl w:val="BF205925"/>
    <w:lvl w:ilvl="0" w:tentative="0">
      <w:start w:val="1"/>
      <w:numFmt w:val="decimal"/>
      <w:lvlText w:val="%1."/>
      <w:lvlJc w:val="left"/>
      <w:pPr>
        <w:ind w:left="1043" w:hanging="244"/>
        <w:jc w:val="left"/>
      </w:pPr>
      <w:rPr>
        <w:rFonts w:hint="default" w:ascii="黑体" w:hAnsi="黑体" w:eastAsia="黑体" w:cs="黑体"/>
        <w:b/>
        <w:bCs/>
        <w:spacing w:val="-3"/>
        <w:w w:val="99"/>
        <w:sz w:val="22"/>
        <w:szCs w:val="22"/>
        <w:lang w:val="zh-CN" w:eastAsia="zh-CN" w:bidi="zh-CN"/>
      </w:rPr>
    </w:lvl>
    <w:lvl w:ilvl="1" w:tentative="0">
      <w:start w:val="1"/>
      <w:numFmt w:val="decimal"/>
      <w:lvlText w:val="%1.%2"/>
      <w:lvlJc w:val="left"/>
      <w:pPr>
        <w:ind w:left="1212" w:hanging="473"/>
        <w:jc w:val="left"/>
      </w:pPr>
      <w:rPr>
        <w:rFonts w:hint="default"/>
        <w:spacing w:val="0"/>
        <w:w w:val="99"/>
        <w:lang w:val="zh-CN" w:eastAsia="zh-CN" w:bidi="zh-CN"/>
      </w:rPr>
    </w:lvl>
    <w:lvl w:ilvl="2" w:tentative="0">
      <w:start w:val="1"/>
      <w:numFmt w:val="decimal"/>
      <w:lvlText w:val="%1.%2.%3"/>
      <w:lvlJc w:val="left"/>
      <w:pPr>
        <w:ind w:left="1426" w:hanging="473"/>
        <w:jc w:val="left"/>
      </w:pPr>
      <w:rPr>
        <w:rFonts w:hint="default"/>
        <w:b/>
        <w:bCs/>
        <w:spacing w:val="0"/>
        <w:w w:val="98"/>
        <w:lang w:val="zh-CN" w:eastAsia="zh-CN" w:bidi="zh-CN"/>
      </w:rPr>
    </w:lvl>
    <w:lvl w:ilvl="3" w:tentative="0">
      <w:start w:val="0"/>
      <w:numFmt w:val="bullet"/>
      <w:lvlText w:val="•"/>
      <w:lvlJc w:val="left"/>
      <w:pPr>
        <w:ind w:left="1060" w:hanging="473"/>
      </w:pPr>
      <w:rPr>
        <w:rFonts w:hint="default"/>
        <w:lang w:val="zh-CN" w:eastAsia="zh-CN" w:bidi="zh-CN"/>
      </w:rPr>
    </w:lvl>
    <w:lvl w:ilvl="4" w:tentative="0">
      <w:start w:val="0"/>
      <w:numFmt w:val="bullet"/>
      <w:lvlText w:val="•"/>
      <w:lvlJc w:val="left"/>
      <w:pPr>
        <w:ind w:left="1100" w:hanging="473"/>
      </w:pPr>
      <w:rPr>
        <w:rFonts w:hint="default"/>
        <w:lang w:val="zh-CN" w:eastAsia="zh-CN" w:bidi="zh-CN"/>
      </w:rPr>
    </w:lvl>
    <w:lvl w:ilvl="5" w:tentative="0">
      <w:start w:val="0"/>
      <w:numFmt w:val="bullet"/>
      <w:lvlText w:val="•"/>
      <w:lvlJc w:val="left"/>
      <w:pPr>
        <w:ind w:left="1220" w:hanging="473"/>
      </w:pPr>
      <w:rPr>
        <w:rFonts w:hint="default"/>
        <w:lang w:val="zh-CN" w:eastAsia="zh-CN" w:bidi="zh-CN"/>
      </w:rPr>
    </w:lvl>
    <w:lvl w:ilvl="6" w:tentative="0">
      <w:start w:val="0"/>
      <w:numFmt w:val="bullet"/>
      <w:lvlText w:val="•"/>
      <w:lvlJc w:val="left"/>
      <w:pPr>
        <w:ind w:left="1420" w:hanging="473"/>
      </w:pPr>
      <w:rPr>
        <w:rFonts w:hint="default"/>
        <w:lang w:val="zh-CN" w:eastAsia="zh-CN" w:bidi="zh-CN"/>
      </w:rPr>
    </w:lvl>
    <w:lvl w:ilvl="7" w:tentative="0">
      <w:start w:val="0"/>
      <w:numFmt w:val="bullet"/>
      <w:lvlText w:val="•"/>
      <w:lvlJc w:val="left"/>
      <w:pPr>
        <w:ind w:left="3842" w:hanging="473"/>
      </w:pPr>
      <w:rPr>
        <w:rFonts w:hint="default"/>
        <w:lang w:val="zh-CN" w:eastAsia="zh-CN" w:bidi="zh-CN"/>
      </w:rPr>
    </w:lvl>
    <w:lvl w:ilvl="8" w:tentative="0">
      <w:start w:val="0"/>
      <w:numFmt w:val="bullet"/>
      <w:lvlText w:val="•"/>
      <w:lvlJc w:val="left"/>
      <w:pPr>
        <w:ind w:left="6265" w:hanging="473"/>
      </w:pPr>
      <w:rPr>
        <w:rFonts w:hint="default"/>
        <w:lang w:val="zh-CN" w:eastAsia="zh-CN" w:bidi="zh-CN"/>
      </w:rPr>
    </w:lvl>
  </w:abstractNum>
  <w:abstractNum w:abstractNumId="7">
    <w:nsid w:val="C8879AEF"/>
    <w:multiLevelType w:val="multilevel"/>
    <w:tmpl w:val="C8879AEF"/>
    <w:lvl w:ilvl="0" w:tentative="0">
      <w:start w:val="1"/>
      <w:numFmt w:val="decimal"/>
      <w:lvlText w:val="（%1）"/>
      <w:lvlJc w:val="left"/>
      <w:pPr>
        <w:ind w:left="320" w:hanging="528"/>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399" w:hanging="528"/>
      </w:pPr>
      <w:rPr>
        <w:rFonts w:hint="default"/>
        <w:lang w:val="zh-CN" w:eastAsia="zh-CN" w:bidi="zh-CN"/>
      </w:rPr>
    </w:lvl>
    <w:lvl w:ilvl="2" w:tentative="0">
      <w:start w:val="0"/>
      <w:numFmt w:val="bullet"/>
      <w:lvlText w:val="•"/>
      <w:lvlJc w:val="left"/>
      <w:pPr>
        <w:ind w:left="2478" w:hanging="528"/>
      </w:pPr>
      <w:rPr>
        <w:rFonts w:hint="default"/>
        <w:lang w:val="zh-CN" w:eastAsia="zh-CN" w:bidi="zh-CN"/>
      </w:rPr>
    </w:lvl>
    <w:lvl w:ilvl="3" w:tentative="0">
      <w:start w:val="0"/>
      <w:numFmt w:val="bullet"/>
      <w:lvlText w:val="•"/>
      <w:lvlJc w:val="left"/>
      <w:pPr>
        <w:ind w:left="3557" w:hanging="528"/>
      </w:pPr>
      <w:rPr>
        <w:rFonts w:hint="default"/>
        <w:lang w:val="zh-CN" w:eastAsia="zh-CN" w:bidi="zh-CN"/>
      </w:rPr>
    </w:lvl>
    <w:lvl w:ilvl="4" w:tentative="0">
      <w:start w:val="0"/>
      <w:numFmt w:val="bullet"/>
      <w:lvlText w:val="•"/>
      <w:lvlJc w:val="left"/>
      <w:pPr>
        <w:ind w:left="4636" w:hanging="528"/>
      </w:pPr>
      <w:rPr>
        <w:rFonts w:hint="default"/>
        <w:lang w:val="zh-CN" w:eastAsia="zh-CN" w:bidi="zh-CN"/>
      </w:rPr>
    </w:lvl>
    <w:lvl w:ilvl="5" w:tentative="0">
      <w:start w:val="0"/>
      <w:numFmt w:val="bullet"/>
      <w:lvlText w:val="•"/>
      <w:lvlJc w:val="left"/>
      <w:pPr>
        <w:ind w:left="5715" w:hanging="528"/>
      </w:pPr>
      <w:rPr>
        <w:rFonts w:hint="default"/>
        <w:lang w:val="zh-CN" w:eastAsia="zh-CN" w:bidi="zh-CN"/>
      </w:rPr>
    </w:lvl>
    <w:lvl w:ilvl="6" w:tentative="0">
      <w:start w:val="0"/>
      <w:numFmt w:val="bullet"/>
      <w:lvlText w:val="•"/>
      <w:lvlJc w:val="left"/>
      <w:pPr>
        <w:ind w:left="6794" w:hanging="528"/>
      </w:pPr>
      <w:rPr>
        <w:rFonts w:hint="default"/>
        <w:lang w:val="zh-CN" w:eastAsia="zh-CN" w:bidi="zh-CN"/>
      </w:rPr>
    </w:lvl>
    <w:lvl w:ilvl="7" w:tentative="0">
      <w:start w:val="0"/>
      <w:numFmt w:val="bullet"/>
      <w:lvlText w:val="•"/>
      <w:lvlJc w:val="left"/>
      <w:pPr>
        <w:ind w:left="7873" w:hanging="528"/>
      </w:pPr>
      <w:rPr>
        <w:rFonts w:hint="default"/>
        <w:lang w:val="zh-CN" w:eastAsia="zh-CN" w:bidi="zh-CN"/>
      </w:rPr>
    </w:lvl>
    <w:lvl w:ilvl="8" w:tentative="0">
      <w:start w:val="0"/>
      <w:numFmt w:val="bullet"/>
      <w:lvlText w:val="•"/>
      <w:lvlJc w:val="left"/>
      <w:pPr>
        <w:ind w:left="8952" w:hanging="528"/>
      </w:pPr>
      <w:rPr>
        <w:rFonts w:hint="default"/>
        <w:lang w:val="zh-CN" w:eastAsia="zh-CN" w:bidi="zh-CN"/>
      </w:rPr>
    </w:lvl>
  </w:abstractNum>
  <w:abstractNum w:abstractNumId="8">
    <w:nsid w:val="D0EFC8DA"/>
    <w:multiLevelType w:val="singleLevel"/>
    <w:tmpl w:val="D0EFC8DA"/>
    <w:lvl w:ilvl="0" w:tentative="0">
      <w:start w:val="2"/>
      <w:numFmt w:val="decimal"/>
      <w:suff w:val="nothing"/>
      <w:lvlText w:val="（%1）"/>
      <w:lvlJc w:val="left"/>
      <w:pPr>
        <w:ind w:left="525" w:firstLine="0"/>
      </w:pPr>
    </w:lvl>
  </w:abstractNum>
  <w:abstractNum w:abstractNumId="9">
    <w:nsid w:val="E093A4B0"/>
    <w:multiLevelType w:val="multilevel"/>
    <w:tmpl w:val="E093A4B0"/>
    <w:lvl w:ilvl="0" w:tentative="0">
      <w:start w:val="1"/>
      <w:numFmt w:val="decimal"/>
      <w:lvlText w:val="%1."/>
      <w:lvlJc w:val="left"/>
      <w:pPr>
        <w:ind w:left="933" w:hanging="241"/>
        <w:jc w:val="left"/>
      </w:pPr>
      <w:rPr>
        <w:rFonts w:hint="default" w:ascii="宋体" w:hAnsi="宋体" w:eastAsia="宋体" w:cs="宋体"/>
        <w:w w:val="99"/>
        <w:sz w:val="22"/>
        <w:szCs w:val="22"/>
        <w:lang w:val="zh-CN" w:eastAsia="zh-CN" w:bidi="zh-CN"/>
      </w:rPr>
    </w:lvl>
    <w:lvl w:ilvl="1" w:tentative="0">
      <w:start w:val="0"/>
      <w:numFmt w:val="bullet"/>
      <w:lvlText w:val="•"/>
      <w:lvlJc w:val="left"/>
      <w:pPr>
        <w:ind w:left="1854" w:hanging="241"/>
      </w:pPr>
      <w:rPr>
        <w:rFonts w:hint="default"/>
        <w:lang w:val="zh-CN" w:eastAsia="zh-CN" w:bidi="zh-CN"/>
      </w:rPr>
    </w:lvl>
    <w:lvl w:ilvl="2" w:tentative="0">
      <w:start w:val="0"/>
      <w:numFmt w:val="bullet"/>
      <w:lvlText w:val="•"/>
      <w:lvlJc w:val="left"/>
      <w:pPr>
        <w:ind w:left="2769" w:hanging="241"/>
      </w:pPr>
      <w:rPr>
        <w:rFonts w:hint="default"/>
        <w:lang w:val="zh-CN" w:eastAsia="zh-CN" w:bidi="zh-CN"/>
      </w:rPr>
    </w:lvl>
    <w:lvl w:ilvl="3" w:tentative="0">
      <w:start w:val="0"/>
      <w:numFmt w:val="bullet"/>
      <w:lvlText w:val="•"/>
      <w:lvlJc w:val="left"/>
      <w:pPr>
        <w:ind w:left="3683" w:hanging="241"/>
      </w:pPr>
      <w:rPr>
        <w:rFonts w:hint="default"/>
        <w:lang w:val="zh-CN" w:eastAsia="zh-CN" w:bidi="zh-CN"/>
      </w:rPr>
    </w:lvl>
    <w:lvl w:ilvl="4" w:tentative="0">
      <w:start w:val="0"/>
      <w:numFmt w:val="bullet"/>
      <w:lvlText w:val="•"/>
      <w:lvlJc w:val="left"/>
      <w:pPr>
        <w:ind w:left="4598" w:hanging="241"/>
      </w:pPr>
      <w:rPr>
        <w:rFonts w:hint="default"/>
        <w:lang w:val="zh-CN" w:eastAsia="zh-CN" w:bidi="zh-CN"/>
      </w:rPr>
    </w:lvl>
    <w:lvl w:ilvl="5" w:tentative="0">
      <w:start w:val="0"/>
      <w:numFmt w:val="bullet"/>
      <w:lvlText w:val="•"/>
      <w:lvlJc w:val="left"/>
      <w:pPr>
        <w:ind w:left="5513" w:hanging="241"/>
      </w:pPr>
      <w:rPr>
        <w:rFonts w:hint="default"/>
        <w:lang w:val="zh-CN" w:eastAsia="zh-CN" w:bidi="zh-CN"/>
      </w:rPr>
    </w:lvl>
    <w:lvl w:ilvl="6" w:tentative="0">
      <w:start w:val="0"/>
      <w:numFmt w:val="bullet"/>
      <w:lvlText w:val="•"/>
      <w:lvlJc w:val="left"/>
      <w:pPr>
        <w:ind w:left="6427" w:hanging="241"/>
      </w:pPr>
      <w:rPr>
        <w:rFonts w:hint="default"/>
        <w:lang w:val="zh-CN" w:eastAsia="zh-CN" w:bidi="zh-CN"/>
      </w:rPr>
    </w:lvl>
    <w:lvl w:ilvl="7" w:tentative="0">
      <w:start w:val="0"/>
      <w:numFmt w:val="bullet"/>
      <w:lvlText w:val="•"/>
      <w:lvlJc w:val="left"/>
      <w:pPr>
        <w:ind w:left="7342" w:hanging="241"/>
      </w:pPr>
      <w:rPr>
        <w:rFonts w:hint="default"/>
        <w:lang w:val="zh-CN" w:eastAsia="zh-CN" w:bidi="zh-CN"/>
      </w:rPr>
    </w:lvl>
    <w:lvl w:ilvl="8" w:tentative="0">
      <w:start w:val="0"/>
      <w:numFmt w:val="bullet"/>
      <w:lvlText w:val="•"/>
      <w:lvlJc w:val="left"/>
      <w:pPr>
        <w:ind w:left="8256" w:hanging="241"/>
      </w:pPr>
      <w:rPr>
        <w:rFonts w:hint="default"/>
        <w:lang w:val="zh-CN" w:eastAsia="zh-CN" w:bidi="zh-CN"/>
      </w:rPr>
    </w:lvl>
  </w:abstractNum>
  <w:abstractNum w:abstractNumId="10">
    <w:nsid w:val="F4B5D9F5"/>
    <w:multiLevelType w:val="multilevel"/>
    <w:tmpl w:val="F4B5D9F5"/>
    <w:lvl w:ilvl="0" w:tentative="0">
      <w:start w:val="1"/>
      <w:numFmt w:val="decimal"/>
      <w:lvlText w:val="%1."/>
      <w:lvlJc w:val="left"/>
      <w:pPr>
        <w:ind w:left="1044" w:hanging="317"/>
        <w:jc w:val="left"/>
      </w:pPr>
      <w:rPr>
        <w:rFonts w:hint="default" w:ascii="宋体" w:hAnsi="宋体" w:eastAsia="宋体" w:cs="宋体"/>
        <w:b/>
        <w:bCs/>
        <w:spacing w:val="0"/>
        <w:w w:val="98"/>
        <w:sz w:val="21"/>
        <w:szCs w:val="21"/>
        <w:lang w:val="zh-CN" w:eastAsia="zh-CN" w:bidi="zh-CN"/>
      </w:rPr>
    </w:lvl>
    <w:lvl w:ilvl="1" w:tentative="0">
      <w:start w:val="0"/>
      <w:numFmt w:val="bullet"/>
      <w:lvlText w:val="•"/>
      <w:lvlJc w:val="left"/>
      <w:pPr>
        <w:ind w:left="2047" w:hanging="317"/>
      </w:pPr>
      <w:rPr>
        <w:rFonts w:hint="default"/>
        <w:lang w:val="zh-CN" w:eastAsia="zh-CN" w:bidi="zh-CN"/>
      </w:rPr>
    </w:lvl>
    <w:lvl w:ilvl="2" w:tentative="0">
      <w:start w:val="0"/>
      <w:numFmt w:val="bullet"/>
      <w:lvlText w:val="•"/>
      <w:lvlJc w:val="left"/>
      <w:pPr>
        <w:ind w:left="3054" w:hanging="317"/>
      </w:pPr>
      <w:rPr>
        <w:rFonts w:hint="default"/>
        <w:lang w:val="zh-CN" w:eastAsia="zh-CN" w:bidi="zh-CN"/>
      </w:rPr>
    </w:lvl>
    <w:lvl w:ilvl="3" w:tentative="0">
      <w:start w:val="0"/>
      <w:numFmt w:val="bullet"/>
      <w:lvlText w:val="•"/>
      <w:lvlJc w:val="left"/>
      <w:pPr>
        <w:ind w:left="4061" w:hanging="317"/>
      </w:pPr>
      <w:rPr>
        <w:rFonts w:hint="default"/>
        <w:lang w:val="zh-CN" w:eastAsia="zh-CN" w:bidi="zh-CN"/>
      </w:rPr>
    </w:lvl>
    <w:lvl w:ilvl="4" w:tentative="0">
      <w:start w:val="0"/>
      <w:numFmt w:val="bullet"/>
      <w:lvlText w:val="•"/>
      <w:lvlJc w:val="left"/>
      <w:pPr>
        <w:ind w:left="5068" w:hanging="317"/>
      </w:pPr>
      <w:rPr>
        <w:rFonts w:hint="default"/>
        <w:lang w:val="zh-CN" w:eastAsia="zh-CN" w:bidi="zh-CN"/>
      </w:rPr>
    </w:lvl>
    <w:lvl w:ilvl="5" w:tentative="0">
      <w:start w:val="0"/>
      <w:numFmt w:val="bullet"/>
      <w:lvlText w:val="•"/>
      <w:lvlJc w:val="left"/>
      <w:pPr>
        <w:ind w:left="6075" w:hanging="317"/>
      </w:pPr>
      <w:rPr>
        <w:rFonts w:hint="default"/>
        <w:lang w:val="zh-CN" w:eastAsia="zh-CN" w:bidi="zh-CN"/>
      </w:rPr>
    </w:lvl>
    <w:lvl w:ilvl="6" w:tentative="0">
      <w:start w:val="0"/>
      <w:numFmt w:val="bullet"/>
      <w:lvlText w:val="•"/>
      <w:lvlJc w:val="left"/>
      <w:pPr>
        <w:ind w:left="7082" w:hanging="317"/>
      </w:pPr>
      <w:rPr>
        <w:rFonts w:hint="default"/>
        <w:lang w:val="zh-CN" w:eastAsia="zh-CN" w:bidi="zh-CN"/>
      </w:rPr>
    </w:lvl>
    <w:lvl w:ilvl="7" w:tentative="0">
      <w:start w:val="0"/>
      <w:numFmt w:val="bullet"/>
      <w:lvlText w:val="•"/>
      <w:lvlJc w:val="left"/>
      <w:pPr>
        <w:ind w:left="8089" w:hanging="317"/>
      </w:pPr>
      <w:rPr>
        <w:rFonts w:hint="default"/>
        <w:lang w:val="zh-CN" w:eastAsia="zh-CN" w:bidi="zh-CN"/>
      </w:rPr>
    </w:lvl>
    <w:lvl w:ilvl="8" w:tentative="0">
      <w:start w:val="0"/>
      <w:numFmt w:val="bullet"/>
      <w:lvlText w:val="•"/>
      <w:lvlJc w:val="left"/>
      <w:pPr>
        <w:ind w:left="9096" w:hanging="317"/>
      </w:pPr>
      <w:rPr>
        <w:rFonts w:hint="default"/>
        <w:lang w:val="zh-CN" w:eastAsia="zh-CN" w:bidi="zh-CN"/>
      </w:rPr>
    </w:lvl>
  </w:abstractNum>
  <w:abstractNum w:abstractNumId="11">
    <w:nsid w:val="F7735DC9"/>
    <w:multiLevelType w:val="multilevel"/>
    <w:tmpl w:val="F7735DC9"/>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12">
    <w:nsid w:val="0248C179"/>
    <w:multiLevelType w:val="multilevel"/>
    <w:tmpl w:val="0248C179"/>
    <w:lvl w:ilvl="0" w:tentative="0">
      <w:start w:val="1"/>
      <w:numFmt w:val="decimal"/>
      <w:lvlText w:val="（%1）"/>
      <w:lvlJc w:val="left"/>
      <w:pPr>
        <w:ind w:left="1267" w:hanging="528"/>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8"/>
      </w:pPr>
      <w:rPr>
        <w:rFonts w:hint="default"/>
        <w:lang w:val="zh-CN" w:eastAsia="zh-CN" w:bidi="zh-CN"/>
      </w:rPr>
    </w:lvl>
    <w:lvl w:ilvl="2" w:tentative="0">
      <w:start w:val="0"/>
      <w:numFmt w:val="bullet"/>
      <w:lvlText w:val="•"/>
      <w:lvlJc w:val="left"/>
      <w:pPr>
        <w:ind w:left="3230" w:hanging="528"/>
      </w:pPr>
      <w:rPr>
        <w:rFonts w:hint="default"/>
        <w:lang w:val="zh-CN" w:eastAsia="zh-CN" w:bidi="zh-CN"/>
      </w:rPr>
    </w:lvl>
    <w:lvl w:ilvl="3" w:tentative="0">
      <w:start w:val="0"/>
      <w:numFmt w:val="bullet"/>
      <w:lvlText w:val="•"/>
      <w:lvlJc w:val="left"/>
      <w:pPr>
        <w:ind w:left="4215" w:hanging="528"/>
      </w:pPr>
      <w:rPr>
        <w:rFonts w:hint="default"/>
        <w:lang w:val="zh-CN" w:eastAsia="zh-CN" w:bidi="zh-CN"/>
      </w:rPr>
    </w:lvl>
    <w:lvl w:ilvl="4" w:tentative="0">
      <w:start w:val="0"/>
      <w:numFmt w:val="bullet"/>
      <w:lvlText w:val="•"/>
      <w:lvlJc w:val="left"/>
      <w:pPr>
        <w:ind w:left="5200" w:hanging="528"/>
      </w:pPr>
      <w:rPr>
        <w:rFonts w:hint="default"/>
        <w:lang w:val="zh-CN" w:eastAsia="zh-CN" w:bidi="zh-CN"/>
      </w:rPr>
    </w:lvl>
    <w:lvl w:ilvl="5" w:tentative="0">
      <w:start w:val="0"/>
      <w:numFmt w:val="bullet"/>
      <w:lvlText w:val="•"/>
      <w:lvlJc w:val="left"/>
      <w:pPr>
        <w:ind w:left="6185" w:hanging="528"/>
      </w:pPr>
      <w:rPr>
        <w:rFonts w:hint="default"/>
        <w:lang w:val="zh-CN" w:eastAsia="zh-CN" w:bidi="zh-CN"/>
      </w:rPr>
    </w:lvl>
    <w:lvl w:ilvl="6" w:tentative="0">
      <w:start w:val="0"/>
      <w:numFmt w:val="bullet"/>
      <w:lvlText w:val="•"/>
      <w:lvlJc w:val="left"/>
      <w:pPr>
        <w:ind w:left="7170" w:hanging="528"/>
      </w:pPr>
      <w:rPr>
        <w:rFonts w:hint="default"/>
        <w:lang w:val="zh-CN" w:eastAsia="zh-CN" w:bidi="zh-CN"/>
      </w:rPr>
    </w:lvl>
    <w:lvl w:ilvl="7" w:tentative="0">
      <w:start w:val="0"/>
      <w:numFmt w:val="bullet"/>
      <w:lvlText w:val="•"/>
      <w:lvlJc w:val="left"/>
      <w:pPr>
        <w:ind w:left="8155" w:hanging="528"/>
      </w:pPr>
      <w:rPr>
        <w:rFonts w:hint="default"/>
        <w:lang w:val="zh-CN" w:eastAsia="zh-CN" w:bidi="zh-CN"/>
      </w:rPr>
    </w:lvl>
    <w:lvl w:ilvl="8" w:tentative="0">
      <w:start w:val="0"/>
      <w:numFmt w:val="bullet"/>
      <w:lvlText w:val="•"/>
      <w:lvlJc w:val="left"/>
      <w:pPr>
        <w:ind w:left="9140" w:hanging="528"/>
      </w:pPr>
      <w:rPr>
        <w:rFonts w:hint="default"/>
        <w:lang w:val="zh-CN" w:eastAsia="zh-CN" w:bidi="zh-CN"/>
      </w:rPr>
    </w:lvl>
  </w:abstractNum>
  <w:abstractNum w:abstractNumId="13">
    <w:nsid w:val="03D62ECE"/>
    <w:multiLevelType w:val="multilevel"/>
    <w:tmpl w:val="03D62ECE"/>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14">
    <w:nsid w:val="0E640482"/>
    <w:multiLevelType w:val="multilevel"/>
    <w:tmpl w:val="0E640482"/>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15">
    <w:nsid w:val="243FCF68"/>
    <w:multiLevelType w:val="multilevel"/>
    <w:tmpl w:val="243FCF68"/>
    <w:lvl w:ilvl="0" w:tentative="0">
      <w:start w:val="1"/>
      <w:numFmt w:val="decimal"/>
      <w:lvlText w:val="%1."/>
      <w:lvlJc w:val="left"/>
      <w:pPr>
        <w:ind w:left="561" w:hanging="241"/>
        <w:jc w:val="left"/>
      </w:pPr>
      <w:rPr>
        <w:rFonts w:hint="default" w:ascii="宋体" w:hAnsi="宋体" w:eastAsia="宋体" w:cs="宋体"/>
        <w:w w:val="100"/>
        <w:sz w:val="22"/>
        <w:szCs w:val="22"/>
        <w:lang w:val="zh-CN" w:eastAsia="zh-CN" w:bidi="zh-CN"/>
      </w:rPr>
    </w:lvl>
    <w:lvl w:ilvl="1" w:tentative="0">
      <w:start w:val="1"/>
      <w:numFmt w:val="decimal"/>
      <w:lvlText w:val="%2."/>
      <w:lvlJc w:val="left"/>
      <w:pPr>
        <w:ind w:left="951" w:hanging="212"/>
        <w:jc w:val="left"/>
      </w:pPr>
      <w:rPr>
        <w:rFonts w:hint="default"/>
        <w:spacing w:val="-2"/>
        <w:w w:val="99"/>
        <w:lang w:val="zh-CN" w:eastAsia="zh-CN" w:bidi="zh-CN"/>
      </w:rPr>
    </w:lvl>
    <w:lvl w:ilvl="2" w:tentative="0">
      <w:start w:val="0"/>
      <w:numFmt w:val="bullet"/>
      <w:lvlText w:val="•"/>
      <w:lvlJc w:val="left"/>
      <w:pPr>
        <w:ind w:left="2087" w:hanging="212"/>
      </w:pPr>
      <w:rPr>
        <w:rFonts w:hint="default"/>
        <w:lang w:val="zh-CN" w:eastAsia="zh-CN" w:bidi="zh-CN"/>
      </w:rPr>
    </w:lvl>
    <w:lvl w:ilvl="3" w:tentative="0">
      <w:start w:val="0"/>
      <w:numFmt w:val="bullet"/>
      <w:lvlText w:val="•"/>
      <w:lvlJc w:val="left"/>
      <w:pPr>
        <w:ind w:left="3215" w:hanging="212"/>
      </w:pPr>
      <w:rPr>
        <w:rFonts w:hint="default"/>
        <w:lang w:val="zh-CN" w:eastAsia="zh-CN" w:bidi="zh-CN"/>
      </w:rPr>
    </w:lvl>
    <w:lvl w:ilvl="4" w:tentative="0">
      <w:start w:val="0"/>
      <w:numFmt w:val="bullet"/>
      <w:lvlText w:val="•"/>
      <w:lvlJc w:val="left"/>
      <w:pPr>
        <w:ind w:left="4343" w:hanging="212"/>
      </w:pPr>
      <w:rPr>
        <w:rFonts w:hint="default"/>
        <w:lang w:val="zh-CN" w:eastAsia="zh-CN" w:bidi="zh-CN"/>
      </w:rPr>
    </w:lvl>
    <w:lvl w:ilvl="5" w:tentative="0">
      <w:start w:val="0"/>
      <w:numFmt w:val="bullet"/>
      <w:lvlText w:val="•"/>
      <w:lvlJc w:val="left"/>
      <w:pPr>
        <w:ind w:left="5471" w:hanging="212"/>
      </w:pPr>
      <w:rPr>
        <w:rFonts w:hint="default"/>
        <w:lang w:val="zh-CN" w:eastAsia="zh-CN" w:bidi="zh-CN"/>
      </w:rPr>
    </w:lvl>
    <w:lvl w:ilvl="6" w:tentative="0">
      <w:start w:val="0"/>
      <w:numFmt w:val="bullet"/>
      <w:lvlText w:val="•"/>
      <w:lvlJc w:val="left"/>
      <w:pPr>
        <w:ind w:left="6598" w:hanging="212"/>
      </w:pPr>
      <w:rPr>
        <w:rFonts w:hint="default"/>
        <w:lang w:val="zh-CN" w:eastAsia="zh-CN" w:bidi="zh-CN"/>
      </w:rPr>
    </w:lvl>
    <w:lvl w:ilvl="7" w:tentative="0">
      <w:start w:val="0"/>
      <w:numFmt w:val="bullet"/>
      <w:lvlText w:val="•"/>
      <w:lvlJc w:val="left"/>
      <w:pPr>
        <w:ind w:left="7726" w:hanging="212"/>
      </w:pPr>
      <w:rPr>
        <w:rFonts w:hint="default"/>
        <w:lang w:val="zh-CN" w:eastAsia="zh-CN" w:bidi="zh-CN"/>
      </w:rPr>
    </w:lvl>
    <w:lvl w:ilvl="8" w:tentative="0">
      <w:start w:val="0"/>
      <w:numFmt w:val="bullet"/>
      <w:lvlText w:val="•"/>
      <w:lvlJc w:val="left"/>
      <w:pPr>
        <w:ind w:left="8854" w:hanging="212"/>
      </w:pPr>
      <w:rPr>
        <w:rFonts w:hint="default"/>
        <w:lang w:val="zh-CN" w:eastAsia="zh-CN" w:bidi="zh-CN"/>
      </w:rPr>
    </w:lvl>
  </w:abstractNum>
  <w:abstractNum w:abstractNumId="16">
    <w:nsid w:val="2470EC97"/>
    <w:multiLevelType w:val="multilevel"/>
    <w:tmpl w:val="2470EC97"/>
    <w:lvl w:ilvl="0" w:tentative="0">
      <w:start w:val="1"/>
      <w:numFmt w:val="decimal"/>
      <w:lvlText w:val="（%1）"/>
      <w:lvlJc w:val="left"/>
      <w:pPr>
        <w:ind w:left="308" w:hanging="531"/>
        <w:jc w:val="left"/>
      </w:pPr>
      <w:rPr>
        <w:rFonts w:hint="default" w:ascii="宋体" w:hAnsi="宋体" w:eastAsia="宋体" w:cs="宋体"/>
        <w:b/>
        <w:bCs/>
        <w:spacing w:val="2"/>
        <w:w w:val="98"/>
        <w:sz w:val="19"/>
        <w:szCs w:val="19"/>
        <w:lang w:val="zh-CN" w:eastAsia="zh-CN" w:bidi="zh-CN"/>
      </w:rPr>
    </w:lvl>
    <w:lvl w:ilvl="1" w:tentative="0">
      <w:start w:val="0"/>
      <w:numFmt w:val="bullet"/>
      <w:lvlText w:val="•"/>
      <w:lvlJc w:val="left"/>
      <w:pPr>
        <w:ind w:left="1381" w:hanging="531"/>
      </w:pPr>
      <w:rPr>
        <w:rFonts w:hint="default"/>
        <w:lang w:val="zh-CN" w:eastAsia="zh-CN" w:bidi="zh-CN"/>
      </w:rPr>
    </w:lvl>
    <w:lvl w:ilvl="2" w:tentative="0">
      <w:start w:val="0"/>
      <w:numFmt w:val="bullet"/>
      <w:lvlText w:val="•"/>
      <w:lvlJc w:val="left"/>
      <w:pPr>
        <w:ind w:left="2462" w:hanging="531"/>
      </w:pPr>
      <w:rPr>
        <w:rFonts w:hint="default"/>
        <w:lang w:val="zh-CN" w:eastAsia="zh-CN" w:bidi="zh-CN"/>
      </w:rPr>
    </w:lvl>
    <w:lvl w:ilvl="3" w:tentative="0">
      <w:start w:val="0"/>
      <w:numFmt w:val="bullet"/>
      <w:lvlText w:val="•"/>
      <w:lvlJc w:val="left"/>
      <w:pPr>
        <w:ind w:left="3543" w:hanging="531"/>
      </w:pPr>
      <w:rPr>
        <w:rFonts w:hint="default"/>
        <w:lang w:val="zh-CN" w:eastAsia="zh-CN" w:bidi="zh-CN"/>
      </w:rPr>
    </w:lvl>
    <w:lvl w:ilvl="4" w:tentative="0">
      <w:start w:val="0"/>
      <w:numFmt w:val="bullet"/>
      <w:lvlText w:val="•"/>
      <w:lvlJc w:val="left"/>
      <w:pPr>
        <w:ind w:left="4624" w:hanging="531"/>
      </w:pPr>
      <w:rPr>
        <w:rFonts w:hint="default"/>
        <w:lang w:val="zh-CN" w:eastAsia="zh-CN" w:bidi="zh-CN"/>
      </w:rPr>
    </w:lvl>
    <w:lvl w:ilvl="5" w:tentative="0">
      <w:start w:val="0"/>
      <w:numFmt w:val="bullet"/>
      <w:lvlText w:val="•"/>
      <w:lvlJc w:val="left"/>
      <w:pPr>
        <w:ind w:left="5705" w:hanging="531"/>
      </w:pPr>
      <w:rPr>
        <w:rFonts w:hint="default"/>
        <w:lang w:val="zh-CN" w:eastAsia="zh-CN" w:bidi="zh-CN"/>
      </w:rPr>
    </w:lvl>
    <w:lvl w:ilvl="6" w:tentative="0">
      <w:start w:val="0"/>
      <w:numFmt w:val="bullet"/>
      <w:lvlText w:val="•"/>
      <w:lvlJc w:val="left"/>
      <w:pPr>
        <w:ind w:left="6786" w:hanging="531"/>
      </w:pPr>
      <w:rPr>
        <w:rFonts w:hint="default"/>
        <w:lang w:val="zh-CN" w:eastAsia="zh-CN" w:bidi="zh-CN"/>
      </w:rPr>
    </w:lvl>
    <w:lvl w:ilvl="7" w:tentative="0">
      <w:start w:val="0"/>
      <w:numFmt w:val="bullet"/>
      <w:lvlText w:val="•"/>
      <w:lvlJc w:val="left"/>
      <w:pPr>
        <w:ind w:left="7867" w:hanging="531"/>
      </w:pPr>
      <w:rPr>
        <w:rFonts w:hint="default"/>
        <w:lang w:val="zh-CN" w:eastAsia="zh-CN" w:bidi="zh-CN"/>
      </w:rPr>
    </w:lvl>
    <w:lvl w:ilvl="8" w:tentative="0">
      <w:start w:val="0"/>
      <w:numFmt w:val="bullet"/>
      <w:lvlText w:val="•"/>
      <w:lvlJc w:val="left"/>
      <w:pPr>
        <w:ind w:left="8948" w:hanging="531"/>
      </w:pPr>
      <w:rPr>
        <w:rFonts w:hint="default"/>
        <w:lang w:val="zh-CN" w:eastAsia="zh-CN" w:bidi="zh-CN"/>
      </w:rPr>
    </w:lvl>
  </w:abstractNum>
  <w:abstractNum w:abstractNumId="17">
    <w:nsid w:val="25B654F3"/>
    <w:multiLevelType w:val="multilevel"/>
    <w:tmpl w:val="25B654F3"/>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18">
    <w:nsid w:val="2A8F537B"/>
    <w:multiLevelType w:val="multilevel"/>
    <w:tmpl w:val="2A8F537B"/>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19">
    <w:nsid w:val="39A0D9AC"/>
    <w:multiLevelType w:val="multilevel"/>
    <w:tmpl w:val="39A0D9AC"/>
    <w:lvl w:ilvl="0" w:tentative="0">
      <w:start w:val="1"/>
      <w:numFmt w:val="decimal"/>
      <w:lvlText w:val="%1."/>
      <w:lvlJc w:val="left"/>
      <w:pPr>
        <w:ind w:left="104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7" w:hanging="241"/>
      </w:pPr>
      <w:rPr>
        <w:rFonts w:hint="default"/>
        <w:lang w:val="zh-CN" w:eastAsia="zh-CN" w:bidi="zh-CN"/>
      </w:rPr>
    </w:lvl>
    <w:lvl w:ilvl="2" w:tentative="0">
      <w:start w:val="0"/>
      <w:numFmt w:val="bullet"/>
      <w:lvlText w:val="•"/>
      <w:lvlJc w:val="left"/>
      <w:pPr>
        <w:ind w:left="3054" w:hanging="241"/>
      </w:pPr>
      <w:rPr>
        <w:rFonts w:hint="default"/>
        <w:lang w:val="zh-CN" w:eastAsia="zh-CN" w:bidi="zh-CN"/>
      </w:rPr>
    </w:lvl>
    <w:lvl w:ilvl="3" w:tentative="0">
      <w:start w:val="0"/>
      <w:numFmt w:val="bullet"/>
      <w:lvlText w:val="•"/>
      <w:lvlJc w:val="left"/>
      <w:pPr>
        <w:ind w:left="4061" w:hanging="241"/>
      </w:pPr>
      <w:rPr>
        <w:rFonts w:hint="default"/>
        <w:lang w:val="zh-CN" w:eastAsia="zh-CN" w:bidi="zh-CN"/>
      </w:rPr>
    </w:lvl>
    <w:lvl w:ilvl="4" w:tentative="0">
      <w:start w:val="0"/>
      <w:numFmt w:val="bullet"/>
      <w:lvlText w:val="•"/>
      <w:lvlJc w:val="left"/>
      <w:pPr>
        <w:ind w:left="5068" w:hanging="241"/>
      </w:pPr>
      <w:rPr>
        <w:rFonts w:hint="default"/>
        <w:lang w:val="zh-CN" w:eastAsia="zh-CN" w:bidi="zh-CN"/>
      </w:rPr>
    </w:lvl>
    <w:lvl w:ilvl="5" w:tentative="0">
      <w:start w:val="0"/>
      <w:numFmt w:val="bullet"/>
      <w:lvlText w:val="•"/>
      <w:lvlJc w:val="left"/>
      <w:pPr>
        <w:ind w:left="6075" w:hanging="241"/>
      </w:pPr>
      <w:rPr>
        <w:rFonts w:hint="default"/>
        <w:lang w:val="zh-CN" w:eastAsia="zh-CN" w:bidi="zh-CN"/>
      </w:rPr>
    </w:lvl>
    <w:lvl w:ilvl="6" w:tentative="0">
      <w:start w:val="0"/>
      <w:numFmt w:val="bullet"/>
      <w:lvlText w:val="•"/>
      <w:lvlJc w:val="left"/>
      <w:pPr>
        <w:ind w:left="7082" w:hanging="241"/>
      </w:pPr>
      <w:rPr>
        <w:rFonts w:hint="default"/>
        <w:lang w:val="zh-CN" w:eastAsia="zh-CN" w:bidi="zh-CN"/>
      </w:rPr>
    </w:lvl>
    <w:lvl w:ilvl="7" w:tentative="0">
      <w:start w:val="0"/>
      <w:numFmt w:val="bullet"/>
      <w:lvlText w:val="•"/>
      <w:lvlJc w:val="left"/>
      <w:pPr>
        <w:ind w:left="8089" w:hanging="241"/>
      </w:pPr>
      <w:rPr>
        <w:rFonts w:hint="default"/>
        <w:lang w:val="zh-CN" w:eastAsia="zh-CN" w:bidi="zh-CN"/>
      </w:rPr>
    </w:lvl>
    <w:lvl w:ilvl="8" w:tentative="0">
      <w:start w:val="0"/>
      <w:numFmt w:val="bullet"/>
      <w:lvlText w:val="•"/>
      <w:lvlJc w:val="left"/>
      <w:pPr>
        <w:ind w:left="9096" w:hanging="241"/>
      </w:pPr>
      <w:rPr>
        <w:rFonts w:hint="default"/>
        <w:lang w:val="zh-CN" w:eastAsia="zh-CN" w:bidi="zh-CN"/>
      </w:rPr>
    </w:lvl>
  </w:abstractNum>
  <w:abstractNum w:abstractNumId="20">
    <w:nsid w:val="46A08BB8"/>
    <w:multiLevelType w:val="multilevel"/>
    <w:tmpl w:val="46A08BB8"/>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21">
    <w:nsid w:val="4C1BAE26"/>
    <w:multiLevelType w:val="multilevel"/>
    <w:tmpl w:val="4C1BAE26"/>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22">
    <w:nsid w:val="4D4DC07F"/>
    <w:multiLevelType w:val="multilevel"/>
    <w:tmpl w:val="4D4DC07F"/>
    <w:lvl w:ilvl="0" w:tentative="0">
      <w:start w:val="1"/>
      <w:numFmt w:val="decimal"/>
      <w:lvlText w:val="（%1）"/>
      <w:lvlJc w:val="left"/>
      <w:pPr>
        <w:ind w:left="320" w:hanging="525"/>
        <w:jc w:val="left"/>
      </w:pPr>
      <w:rPr>
        <w:rFonts w:hint="default" w:ascii="宋体" w:hAnsi="宋体" w:eastAsia="宋体" w:cs="宋体"/>
        <w:spacing w:val="-8"/>
        <w:w w:val="99"/>
        <w:sz w:val="19"/>
        <w:szCs w:val="19"/>
        <w:lang w:val="zh-CN" w:eastAsia="zh-CN" w:bidi="zh-CN"/>
      </w:rPr>
    </w:lvl>
    <w:lvl w:ilvl="1" w:tentative="0">
      <w:start w:val="0"/>
      <w:numFmt w:val="bullet"/>
      <w:lvlText w:val="•"/>
      <w:lvlJc w:val="left"/>
      <w:pPr>
        <w:ind w:left="1399" w:hanging="525"/>
      </w:pPr>
      <w:rPr>
        <w:rFonts w:hint="default"/>
        <w:lang w:val="zh-CN" w:eastAsia="zh-CN" w:bidi="zh-CN"/>
      </w:rPr>
    </w:lvl>
    <w:lvl w:ilvl="2" w:tentative="0">
      <w:start w:val="0"/>
      <w:numFmt w:val="bullet"/>
      <w:lvlText w:val="•"/>
      <w:lvlJc w:val="left"/>
      <w:pPr>
        <w:ind w:left="2478" w:hanging="525"/>
      </w:pPr>
      <w:rPr>
        <w:rFonts w:hint="default"/>
        <w:lang w:val="zh-CN" w:eastAsia="zh-CN" w:bidi="zh-CN"/>
      </w:rPr>
    </w:lvl>
    <w:lvl w:ilvl="3" w:tentative="0">
      <w:start w:val="0"/>
      <w:numFmt w:val="bullet"/>
      <w:lvlText w:val="•"/>
      <w:lvlJc w:val="left"/>
      <w:pPr>
        <w:ind w:left="3557" w:hanging="525"/>
      </w:pPr>
      <w:rPr>
        <w:rFonts w:hint="default"/>
        <w:lang w:val="zh-CN" w:eastAsia="zh-CN" w:bidi="zh-CN"/>
      </w:rPr>
    </w:lvl>
    <w:lvl w:ilvl="4" w:tentative="0">
      <w:start w:val="0"/>
      <w:numFmt w:val="bullet"/>
      <w:lvlText w:val="•"/>
      <w:lvlJc w:val="left"/>
      <w:pPr>
        <w:ind w:left="4636" w:hanging="525"/>
      </w:pPr>
      <w:rPr>
        <w:rFonts w:hint="default"/>
        <w:lang w:val="zh-CN" w:eastAsia="zh-CN" w:bidi="zh-CN"/>
      </w:rPr>
    </w:lvl>
    <w:lvl w:ilvl="5" w:tentative="0">
      <w:start w:val="0"/>
      <w:numFmt w:val="bullet"/>
      <w:lvlText w:val="•"/>
      <w:lvlJc w:val="left"/>
      <w:pPr>
        <w:ind w:left="5715" w:hanging="525"/>
      </w:pPr>
      <w:rPr>
        <w:rFonts w:hint="default"/>
        <w:lang w:val="zh-CN" w:eastAsia="zh-CN" w:bidi="zh-CN"/>
      </w:rPr>
    </w:lvl>
    <w:lvl w:ilvl="6" w:tentative="0">
      <w:start w:val="0"/>
      <w:numFmt w:val="bullet"/>
      <w:lvlText w:val="•"/>
      <w:lvlJc w:val="left"/>
      <w:pPr>
        <w:ind w:left="6794" w:hanging="525"/>
      </w:pPr>
      <w:rPr>
        <w:rFonts w:hint="default"/>
        <w:lang w:val="zh-CN" w:eastAsia="zh-CN" w:bidi="zh-CN"/>
      </w:rPr>
    </w:lvl>
    <w:lvl w:ilvl="7" w:tentative="0">
      <w:start w:val="0"/>
      <w:numFmt w:val="bullet"/>
      <w:lvlText w:val="•"/>
      <w:lvlJc w:val="left"/>
      <w:pPr>
        <w:ind w:left="7873" w:hanging="525"/>
      </w:pPr>
      <w:rPr>
        <w:rFonts w:hint="default"/>
        <w:lang w:val="zh-CN" w:eastAsia="zh-CN" w:bidi="zh-CN"/>
      </w:rPr>
    </w:lvl>
    <w:lvl w:ilvl="8" w:tentative="0">
      <w:start w:val="0"/>
      <w:numFmt w:val="bullet"/>
      <w:lvlText w:val="•"/>
      <w:lvlJc w:val="left"/>
      <w:pPr>
        <w:ind w:left="8952" w:hanging="525"/>
      </w:pPr>
      <w:rPr>
        <w:rFonts w:hint="default"/>
        <w:lang w:val="zh-CN" w:eastAsia="zh-CN" w:bidi="zh-CN"/>
      </w:rPr>
    </w:lvl>
  </w:abstractNum>
  <w:abstractNum w:abstractNumId="23">
    <w:nsid w:val="4D94DA66"/>
    <w:multiLevelType w:val="multilevel"/>
    <w:tmpl w:val="4D94DA66"/>
    <w:lvl w:ilvl="0" w:tentative="0">
      <w:start w:val="1"/>
      <w:numFmt w:val="decimal"/>
      <w:lvlText w:val="(%1)"/>
      <w:lvlJc w:val="left"/>
      <w:pPr>
        <w:ind w:left="1056" w:hanging="317"/>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2065" w:hanging="317"/>
      </w:pPr>
      <w:rPr>
        <w:rFonts w:hint="default"/>
        <w:lang w:val="zh-CN" w:eastAsia="zh-CN" w:bidi="zh-CN"/>
      </w:rPr>
    </w:lvl>
    <w:lvl w:ilvl="2" w:tentative="0">
      <w:start w:val="0"/>
      <w:numFmt w:val="bullet"/>
      <w:lvlText w:val="•"/>
      <w:lvlJc w:val="left"/>
      <w:pPr>
        <w:ind w:left="3070" w:hanging="317"/>
      </w:pPr>
      <w:rPr>
        <w:rFonts w:hint="default"/>
        <w:lang w:val="zh-CN" w:eastAsia="zh-CN" w:bidi="zh-CN"/>
      </w:rPr>
    </w:lvl>
    <w:lvl w:ilvl="3" w:tentative="0">
      <w:start w:val="0"/>
      <w:numFmt w:val="bullet"/>
      <w:lvlText w:val="•"/>
      <w:lvlJc w:val="left"/>
      <w:pPr>
        <w:ind w:left="4075" w:hanging="317"/>
      </w:pPr>
      <w:rPr>
        <w:rFonts w:hint="default"/>
        <w:lang w:val="zh-CN" w:eastAsia="zh-CN" w:bidi="zh-CN"/>
      </w:rPr>
    </w:lvl>
    <w:lvl w:ilvl="4" w:tentative="0">
      <w:start w:val="0"/>
      <w:numFmt w:val="bullet"/>
      <w:lvlText w:val="•"/>
      <w:lvlJc w:val="left"/>
      <w:pPr>
        <w:ind w:left="5080" w:hanging="317"/>
      </w:pPr>
      <w:rPr>
        <w:rFonts w:hint="default"/>
        <w:lang w:val="zh-CN" w:eastAsia="zh-CN" w:bidi="zh-CN"/>
      </w:rPr>
    </w:lvl>
    <w:lvl w:ilvl="5" w:tentative="0">
      <w:start w:val="0"/>
      <w:numFmt w:val="bullet"/>
      <w:lvlText w:val="•"/>
      <w:lvlJc w:val="left"/>
      <w:pPr>
        <w:ind w:left="6085" w:hanging="317"/>
      </w:pPr>
      <w:rPr>
        <w:rFonts w:hint="default"/>
        <w:lang w:val="zh-CN" w:eastAsia="zh-CN" w:bidi="zh-CN"/>
      </w:rPr>
    </w:lvl>
    <w:lvl w:ilvl="6" w:tentative="0">
      <w:start w:val="0"/>
      <w:numFmt w:val="bullet"/>
      <w:lvlText w:val="•"/>
      <w:lvlJc w:val="left"/>
      <w:pPr>
        <w:ind w:left="7090" w:hanging="317"/>
      </w:pPr>
      <w:rPr>
        <w:rFonts w:hint="default"/>
        <w:lang w:val="zh-CN" w:eastAsia="zh-CN" w:bidi="zh-CN"/>
      </w:rPr>
    </w:lvl>
    <w:lvl w:ilvl="7" w:tentative="0">
      <w:start w:val="0"/>
      <w:numFmt w:val="bullet"/>
      <w:lvlText w:val="•"/>
      <w:lvlJc w:val="left"/>
      <w:pPr>
        <w:ind w:left="8095" w:hanging="317"/>
      </w:pPr>
      <w:rPr>
        <w:rFonts w:hint="default"/>
        <w:lang w:val="zh-CN" w:eastAsia="zh-CN" w:bidi="zh-CN"/>
      </w:rPr>
    </w:lvl>
    <w:lvl w:ilvl="8" w:tentative="0">
      <w:start w:val="0"/>
      <w:numFmt w:val="bullet"/>
      <w:lvlText w:val="•"/>
      <w:lvlJc w:val="left"/>
      <w:pPr>
        <w:ind w:left="9100" w:hanging="317"/>
      </w:pPr>
      <w:rPr>
        <w:rFonts w:hint="default"/>
        <w:lang w:val="zh-CN" w:eastAsia="zh-CN" w:bidi="zh-CN"/>
      </w:rPr>
    </w:lvl>
  </w:abstractNum>
  <w:abstractNum w:abstractNumId="24">
    <w:nsid w:val="5498E193"/>
    <w:multiLevelType w:val="singleLevel"/>
    <w:tmpl w:val="5498E193"/>
    <w:lvl w:ilvl="0" w:tentative="0">
      <w:start w:val="11"/>
      <w:numFmt w:val="decimal"/>
      <w:suff w:val="space"/>
      <w:lvlText w:val="%1."/>
      <w:lvlJc w:val="left"/>
    </w:lvl>
  </w:abstractNum>
  <w:abstractNum w:abstractNumId="25">
    <w:nsid w:val="58765686"/>
    <w:multiLevelType w:val="multilevel"/>
    <w:tmpl w:val="58765686"/>
    <w:lvl w:ilvl="0" w:tentative="0">
      <w:start w:val="1"/>
      <w:numFmt w:val="decimal"/>
      <w:lvlText w:val="（%1）"/>
      <w:lvlJc w:val="left"/>
      <w:pPr>
        <w:ind w:left="14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71" w:hanging="601"/>
      </w:pPr>
      <w:rPr>
        <w:rFonts w:hint="default"/>
        <w:lang w:val="zh-CN" w:eastAsia="zh-CN" w:bidi="zh-CN"/>
      </w:rPr>
    </w:lvl>
    <w:lvl w:ilvl="2" w:tentative="0">
      <w:start w:val="0"/>
      <w:numFmt w:val="bullet"/>
      <w:lvlText w:val="•"/>
      <w:lvlJc w:val="left"/>
      <w:pPr>
        <w:ind w:left="3342" w:hanging="601"/>
      </w:pPr>
      <w:rPr>
        <w:rFonts w:hint="default"/>
        <w:lang w:val="zh-CN" w:eastAsia="zh-CN" w:bidi="zh-CN"/>
      </w:rPr>
    </w:lvl>
    <w:lvl w:ilvl="3" w:tentative="0">
      <w:start w:val="0"/>
      <w:numFmt w:val="bullet"/>
      <w:lvlText w:val="•"/>
      <w:lvlJc w:val="left"/>
      <w:pPr>
        <w:ind w:left="4313" w:hanging="601"/>
      </w:pPr>
      <w:rPr>
        <w:rFonts w:hint="default"/>
        <w:lang w:val="zh-CN" w:eastAsia="zh-CN" w:bidi="zh-CN"/>
      </w:rPr>
    </w:lvl>
    <w:lvl w:ilvl="4" w:tentative="0">
      <w:start w:val="0"/>
      <w:numFmt w:val="bullet"/>
      <w:lvlText w:val="•"/>
      <w:lvlJc w:val="left"/>
      <w:pPr>
        <w:ind w:left="5284" w:hanging="601"/>
      </w:pPr>
      <w:rPr>
        <w:rFonts w:hint="default"/>
        <w:lang w:val="zh-CN" w:eastAsia="zh-CN" w:bidi="zh-CN"/>
      </w:rPr>
    </w:lvl>
    <w:lvl w:ilvl="5" w:tentative="0">
      <w:start w:val="0"/>
      <w:numFmt w:val="bullet"/>
      <w:lvlText w:val="•"/>
      <w:lvlJc w:val="left"/>
      <w:pPr>
        <w:ind w:left="6255" w:hanging="601"/>
      </w:pPr>
      <w:rPr>
        <w:rFonts w:hint="default"/>
        <w:lang w:val="zh-CN" w:eastAsia="zh-CN" w:bidi="zh-CN"/>
      </w:rPr>
    </w:lvl>
    <w:lvl w:ilvl="6" w:tentative="0">
      <w:start w:val="0"/>
      <w:numFmt w:val="bullet"/>
      <w:lvlText w:val="•"/>
      <w:lvlJc w:val="left"/>
      <w:pPr>
        <w:ind w:left="7226" w:hanging="601"/>
      </w:pPr>
      <w:rPr>
        <w:rFonts w:hint="default"/>
        <w:lang w:val="zh-CN" w:eastAsia="zh-CN" w:bidi="zh-CN"/>
      </w:rPr>
    </w:lvl>
    <w:lvl w:ilvl="7" w:tentative="0">
      <w:start w:val="0"/>
      <w:numFmt w:val="bullet"/>
      <w:lvlText w:val="•"/>
      <w:lvlJc w:val="left"/>
      <w:pPr>
        <w:ind w:left="8197" w:hanging="601"/>
      </w:pPr>
      <w:rPr>
        <w:rFonts w:hint="default"/>
        <w:lang w:val="zh-CN" w:eastAsia="zh-CN" w:bidi="zh-CN"/>
      </w:rPr>
    </w:lvl>
    <w:lvl w:ilvl="8" w:tentative="0">
      <w:start w:val="0"/>
      <w:numFmt w:val="bullet"/>
      <w:lvlText w:val="•"/>
      <w:lvlJc w:val="left"/>
      <w:pPr>
        <w:ind w:left="9168" w:hanging="601"/>
      </w:pPr>
      <w:rPr>
        <w:rFonts w:hint="default"/>
        <w:lang w:val="zh-CN" w:eastAsia="zh-CN" w:bidi="zh-CN"/>
      </w:rPr>
    </w:lvl>
  </w:abstractNum>
  <w:abstractNum w:abstractNumId="26">
    <w:nsid w:val="5A241D34"/>
    <w:multiLevelType w:val="multilevel"/>
    <w:tmpl w:val="5A241D34"/>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27">
    <w:nsid w:val="60382F6E"/>
    <w:multiLevelType w:val="multilevel"/>
    <w:tmpl w:val="60382F6E"/>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28">
    <w:nsid w:val="72183CF9"/>
    <w:multiLevelType w:val="multilevel"/>
    <w:tmpl w:val="72183CF9"/>
    <w:lvl w:ilvl="0" w:tentative="0">
      <w:start w:val="1"/>
      <w:numFmt w:val="decimal"/>
      <w:lvlText w:val="（%1）"/>
      <w:lvlJc w:val="left"/>
      <w:pPr>
        <w:ind w:left="12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45" w:hanging="525"/>
      </w:pPr>
      <w:rPr>
        <w:rFonts w:hint="default"/>
        <w:lang w:val="zh-CN" w:eastAsia="zh-CN" w:bidi="zh-CN"/>
      </w:rPr>
    </w:lvl>
    <w:lvl w:ilvl="2" w:tentative="0">
      <w:start w:val="0"/>
      <w:numFmt w:val="bullet"/>
      <w:lvlText w:val="•"/>
      <w:lvlJc w:val="left"/>
      <w:pPr>
        <w:ind w:left="3230" w:hanging="525"/>
      </w:pPr>
      <w:rPr>
        <w:rFonts w:hint="default"/>
        <w:lang w:val="zh-CN" w:eastAsia="zh-CN" w:bidi="zh-CN"/>
      </w:rPr>
    </w:lvl>
    <w:lvl w:ilvl="3" w:tentative="0">
      <w:start w:val="0"/>
      <w:numFmt w:val="bullet"/>
      <w:lvlText w:val="•"/>
      <w:lvlJc w:val="left"/>
      <w:pPr>
        <w:ind w:left="4215" w:hanging="525"/>
      </w:pPr>
      <w:rPr>
        <w:rFonts w:hint="default"/>
        <w:lang w:val="zh-CN" w:eastAsia="zh-CN" w:bidi="zh-CN"/>
      </w:rPr>
    </w:lvl>
    <w:lvl w:ilvl="4" w:tentative="0">
      <w:start w:val="0"/>
      <w:numFmt w:val="bullet"/>
      <w:lvlText w:val="•"/>
      <w:lvlJc w:val="left"/>
      <w:pPr>
        <w:ind w:left="5200" w:hanging="525"/>
      </w:pPr>
      <w:rPr>
        <w:rFonts w:hint="default"/>
        <w:lang w:val="zh-CN" w:eastAsia="zh-CN" w:bidi="zh-CN"/>
      </w:rPr>
    </w:lvl>
    <w:lvl w:ilvl="5" w:tentative="0">
      <w:start w:val="0"/>
      <w:numFmt w:val="bullet"/>
      <w:lvlText w:val="•"/>
      <w:lvlJc w:val="left"/>
      <w:pPr>
        <w:ind w:left="6185" w:hanging="525"/>
      </w:pPr>
      <w:rPr>
        <w:rFonts w:hint="default"/>
        <w:lang w:val="zh-CN" w:eastAsia="zh-CN" w:bidi="zh-CN"/>
      </w:rPr>
    </w:lvl>
    <w:lvl w:ilvl="6" w:tentative="0">
      <w:start w:val="0"/>
      <w:numFmt w:val="bullet"/>
      <w:lvlText w:val="•"/>
      <w:lvlJc w:val="left"/>
      <w:pPr>
        <w:ind w:left="7170" w:hanging="525"/>
      </w:pPr>
      <w:rPr>
        <w:rFonts w:hint="default"/>
        <w:lang w:val="zh-CN" w:eastAsia="zh-CN" w:bidi="zh-CN"/>
      </w:rPr>
    </w:lvl>
    <w:lvl w:ilvl="7" w:tentative="0">
      <w:start w:val="0"/>
      <w:numFmt w:val="bullet"/>
      <w:lvlText w:val="•"/>
      <w:lvlJc w:val="left"/>
      <w:pPr>
        <w:ind w:left="8155" w:hanging="525"/>
      </w:pPr>
      <w:rPr>
        <w:rFonts w:hint="default"/>
        <w:lang w:val="zh-CN" w:eastAsia="zh-CN" w:bidi="zh-CN"/>
      </w:rPr>
    </w:lvl>
    <w:lvl w:ilvl="8" w:tentative="0">
      <w:start w:val="0"/>
      <w:numFmt w:val="bullet"/>
      <w:lvlText w:val="•"/>
      <w:lvlJc w:val="left"/>
      <w:pPr>
        <w:ind w:left="9140" w:hanging="525"/>
      </w:pPr>
      <w:rPr>
        <w:rFonts w:hint="default"/>
        <w:lang w:val="zh-CN" w:eastAsia="zh-CN" w:bidi="zh-CN"/>
      </w:rPr>
    </w:lvl>
  </w:abstractNum>
  <w:abstractNum w:abstractNumId="29">
    <w:nsid w:val="7C246926"/>
    <w:multiLevelType w:val="multilevel"/>
    <w:tmpl w:val="7C246926"/>
    <w:lvl w:ilvl="0" w:tentative="0">
      <w:start w:val="1"/>
      <w:numFmt w:val="decimal"/>
      <w:lvlText w:val="%1）"/>
      <w:lvlJc w:val="left"/>
      <w:pPr>
        <w:ind w:left="1160" w:hanging="420"/>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155" w:hanging="420"/>
      </w:pPr>
      <w:rPr>
        <w:rFonts w:hint="default"/>
        <w:lang w:val="zh-CN" w:eastAsia="zh-CN" w:bidi="zh-CN"/>
      </w:rPr>
    </w:lvl>
    <w:lvl w:ilvl="2" w:tentative="0">
      <w:start w:val="0"/>
      <w:numFmt w:val="bullet"/>
      <w:lvlText w:val="•"/>
      <w:lvlJc w:val="left"/>
      <w:pPr>
        <w:ind w:left="3150" w:hanging="420"/>
      </w:pPr>
      <w:rPr>
        <w:rFonts w:hint="default"/>
        <w:lang w:val="zh-CN" w:eastAsia="zh-CN" w:bidi="zh-CN"/>
      </w:rPr>
    </w:lvl>
    <w:lvl w:ilvl="3" w:tentative="0">
      <w:start w:val="0"/>
      <w:numFmt w:val="bullet"/>
      <w:lvlText w:val="•"/>
      <w:lvlJc w:val="left"/>
      <w:pPr>
        <w:ind w:left="4145" w:hanging="420"/>
      </w:pPr>
      <w:rPr>
        <w:rFonts w:hint="default"/>
        <w:lang w:val="zh-CN" w:eastAsia="zh-CN" w:bidi="zh-CN"/>
      </w:rPr>
    </w:lvl>
    <w:lvl w:ilvl="4" w:tentative="0">
      <w:start w:val="0"/>
      <w:numFmt w:val="bullet"/>
      <w:lvlText w:val="•"/>
      <w:lvlJc w:val="left"/>
      <w:pPr>
        <w:ind w:left="5140" w:hanging="420"/>
      </w:pPr>
      <w:rPr>
        <w:rFonts w:hint="default"/>
        <w:lang w:val="zh-CN" w:eastAsia="zh-CN" w:bidi="zh-CN"/>
      </w:rPr>
    </w:lvl>
    <w:lvl w:ilvl="5" w:tentative="0">
      <w:start w:val="0"/>
      <w:numFmt w:val="bullet"/>
      <w:lvlText w:val="•"/>
      <w:lvlJc w:val="left"/>
      <w:pPr>
        <w:ind w:left="6135" w:hanging="420"/>
      </w:pPr>
      <w:rPr>
        <w:rFonts w:hint="default"/>
        <w:lang w:val="zh-CN" w:eastAsia="zh-CN" w:bidi="zh-CN"/>
      </w:rPr>
    </w:lvl>
    <w:lvl w:ilvl="6" w:tentative="0">
      <w:start w:val="0"/>
      <w:numFmt w:val="bullet"/>
      <w:lvlText w:val="•"/>
      <w:lvlJc w:val="left"/>
      <w:pPr>
        <w:ind w:left="7130" w:hanging="420"/>
      </w:pPr>
      <w:rPr>
        <w:rFonts w:hint="default"/>
        <w:lang w:val="zh-CN" w:eastAsia="zh-CN" w:bidi="zh-CN"/>
      </w:rPr>
    </w:lvl>
    <w:lvl w:ilvl="7" w:tentative="0">
      <w:start w:val="0"/>
      <w:numFmt w:val="bullet"/>
      <w:lvlText w:val="•"/>
      <w:lvlJc w:val="left"/>
      <w:pPr>
        <w:ind w:left="8125" w:hanging="420"/>
      </w:pPr>
      <w:rPr>
        <w:rFonts w:hint="default"/>
        <w:lang w:val="zh-CN" w:eastAsia="zh-CN" w:bidi="zh-CN"/>
      </w:rPr>
    </w:lvl>
    <w:lvl w:ilvl="8" w:tentative="0">
      <w:start w:val="0"/>
      <w:numFmt w:val="bullet"/>
      <w:lvlText w:val="•"/>
      <w:lvlJc w:val="left"/>
      <w:pPr>
        <w:ind w:left="9120" w:hanging="420"/>
      </w:pPr>
      <w:rPr>
        <w:rFonts w:hint="default"/>
        <w:lang w:val="zh-CN" w:eastAsia="zh-CN" w:bidi="zh-CN"/>
      </w:rPr>
    </w:lvl>
  </w:abstractNum>
  <w:abstractNum w:abstractNumId="30">
    <w:nsid w:val="7DEC2089"/>
    <w:multiLevelType w:val="multilevel"/>
    <w:tmpl w:val="7DEC2089"/>
    <w:lvl w:ilvl="0" w:tentative="0">
      <w:start w:val="2"/>
      <w:numFmt w:val="decimal"/>
      <w:lvlText w:val="%1."/>
      <w:lvlJc w:val="left"/>
      <w:pPr>
        <w:ind w:left="785" w:hanging="324"/>
        <w:jc w:val="left"/>
      </w:pPr>
      <w:rPr>
        <w:rFonts w:hint="default" w:ascii="宋体" w:hAnsi="宋体" w:eastAsia="宋体" w:cs="宋体"/>
        <w:b/>
        <w:bCs/>
        <w:spacing w:val="-2"/>
        <w:w w:val="98"/>
        <w:sz w:val="30"/>
        <w:szCs w:val="30"/>
        <w:lang w:val="zh-CN" w:eastAsia="zh-CN" w:bidi="zh-CN"/>
      </w:rPr>
    </w:lvl>
    <w:lvl w:ilvl="1" w:tentative="0">
      <w:start w:val="1"/>
      <w:numFmt w:val="decimal"/>
      <w:lvlText w:val="%2."/>
      <w:lvlJc w:val="left"/>
      <w:pPr>
        <w:ind w:left="1041" w:hanging="24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158" w:hanging="241"/>
      </w:pPr>
      <w:rPr>
        <w:rFonts w:hint="default"/>
        <w:lang w:val="zh-CN" w:eastAsia="zh-CN" w:bidi="zh-CN"/>
      </w:rPr>
    </w:lvl>
    <w:lvl w:ilvl="3" w:tentative="0">
      <w:start w:val="0"/>
      <w:numFmt w:val="bullet"/>
      <w:lvlText w:val="•"/>
      <w:lvlJc w:val="left"/>
      <w:pPr>
        <w:ind w:left="3277" w:hanging="241"/>
      </w:pPr>
      <w:rPr>
        <w:rFonts w:hint="default"/>
        <w:lang w:val="zh-CN" w:eastAsia="zh-CN" w:bidi="zh-CN"/>
      </w:rPr>
    </w:lvl>
    <w:lvl w:ilvl="4" w:tentative="0">
      <w:start w:val="0"/>
      <w:numFmt w:val="bullet"/>
      <w:lvlText w:val="•"/>
      <w:lvlJc w:val="left"/>
      <w:pPr>
        <w:ind w:left="4396" w:hanging="241"/>
      </w:pPr>
      <w:rPr>
        <w:rFonts w:hint="default"/>
        <w:lang w:val="zh-CN" w:eastAsia="zh-CN" w:bidi="zh-CN"/>
      </w:rPr>
    </w:lvl>
    <w:lvl w:ilvl="5" w:tentative="0">
      <w:start w:val="0"/>
      <w:numFmt w:val="bullet"/>
      <w:lvlText w:val="•"/>
      <w:lvlJc w:val="left"/>
      <w:pPr>
        <w:ind w:left="5515" w:hanging="241"/>
      </w:pPr>
      <w:rPr>
        <w:rFonts w:hint="default"/>
        <w:lang w:val="zh-CN" w:eastAsia="zh-CN" w:bidi="zh-CN"/>
      </w:rPr>
    </w:lvl>
    <w:lvl w:ilvl="6" w:tentative="0">
      <w:start w:val="0"/>
      <w:numFmt w:val="bullet"/>
      <w:lvlText w:val="•"/>
      <w:lvlJc w:val="left"/>
      <w:pPr>
        <w:ind w:left="6634" w:hanging="241"/>
      </w:pPr>
      <w:rPr>
        <w:rFonts w:hint="default"/>
        <w:lang w:val="zh-CN" w:eastAsia="zh-CN" w:bidi="zh-CN"/>
      </w:rPr>
    </w:lvl>
    <w:lvl w:ilvl="7" w:tentative="0">
      <w:start w:val="0"/>
      <w:numFmt w:val="bullet"/>
      <w:lvlText w:val="•"/>
      <w:lvlJc w:val="left"/>
      <w:pPr>
        <w:ind w:left="7753" w:hanging="241"/>
      </w:pPr>
      <w:rPr>
        <w:rFonts w:hint="default"/>
        <w:lang w:val="zh-CN" w:eastAsia="zh-CN" w:bidi="zh-CN"/>
      </w:rPr>
    </w:lvl>
    <w:lvl w:ilvl="8" w:tentative="0">
      <w:start w:val="0"/>
      <w:numFmt w:val="bullet"/>
      <w:lvlText w:val="•"/>
      <w:lvlJc w:val="left"/>
      <w:pPr>
        <w:ind w:left="8872" w:hanging="241"/>
      </w:pPr>
      <w:rPr>
        <w:rFonts w:hint="default"/>
        <w:lang w:val="zh-CN" w:eastAsia="zh-CN" w:bidi="zh-CN"/>
      </w:rPr>
    </w:lvl>
  </w:abstractNum>
  <w:num w:numId="1">
    <w:abstractNumId w:val="6"/>
  </w:num>
  <w:num w:numId="2">
    <w:abstractNumId w:val="5"/>
  </w:num>
  <w:num w:numId="3">
    <w:abstractNumId w:val="13"/>
  </w:num>
  <w:num w:numId="4">
    <w:abstractNumId w:val="17"/>
  </w:num>
  <w:num w:numId="5">
    <w:abstractNumId w:val="28"/>
  </w:num>
  <w:num w:numId="6">
    <w:abstractNumId w:val="12"/>
  </w:num>
  <w:num w:numId="7">
    <w:abstractNumId w:val="2"/>
  </w:num>
  <w:num w:numId="8">
    <w:abstractNumId w:val="18"/>
  </w:num>
  <w:num w:numId="9">
    <w:abstractNumId w:val="26"/>
  </w:num>
  <w:num w:numId="10">
    <w:abstractNumId w:val="7"/>
  </w:num>
  <w:num w:numId="11">
    <w:abstractNumId w:val="22"/>
  </w:num>
  <w:num w:numId="12">
    <w:abstractNumId w:val="10"/>
  </w:num>
  <w:num w:numId="13">
    <w:abstractNumId w:val="16"/>
  </w:num>
  <w:num w:numId="14">
    <w:abstractNumId w:val="3"/>
  </w:num>
  <w:num w:numId="15">
    <w:abstractNumId w:val="21"/>
  </w:num>
  <w:num w:numId="16">
    <w:abstractNumId w:val="27"/>
  </w:num>
  <w:num w:numId="17">
    <w:abstractNumId w:val="14"/>
  </w:num>
  <w:num w:numId="18">
    <w:abstractNumId w:val="20"/>
  </w:num>
  <w:num w:numId="19">
    <w:abstractNumId w:val="4"/>
  </w:num>
  <w:num w:numId="20">
    <w:abstractNumId w:val="29"/>
  </w:num>
  <w:num w:numId="21">
    <w:abstractNumId w:val="19"/>
  </w:num>
  <w:num w:numId="22">
    <w:abstractNumId w:val="1"/>
  </w:num>
  <w:num w:numId="23">
    <w:abstractNumId w:val="25"/>
  </w:num>
  <w:num w:numId="24">
    <w:abstractNumId w:val="30"/>
  </w:num>
  <w:num w:numId="25">
    <w:abstractNumId w:val="0"/>
  </w:num>
  <w:num w:numId="26">
    <w:abstractNumId w:val="15"/>
  </w:num>
  <w:num w:numId="27">
    <w:abstractNumId w:val="23"/>
  </w:num>
  <w:num w:numId="28">
    <w:abstractNumId w:val="11"/>
  </w:num>
  <w:num w:numId="29">
    <w:abstractNumId w:val="9"/>
  </w:num>
  <w:num w:numId="30">
    <w:abstractNumId w:val="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WI3ZjRmNjVjZmVmNGExMjU5NjE3NjZjNzNiOTg0ZjYifQ=="/>
  </w:docVars>
  <w:rsids>
    <w:rsidRoot w:val="003D307C"/>
    <w:rsid w:val="00072ECA"/>
    <w:rsid w:val="00297FF6"/>
    <w:rsid w:val="003D307C"/>
    <w:rsid w:val="00607948"/>
    <w:rsid w:val="00735448"/>
    <w:rsid w:val="00D36EE4"/>
    <w:rsid w:val="00DC3622"/>
    <w:rsid w:val="00E111C8"/>
    <w:rsid w:val="00EE3CAA"/>
    <w:rsid w:val="00F31217"/>
    <w:rsid w:val="00F464AE"/>
    <w:rsid w:val="0201047A"/>
    <w:rsid w:val="030419BE"/>
    <w:rsid w:val="03F46081"/>
    <w:rsid w:val="043D6C90"/>
    <w:rsid w:val="05281683"/>
    <w:rsid w:val="07865155"/>
    <w:rsid w:val="084C38DA"/>
    <w:rsid w:val="0BBB4A19"/>
    <w:rsid w:val="0FAB12E0"/>
    <w:rsid w:val="1619108D"/>
    <w:rsid w:val="18887276"/>
    <w:rsid w:val="19DD113E"/>
    <w:rsid w:val="1A987F74"/>
    <w:rsid w:val="1BC56337"/>
    <w:rsid w:val="1C9C4538"/>
    <w:rsid w:val="1D132957"/>
    <w:rsid w:val="1D681A07"/>
    <w:rsid w:val="210017D6"/>
    <w:rsid w:val="23CB3901"/>
    <w:rsid w:val="29A35718"/>
    <w:rsid w:val="2A0612E5"/>
    <w:rsid w:val="2B03154D"/>
    <w:rsid w:val="2B6662CE"/>
    <w:rsid w:val="2E750BE6"/>
    <w:rsid w:val="309271F6"/>
    <w:rsid w:val="31EE44F9"/>
    <w:rsid w:val="32C039D7"/>
    <w:rsid w:val="33266952"/>
    <w:rsid w:val="33817B23"/>
    <w:rsid w:val="3926145D"/>
    <w:rsid w:val="39F4797A"/>
    <w:rsid w:val="400874AF"/>
    <w:rsid w:val="402326B1"/>
    <w:rsid w:val="418C5B8E"/>
    <w:rsid w:val="4919186D"/>
    <w:rsid w:val="49CF51F6"/>
    <w:rsid w:val="4FCC21D8"/>
    <w:rsid w:val="52200640"/>
    <w:rsid w:val="54753BF1"/>
    <w:rsid w:val="5CF77537"/>
    <w:rsid w:val="5F9426C8"/>
    <w:rsid w:val="62E130F8"/>
    <w:rsid w:val="63E34591"/>
    <w:rsid w:val="653944DF"/>
    <w:rsid w:val="67BB34EF"/>
    <w:rsid w:val="682575C1"/>
    <w:rsid w:val="6A72612F"/>
    <w:rsid w:val="6AB26DFA"/>
    <w:rsid w:val="6DEE2CB3"/>
    <w:rsid w:val="6F845148"/>
    <w:rsid w:val="6FEF25F6"/>
    <w:rsid w:val="71BD5CFC"/>
    <w:rsid w:val="72F3577C"/>
    <w:rsid w:val="76F8746B"/>
    <w:rsid w:val="76FD2781"/>
    <w:rsid w:val="78D96AD1"/>
    <w:rsid w:val="7B8F65E6"/>
    <w:rsid w:val="7C485E11"/>
    <w:rsid w:val="7F6F5750"/>
    <w:rsid w:val="7FE87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autoRedefine/>
    <w:qFormat/>
    <w:uiPriority w:val="1"/>
    <w:pPr>
      <w:spacing w:before="9"/>
      <w:ind w:right="22"/>
      <w:jc w:val="center"/>
      <w:outlineLvl w:val="0"/>
    </w:pPr>
    <w:rPr>
      <w:b/>
      <w:bCs/>
      <w:sz w:val="44"/>
      <w:szCs w:val="44"/>
    </w:rPr>
  </w:style>
  <w:style w:type="paragraph" w:styleId="5">
    <w:name w:val="heading 2"/>
    <w:basedOn w:val="1"/>
    <w:next w:val="1"/>
    <w:autoRedefine/>
    <w:qFormat/>
    <w:uiPriority w:val="1"/>
    <w:pPr>
      <w:spacing w:before="22"/>
      <w:ind w:left="1770" w:right="20"/>
      <w:jc w:val="center"/>
      <w:outlineLvl w:val="1"/>
    </w:pPr>
    <w:rPr>
      <w:rFonts w:ascii="黑体" w:hAnsi="黑体" w:eastAsia="黑体" w:cs="黑体"/>
      <w:sz w:val="44"/>
      <w:szCs w:val="44"/>
    </w:rPr>
  </w:style>
  <w:style w:type="paragraph" w:styleId="6">
    <w:name w:val="heading 3"/>
    <w:basedOn w:val="1"/>
    <w:next w:val="1"/>
    <w:autoRedefine/>
    <w:qFormat/>
    <w:uiPriority w:val="1"/>
    <w:pPr>
      <w:ind w:left="1392"/>
      <w:outlineLvl w:val="2"/>
    </w:pPr>
    <w:rPr>
      <w:b/>
      <w:bCs/>
      <w:sz w:val="36"/>
      <w:szCs w:val="36"/>
    </w:rPr>
  </w:style>
  <w:style w:type="paragraph" w:styleId="7">
    <w:name w:val="heading 4"/>
    <w:basedOn w:val="1"/>
    <w:next w:val="1"/>
    <w:autoRedefine/>
    <w:qFormat/>
    <w:uiPriority w:val="1"/>
    <w:pPr>
      <w:ind w:left="1770" w:right="1771"/>
      <w:jc w:val="center"/>
      <w:outlineLvl w:val="3"/>
    </w:pPr>
    <w:rPr>
      <w:b/>
      <w:bCs/>
      <w:sz w:val="32"/>
      <w:szCs w:val="32"/>
    </w:rPr>
  </w:style>
  <w:style w:type="paragraph" w:styleId="8">
    <w:name w:val="heading 5"/>
    <w:basedOn w:val="1"/>
    <w:next w:val="1"/>
    <w:autoRedefine/>
    <w:qFormat/>
    <w:uiPriority w:val="1"/>
    <w:pPr>
      <w:ind w:left="960"/>
      <w:outlineLvl w:val="4"/>
    </w:pPr>
    <w:rPr>
      <w:sz w:val="32"/>
      <w:szCs w:val="32"/>
    </w:rPr>
  </w:style>
  <w:style w:type="paragraph" w:styleId="9">
    <w:name w:val="heading 6"/>
    <w:basedOn w:val="1"/>
    <w:next w:val="1"/>
    <w:autoRedefine/>
    <w:qFormat/>
    <w:uiPriority w:val="1"/>
    <w:pPr>
      <w:spacing w:before="28"/>
      <w:ind w:left="800"/>
      <w:outlineLvl w:val="5"/>
    </w:pPr>
    <w:rPr>
      <w:rFonts w:ascii="仿宋" w:hAnsi="仿宋" w:eastAsia="仿宋" w:cs="仿宋"/>
      <w:b/>
      <w:bCs/>
      <w:sz w:val="30"/>
      <w:szCs w:val="30"/>
    </w:rPr>
  </w:style>
  <w:style w:type="paragraph" w:styleId="10">
    <w:name w:val="heading 7"/>
    <w:basedOn w:val="1"/>
    <w:next w:val="1"/>
    <w:autoRedefine/>
    <w:qFormat/>
    <w:uiPriority w:val="1"/>
    <w:pPr>
      <w:spacing w:before="126"/>
      <w:ind w:left="3152"/>
      <w:outlineLvl w:val="6"/>
    </w:pPr>
    <w:rPr>
      <w:sz w:val="30"/>
      <w:szCs w:val="30"/>
    </w:rPr>
  </w:style>
  <w:style w:type="paragraph" w:styleId="11">
    <w:name w:val="heading 8"/>
    <w:basedOn w:val="1"/>
    <w:next w:val="1"/>
    <w:autoRedefine/>
    <w:qFormat/>
    <w:uiPriority w:val="1"/>
    <w:pPr>
      <w:ind w:left="1770"/>
      <w:outlineLvl w:val="7"/>
    </w:pPr>
    <w:rPr>
      <w:b/>
      <w:bCs/>
      <w:sz w:val="28"/>
      <w:szCs w:val="28"/>
    </w:rPr>
  </w:style>
  <w:style w:type="paragraph" w:styleId="12">
    <w:name w:val="heading 9"/>
    <w:basedOn w:val="1"/>
    <w:next w:val="1"/>
    <w:autoRedefine/>
    <w:qFormat/>
    <w:uiPriority w:val="1"/>
    <w:pPr>
      <w:ind w:left="1163" w:hanging="364"/>
      <w:outlineLvl w:val="8"/>
    </w:pPr>
    <w:rPr>
      <w:rFonts w:ascii="黑体" w:hAnsi="黑体" w:eastAsia="黑体" w:cs="黑体"/>
      <w:b/>
      <w:bCs/>
      <w:sz w:val="24"/>
      <w:szCs w:val="24"/>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autoRedefine/>
    <w:qFormat/>
    <w:uiPriority w:val="0"/>
    <w:pPr>
      <w:spacing w:line="200" w:lineRule="exact"/>
      <w:ind w:firstLine="301"/>
    </w:pPr>
    <w:rPr>
      <w:rFonts w:hAnsi="Courier New"/>
      <w:spacing w:val="-4"/>
      <w:sz w:val="18"/>
      <w:szCs w:val="20"/>
    </w:rPr>
  </w:style>
  <w:style w:type="paragraph" w:styleId="13">
    <w:name w:val="index 8"/>
    <w:basedOn w:val="1"/>
    <w:next w:val="1"/>
    <w:autoRedefine/>
    <w:qFormat/>
    <w:uiPriority w:val="0"/>
    <w:pPr>
      <w:ind w:left="2940"/>
    </w:pPr>
  </w:style>
  <w:style w:type="paragraph" w:styleId="14">
    <w:name w:val="Body Text"/>
    <w:basedOn w:val="1"/>
    <w:autoRedefine/>
    <w:qFormat/>
    <w:uiPriority w:val="1"/>
    <w:rPr>
      <w:sz w:val="21"/>
      <w:szCs w:val="21"/>
    </w:rPr>
  </w:style>
  <w:style w:type="paragraph" w:styleId="15">
    <w:name w:val="toc 3"/>
    <w:basedOn w:val="1"/>
    <w:next w:val="1"/>
    <w:autoRedefine/>
    <w:qFormat/>
    <w:uiPriority w:val="0"/>
    <w:pPr>
      <w:ind w:left="840" w:leftChars="400"/>
    </w:pPr>
  </w:style>
  <w:style w:type="paragraph" w:styleId="16">
    <w:name w:val="Plain Text"/>
    <w:basedOn w:val="1"/>
    <w:next w:val="1"/>
    <w:autoRedefine/>
    <w:qFormat/>
    <w:uiPriority w:val="0"/>
    <w:rPr>
      <w:rFonts w:hAnsi="Courier New"/>
      <w:szCs w:val="20"/>
    </w:rPr>
  </w:style>
  <w:style w:type="paragraph" w:styleId="17">
    <w:name w:val="Balloon Text"/>
    <w:basedOn w:val="1"/>
    <w:link w:val="42"/>
    <w:autoRedefine/>
    <w:qFormat/>
    <w:uiPriority w:val="0"/>
    <w:rPr>
      <w:sz w:val="18"/>
      <w:szCs w:val="18"/>
    </w:rPr>
  </w:style>
  <w:style w:type="paragraph" w:styleId="18">
    <w:name w:val="footer"/>
    <w:basedOn w:val="1"/>
    <w:autoRedefine/>
    <w:qFormat/>
    <w:uiPriority w:val="0"/>
    <w:pPr>
      <w:tabs>
        <w:tab w:val="center" w:pos="4153"/>
        <w:tab w:val="right" w:pos="8306"/>
      </w:tabs>
      <w:snapToGrid w:val="0"/>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0">
    <w:name w:val="toc 1"/>
    <w:basedOn w:val="1"/>
    <w:next w:val="1"/>
    <w:autoRedefine/>
    <w:qFormat/>
    <w:uiPriority w:val="1"/>
    <w:pPr>
      <w:spacing w:before="194"/>
      <w:ind w:left="115"/>
    </w:pPr>
    <w:rPr>
      <w:b/>
      <w:bCs/>
      <w:sz w:val="24"/>
      <w:szCs w:val="24"/>
    </w:rPr>
  </w:style>
  <w:style w:type="paragraph" w:styleId="21">
    <w:name w:val="toc 2"/>
    <w:basedOn w:val="1"/>
    <w:next w:val="1"/>
    <w:autoRedefine/>
    <w:qFormat/>
    <w:uiPriority w:val="0"/>
    <w:pPr>
      <w:ind w:left="420" w:leftChars="200"/>
    </w:pPr>
  </w:style>
  <w:style w:type="paragraph" w:styleId="22">
    <w:name w:val="Normal (Web)"/>
    <w:basedOn w:val="1"/>
    <w:autoRedefine/>
    <w:qFormat/>
    <w:uiPriority w:val="0"/>
    <w:rPr>
      <w:sz w:val="24"/>
    </w:rPr>
  </w:style>
  <w:style w:type="paragraph" w:styleId="23">
    <w:name w:val="Body Text First Indent"/>
    <w:basedOn w:val="24"/>
    <w:autoRedefine/>
    <w:qFormat/>
    <w:uiPriority w:val="0"/>
    <w:pPr>
      <w:spacing w:after="120"/>
      <w:ind w:firstLine="420" w:firstLineChars="100"/>
    </w:pPr>
    <w:rPr>
      <w:rFonts w:ascii="Times New Roman" w:hAnsi="Times New Roman"/>
      <w:szCs w:val="24"/>
    </w:rPr>
  </w:style>
  <w:style w:type="paragraph" w:customStyle="1" w:styleId="24">
    <w:name w:val="正文文本_0"/>
    <w:basedOn w:val="25"/>
    <w:next w:val="23"/>
    <w:autoRedefine/>
    <w:qFormat/>
    <w:uiPriority w:val="99"/>
    <w:pPr>
      <w:spacing w:after="120"/>
    </w:pPr>
    <w:rPr>
      <w:rFonts w:ascii="Times New Roman" w:hAnsi="Times New Roman"/>
      <w:szCs w:val="24"/>
    </w:rPr>
  </w:style>
  <w:style w:type="paragraph" w:customStyle="1" w:styleId="25">
    <w:name w:val="正文_2"/>
    <w:next w:val="2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Default_1"/>
    <w:basedOn w:val="27"/>
    <w:next w:val="28"/>
    <w:autoRedefine/>
    <w:qFormat/>
    <w:uiPriority w:val="99"/>
    <w:pPr>
      <w:widowControl w:val="0"/>
      <w:autoSpaceDE w:val="0"/>
      <w:autoSpaceDN w:val="0"/>
      <w:adjustRightInd w:val="0"/>
    </w:pPr>
    <w:rPr>
      <w:rFonts w:ascii="Times New Roman" w:hAnsi="Times New Roman"/>
      <w:color w:val="000000"/>
      <w:sz w:val="24"/>
      <w:szCs w:val="24"/>
      <w:lang w:val="en-US" w:eastAsia="zh-CN" w:bidi="ar-SA"/>
    </w:rPr>
  </w:style>
  <w:style w:type="paragraph" w:customStyle="1" w:styleId="27">
    <w:name w:val="标题_1"/>
    <w:basedOn w:val="25"/>
    <w:next w:val="25"/>
    <w:autoRedefine/>
    <w:qFormat/>
    <w:uiPriority w:val="99"/>
    <w:pPr>
      <w:jc w:val="center"/>
    </w:pPr>
    <w:rPr>
      <w:rFonts w:ascii="Arial" w:hAnsi="Arial" w:cs="Arial"/>
      <w:b/>
      <w:sz w:val="32"/>
      <w:szCs w:val="24"/>
      <w:u w:val="single"/>
    </w:rPr>
  </w:style>
  <w:style w:type="paragraph" w:customStyle="1" w:styleId="28">
    <w:name w:val="标题 1_1"/>
    <w:basedOn w:val="25"/>
    <w:next w:val="25"/>
    <w:autoRedefine/>
    <w:qFormat/>
    <w:uiPriority w:val="99"/>
    <w:pPr>
      <w:keepNext/>
      <w:keepLines/>
      <w:spacing w:before="340" w:after="330" w:line="578" w:lineRule="auto"/>
      <w:outlineLvl w:val="0"/>
    </w:pPr>
    <w:rPr>
      <w:rFonts w:ascii="Times New Roman" w:hAnsi="Times New Roman" w:eastAsia="黑体"/>
      <w:b/>
      <w:bCs/>
      <w:kern w:val="44"/>
      <w:sz w:val="32"/>
      <w:szCs w:val="44"/>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0"/>
    <w:rPr>
      <w:b/>
      <w:bCs/>
    </w:rPr>
  </w:style>
  <w:style w:type="paragraph" w:customStyle="1" w:styleId="33">
    <w:name w:val="目录 42"/>
    <w:next w:val="1"/>
    <w:autoRedefine/>
    <w:qFormat/>
    <w:uiPriority w:val="99"/>
    <w:pPr>
      <w:wordWrap w:val="0"/>
      <w:ind w:left="850"/>
      <w:jc w:val="both"/>
    </w:pPr>
    <w:rPr>
      <w:rFonts w:ascii="Times New Roman" w:hAnsi="Times New Roman" w:eastAsia="宋体" w:cs="Times New Roman"/>
      <w:sz w:val="21"/>
      <w:lang w:val="en-US" w:eastAsia="zh-CN" w:bidi="ar-SA"/>
    </w:rPr>
  </w:style>
  <w:style w:type="table" w:customStyle="1" w:styleId="34">
    <w:name w:val="Table Normal"/>
    <w:autoRedefine/>
    <w:semiHidden/>
    <w:unhideWhenUsed/>
    <w:qFormat/>
    <w:uiPriority w:val="2"/>
    <w:tblPr>
      <w:tblCellMar>
        <w:top w:w="0" w:type="dxa"/>
        <w:left w:w="0" w:type="dxa"/>
        <w:bottom w:w="0" w:type="dxa"/>
        <w:right w:w="0" w:type="dxa"/>
      </w:tblCellMar>
    </w:tblPr>
  </w:style>
  <w:style w:type="paragraph" w:styleId="35">
    <w:name w:val="List Paragraph"/>
    <w:basedOn w:val="1"/>
    <w:autoRedefine/>
    <w:qFormat/>
    <w:uiPriority w:val="1"/>
    <w:pPr>
      <w:ind w:left="320" w:firstLine="420"/>
    </w:pPr>
  </w:style>
  <w:style w:type="paragraph" w:customStyle="1" w:styleId="36">
    <w:name w:val="Table Paragraph"/>
    <w:basedOn w:val="1"/>
    <w:autoRedefine/>
    <w:qFormat/>
    <w:uiPriority w:val="1"/>
  </w:style>
  <w:style w:type="paragraph" w:customStyle="1" w:styleId="37">
    <w:name w:val="正文1"/>
    <w:next w:val="38"/>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8">
    <w:name w:val="正文文本1"/>
    <w:basedOn w:val="37"/>
    <w:next w:val="39"/>
    <w:autoRedefine/>
    <w:qFormat/>
    <w:uiPriority w:val="0"/>
    <w:pPr>
      <w:spacing w:after="120"/>
      <w:jc w:val="left"/>
    </w:pPr>
    <w:rPr>
      <w:rFonts w:ascii="宋体"/>
      <w:sz w:val="34"/>
      <w:szCs w:val="20"/>
    </w:rPr>
  </w:style>
  <w:style w:type="paragraph" w:customStyle="1" w:styleId="39">
    <w:name w:val="正文首行缩进1"/>
    <w:basedOn w:val="38"/>
    <w:next w:val="40"/>
    <w:autoRedefine/>
    <w:qFormat/>
    <w:uiPriority w:val="0"/>
    <w:pPr>
      <w:ind w:left="30" w:right="30" w:firstLine="420"/>
      <w:jc w:val="center"/>
    </w:pPr>
    <w:rPr>
      <w:sz w:val="21"/>
    </w:rPr>
  </w:style>
  <w:style w:type="paragraph" w:customStyle="1" w:styleId="40">
    <w:name w:val="样式 正文首行缩进 + 首行缩进:  1 字符1"/>
    <w:basedOn w:val="37"/>
    <w:next w:val="37"/>
    <w:autoRedefine/>
    <w:qFormat/>
    <w:uiPriority w:val="0"/>
    <w:pPr>
      <w:spacing w:line="360" w:lineRule="auto"/>
      <w:ind w:firstLine="480"/>
      <w:jc w:val="left"/>
    </w:pPr>
    <w:rPr>
      <w:rFonts w:ascii="宋体" w:hAnsi="宋体"/>
      <w:sz w:val="24"/>
      <w:szCs w:val="20"/>
    </w:rPr>
  </w:style>
  <w:style w:type="paragraph" w:customStyle="1" w:styleId="41">
    <w:name w:val="纯文本1"/>
    <w:basedOn w:val="37"/>
    <w:next w:val="37"/>
    <w:autoRedefine/>
    <w:qFormat/>
    <w:uiPriority w:val="0"/>
    <w:rPr>
      <w:rFonts w:ascii="宋体" w:hAnsi="Courier New"/>
      <w:sz w:val="20"/>
      <w:szCs w:val="20"/>
    </w:rPr>
  </w:style>
  <w:style w:type="character" w:customStyle="1" w:styleId="42">
    <w:name w:val="批注框文本 Char"/>
    <w:basedOn w:val="31"/>
    <w:link w:val="17"/>
    <w:autoRedefine/>
    <w:qFormat/>
    <w:uiPriority w:val="0"/>
    <w:rPr>
      <w:rFonts w:ascii="宋体" w:hAnsi="宋体" w:eastAsia="宋体" w:cs="宋体"/>
      <w:sz w:val="18"/>
      <w:szCs w:val="18"/>
      <w:lang w:val="zh-CN" w:bidi="zh-CN"/>
    </w:rPr>
  </w:style>
  <w:style w:type="character" w:customStyle="1" w:styleId="43">
    <w:name w:val="NormalCharacter"/>
    <w:autoRedefine/>
    <w:qFormat/>
    <w:uiPriority w:val="0"/>
  </w:style>
  <w:style w:type="paragraph" w:customStyle="1" w:styleId="44">
    <w:name w:val="Heading2"/>
    <w:basedOn w:val="1"/>
    <w:next w:val="1"/>
    <w:autoRedefine/>
    <w:qFormat/>
    <w:uiPriority w:val="0"/>
    <w:pPr>
      <w:keepNext/>
      <w:keepLines/>
      <w:spacing w:before="260" w:after="260" w:line="416" w:lineRule="auto"/>
    </w:pPr>
    <w:rPr>
      <w:rFonts w:ascii="Arial" w:hAnsi="Arial" w:eastAsia="黑体" w:cs="Times New Roman"/>
      <w:b/>
      <w:bCs/>
      <w:kern w:val="0"/>
      <w:sz w:val="32"/>
      <w:szCs w:val="32"/>
    </w:rPr>
  </w:style>
  <w:style w:type="character" w:customStyle="1" w:styleId="45">
    <w:name w:val="font41"/>
    <w:basedOn w:val="31"/>
    <w:autoRedefine/>
    <w:qFormat/>
    <w:uiPriority w:val="0"/>
    <w:rPr>
      <w:rFonts w:hint="default" w:ascii="Times New Roman" w:hAnsi="Times New Roman" w:cs="Times New Roman"/>
      <w:color w:val="000000"/>
      <w:sz w:val="20"/>
      <w:szCs w:val="20"/>
      <w:u w:val="none"/>
    </w:rPr>
  </w:style>
  <w:style w:type="character" w:customStyle="1" w:styleId="46">
    <w:name w:val="font31"/>
    <w:basedOn w:val="31"/>
    <w:autoRedefine/>
    <w:qFormat/>
    <w:uiPriority w:val="0"/>
    <w:rPr>
      <w:rFonts w:hint="eastAsia" w:ascii="宋体" w:hAnsi="宋体" w:eastAsia="宋体" w:cs="宋体"/>
      <w:color w:val="000000"/>
      <w:sz w:val="20"/>
      <w:szCs w:val="20"/>
      <w:u w:val="none"/>
    </w:rPr>
  </w:style>
  <w:style w:type="character" w:customStyle="1" w:styleId="47">
    <w:name w:val="font21"/>
    <w:basedOn w:val="31"/>
    <w:autoRedefine/>
    <w:qFormat/>
    <w:uiPriority w:val="0"/>
    <w:rPr>
      <w:rFonts w:hint="default" w:ascii="仿宋_GB2312" w:eastAsia="仿宋_GB2312" w:cs="仿宋_GB2312"/>
      <w:color w:val="000000"/>
      <w:sz w:val="22"/>
      <w:szCs w:val="22"/>
      <w:u w:val="none"/>
    </w:rPr>
  </w:style>
  <w:style w:type="character" w:customStyle="1" w:styleId="48">
    <w:name w:val="font11"/>
    <w:basedOn w:val="31"/>
    <w:autoRedefine/>
    <w:qFormat/>
    <w:uiPriority w:val="0"/>
    <w:rPr>
      <w:rFonts w:hint="eastAsia" w:ascii="宋体" w:hAnsi="宋体" w:eastAsia="宋体" w:cs="宋体"/>
      <w:color w:val="000000"/>
      <w:sz w:val="22"/>
      <w:szCs w:val="22"/>
      <w:u w:val="none"/>
    </w:rPr>
  </w:style>
  <w:style w:type="paragraph" w:customStyle="1" w:styleId="49">
    <w:name w:val="Table Text"/>
    <w:basedOn w:val="1"/>
    <w:autoRedefine/>
    <w:semiHidden/>
    <w:qFormat/>
    <w:uiPriority w:val="0"/>
    <w:rPr>
      <w:rFonts w:ascii="宋体" w:hAnsi="宋体" w:eastAsia="宋体" w:cs="宋体"/>
      <w:sz w:val="20"/>
      <w:szCs w:val="20"/>
      <w:lang w:val="en-US" w:eastAsia="en-US" w:bidi="ar-SA"/>
    </w:rPr>
  </w:style>
  <w:style w:type="paragraph" w:customStyle="1" w:styleId="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2_0"/>
    <w:basedOn w:val="52"/>
    <w:qFormat/>
    <w:uiPriority w:val="0"/>
  </w:style>
  <w:style w:type="paragraph" w:customStyle="1" w:styleId="52">
    <w:name w:val="正文_3"/>
    <w:basedOn w:val="53"/>
    <w:autoRedefine/>
    <w:qFormat/>
    <w:uiPriority w:val="0"/>
    <w:rPr>
      <w:rFonts w:cs="宋体"/>
      <w:szCs w:val="21"/>
    </w:rPr>
  </w:style>
  <w:style w:type="paragraph" w:customStyle="1" w:styleId="53">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_2_0_0"/>
    <w:basedOn w:val="55"/>
    <w:autoRedefine/>
    <w:qFormat/>
    <w:uiPriority w:val="0"/>
  </w:style>
  <w:style w:type="paragraph" w:customStyle="1" w:styleId="55">
    <w:name w:val="正文_2_1"/>
    <w:basedOn w:val="5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2_2"/>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10" textRotate="1"/>
    <customShpInfo spid="_x0000_s4106"/>
    <customShpInfo spid="_x0000_s410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116</Pages>
  <Words>59502</Words>
  <Characters>62090</Characters>
  <Lines>299</Lines>
  <Paragraphs>84</Paragraphs>
  <TotalTime>37</TotalTime>
  <ScaleCrop>false</ScaleCrop>
  <LinksUpToDate>false</LinksUpToDate>
  <CharactersWithSpaces>71927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2022-12-08T07:46:00Z</dcterms:created>
  <dc:creator>KWZB</dc:creator>
  <cp:lastModifiedBy>该用户不存在</cp:lastModifiedBy>
  <cp:lastPrinted>2022-12-12T08:09:00Z</cp:lastPrinted>
  <dcterms:modified xsi:type="dcterms:W3CDTF">2024-05-17T08:39:13Z</dcterms:modified>
  <dc:title>竞争性谈判文件规范</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2022-11-07T00:00:00Z</vt:filetime>
  </property>
  <property fmtid="{D5CDD505-2E9C-101B-9397-08002B2CF9AE}" pid="3" name="Creator">
    <vt:lpwstr>WPS 文字</vt:lpwstr>
  </property>
  <property fmtid="{D5CDD505-2E9C-101B-9397-08002B2CF9AE}" pid="4" name="LastSaved">
    <vt:filetime>2022-12-08T00:00:00Z</vt:filetime>
  </property>
  <property fmtid="{D5CDD505-2E9C-101B-9397-08002B2CF9AE}" pid="5" name="KSOProductBuildVer">
    <vt:lpwstr>2052-12.1.0.16729</vt:lpwstr>
  </property>
  <property fmtid="{D5CDD505-2E9C-101B-9397-08002B2CF9AE}" pid="6" name="ICV">
    <vt:lpwstr>108DA0C9E053406984383D5A8DD81E8B</vt:lpwstr>
  </property>
</Properties>
</file>